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لاضرر گزیده تقریر دروس آیة الله هادی نجفی دام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9447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19449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219451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219453_2870459653">
            <w:r>
              <w:rPr>
                <w:webHidden/>
                <w:rStyle w:val="IndexLink"/>
                <w:rtl w:val="true"/>
              </w:rPr>
              <w:t>تَمهید</w:t>
            </w:r>
            <w:r>
              <w:rPr>
                <w:rStyle w:val="IndexLink"/>
                <w:rtl w:val="true"/>
              </w:rPr>
              <w:tab/>
            </w:r>
            <w:r>
              <w:rPr>
                <w:rStyle w:val="IndexLink"/>
              </w:rPr>
              <w:t>18</w:t>
            </w:r>
          </w:hyperlink>
        </w:p>
        <w:p>
          <w:pPr>
            <w:pStyle w:val="Contents2"/>
            <w:tabs>
              <w:tab w:val="clear" w:pos="8743"/>
              <w:tab w:val="right" w:pos="9026" w:leader="dot"/>
            </w:tabs>
            <w:rPr/>
          </w:pPr>
          <w:hyperlink w:anchor="__RefHeading___Toc3219455_2870459653">
            <w:r>
              <w:rPr>
                <w:webHidden/>
                <w:rStyle w:val="IndexLink"/>
                <w:rtl w:val="true"/>
              </w:rPr>
              <w:t>مقدمه بحث</w:t>
            </w:r>
            <w:r>
              <w:rPr>
                <w:rStyle w:val="IndexLink"/>
                <w:rtl w:val="true"/>
              </w:rPr>
              <w:tab/>
            </w:r>
            <w:r>
              <w:rPr>
                <w:rStyle w:val="IndexLink"/>
              </w:rPr>
              <w:t>20</w:t>
            </w:r>
          </w:hyperlink>
        </w:p>
        <w:p>
          <w:pPr>
            <w:pStyle w:val="Contents3"/>
            <w:tabs>
              <w:tab w:val="clear" w:pos="8459"/>
              <w:tab w:val="right" w:pos="9026" w:leader="dot"/>
            </w:tabs>
            <w:rPr/>
          </w:pPr>
          <w:hyperlink w:anchor="__RefHeading___Toc3219457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219459_2870459653">
            <w:r>
              <w:rPr>
                <w:webHidden/>
                <w:rStyle w:val="IndexLink"/>
                <w:rtl w:val="true"/>
              </w:rPr>
              <w:t>اوّل</w:t>
            </w:r>
            <w:r>
              <w:rPr>
                <w:rStyle w:val="IndexLink"/>
                <w:rtl w:val="true"/>
              </w:rPr>
              <w:t xml:space="preserve">: </w:t>
            </w:r>
            <w:r>
              <w:rPr>
                <w:rStyle w:val="IndexLink"/>
                <w:rtl w:val="true"/>
              </w:rPr>
              <w:t>اهمیت و جایگاه قاعدۀ لا ضرر در استنباط احکام شرعی</w:t>
            </w:r>
            <w:r>
              <w:rPr>
                <w:rStyle w:val="IndexLink"/>
                <w:rtl w:val="true"/>
              </w:rPr>
              <w:tab/>
            </w:r>
            <w:r>
              <w:rPr>
                <w:rStyle w:val="IndexLink"/>
              </w:rPr>
              <w:t>20</w:t>
            </w:r>
          </w:hyperlink>
        </w:p>
        <w:p>
          <w:pPr>
            <w:pStyle w:val="Contents3"/>
            <w:tabs>
              <w:tab w:val="clear" w:pos="8459"/>
              <w:tab w:val="right" w:pos="9026" w:leader="dot"/>
            </w:tabs>
            <w:rPr/>
          </w:pPr>
          <w:hyperlink w:anchor="__RefHeading___Toc3219461_2870459653">
            <w:r>
              <w:rPr>
                <w:webHidden/>
                <w:rStyle w:val="IndexLink"/>
                <w:rtl w:val="true"/>
              </w:rPr>
              <w:t>دوم</w:t>
            </w:r>
            <w:r>
              <w:rPr>
                <w:rStyle w:val="IndexLink"/>
                <w:rtl w:val="true"/>
              </w:rPr>
              <w:t xml:space="preserve">: </w:t>
            </w:r>
            <w:r>
              <w:rPr>
                <w:rStyle w:val="IndexLink"/>
                <w:rtl w:val="true"/>
              </w:rPr>
              <w:t>منصوص بودن قاعده لا ضرر</w:t>
            </w:r>
            <w:r>
              <w:rPr>
                <w:rStyle w:val="IndexLink"/>
                <w:rtl w:val="true"/>
              </w:rPr>
              <w:tab/>
            </w:r>
            <w:r>
              <w:rPr>
                <w:rStyle w:val="IndexLink"/>
              </w:rPr>
              <w:t>21</w:t>
            </w:r>
          </w:hyperlink>
        </w:p>
        <w:p>
          <w:pPr>
            <w:pStyle w:val="Contents3"/>
            <w:tabs>
              <w:tab w:val="clear" w:pos="8459"/>
              <w:tab w:val="right" w:pos="9026" w:leader="dot"/>
            </w:tabs>
            <w:rPr/>
          </w:pPr>
          <w:hyperlink w:anchor="__RefHeading___Toc3219463_2870459653">
            <w:r>
              <w:rPr>
                <w:webHidden/>
                <w:rStyle w:val="IndexLink"/>
                <w:rtl w:val="true"/>
              </w:rPr>
              <w:t>سوم</w:t>
            </w:r>
            <w:r>
              <w:rPr>
                <w:rStyle w:val="IndexLink"/>
                <w:rtl w:val="true"/>
              </w:rPr>
              <w:t xml:space="preserve">: </w:t>
            </w:r>
            <w:r>
              <w:rPr>
                <w:rStyle w:val="IndexLink"/>
                <w:rtl w:val="true"/>
              </w:rPr>
              <w:t>سیر تاریخی قاعده لاضرر</w:t>
            </w:r>
            <w:r>
              <w:rPr>
                <w:rStyle w:val="IndexLink"/>
                <w:rtl w:val="true"/>
              </w:rPr>
              <w:tab/>
            </w:r>
            <w:r>
              <w:rPr>
                <w:rStyle w:val="IndexLink"/>
              </w:rPr>
              <w:t>21</w:t>
            </w:r>
          </w:hyperlink>
        </w:p>
        <w:p>
          <w:pPr>
            <w:pStyle w:val="Contents3"/>
            <w:tabs>
              <w:tab w:val="clear" w:pos="8459"/>
              <w:tab w:val="right" w:pos="9026" w:leader="dot"/>
            </w:tabs>
            <w:rPr/>
          </w:pPr>
          <w:hyperlink w:anchor="__RefHeading___Toc3219465_2870459653">
            <w:r>
              <w:rPr>
                <w:webHidden/>
                <w:rStyle w:val="IndexLink"/>
                <w:rtl w:val="true"/>
              </w:rPr>
              <w:t>چهارم</w:t>
            </w:r>
            <w:r>
              <w:rPr>
                <w:rStyle w:val="IndexLink"/>
                <w:rtl w:val="true"/>
              </w:rPr>
              <w:t xml:space="preserve">: </w:t>
            </w:r>
            <w:r>
              <w:rPr>
                <w:rStyle w:val="IndexLink"/>
                <w:rtl w:val="true"/>
              </w:rPr>
              <w:t>تعابیری که از قاعده لاضرر شده است</w:t>
            </w:r>
            <w:r>
              <w:rPr>
                <w:rStyle w:val="IndexLink"/>
                <w:rtl w:val="true"/>
              </w:rPr>
              <w:tab/>
            </w:r>
            <w:r>
              <w:rPr>
                <w:rStyle w:val="IndexLink"/>
              </w:rPr>
              <w:t>21</w:t>
            </w:r>
          </w:hyperlink>
        </w:p>
        <w:p>
          <w:pPr>
            <w:pStyle w:val="Contents2"/>
            <w:tabs>
              <w:tab w:val="clear" w:pos="8743"/>
              <w:tab w:val="right" w:pos="9026" w:leader="dot"/>
            </w:tabs>
            <w:rPr/>
          </w:pPr>
          <w:hyperlink w:anchor="__RefHeading___Toc3219467_2870459653">
            <w:r>
              <w:rPr>
                <w:webHidden/>
                <w:rStyle w:val="IndexLink"/>
                <w:rtl w:val="true"/>
              </w:rPr>
              <w:t>مستند قاعده لاضرر</w:t>
            </w:r>
            <w:r>
              <w:rPr>
                <w:rStyle w:val="IndexLink"/>
                <w:rtl w:val="true"/>
              </w:rPr>
              <w:tab/>
            </w:r>
            <w:r>
              <w:rPr>
                <w:rStyle w:val="IndexLink"/>
              </w:rPr>
              <w:t>23</w:t>
            </w:r>
          </w:hyperlink>
        </w:p>
        <w:p>
          <w:pPr>
            <w:pStyle w:val="Contents2"/>
            <w:tabs>
              <w:tab w:val="clear" w:pos="8743"/>
              <w:tab w:val="right" w:pos="9026" w:leader="dot"/>
            </w:tabs>
            <w:rPr/>
          </w:pPr>
          <w:hyperlink w:anchor="__RefHeading___Toc3219469_2870459653">
            <w:r>
              <w:rPr>
                <w:webHidden/>
                <w:rStyle w:val="IndexLink"/>
                <w:rtl w:val="true"/>
              </w:rPr>
              <w:t>اوّل</w:t>
            </w:r>
            <w:r>
              <w:rPr>
                <w:rStyle w:val="IndexLink"/>
                <w:rtl w:val="true"/>
              </w:rPr>
              <w:t xml:space="preserve">: </w:t>
            </w:r>
            <w:r>
              <w:rPr>
                <w:rStyle w:val="IndexLink"/>
                <w:rtl w:val="true"/>
              </w:rPr>
              <w:t>قرآن کریم</w:t>
            </w:r>
            <w:r>
              <w:rPr>
                <w:rStyle w:val="IndexLink"/>
                <w:rtl w:val="true"/>
              </w:rPr>
              <w:tab/>
            </w:r>
            <w:r>
              <w:rPr>
                <w:rStyle w:val="IndexLink"/>
              </w:rPr>
              <w:t>23</w:t>
            </w:r>
          </w:hyperlink>
        </w:p>
        <w:p>
          <w:pPr>
            <w:pStyle w:val="Contents3"/>
            <w:tabs>
              <w:tab w:val="clear" w:pos="8459"/>
              <w:tab w:val="right" w:pos="9026" w:leader="dot"/>
            </w:tabs>
            <w:rPr/>
          </w:pPr>
          <w:hyperlink w:anchor="__RefHeading___Toc3219471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219473_2870459653">
            <w:r>
              <w:rPr>
                <w:webHidden/>
                <w:rStyle w:val="IndexLink"/>
                <w:rtl w:val="true"/>
              </w:rPr>
              <w:t>آیه اوّل</w:t>
            </w:r>
            <w:r>
              <w:rPr>
                <w:rStyle w:val="IndexLink"/>
                <w:rtl w:val="true"/>
              </w:rPr>
              <w:t>:</w:t>
              <w:tab/>
            </w:r>
            <w:r>
              <w:rPr>
                <w:rStyle w:val="IndexLink"/>
              </w:rPr>
              <w:t>23</w:t>
            </w:r>
          </w:hyperlink>
        </w:p>
        <w:p>
          <w:pPr>
            <w:pStyle w:val="Contents4"/>
            <w:tabs>
              <w:tab w:val="clear" w:pos="8176"/>
              <w:tab w:val="right" w:pos="9026" w:leader="dot"/>
            </w:tabs>
            <w:rPr/>
          </w:pPr>
          <w:hyperlink w:anchor="__RefHeading___Toc3219475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219477_2870459653">
            <w:r>
              <w:rPr>
                <w:webHidden/>
                <w:rStyle w:val="IndexLink"/>
                <w:rtl w:val="true"/>
              </w:rPr>
              <w:t>معنای آیه</w:t>
            </w:r>
            <w:r>
              <w:rPr>
                <w:rStyle w:val="IndexLink"/>
                <w:rtl w:val="true"/>
              </w:rPr>
              <w:tab/>
            </w:r>
            <w:r>
              <w:rPr>
                <w:rStyle w:val="IndexLink"/>
              </w:rPr>
              <w:t>24</w:t>
            </w:r>
          </w:hyperlink>
        </w:p>
        <w:p>
          <w:pPr>
            <w:pStyle w:val="Contents4"/>
            <w:tabs>
              <w:tab w:val="clear" w:pos="8176"/>
              <w:tab w:val="right" w:pos="9026" w:leader="dot"/>
            </w:tabs>
            <w:rPr/>
          </w:pPr>
          <w:hyperlink w:anchor="__RefHeading___Toc3219479_2870459653">
            <w:r>
              <w:rPr>
                <w:webHidden/>
                <w:rStyle w:val="IndexLink"/>
                <w:rtl w:val="true"/>
              </w:rPr>
              <w:t>استدلال به آیه</w:t>
            </w:r>
            <w:r>
              <w:rPr>
                <w:rStyle w:val="IndexLink"/>
                <w:rtl w:val="true"/>
              </w:rPr>
              <w:tab/>
            </w:r>
            <w:r>
              <w:rPr>
                <w:rStyle w:val="IndexLink"/>
              </w:rPr>
              <w:t>24</w:t>
            </w:r>
          </w:hyperlink>
        </w:p>
        <w:p>
          <w:pPr>
            <w:pStyle w:val="Contents3"/>
            <w:tabs>
              <w:tab w:val="clear" w:pos="8459"/>
              <w:tab w:val="right" w:pos="9026" w:leader="dot"/>
            </w:tabs>
            <w:rPr/>
          </w:pPr>
          <w:hyperlink w:anchor="__RefHeading___Toc3219481_2870459653">
            <w:r>
              <w:rPr>
                <w:webHidden/>
                <w:rStyle w:val="IndexLink"/>
                <w:rtl w:val="true"/>
              </w:rPr>
              <w:t>آیه دوم</w:t>
            </w:r>
            <w:r>
              <w:rPr>
                <w:rStyle w:val="IndexLink"/>
                <w:rtl w:val="true"/>
              </w:rPr>
              <w:t>:</w:t>
              <w:tab/>
            </w:r>
            <w:r>
              <w:rPr>
                <w:rStyle w:val="IndexLink"/>
              </w:rPr>
              <w:t>25</w:t>
            </w:r>
          </w:hyperlink>
        </w:p>
        <w:p>
          <w:pPr>
            <w:pStyle w:val="Contents4"/>
            <w:tabs>
              <w:tab w:val="clear" w:pos="8176"/>
              <w:tab w:val="right" w:pos="9026" w:leader="dot"/>
            </w:tabs>
            <w:rPr/>
          </w:pPr>
          <w:hyperlink w:anchor="__RefHeading___Toc3219483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219485_2870459653">
            <w:r>
              <w:rPr>
                <w:webHidden/>
                <w:rStyle w:val="IndexLink"/>
                <w:rtl w:val="true"/>
              </w:rPr>
              <w:t>استدلال به آیه</w:t>
            </w:r>
            <w:r>
              <w:rPr>
                <w:rStyle w:val="IndexLink"/>
                <w:rtl w:val="true"/>
              </w:rPr>
              <w:tab/>
            </w:r>
            <w:r>
              <w:rPr>
                <w:rStyle w:val="IndexLink"/>
              </w:rPr>
              <w:t>26</w:t>
            </w:r>
          </w:hyperlink>
        </w:p>
        <w:p>
          <w:pPr>
            <w:pStyle w:val="Contents4"/>
            <w:tabs>
              <w:tab w:val="clear" w:pos="8176"/>
              <w:tab w:val="right" w:pos="9026" w:leader="dot"/>
            </w:tabs>
            <w:rPr/>
          </w:pPr>
          <w:hyperlink w:anchor="__RefHeading___Toc3219487_2870459653">
            <w:r>
              <w:rPr>
                <w:webHidden/>
                <w:rStyle w:val="IndexLink"/>
                <w:rtl w:val="true"/>
              </w:rPr>
              <w:t xml:space="preserve">نکته </w:t>
            </w:r>
            <w:r>
              <w:rPr>
                <w:rStyle w:val="IndexLink"/>
              </w:rPr>
              <w:t>1</w:t>
            </w:r>
            <w:r>
              <w:rPr>
                <w:rStyle w:val="IndexLink"/>
                <w:rtl w:val="true"/>
              </w:rPr>
              <w:t>:</w:t>
              <w:tab/>
            </w:r>
            <w:r>
              <w:rPr>
                <w:rStyle w:val="IndexLink"/>
              </w:rPr>
              <w:t>26</w:t>
            </w:r>
          </w:hyperlink>
        </w:p>
        <w:p>
          <w:pPr>
            <w:pStyle w:val="Contents4"/>
            <w:tabs>
              <w:tab w:val="clear" w:pos="8176"/>
              <w:tab w:val="right" w:pos="9026" w:leader="dot"/>
            </w:tabs>
            <w:rPr/>
          </w:pPr>
          <w:hyperlink w:anchor="__RefHeading___Toc3219489_2870459653">
            <w:r>
              <w:rPr>
                <w:webHidden/>
                <w:rStyle w:val="IndexLink"/>
                <w:rtl w:val="true"/>
              </w:rPr>
              <w:t xml:space="preserve">نکته </w:t>
            </w:r>
            <w:r>
              <w:rPr>
                <w:rStyle w:val="IndexLink"/>
              </w:rPr>
              <w:t>2</w:t>
            </w:r>
            <w:r>
              <w:rPr>
                <w:rStyle w:val="IndexLink"/>
                <w:rtl w:val="true"/>
              </w:rPr>
              <w:t>:</w:t>
              <w:tab/>
            </w:r>
            <w:r>
              <w:rPr>
                <w:rStyle w:val="IndexLink"/>
              </w:rPr>
              <w:t>26</w:t>
            </w:r>
          </w:hyperlink>
        </w:p>
        <w:p>
          <w:pPr>
            <w:pStyle w:val="Contents3"/>
            <w:tabs>
              <w:tab w:val="clear" w:pos="8459"/>
              <w:tab w:val="right" w:pos="9026" w:leader="dot"/>
            </w:tabs>
            <w:rPr/>
          </w:pPr>
          <w:hyperlink w:anchor="__RefHeading___Toc3219491_2870459653">
            <w:r>
              <w:rPr>
                <w:webHidden/>
                <w:rStyle w:val="IndexLink"/>
                <w:rtl w:val="true"/>
              </w:rPr>
              <w:t>آیه سوم</w:t>
            </w:r>
            <w:r>
              <w:rPr>
                <w:rStyle w:val="IndexLink"/>
                <w:rtl w:val="true"/>
              </w:rPr>
              <w:t>:</w:t>
              <w:tab/>
            </w:r>
            <w:r>
              <w:rPr>
                <w:rStyle w:val="IndexLink"/>
              </w:rPr>
              <w:t>26</w:t>
            </w:r>
          </w:hyperlink>
        </w:p>
        <w:p>
          <w:pPr>
            <w:pStyle w:val="Contents4"/>
            <w:tabs>
              <w:tab w:val="clear" w:pos="8176"/>
              <w:tab w:val="right" w:pos="9026" w:leader="dot"/>
            </w:tabs>
            <w:rPr/>
          </w:pPr>
          <w:hyperlink w:anchor="__RefHeading___Toc3219493_2870459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219495_2870459653">
            <w:r>
              <w:rPr>
                <w:webHidden/>
                <w:rStyle w:val="IndexLink"/>
                <w:rtl w:val="true"/>
              </w:rPr>
              <w:t>استدلال به آیه</w:t>
            </w:r>
            <w:r>
              <w:rPr>
                <w:rStyle w:val="IndexLink"/>
                <w:rtl w:val="true"/>
              </w:rPr>
              <w:tab/>
            </w:r>
            <w:r>
              <w:rPr>
                <w:rStyle w:val="IndexLink"/>
              </w:rPr>
              <w:t>26</w:t>
            </w:r>
          </w:hyperlink>
        </w:p>
        <w:p>
          <w:pPr>
            <w:pStyle w:val="Contents3"/>
            <w:tabs>
              <w:tab w:val="clear" w:pos="8459"/>
              <w:tab w:val="right" w:pos="9026" w:leader="dot"/>
            </w:tabs>
            <w:rPr/>
          </w:pPr>
          <w:hyperlink w:anchor="__RefHeading___Toc3219497_2870459653">
            <w:r>
              <w:rPr>
                <w:webHidden/>
                <w:rStyle w:val="IndexLink"/>
                <w:rtl w:val="true"/>
              </w:rPr>
              <w:t>آیه چهارم</w:t>
            </w:r>
            <w:r>
              <w:rPr>
                <w:rStyle w:val="IndexLink"/>
                <w:rtl w:val="true"/>
              </w:rPr>
              <w:t>:</w:t>
              <w:tab/>
            </w:r>
            <w:r>
              <w:rPr>
                <w:rStyle w:val="IndexLink"/>
              </w:rPr>
              <w:t>27</w:t>
            </w:r>
          </w:hyperlink>
        </w:p>
        <w:p>
          <w:pPr>
            <w:pStyle w:val="Contents4"/>
            <w:tabs>
              <w:tab w:val="clear" w:pos="8176"/>
              <w:tab w:val="right" w:pos="9026" w:leader="dot"/>
            </w:tabs>
            <w:rPr/>
          </w:pPr>
          <w:hyperlink w:anchor="__RefHeading___Toc3219499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219501_2870459653">
            <w:r>
              <w:rPr>
                <w:webHidden/>
                <w:rStyle w:val="IndexLink"/>
                <w:rtl w:val="true"/>
              </w:rPr>
              <w:t>استدلال به آیه</w:t>
            </w:r>
            <w:r>
              <w:rPr>
                <w:rStyle w:val="IndexLink"/>
                <w:rtl w:val="true"/>
              </w:rPr>
              <w:tab/>
            </w:r>
            <w:r>
              <w:rPr>
                <w:rStyle w:val="IndexLink"/>
              </w:rPr>
              <w:t>27</w:t>
            </w:r>
          </w:hyperlink>
        </w:p>
        <w:p>
          <w:pPr>
            <w:pStyle w:val="Contents3"/>
            <w:tabs>
              <w:tab w:val="clear" w:pos="8459"/>
              <w:tab w:val="right" w:pos="9026" w:leader="dot"/>
            </w:tabs>
            <w:rPr/>
          </w:pPr>
          <w:hyperlink w:anchor="__RefHeading___Toc3219503_2870459653">
            <w:r>
              <w:rPr>
                <w:webHidden/>
                <w:rStyle w:val="IndexLink"/>
                <w:rtl w:val="true"/>
              </w:rPr>
              <w:t>آیه پنجم</w:t>
            </w:r>
            <w:r>
              <w:rPr>
                <w:rStyle w:val="IndexLink"/>
                <w:rtl w:val="true"/>
              </w:rPr>
              <w:t>:</w:t>
              <w:tab/>
            </w:r>
            <w:r>
              <w:rPr>
                <w:rStyle w:val="IndexLink"/>
              </w:rPr>
              <w:t>28</w:t>
            </w:r>
          </w:hyperlink>
        </w:p>
        <w:p>
          <w:pPr>
            <w:pStyle w:val="Contents3"/>
            <w:tabs>
              <w:tab w:val="clear" w:pos="8459"/>
              <w:tab w:val="right" w:pos="9026" w:leader="dot"/>
            </w:tabs>
            <w:rPr/>
          </w:pPr>
          <w:hyperlink w:anchor="__RefHeading___Toc3219505_2870459653">
            <w:r>
              <w:rPr>
                <w:webHidden/>
                <w:rStyle w:val="IndexLink"/>
                <w:rtl w:val="true"/>
              </w:rPr>
              <w:t>آیه ششم</w:t>
            </w:r>
            <w:r>
              <w:rPr>
                <w:rStyle w:val="IndexLink"/>
                <w:rtl w:val="true"/>
              </w:rPr>
              <w:t>:</w:t>
              <w:tab/>
            </w:r>
            <w:r>
              <w:rPr>
                <w:rStyle w:val="IndexLink"/>
              </w:rPr>
              <w:t>29</w:t>
            </w:r>
          </w:hyperlink>
        </w:p>
        <w:p>
          <w:pPr>
            <w:pStyle w:val="Contents2"/>
            <w:tabs>
              <w:tab w:val="clear" w:pos="8743"/>
              <w:tab w:val="right" w:pos="9026" w:leader="dot"/>
            </w:tabs>
            <w:rPr/>
          </w:pPr>
          <w:hyperlink w:anchor="__RefHeading___Toc3219507_2870459653">
            <w:r>
              <w:rPr>
                <w:webHidden/>
                <w:rStyle w:val="IndexLink"/>
                <w:rtl w:val="true"/>
              </w:rPr>
              <w:t>دوم</w:t>
            </w:r>
            <w:r>
              <w:rPr>
                <w:rStyle w:val="IndexLink"/>
                <w:rtl w:val="true"/>
              </w:rPr>
              <w:t xml:space="preserve">: </w:t>
            </w:r>
            <w:r>
              <w:rPr>
                <w:rStyle w:val="IndexLink"/>
                <w:rtl w:val="true"/>
              </w:rPr>
              <w:t>روایات</w:t>
            </w:r>
            <w:r>
              <w:rPr>
                <w:rStyle w:val="IndexLink"/>
                <w:rtl w:val="true"/>
              </w:rPr>
              <w:tab/>
            </w:r>
            <w:r>
              <w:rPr>
                <w:rStyle w:val="IndexLink"/>
              </w:rPr>
              <w:t>30</w:t>
            </w:r>
          </w:hyperlink>
        </w:p>
        <w:p>
          <w:pPr>
            <w:pStyle w:val="Contents3"/>
            <w:tabs>
              <w:tab w:val="clear" w:pos="8459"/>
              <w:tab w:val="right" w:pos="9026" w:leader="dot"/>
            </w:tabs>
            <w:rPr/>
          </w:pPr>
          <w:hyperlink w:anchor="__RefHeading___Toc3219509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219511_2870459653">
            <w:r>
              <w:rPr>
                <w:webHidden/>
                <w:rStyle w:val="IndexLink"/>
                <w:rtl w:val="true"/>
              </w:rPr>
              <w:t>طائفه اوّل</w:t>
            </w:r>
            <w:r>
              <w:rPr>
                <w:rStyle w:val="IndexLink"/>
                <w:rtl w:val="true"/>
              </w:rPr>
              <w:t xml:space="preserve">: </w:t>
            </w:r>
            <w:r>
              <w:rPr>
                <w:rStyle w:val="IndexLink"/>
                <w:rtl w:val="true"/>
              </w:rPr>
              <w:t>روایاتی که قاعده لاضرر را بر موردش تطبیق کرده است</w:t>
            </w:r>
            <w:r>
              <w:rPr>
                <w:rStyle w:val="IndexLink"/>
                <w:rtl w:val="true"/>
              </w:rPr>
              <w:tab/>
            </w:r>
            <w:r>
              <w:rPr>
                <w:rStyle w:val="IndexLink"/>
              </w:rPr>
              <w:t>30</w:t>
            </w:r>
          </w:hyperlink>
        </w:p>
        <w:p>
          <w:pPr>
            <w:pStyle w:val="Contents3"/>
            <w:tabs>
              <w:tab w:val="clear" w:pos="8459"/>
              <w:tab w:val="right" w:pos="9026" w:leader="dot"/>
            </w:tabs>
            <w:rPr/>
          </w:pPr>
          <w:hyperlink w:anchor="__RefHeading___Toc3219513_2870459653">
            <w:r>
              <w:rPr>
                <w:webHidden/>
                <w:rStyle w:val="IndexLink"/>
                <w:rtl w:val="true"/>
              </w:rPr>
              <w:t>مورد اوّل</w:t>
            </w:r>
            <w:r>
              <w:rPr>
                <w:rStyle w:val="IndexLink"/>
                <w:rtl w:val="true"/>
              </w:rPr>
              <w:t xml:space="preserve">: </w:t>
            </w:r>
            <w:r>
              <w:rPr>
                <w:rStyle w:val="IndexLink"/>
                <w:rtl w:val="true"/>
              </w:rPr>
              <w:t>قضيه سَمُرَةِ بن جُنْدَب</w:t>
            </w:r>
            <w:r>
              <w:rPr>
                <w:rStyle w:val="IndexLink"/>
                <w:rtl w:val="true"/>
              </w:rPr>
              <w:tab/>
            </w:r>
            <w:r>
              <w:rPr>
                <w:rStyle w:val="IndexLink"/>
              </w:rPr>
              <w:t>30</w:t>
            </w:r>
          </w:hyperlink>
        </w:p>
        <w:p>
          <w:pPr>
            <w:pStyle w:val="Contents4"/>
            <w:tabs>
              <w:tab w:val="clear" w:pos="8176"/>
              <w:tab w:val="right" w:pos="9026" w:leader="dot"/>
            </w:tabs>
            <w:rPr/>
          </w:pPr>
          <w:hyperlink w:anchor="__RefHeading___Toc3219515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219517_2870459653">
            <w:r>
              <w:rPr>
                <w:webHidden/>
                <w:rStyle w:val="IndexLink"/>
                <w:rtl w:val="true"/>
              </w:rPr>
              <w:t>روايت اوّل</w:t>
            </w:r>
            <w:r>
              <w:rPr>
                <w:rStyle w:val="IndexLink"/>
                <w:rtl w:val="true"/>
              </w:rPr>
              <w:t>:</w:t>
              <w:tab/>
            </w:r>
            <w:r>
              <w:rPr>
                <w:rStyle w:val="IndexLink"/>
              </w:rPr>
              <w:t>31</w:t>
            </w:r>
          </w:hyperlink>
        </w:p>
        <w:p>
          <w:pPr>
            <w:pStyle w:val="Contents4"/>
            <w:tabs>
              <w:tab w:val="clear" w:pos="8176"/>
              <w:tab w:val="right" w:pos="9026" w:leader="dot"/>
            </w:tabs>
            <w:rPr/>
          </w:pPr>
          <w:hyperlink w:anchor="__RefHeading___Toc3219519_2870459653">
            <w:r>
              <w:rPr>
                <w:webHidden/>
                <w:rStyle w:val="IndexLink"/>
                <w:rtl w:val="true"/>
              </w:rPr>
              <w:t>روايت دوّم</w:t>
            </w:r>
            <w:r>
              <w:rPr>
                <w:rStyle w:val="IndexLink"/>
                <w:rtl w:val="true"/>
              </w:rPr>
              <w:t>:</w:t>
              <w:tab/>
            </w:r>
            <w:r>
              <w:rPr>
                <w:rStyle w:val="IndexLink"/>
              </w:rPr>
              <w:t>32</w:t>
            </w:r>
          </w:hyperlink>
        </w:p>
        <w:p>
          <w:pPr>
            <w:pStyle w:val="Contents4"/>
            <w:tabs>
              <w:tab w:val="clear" w:pos="8176"/>
              <w:tab w:val="right" w:pos="9026" w:leader="dot"/>
            </w:tabs>
            <w:rPr/>
          </w:pPr>
          <w:hyperlink w:anchor="__RefHeading___Toc3219521_2870459653">
            <w:r>
              <w:rPr>
                <w:webHidden/>
                <w:rStyle w:val="IndexLink"/>
                <w:rtl w:val="true"/>
              </w:rPr>
              <w:t>روایت سوّم</w:t>
            </w:r>
            <w:r>
              <w:rPr>
                <w:rStyle w:val="IndexLink"/>
                <w:rtl w:val="true"/>
              </w:rPr>
              <w:t>:</w:t>
              <w:tab/>
            </w:r>
            <w:r>
              <w:rPr>
                <w:rStyle w:val="IndexLink"/>
              </w:rPr>
              <w:t>34</w:t>
            </w:r>
          </w:hyperlink>
        </w:p>
        <w:p>
          <w:pPr>
            <w:pStyle w:val="Contents3"/>
            <w:tabs>
              <w:tab w:val="clear" w:pos="8459"/>
              <w:tab w:val="right" w:pos="9026" w:leader="dot"/>
            </w:tabs>
            <w:rPr/>
          </w:pPr>
          <w:hyperlink w:anchor="__RefHeading___Toc3219523_2870459653">
            <w:r>
              <w:rPr>
                <w:webHidden/>
                <w:rStyle w:val="IndexLink"/>
                <w:rtl w:val="true"/>
              </w:rPr>
              <w:t>مورد دوّم</w:t>
            </w:r>
            <w:r>
              <w:rPr>
                <w:rStyle w:val="IndexLink"/>
                <w:rtl w:val="true"/>
              </w:rPr>
              <w:t xml:space="preserve">: </w:t>
            </w:r>
            <w:r>
              <w:rPr>
                <w:rStyle w:val="IndexLink"/>
                <w:rtl w:val="true"/>
              </w:rPr>
              <w:t>حدیث شفعه</w:t>
            </w:r>
            <w:r>
              <w:rPr>
                <w:rStyle w:val="IndexLink"/>
                <w:rtl w:val="true"/>
              </w:rPr>
              <w:tab/>
            </w:r>
            <w:r>
              <w:rPr>
                <w:rStyle w:val="IndexLink"/>
              </w:rPr>
              <w:t>36</w:t>
            </w:r>
          </w:hyperlink>
        </w:p>
        <w:p>
          <w:pPr>
            <w:pStyle w:val="Contents3"/>
            <w:tabs>
              <w:tab w:val="clear" w:pos="8459"/>
              <w:tab w:val="right" w:pos="9026" w:leader="dot"/>
            </w:tabs>
            <w:rPr/>
          </w:pPr>
          <w:hyperlink w:anchor="__RefHeading___Toc3219525_2870459653">
            <w:r>
              <w:rPr>
                <w:webHidden/>
                <w:rStyle w:val="IndexLink"/>
                <w:rtl w:val="true"/>
              </w:rPr>
              <w:t>مورد سوّم</w:t>
            </w:r>
            <w:r>
              <w:rPr>
                <w:rStyle w:val="IndexLink"/>
                <w:rtl w:val="true"/>
              </w:rPr>
              <w:t xml:space="preserve">: </w:t>
            </w:r>
            <w:r>
              <w:rPr>
                <w:rStyle w:val="IndexLink"/>
                <w:rtl w:val="true"/>
              </w:rPr>
              <w:t>حدیث مَنَعَ فَضْلَ الْمَاءِ</w:t>
            </w:r>
            <w:r>
              <w:rPr>
                <w:rStyle w:val="IndexLink"/>
                <w:rtl w:val="true"/>
              </w:rPr>
              <w:tab/>
            </w:r>
            <w:r>
              <w:rPr>
                <w:rStyle w:val="IndexLink"/>
              </w:rPr>
              <w:t>37</w:t>
            </w:r>
          </w:hyperlink>
        </w:p>
        <w:p>
          <w:pPr>
            <w:pStyle w:val="Contents3"/>
            <w:tabs>
              <w:tab w:val="clear" w:pos="8459"/>
              <w:tab w:val="right" w:pos="9026" w:leader="dot"/>
            </w:tabs>
            <w:rPr/>
          </w:pPr>
          <w:hyperlink w:anchor="__RefHeading___Toc3219527_2870459653">
            <w:r>
              <w:rPr>
                <w:webHidden/>
                <w:rStyle w:val="IndexLink"/>
                <w:rtl w:val="true"/>
              </w:rPr>
              <w:t>مورد چهارم</w:t>
            </w:r>
            <w:r>
              <w:rPr>
                <w:rStyle w:val="IndexLink"/>
                <w:rtl w:val="true"/>
              </w:rPr>
              <w:t xml:space="preserve">: </w:t>
            </w:r>
            <w:r>
              <w:rPr>
                <w:rStyle w:val="IndexLink"/>
                <w:rtl w:val="true"/>
              </w:rPr>
              <w:t>حديث هَدَمَ الْحَائِطِ</w:t>
            </w:r>
            <w:r>
              <w:rPr>
                <w:rStyle w:val="IndexLink"/>
                <w:rtl w:val="true"/>
              </w:rPr>
              <w:tab/>
            </w:r>
            <w:r>
              <w:rPr>
                <w:rStyle w:val="IndexLink"/>
              </w:rPr>
              <w:t>37</w:t>
            </w:r>
          </w:hyperlink>
        </w:p>
        <w:p>
          <w:pPr>
            <w:pStyle w:val="Contents4"/>
            <w:tabs>
              <w:tab w:val="clear" w:pos="8176"/>
              <w:tab w:val="right" w:pos="9026" w:leader="dot"/>
            </w:tabs>
            <w:rPr/>
          </w:pPr>
          <w:hyperlink w:anchor="__RefHeading___Toc3219529_2870459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219531_2870459653">
            <w:r>
              <w:rPr>
                <w:webHidden/>
                <w:rStyle w:val="IndexLink"/>
                <w:rtl w:val="true"/>
              </w:rPr>
              <w:t>شخصیت قاضی نعمان و كتاب دعائم الإسلام</w:t>
            </w:r>
            <w:r>
              <w:rPr>
                <w:rStyle w:val="IndexLink"/>
                <w:rtl w:val="true"/>
              </w:rPr>
              <w:tab/>
            </w:r>
            <w:r>
              <w:rPr>
                <w:rStyle w:val="IndexLink"/>
              </w:rPr>
              <w:t>38</w:t>
            </w:r>
          </w:hyperlink>
        </w:p>
        <w:p>
          <w:pPr>
            <w:pStyle w:val="Contents4"/>
            <w:tabs>
              <w:tab w:val="clear" w:pos="8176"/>
              <w:tab w:val="right" w:pos="9026" w:leader="dot"/>
            </w:tabs>
            <w:rPr/>
          </w:pPr>
          <w:hyperlink w:anchor="__RefHeading___Toc3219533_2870459653">
            <w:r>
              <w:rPr>
                <w:webHidden/>
                <w:rStyle w:val="IndexLink"/>
                <w:rtl w:val="true"/>
              </w:rPr>
              <w:t>معنای روایت</w:t>
            </w:r>
            <w:r>
              <w:rPr>
                <w:rStyle w:val="IndexLink"/>
                <w:rtl w:val="true"/>
              </w:rPr>
              <w:t>:</w:t>
              <w:tab/>
            </w:r>
            <w:r>
              <w:rPr>
                <w:rStyle w:val="IndexLink"/>
              </w:rPr>
              <w:t>38</w:t>
            </w:r>
          </w:hyperlink>
        </w:p>
        <w:p>
          <w:pPr>
            <w:pStyle w:val="Contents3"/>
            <w:tabs>
              <w:tab w:val="clear" w:pos="8459"/>
              <w:tab w:val="right" w:pos="9026" w:leader="dot"/>
            </w:tabs>
            <w:rPr/>
          </w:pPr>
          <w:hyperlink w:anchor="__RefHeading___Toc3219535_2870459653">
            <w:r>
              <w:rPr>
                <w:webHidden/>
                <w:rStyle w:val="IndexLink"/>
                <w:rtl w:val="true"/>
              </w:rPr>
              <w:t>مورد پنجم</w:t>
            </w:r>
            <w:r>
              <w:rPr>
                <w:rStyle w:val="IndexLink"/>
                <w:rtl w:val="true"/>
              </w:rPr>
              <w:t xml:space="preserve">: </w:t>
            </w:r>
            <w:r>
              <w:rPr>
                <w:rStyle w:val="IndexLink"/>
                <w:rtl w:val="true"/>
              </w:rPr>
              <w:t>حدیث قِسْمَةُ الْعَيْنِ الْمُشْتَرَكَةَ</w:t>
            </w:r>
            <w:r>
              <w:rPr>
                <w:rStyle w:val="IndexLink"/>
                <w:rtl w:val="true"/>
              </w:rPr>
              <w:tab/>
            </w:r>
            <w:r>
              <w:rPr>
                <w:rStyle w:val="IndexLink"/>
              </w:rPr>
              <w:t>39</w:t>
            </w:r>
          </w:hyperlink>
        </w:p>
        <w:p>
          <w:pPr>
            <w:pStyle w:val="Contents3"/>
            <w:tabs>
              <w:tab w:val="clear" w:pos="8459"/>
              <w:tab w:val="right" w:pos="9026" w:leader="dot"/>
            </w:tabs>
            <w:rPr/>
          </w:pPr>
          <w:hyperlink w:anchor="__RefHeading___Toc3219537_2870459653">
            <w:r>
              <w:rPr>
                <w:webHidden/>
                <w:rStyle w:val="IndexLink"/>
                <w:rtl w:val="true"/>
              </w:rPr>
              <w:t>مورد ششم</w:t>
            </w:r>
            <w:r>
              <w:rPr>
                <w:rStyle w:val="IndexLink"/>
                <w:rtl w:val="true"/>
              </w:rPr>
              <w:t xml:space="preserve">: </w:t>
            </w:r>
            <w:r>
              <w:rPr>
                <w:rStyle w:val="IndexLink"/>
                <w:rtl w:val="true"/>
              </w:rPr>
              <w:t>حديث عَذْقُ أَبِي لُبَابَةَ</w:t>
            </w:r>
            <w:r>
              <w:rPr>
                <w:rStyle w:val="IndexLink"/>
                <w:rtl w:val="true"/>
              </w:rPr>
              <w:tab/>
            </w:r>
            <w:r>
              <w:rPr>
                <w:rStyle w:val="IndexLink"/>
              </w:rPr>
              <w:t>39</w:t>
            </w:r>
          </w:hyperlink>
        </w:p>
        <w:p>
          <w:pPr>
            <w:pStyle w:val="Contents3"/>
            <w:tabs>
              <w:tab w:val="clear" w:pos="8459"/>
              <w:tab w:val="right" w:pos="9026" w:leader="dot"/>
            </w:tabs>
            <w:rPr/>
          </w:pPr>
          <w:hyperlink w:anchor="__RefHeading___Toc3219539_2870459653">
            <w:r>
              <w:rPr>
                <w:webHidden/>
                <w:rStyle w:val="IndexLink"/>
                <w:rtl w:val="true"/>
              </w:rPr>
              <w:t>مورد هفتم</w:t>
            </w:r>
            <w:r>
              <w:rPr>
                <w:rStyle w:val="IndexLink"/>
                <w:rtl w:val="true"/>
              </w:rPr>
              <w:t xml:space="preserve">: </w:t>
            </w:r>
            <w:r>
              <w:rPr>
                <w:rStyle w:val="IndexLink"/>
                <w:rtl w:val="true"/>
              </w:rPr>
              <w:t>حديث مَشَارِبِ النَّخْلِ</w:t>
            </w:r>
            <w:r>
              <w:rPr>
                <w:rStyle w:val="IndexLink"/>
                <w:rtl w:val="true"/>
              </w:rPr>
              <w:tab/>
            </w:r>
            <w:r>
              <w:rPr>
                <w:rStyle w:val="IndexLink"/>
              </w:rPr>
              <w:t>40</w:t>
            </w:r>
          </w:hyperlink>
        </w:p>
        <w:p>
          <w:pPr>
            <w:pStyle w:val="Contents3"/>
            <w:tabs>
              <w:tab w:val="clear" w:pos="8459"/>
              <w:tab w:val="right" w:pos="9026" w:leader="dot"/>
            </w:tabs>
            <w:rPr/>
          </w:pPr>
          <w:hyperlink w:anchor="__RefHeading___Toc3219541_2870459653">
            <w:r>
              <w:rPr>
                <w:webHidden/>
                <w:rStyle w:val="IndexLink"/>
                <w:rtl w:val="true"/>
              </w:rPr>
              <w:t>مورد هشتم</w:t>
            </w:r>
            <w:r>
              <w:rPr>
                <w:rStyle w:val="IndexLink"/>
                <w:rtl w:val="true"/>
              </w:rPr>
              <w:t xml:space="preserve">: </w:t>
            </w:r>
            <w:r>
              <w:rPr>
                <w:rStyle w:val="IndexLink"/>
                <w:rtl w:val="true"/>
              </w:rPr>
              <w:t>حدیث جَعَلَ اَلْخَشَبُهُ فِي حَائِطِ الْجَارِ</w:t>
            </w:r>
            <w:r>
              <w:rPr>
                <w:rStyle w:val="IndexLink"/>
                <w:rtl w:val="true"/>
              </w:rPr>
              <w:tab/>
            </w:r>
            <w:r>
              <w:rPr>
                <w:rStyle w:val="IndexLink"/>
              </w:rPr>
              <w:t>40</w:t>
            </w:r>
          </w:hyperlink>
        </w:p>
        <w:p>
          <w:pPr>
            <w:pStyle w:val="Contents2"/>
            <w:tabs>
              <w:tab w:val="clear" w:pos="8743"/>
              <w:tab w:val="right" w:pos="9026" w:leader="dot"/>
            </w:tabs>
            <w:rPr/>
          </w:pPr>
          <w:hyperlink w:anchor="__RefHeading___Toc3219543_2870459653">
            <w:r>
              <w:rPr>
                <w:webHidden/>
                <w:rStyle w:val="IndexLink"/>
                <w:rtl w:val="true"/>
              </w:rPr>
              <w:t>طائفه دوّم</w:t>
            </w:r>
            <w:r>
              <w:rPr>
                <w:rStyle w:val="IndexLink"/>
                <w:rtl w:val="true"/>
              </w:rPr>
              <w:t xml:space="preserve">: </w:t>
            </w:r>
            <w:r>
              <w:rPr>
                <w:rStyle w:val="IndexLink"/>
                <w:rtl w:val="true"/>
              </w:rPr>
              <w:t>روایاتی که فقط نص قاعده لاضرر را در بردارد</w:t>
            </w:r>
            <w:r>
              <w:rPr>
                <w:rStyle w:val="IndexLink"/>
                <w:rtl w:val="true"/>
              </w:rPr>
              <w:tab/>
            </w:r>
            <w:r>
              <w:rPr>
                <w:rStyle w:val="IndexLink"/>
              </w:rPr>
              <w:t>42</w:t>
            </w:r>
          </w:hyperlink>
        </w:p>
        <w:p>
          <w:pPr>
            <w:pStyle w:val="Contents3"/>
            <w:tabs>
              <w:tab w:val="clear" w:pos="8459"/>
              <w:tab w:val="right" w:pos="9026" w:leader="dot"/>
            </w:tabs>
            <w:rPr/>
          </w:pPr>
          <w:hyperlink w:anchor="__RefHeading___Toc3219545_2870459653">
            <w:r>
              <w:rPr>
                <w:webHidden/>
                <w:rStyle w:val="IndexLink"/>
                <w:rtl w:val="true"/>
              </w:rPr>
              <w:t>روايت اوّل</w:t>
            </w:r>
            <w:r>
              <w:rPr>
                <w:rStyle w:val="IndexLink"/>
                <w:rtl w:val="true"/>
              </w:rPr>
              <w:t>:</w:t>
              <w:tab/>
            </w:r>
            <w:r>
              <w:rPr>
                <w:rStyle w:val="IndexLink"/>
              </w:rPr>
              <w:t>42</w:t>
            </w:r>
          </w:hyperlink>
        </w:p>
        <w:p>
          <w:pPr>
            <w:pStyle w:val="Contents3"/>
            <w:tabs>
              <w:tab w:val="clear" w:pos="8459"/>
              <w:tab w:val="right" w:pos="9026" w:leader="dot"/>
            </w:tabs>
            <w:rPr/>
          </w:pPr>
          <w:hyperlink w:anchor="__RefHeading___Toc3219547_2870459653">
            <w:r>
              <w:rPr>
                <w:webHidden/>
                <w:rStyle w:val="IndexLink"/>
                <w:rtl w:val="true"/>
              </w:rPr>
              <w:t>روايت دوّم</w:t>
            </w:r>
            <w:r>
              <w:rPr>
                <w:rStyle w:val="IndexLink"/>
                <w:rtl w:val="true"/>
              </w:rPr>
              <w:t>:</w:t>
              <w:tab/>
            </w:r>
            <w:r>
              <w:rPr>
                <w:rStyle w:val="IndexLink"/>
              </w:rPr>
              <w:t>42</w:t>
            </w:r>
          </w:hyperlink>
        </w:p>
        <w:p>
          <w:pPr>
            <w:pStyle w:val="Contents3"/>
            <w:tabs>
              <w:tab w:val="clear" w:pos="8459"/>
              <w:tab w:val="right" w:pos="9026" w:leader="dot"/>
            </w:tabs>
            <w:rPr/>
          </w:pPr>
          <w:hyperlink w:anchor="__RefHeading___Toc3219549_2870459653">
            <w:r>
              <w:rPr>
                <w:webHidden/>
                <w:rStyle w:val="IndexLink"/>
                <w:rtl w:val="true"/>
              </w:rPr>
              <w:t>روایت سوّم</w:t>
            </w:r>
            <w:r>
              <w:rPr>
                <w:rStyle w:val="IndexLink"/>
                <w:rtl w:val="true"/>
              </w:rPr>
              <w:t>:</w:t>
              <w:tab/>
            </w:r>
            <w:r>
              <w:rPr>
                <w:rStyle w:val="IndexLink"/>
              </w:rPr>
              <w:t>42</w:t>
            </w:r>
          </w:hyperlink>
        </w:p>
        <w:p>
          <w:pPr>
            <w:pStyle w:val="Contents3"/>
            <w:tabs>
              <w:tab w:val="clear" w:pos="8459"/>
              <w:tab w:val="right" w:pos="9026" w:leader="dot"/>
            </w:tabs>
            <w:rPr/>
          </w:pPr>
          <w:hyperlink w:anchor="__RefHeading___Toc3219551_2870459653">
            <w:r>
              <w:rPr>
                <w:webHidden/>
                <w:rStyle w:val="IndexLink"/>
                <w:rtl w:val="true"/>
              </w:rPr>
              <w:t>روایت چهارم</w:t>
            </w:r>
            <w:r>
              <w:rPr>
                <w:rStyle w:val="IndexLink"/>
                <w:rtl w:val="true"/>
              </w:rPr>
              <w:t>:</w:t>
              <w:tab/>
            </w:r>
            <w:r>
              <w:rPr>
                <w:rStyle w:val="IndexLink"/>
              </w:rPr>
              <w:t>42</w:t>
            </w:r>
          </w:hyperlink>
        </w:p>
        <w:p>
          <w:pPr>
            <w:pStyle w:val="Contents3"/>
            <w:tabs>
              <w:tab w:val="clear" w:pos="8459"/>
              <w:tab w:val="right" w:pos="9026" w:leader="dot"/>
            </w:tabs>
            <w:rPr/>
          </w:pPr>
          <w:hyperlink w:anchor="__RefHeading___Toc3219553_2870459653">
            <w:r>
              <w:rPr>
                <w:webHidden/>
                <w:rStyle w:val="IndexLink"/>
                <w:rtl w:val="true"/>
              </w:rPr>
              <w:t>روایت پنجم</w:t>
            </w:r>
            <w:r>
              <w:rPr>
                <w:rStyle w:val="IndexLink"/>
                <w:rtl w:val="true"/>
              </w:rPr>
              <w:t>:</w:t>
              <w:tab/>
            </w:r>
            <w:r>
              <w:rPr>
                <w:rStyle w:val="IndexLink"/>
              </w:rPr>
              <w:t>42</w:t>
            </w:r>
          </w:hyperlink>
        </w:p>
        <w:p>
          <w:pPr>
            <w:pStyle w:val="Contents3"/>
            <w:tabs>
              <w:tab w:val="clear" w:pos="8459"/>
              <w:tab w:val="right" w:pos="9026" w:leader="dot"/>
            </w:tabs>
            <w:rPr/>
          </w:pPr>
          <w:hyperlink w:anchor="__RefHeading___Toc3219555_2870459653">
            <w:r>
              <w:rPr>
                <w:webHidden/>
                <w:rStyle w:val="IndexLink"/>
                <w:rtl w:val="true"/>
              </w:rPr>
              <w:t>روایت ششم</w:t>
            </w:r>
            <w:r>
              <w:rPr>
                <w:rStyle w:val="IndexLink"/>
                <w:rtl w:val="true"/>
              </w:rPr>
              <w:t>:</w:t>
              <w:tab/>
            </w:r>
            <w:r>
              <w:rPr>
                <w:rStyle w:val="IndexLink"/>
              </w:rPr>
              <w:t>42</w:t>
            </w:r>
          </w:hyperlink>
        </w:p>
        <w:p>
          <w:pPr>
            <w:pStyle w:val="Contents3"/>
            <w:tabs>
              <w:tab w:val="clear" w:pos="8459"/>
              <w:tab w:val="right" w:pos="9026" w:leader="dot"/>
            </w:tabs>
            <w:rPr/>
          </w:pPr>
          <w:hyperlink w:anchor="__RefHeading___Toc3219557_2870459653">
            <w:r>
              <w:rPr>
                <w:webHidden/>
                <w:rStyle w:val="IndexLink"/>
                <w:rtl w:val="true"/>
              </w:rPr>
              <w:t>روایت هفتم</w:t>
            </w:r>
            <w:r>
              <w:rPr>
                <w:rStyle w:val="IndexLink"/>
                <w:rtl w:val="true"/>
              </w:rPr>
              <w:t>:</w:t>
              <w:tab/>
            </w:r>
            <w:r>
              <w:rPr>
                <w:rStyle w:val="IndexLink"/>
              </w:rPr>
              <w:t>42</w:t>
            </w:r>
          </w:hyperlink>
        </w:p>
        <w:p>
          <w:pPr>
            <w:pStyle w:val="Contents3"/>
            <w:tabs>
              <w:tab w:val="clear" w:pos="8459"/>
              <w:tab w:val="right" w:pos="9026" w:leader="dot"/>
            </w:tabs>
            <w:rPr/>
          </w:pPr>
          <w:hyperlink w:anchor="__RefHeading___Toc3219559_2870459653">
            <w:r>
              <w:rPr>
                <w:webHidden/>
                <w:rStyle w:val="IndexLink"/>
                <w:rtl w:val="true"/>
              </w:rPr>
              <w:t>روایت هشتم</w:t>
            </w:r>
            <w:r>
              <w:rPr>
                <w:rStyle w:val="IndexLink"/>
                <w:rtl w:val="true"/>
              </w:rPr>
              <w:t>:</w:t>
              <w:tab/>
            </w:r>
            <w:r>
              <w:rPr>
                <w:rStyle w:val="IndexLink"/>
              </w:rPr>
              <w:t>43</w:t>
            </w:r>
          </w:hyperlink>
        </w:p>
        <w:p>
          <w:pPr>
            <w:pStyle w:val="Contents3"/>
            <w:tabs>
              <w:tab w:val="clear" w:pos="8459"/>
              <w:tab w:val="right" w:pos="9026" w:leader="dot"/>
            </w:tabs>
            <w:rPr/>
          </w:pPr>
          <w:hyperlink w:anchor="__RefHeading___Toc3219561_2870459653">
            <w:r>
              <w:rPr>
                <w:webHidden/>
                <w:rStyle w:val="IndexLink"/>
                <w:rtl w:val="true"/>
              </w:rPr>
              <w:t>روايت نهم</w:t>
            </w:r>
            <w:r>
              <w:rPr>
                <w:rStyle w:val="IndexLink"/>
                <w:rtl w:val="true"/>
              </w:rPr>
              <w:t>:</w:t>
              <w:tab/>
            </w:r>
            <w:r>
              <w:rPr>
                <w:rStyle w:val="IndexLink"/>
              </w:rPr>
              <w:t>43</w:t>
            </w:r>
          </w:hyperlink>
        </w:p>
        <w:p>
          <w:pPr>
            <w:pStyle w:val="Contents3"/>
            <w:tabs>
              <w:tab w:val="clear" w:pos="8459"/>
              <w:tab w:val="right" w:pos="9026" w:leader="dot"/>
            </w:tabs>
            <w:rPr/>
          </w:pPr>
          <w:hyperlink w:anchor="__RefHeading___Toc3219563_2870459653">
            <w:r>
              <w:rPr>
                <w:webHidden/>
                <w:rStyle w:val="IndexLink"/>
                <w:rtl w:val="true"/>
              </w:rPr>
              <w:t>روایت دهم</w:t>
            </w:r>
            <w:r>
              <w:rPr>
                <w:rStyle w:val="IndexLink"/>
                <w:rtl w:val="true"/>
              </w:rPr>
              <w:t>:</w:t>
              <w:tab/>
            </w:r>
            <w:r>
              <w:rPr>
                <w:rStyle w:val="IndexLink"/>
              </w:rPr>
              <w:t>43</w:t>
            </w:r>
          </w:hyperlink>
        </w:p>
        <w:p>
          <w:pPr>
            <w:pStyle w:val="Contents2"/>
            <w:tabs>
              <w:tab w:val="clear" w:pos="8743"/>
              <w:tab w:val="right" w:pos="9026" w:leader="dot"/>
            </w:tabs>
            <w:rPr/>
          </w:pPr>
          <w:hyperlink w:anchor="__RefHeading___Toc3219565_2870459653">
            <w:r>
              <w:rPr>
                <w:webHidden/>
                <w:rStyle w:val="IndexLink"/>
                <w:rtl w:val="true"/>
              </w:rPr>
              <w:t>طائفه سوّم</w:t>
            </w:r>
            <w:r>
              <w:rPr>
                <w:rStyle w:val="IndexLink"/>
                <w:rtl w:val="true"/>
              </w:rPr>
              <w:t xml:space="preserve">: </w:t>
            </w:r>
            <w:r>
              <w:rPr>
                <w:rStyle w:val="IndexLink"/>
                <w:rtl w:val="true"/>
              </w:rPr>
              <w:t>روایات تطبیقی</w:t>
            </w:r>
            <w:r>
              <w:rPr>
                <w:rStyle w:val="IndexLink"/>
                <w:rtl w:val="true"/>
              </w:rPr>
              <w:t xml:space="preserve">: </w:t>
            </w:r>
            <w:r>
              <w:rPr>
                <w:rStyle w:val="IndexLink"/>
                <w:rtl w:val="true"/>
              </w:rPr>
              <w:t>قاعده لاضرر</w:t>
            </w:r>
            <w:r>
              <w:rPr>
                <w:rStyle w:val="IndexLink"/>
                <w:rtl w:val="true"/>
              </w:rPr>
              <w:tab/>
            </w:r>
            <w:r>
              <w:rPr>
                <w:rStyle w:val="IndexLink"/>
              </w:rPr>
              <w:t>44</w:t>
            </w:r>
          </w:hyperlink>
        </w:p>
        <w:p>
          <w:pPr>
            <w:pStyle w:val="Contents3"/>
            <w:tabs>
              <w:tab w:val="clear" w:pos="8459"/>
              <w:tab w:val="right" w:pos="9026" w:leader="dot"/>
            </w:tabs>
            <w:rPr/>
          </w:pPr>
          <w:hyperlink w:anchor="__RefHeading___Toc3219567_2870459653">
            <w:r>
              <w:rPr>
                <w:webHidden/>
                <w:rStyle w:val="IndexLink"/>
                <w:rtl w:val="true"/>
              </w:rPr>
              <w:t>روایت اوّل</w:t>
            </w:r>
            <w:r>
              <w:rPr>
                <w:rStyle w:val="IndexLink"/>
                <w:rtl w:val="true"/>
              </w:rPr>
              <w:tab/>
            </w:r>
            <w:r>
              <w:rPr>
                <w:rStyle w:val="IndexLink"/>
              </w:rPr>
              <w:t>44</w:t>
            </w:r>
          </w:hyperlink>
        </w:p>
        <w:p>
          <w:pPr>
            <w:pStyle w:val="Contents3"/>
            <w:tabs>
              <w:tab w:val="clear" w:pos="8459"/>
              <w:tab w:val="right" w:pos="9026" w:leader="dot"/>
            </w:tabs>
            <w:rPr/>
          </w:pPr>
          <w:hyperlink w:anchor="__RefHeading___Toc3219569_2870459653">
            <w:r>
              <w:rPr>
                <w:webHidden/>
                <w:rStyle w:val="IndexLink"/>
                <w:rtl w:val="true"/>
              </w:rPr>
              <w:t>روایت دوّم</w:t>
            </w:r>
            <w:r>
              <w:rPr>
                <w:rStyle w:val="IndexLink"/>
                <w:rtl w:val="true"/>
              </w:rPr>
              <w:tab/>
            </w:r>
            <w:r>
              <w:rPr>
                <w:rStyle w:val="IndexLink"/>
              </w:rPr>
              <w:t>44</w:t>
            </w:r>
          </w:hyperlink>
        </w:p>
        <w:p>
          <w:pPr>
            <w:pStyle w:val="Contents3"/>
            <w:tabs>
              <w:tab w:val="clear" w:pos="8459"/>
              <w:tab w:val="right" w:pos="9026" w:leader="dot"/>
            </w:tabs>
            <w:rPr/>
          </w:pPr>
          <w:hyperlink w:anchor="__RefHeading___Toc3219571_2870459653">
            <w:r>
              <w:rPr>
                <w:webHidden/>
                <w:rStyle w:val="IndexLink"/>
                <w:rtl w:val="true"/>
              </w:rPr>
              <w:t>روایت سوّم</w:t>
            </w:r>
            <w:r>
              <w:rPr>
                <w:rStyle w:val="IndexLink"/>
                <w:rtl w:val="true"/>
              </w:rPr>
              <w:tab/>
            </w:r>
            <w:r>
              <w:rPr>
                <w:rStyle w:val="IndexLink"/>
              </w:rPr>
              <w:t>45</w:t>
            </w:r>
          </w:hyperlink>
        </w:p>
        <w:p>
          <w:pPr>
            <w:pStyle w:val="Contents3"/>
            <w:tabs>
              <w:tab w:val="clear" w:pos="8459"/>
              <w:tab w:val="right" w:pos="9026" w:leader="dot"/>
            </w:tabs>
            <w:rPr/>
          </w:pPr>
          <w:hyperlink w:anchor="__RefHeading___Toc3219573_2870459653">
            <w:r>
              <w:rPr>
                <w:webHidden/>
                <w:rStyle w:val="IndexLink"/>
                <w:rtl w:val="true"/>
              </w:rPr>
              <w:t>روایت چهارم</w:t>
            </w:r>
            <w:r>
              <w:rPr>
                <w:rStyle w:val="IndexLink"/>
                <w:rtl w:val="true"/>
              </w:rPr>
              <w:tab/>
            </w:r>
            <w:r>
              <w:rPr>
                <w:rStyle w:val="IndexLink"/>
              </w:rPr>
              <w:t>45</w:t>
            </w:r>
          </w:hyperlink>
        </w:p>
        <w:p>
          <w:pPr>
            <w:pStyle w:val="Contents3"/>
            <w:tabs>
              <w:tab w:val="clear" w:pos="8459"/>
              <w:tab w:val="right" w:pos="9026" w:leader="dot"/>
            </w:tabs>
            <w:rPr/>
          </w:pPr>
          <w:hyperlink w:anchor="__RefHeading___Toc3219575_2870459653">
            <w:r>
              <w:rPr>
                <w:webHidden/>
                <w:rStyle w:val="IndexLink"/>
                <w:rtl w:val="true"/>
              </w:rPr>
              <w:t>روایت پنجم</w:t>
            </w:r>
            <w:r>
              <w:rPr>
                <w:rStyle w:val="IndexLink"/>
                <w:rtl w:val="true"/>
              </w:rPr>
              <w:tab/>
            </w:r>
            <w:r>
              <w:rPr>
                <w:rStyle w:val="IndexLink"/>
              </w:rPr>
              <w:t>46</w:t>
            </w:r>
          </w:hyperlink>
        </w:p>
        <w:p>
          <w:pPr>
            <w:pStyle w:val="Contents3"/>
            <w:tabs>
              <w:tab w:val="clear" w:pos="8459"/>
              <w:tab w:val="right" w:pos="9026" w:leader="dot"/>
            </w:tabs>
            <w:rPr/>
          </w:pPr>
          <w:hyperlink w:anchor="__RefHeading___Toc3219577_2870459653">
            <w:r>
              <w:rPr>
                <w:webHidden/>
                <w:rStyle w:val="IndexLink"/>
                <w:rtl w:val="true"/>
              </w:rPr>
              <w:t>روایت ششم</w:t>
            </w:r>
            <w:r>
              <w:rPr>
                <w:rStyle w:val="IndexLink"/>
                <w:rtl w:val="true"/>
              </w:rPr>
              <w:tab/>
            </w:r>
            <w:r>
              <w:rPr>
                <w:rStyle w:val="IndexLink"/>
              </w:rPr>
              <w:t>46</w:t>
            </w:r>
          </w:hyperlink>
        </w:p>
        <w:p>
          <w:pPr>
            <w:pStyle w:val="Contents3"/>
            <w:tabs>
              <w:tab w:val="clear" w:pos="8459"/>
              <w:tab w:val="right" w:pos="9026" w:leader="dot"/>
            </w:tabs>
            <w:rPr/>
          </w:pPr>
          <w:hyperlink w:anchor="__RefHeading___Toc3219579_2870459653">
            <w:r>
              <w:rPr>
                <w:webHidden/>
                <w:rStyle w:val="IndexLink"/>
                <w:rtl w:val="true"/>
              </w:rPr>
              <w:t>روایت هفتم</w:t>
            </w:r>
            <w:r>
              <w:rPr>
                <w:rStyle w:val="IndexLink"/>
                <w:rtl w:val="true"/>
              </w:rPr>
              <w:tab/>
            </w:r>
            <w:r>
              <w:rPr>
                <w:rStyle w:val="IndexLink"/>
              </w:rPr>
              <w:t>47</w:t>
            </w:r>
          </w:hyperlink>
        </w:p>
        <w:p>
          <w:pPr>
            <w:pStyle w:val="Contents3"/>
            <w:tabs>
              <w:tab w:val="clear" w:pos="8459"/>
              <w:tab w:val="right" w:pos="9026" w:leader="dot"/>
            </w:tabs>
            <w:rPr/>
          </w:pPr>
          <w:hyperlink w:anchor="__RefHeading___Toc3219581_2870459653">
            <w:r>
              <w:rPr>
                <w:webHidden/>
                <w:rStyle w:val="IndexLink"/>
                <w:rtl w:val="true"/>
              </w:rPr>
              <w:t>روایت هشتم</w:t>
            </w:r>
            <w:r>
              <w:rPr>
                <w:rStyle w:val="IndexLink"/>
                <w:rtl w:val="true"/>
              </w:rPr>
              <w:tab/>
            </w:r>
            <w:r>
              <w:rPr>
                <w:rStyle w:val="IndexLink"/>
              </w:rPr>
              <w:t>47</w:t>
            </w:r>
          </w:hyperlink>
        </w:p>
        <w:p>
          <w:pPr>
            <w:pStyle w:val="Contents3"/>
            <w:tabs>
              <w:tab w:val="clear" w:pos="8459"/>
              <w:tab w:val="right" w:pos="9026" w:leader="dot"/>
            </w:tabs>
            <w:rPr/>
          </w:pPr>
          <w:hyperlink w:anchor="__RefHeading___Toc3219583_2870459653">
            <w:r>
              <w:rPr>
                <w:webHidden/>
                <w:rStyle w:val="IndexLink"/>
                <w:rtl w:val="true"/>
              </w:rPr>
              <w:t>روایت نهم</w:t>
            </w:r>
            <w:r>
              <w:rPr>
                <w:rStyle w:val="IndexLink"/>
                <w:rtl w:val="true"/>
              </w:rPr>
              <w:tab/>
            </w:r>
            <w:r>
              <w:rPr>
                <w:rStyle w:val="IndexLink"/>
              </w:rPr>
              <w:t>48</w:t>
            </w:r>
          </w:hyperlink>
        </w:p>
        <w:p>
          <w:pPr>
            <w:pStyle w:val="Contents3"/>
            <w:tabs>
              <w:tab w:val="clear" w:pos="8459"/>
              <w:tab w:val="right" w:pos="9026" w:leader="dot"/>
            </w:tabs>
            <w:rPr/>
          </w:pPr>
          <w:hyperlink w:anchor="__RefHeading___Toc3219585_2870459653">
            <w:r>
              <w:rPr>
                <w:webHidden/>
                <w:rStyle w:val="IndexLink"/>
                <w:rtl w:val="true"/>
              </w:rPr>
              <w:t>روایت دهم</w:t>
            </w:r>
            <w:r>
              <w:rPr>
                <w:rStyle w:val="IndexLink"/>
                <w:rtl w:val="true"/>
              </w:rPr>
              <w:tab/>
            </w:r>
            <w:r>
              <w:rPr>
                <w:rStyle w:val="IndexLink"/>
              </w:rPr>
              <w:t>49</w:t>
            </w:r>
          </w:hyperlink>
        </w:p>
        <w:p>
          <w:pPr>
            <w:pStyle w:val="Contents3"/>
            <w:tabs>
              <w:tab w:val="clear" w:pos="8459"/>
              <w:tab w:val="right" w:pos="9026" w:leader="dot"/>
            </w:tabs>
            <w:rPr/>
          </w:pPr>
          <w:hyperlink w:anchor="__RefHeading___Toc3219587_2870459653">
            <w:r>
              <w:rPr>
                <w:webHidden/>
                <w:rStyle w:val="IndexLink"/>
                <w:rtl w:val="true"/>
              </w:rPr>
              <w:t>روایت یازدهم</w:t>
            </w:r>
            <w:r>
              <w:rPr>
                <w:rStyle w:val="IndexLink"/>
                <w:rtl w:val="true"/>
              </w:rPr>
              <w:tab/>
            </w:r>
            <w:r>
              <w:rPr>
                <w:rStyle w:val="IndexLink"/>
              </w:rPr>
              <w:t>49</w:t>
            </w:r>
          </w:hyperlink>
        </w:p>
        <w:p>
          <w:pPr>
            <w:pStyle w:val="Contents3"/>
            <w:tabs>
              <w:tab w:val="clear" w:pos="8459"/>
              <w:tab w:val="right" w:pos="9026" w:leader="dot"/>
            </w:tabs>
            <w:rPr/>
          </w:pPr>
          <w:hyperlink w:anchor="__RefHeading___Toc3219589_2870459653">
            <w:r>
              <w:rPr>
                <w:webHidden/>
                <w:rStyle w:val="IndexLink"/>
                <w:rtl w:val="true"/>
              </w:rPr>
              <w:t>روایت دوازدهم</w:t>
            </w:r>
            <w:r>
              <w:rPr>
                <w:rStyle w:val="IndexLink"/>
                <w:rtl w:val="true"/>
              </w:rPr>
              <w:tab/>
            </w:r>
            <w:r>
              <w:rPr>
                <w:rStyle w:val="IndexLink"/>
              </w:rPr>
              <w:t>50</w:t>
            </w:r>
          </w:hyperlink>
        </w:p>
        <w:p>
          <w:pPr>
            <w:pStyle w:val="Contents3"/>
            <w:tabs>
              <w:tab w:val="clear" w:pos="8459"/>
              <w:tab w:val="right" w:pos="9026" w:leader="dot"/>
            </w:tabs>
            <w:rPr/>
          </w:pPr>
          <w:hyperlink w:anchor="__RefHeading___Toc3219591_2870459653">
            <w:r>
              <w:rPr>
                <w:webHidden/>
                <w:rStyle w:val="IndexLink"/>
                <w:rtl w:val="true"/>
              </w:rPr>
              <w:t>روایت سیزدهم</w:t>
            </w:r>
            <w:r>
              <w:rPr>
                <w:rStyle w:val="IndexLink"/>
                <w:rtl w:val="true"/>
              </w:rPr>
              <w:tab/>
            </w:r>
            <w:r>
              <w:rPr>
                <w:rStyle w:val="IndexLink"/>
              </w:rPr>
              <w:t>50</w:t>
            </w:r>
          </w:hyperlink>
        </w:p>
        <w:p>
          <w:pPr>
            <w:pStyle w:val="Contents3"/>
            <w:tabs>
              <w:tab w:val="clear" w:pos="8459"/>
              <w:tab w:val="right" w:pos="9026" w:leader="dot"/>
            </w:tabs>
            <w:rPr/>
          </w:pPr>
          <w:hyperlink w:anchor="__RefHeading___Toc3219593_2870459653">
            <w:r>
              <w:rPr>
                <w:webHidden/>
                <w:rStyle w:val="IndexLink"/>
                <w:rtl w:val="true"/>
              </w:rPr>
              <w:t>روایت چهاردهم</w:t>
            </w:r>
            <w:r>
              <w:rPr>
                <w:rStyle w:val="IndexLink"/>
                <w:rtl w:val="true"/>
              </w:rPr>
              <w:tab/>
            </w:r>
            <w:r>
              <w:rPr>
                <w:rStyle w:val="IndexLink"/>
              </w:rPr>
              <w:t>51</w:t>
            </w:r>
          </w:hyperlink>
        </w:p>
        <w:p>
          <w:pPr>
            <w:pStyle w:val="Contents3"/>
            <w:tabs>
              <w:tab w:val="clear" w:pos="8459"/>
              <w:tab w:val="right" w:pos="9026" w:leader="dot"/>
            </w:tabs>
            <w:rPr/>
          </w:pPr>
          <w:hyperlink w:anchor="__RefHeading___Toc3219595_2870459653">
            <w:r>
              <w:rPr>
                <w:webHidden/>
                <w:rStyle w:val="IndexLink"/>
                <w:rtl w:val="true"/>
              </w:rPr>
              <w:t>روایت پانزدهم</w:t>
            </w:r>
            <w:r>
              <w:rPr>
                <w:rStyle w:val="IndexLink"/>
                <w:rtl w:val="true"/>
              </w:rPr>
              <w:tab/>
            </w:r>
            <w:r>
              <w:rPr>
                <w:rStyle w:val="IndexLink"/>
              </w:rPr>
              <w:t>51</w:t>
            </w:r>
          </w:hyperlink>
        </w:p>
        <w:p>
          <w:pPr>
            <w:pStyle w:val="Contents3"/>
            <w:tabs>
              <w:tab w:val="clear" w:pos="8459"/>
              <w:tab w:val="right" w:pos="9026" w:leader="dot"/>
            </w:tabs>
            <w:rPr/>
          </w:pPr>
          <w:hyperlink w:anchor="__RefHeading___Toc3219597_2870459653">
            <w:r>
              <w:rPr>
                <w:webHidden/>
                <w:rStyle w:val="IndexLink"/>
                <w:rtl w:val="true"/>
              </w:rPr>
              <w:t>روایت شانزدهم</w:t>
            </w:r>
            <w:r>
              <w:rPr>
                <w:rStyle w:val="IndexLink"/>
                <w:rtl w:val="true"/>
              </w:rPr>
              <w:tab/>
            </w:r>
            <w:r>
              <w:rPr>
                <w:rStyle w:val="IndexLink"/>
              </w:rPr>
              <w:t>51</w:t>
            </w:r>
          </w:hyperlink>
        </w:p>
        <w:p>
          <w:pPr>
            <w:pStyle w:val="Contents3"/>
            <w:tabs>
              <w:tab w:val="clear" w:pos="8459"/>
              <w:tab w:val="right" w:pos="9026" w:leader="dot"/>
            </w:tabs>
            <w:rPr/>
          </w:pPr>
          <w:hyperlink w:anchor="__RefHeading___Toc3219599_2870459653">
            <w:r>
              <w:rPr>
                <w:webHidden/>
                <w:rStyle w:val="IndexLink"/>
                <w:rtl w:val="true"/>
              </w:rPr>
              <w:t>روایت هفدهم</w:t>
            </w:r>
            <w:r>
              <w:rPr>
                <w:rStyle w:val="IndexLink"/>
                <w:rtl w:val="true"/>
              </w:rPr>
              <w:tab/>
            </w:r>
            <w:r>
              <w:rPr>
                <w:rStyle w:val="IndexLink"/>
              </w:rPr>
              <w:t>52</w:t>
            </w:r>
          </w:hyperlink>
        </w:p>
        <w:p>
          <w:pPr>
            <w:pStyle w:val="Contents3"/>
            <w:tabs>
              <w:tab w:val="clear" w:pos="8459"/>
              <w:tab w:val="right" w:pos="9026" w:leader="dot"/>
            </w:tabs>
            <w:rPr/>
          </w:pPr>
          <w:hyperlink w:anchor="__RefHeading___Toc3219601_2870459653">
            <w:r>
              <w:rPr>
                <w:webHidden/>
                <w:rStyle w:val="IndexLink"/>
                <w:rtl w:val="true"/>
              </w:rPr>
              <w:t>روایت هجدهم</w:t>
            </w:r>
            <w:r>
              <w:rPr>
                <w:rStyle w:val="IndexLink"/>
                <w:rtl w:val="true"/>
              </w:rPr>
              <w:tab/>
            </w:r>
            <w:r>
              <w:rPr>
                <w:rStyle w:val="IndexLink"/>
              </w:rPr>
              <w:t>53</w:t>
            </w:r>
          </w:hyperlink>
        </w:p>
        <w:p>
          <w:pPr>
            <w:pStyle w:val="Contents3"/>
            <w:tabs>
              <w:tab w:val="clear" w:pos="8459"/>
              <w:tab w:val="right" w:pos="9026" w:leader="dot"/>
            </w:tabs>
            <w:rPr/>
          </w:pPr>
          <w:hyperlink w:anchor="__RefHeading___Toc3219603_2870459653">
            <w:r>
              <w:rPr>
                <w:webHidden/>
                <w:rStyle w:val="IndexLink"/>
                <w:rtl w:val="true"/>
              </w:rPr>
              <w:t>روایت نوزدهم</w:t>
            </w:r>
            <w:r>
              <w:rPr>
                <w:rStyle w:val="IndexLink"/>
                <w:rtl w:val="true"/>
              </w:rPr>
              <w:tab/>
            </w:r>
            <w:r>
              <w:rPr>
                <w:rStyle w:val="IndexLink"/>
              </w:rPr>
              <w:t>53</w:t>
            </w:r>
          </w:hyperlink>
        </w:p>
        <w:p>
          <w:pPr>
            <w:pStyle w:val="Contents3"/>
            <w:tabs>
              <w:tab w:val="clear" w:pos="8459"/>
              <w:tab w:val="right" w:pos="9026" w:leader="dot"/>
            </w:tabs>
            <w:rPr/>
          </w:pPr>
          <w:hyperlink w:anchor="__RefHeading___Toc3219605_2870459653">
            <w:r>
              <w:rPr>
                <w:webHidden/>
                <w:rStyle w:val="IndexLink"/>
                <w:rtl w:val="true"/>
              </w:rPr>
              <w:t>روایت بیستم</w:t>
            </w:r>
            <w:r>
              <w:rPr>
                <w:rStyle w:val="IndexLink"/>
                <w:rtl w:val="true"/>
              </w:rPr>
              <w:tab/>
            </w:r>
            <w:r>
              <w:rPr>
                <w:rStyle w:val="IndexLink"/>
              </w:rPr>
              <w:t>54</w:t>
            </w:r>
          </w:hyperlink>
        </w:p>
        <w:p>
          <w:pPr>
            <w:pStyle w:val="Contents3"/>
            <w:tabs>
              <w:tab w:val="clear" w:pos="8459"/>
              <w:tab w:val="right" w:pos="9026" w:leader="dot"/>
            </w:tabs>
            <w:rPr/>
          </w:pPr>
          <w:hyperlink w:anchor="__RefHeading___Toc3219607_2870459653">
            <w:r>
              <w:rPr>
                <w:webHidden/>
                <w:rStyle w:val="IndexLink"/>
                <w:rtl w:val="true"/>
              </w:rPr>
              <w:t>روایت بیست و یکم</w:t>
            </w:r>
            <w:r>
              <w:rPr>
                <w:rStyle w:val="IndexLink"/>
                <w:rtl w:val="true"/>
              </w:rPr>
              <w:tab/>
            </w:r>
            <w:r>
              <w:rPr>
                <w:rStyle w:val="IndexLink"/>
              </w:rPr>
              <w:t>54</w:t>
            </w:r>
          </w:hyperlink>
        </w:p>
        <w:p>
          <w:pPr>
            <w:pStyle w:val="Contents3"/>
            <w:tabs>
              <w:tab w:val="clear" w:pos="8459"/>
              <w:tab w:val="right" w:pos="9026" w:leader="dot"/>
            </w:tabs>
            <w:rPr/>
          </w:pPr>
          <w:hyperlink w:anchor="__RefHeading___Toc3219609_2870459653">
            <w:r>
              <w:rPr>
                <w:webHidden/>
                <w:rStyle w:val="IndexLink"/>
                <w:rtl w:val="true"/>
              </w:rPr>
              <w:t>روایت بیست و دوم</w:t>
            </w:r>
            <w:r>
              <w:rPr>
                <w:rStyle w:val="IndexLink"/>
                <w:rtl w:val="true"/>
              </w:rPr>
              <w:tab/>
            </w:r>
            <w:r>
              <w:rPr>
                <w:rStyle w:val="IndexLink"/>
              </w:rPr>
              <w:t>54</w:t>
            </w:r>
          </w:hyperlink>
        </w:p>
        <w:p>
          <w:pPr>
            <w:pStyle w:val="Contents3"/>
            <w:tabs>
              <w:tab w:val="clear" w:pos="8459"/>
              <w:tab w:val="right" w:pos="9026" w:leader="dot"/>
            </w:tabs>
            <w:rPr/>
          </w:pPr>
          <w:hyperlink w:anchor="__RefHeading___Toc3219611_2870459653">
            <w:r>
              <w:rPr>
                <w:webHidden/>
                <w:rStyle w:val="IndexLink"/>
                <w:rtl w:val="true"/>
              </w:rPr>
              <w:t>روایت بیست و سوم</w:t>
            </w:r>
            <w:r>
              <w:rPr>
                <w:rStyle w:val="IndexLink"/>
                <w:rtl w:val="true"/>
              </w:rPr>
              <w:tab/>
            </w:r>
            <w:r>
              <w:rPr>
                <w:rStyle w:val="IndexLink"/>
              </w:rPr>
              <w:t>56</w:t>
            </w:r>
          </w:hyperlink>
        </w:p>
        <w:p>
          <w:pPr>
            <w:pStyle w:val="Contents3"/>
            <w:tabs>
              <w:tab w:val="clear" w:pos="8459"/>
              <w:tab w:val="right" w:pos="9026" w:leader="dot"/>
            </w:tabs>
            <w:rPr/>
          </w:pPr>
          <w:hyperlink w:anchor="__RefHeading___Toc3219613_2870459653">
            <w:r>
              <w:rPr>
                <w:webHidden/>
                <w:rStyle w:val="IndexLink"/>
                <w:rtl w:val="true"/>
              </w:rPr>
              <w:t>روایت بیست و چهارم</w:t>
            </w:r>
            <w:r>
              <w:rPr>
                <w:rStyle w:val="IndexLink"/>
                <w:rtl w:val="true"/>
              </w:rPr>
              <w:tab/>
            </w:r>
            <w:r>
              <w:rPr>
                <w:rStyle w:val="IndexLink"/>
              </w:rPr>
              <w:t>56</w:t>
            </w:r>
          </w:hyperlink>
        </w:p>
        <w:p>
          <w:pPr>
            <w:pStyle w:val="Contents3"/>
            <w:tabs>
              <w:tab w:val="clear" w:pos="8459"/>
              <w:tab w:val="right" w:pos="9026" w:leader="dot"/>
            </w:tabs>
            <w:rPr/>
          </w:pPr>
          <w:hyperlink w:anchor="__RefHeading___Toc3219615_2870459653">
            <w:r>
              <w:rPr>
                <w:webHidden/>
                <w:rStyle w:val="IndexLink"/>
                <w:rtl w:val="true"/>
              </w:rPr>
              <w:t>روایت بیست و پنجم</w:t>
            </w:r>
            <w:r>
              <w:rPr>
                <w:rStyle w:val="IndexLink"/>
                <w:rtl w:val="true"/>
              </w:rPr>
              <w:tab/>
            </w:r>
            <w:r>
              <w:rPr>
                <w:rStyle w:val="IndexLink"/>
              </w:rPr>
              <w:t>56</w:t>
            </w:r>
          </w:hyperlink>
        </w:p>
        <w:p>
          <w:pPr>
            <w:pStyle w:val="Contents3"/>
            <w:tabs>
              <w:tab w:val="clear" w:pos="8459"/>
              <w:tab w:val="right" w:pos="9026" w:leader="dot"/>
            </w:tabs>
            <w:rPr/>
          </w:pPr>
          <w:hyperlink w:anchor="__RefHeading___Toc3219617_2870459653">
            <w:r>
              <w:rPr>
                <w:webHidden/>
                <w:rStyle w:val="IndexLink"/>
                <w:rtl w:val="true"/>
              </w:rPr>
              <w:t>روایت بیست و ششم</w:t>
            </w:r>
            <w:r>
              <w:rPr>
                <w:rStyle w:val="IndexLink"/>
                <w:rtl w:val="true"/>
              </w:rPr>
              <w:tab/>
            </w:r>
            <w:r>
              <w:rPr>
                <w:rStyle w:val="IndexLink"/>
              </w:rPr>
              <w:t>56</w:t>
            </w:r>
          </w:hyperlink>
        </w:p>
        <w:p>
          <w:pPr>
            <w:pStyle w:val="Contents3"/>
            <w:tabs>
              <w:tab w:val="clear" w:pos="8459"/>
              <w:tab w:val="right" w:pos="9026" w:leader="dot"/>
            </w:tabs>
            <w:rPr/>
          </w:pPr>
          <w:hyperlink w:anchor="__RefHeading___Toc3219619_2870459653">
            <w:r>
              <w:rPr>
                <w:webHidden/>
                <w:rStyle w:val="IndexLink"/>
                <w:rtl w:val="true"/>
              </w:rPr>
              <w:t>روایت بیست و هفتم</w:t>
            </w:r>
            <w:r>
              <w:rPr>
                <w:rStyle w:val="IndexLink"/>
                <w:rtl w:val="true"/>
              </w:rPr>
              <w:tab/>
            </w:r>
            <w:r>
              <w:rPr>
                <w:rStyle w:val="IndexLink"/>
              </w:rPr>
              <w:t>57</w:t>
            </w:r>
          </w:hyperlink>
        </w:p>
        <w:p>
          <w:pPr>
            <w:pStyle w:val="Contents2"/>
            <w:tabs>
              <w:tab w:val="clear" w:pos="8743"/>
              <w:tab w:val="right" w:pos="9026" w:leader="dot"/>
            </w:tabs>
            <w:rPr/>
          </w:pPr>
          <w:hyperlink w:anchor="__RefHeading___Toc3219621_2870459653">
            <w:r>
              <w:rPr>
                <w:webHidden/>
                <w:rStyle w:val="IndexLink"/>
                <w:rtl w:val="true"/>
              </w:rPr>
              <w:t>استدلال به روایات</w:t>
            </w:r>
            <w:r>
              <w:rPr>
                <w:rStyle w:val="IndexLink"/>
                <w:rtl w:val="true"/>
              </w:rPr>
              <w:tab/>
            </w:r>
            <w:r>
              <w:rPr>
                <w:rStyle w:val="IndexLink"/>
              </w:rPr>
              <w:t>57</w:t>
            </w:r>
          </w:hyperlink>
        </w:p>
        <w:p>
          <w:pPr>
            <w:pStyle w:val="Contents3"/>
            <w:tabs>
              <w:tab w:val="clear" w:pos="8459"/>
              <w:tab w:val="right" w:pos="9026" w:leader="dot"/>
            </w:tabs>
            <w:rPr/>
          </w:pPr>
          <w:hyperlink w:anchor="__RefHeading___Toc3219623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219625_2870459653">
            <w:r>
              <w:rPr>
                <w:webHidden/>
                <w:rStyle w:val="IndexLink"/>
                <w:rtl w:val="true"/>
              </w:rPr>
              <w:t>از نظر سند</w:t>
            </w:r>
            <w:r>
              <w:rPr>
                <w:rStyle w:val="IndexLink"/>
                <w:rtl w:val="true"/>
              </w:rPr>
              <w:tab/>
            </w:r>
            <w:r>
              <w:rPr>
                <w:rStyle w:val="IndexLink"/>
              </w:rPr>
              <w:t>57</w:t>
            </w:r>
          </w:hyperlink>
        </w:p>
        <w:p>
          <w:pPr>
            <w:pStyle w:val="Contents3"/>
            <w:tabs>
              <w:tab w:val="clear" w:pos="8459"/>
              <w:tab w:val="right" w:pos="9026" w:leader="dot"/>
            </w:tabs>
            <w:rPr/>
          </w:pPr>
          <w:hyperlink w:anchor="__RefHeading___Toc3219627_2870459653">
            <w:r>
              <w:rPr>
                <w:webHidden/>
                <w:rStyle w:val="IndexLink"/>
                <w:rtl w:val="true"/>
              </w:rPr>
              <w:t>از نظر متن</w:t>
            </w:r>
            <w:r>
              <w:rPr>
                <w:rStyle w:val="IndexLink"/>
                <w:rtl w:val="true"/>
              </w:rPr>
              <w:tab/>
            </w:r>
            <w:r>
              <w:rPr>
                <w:rStyle w:val="IndexLink"/>
              </w:rPr>
              <w:t>57</w:t>
            </w:r>
          </w:hyperlink>
        </w:p>
        <w:p>
          <w:pPr>
            <w:pStyle w:val="Contents4"/>
            <w:tabs>
              <w:tab w:val="clear" w:pos="8176"/>
              <w:tab w:val="right" w:pos="9026" w:leader="dot"/>
            </w:tabs>
            <w:rPr/>
          </w:pPr>
          <w:hyperlink w:anchor="__RefHeading___Toc3219629_2870459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219631_2870459653">
            <w:r>
              <w:rPr>
                <w:webHidden/>
                <w:rStyle w:val="IndexLink"/>
                <w:rtl w:val="true"/>
              </w:rPr>
              <w:t>بحث اول</w:t>
            </w:r>
            <w:r>
              <w:rPr>
                <w:rStyle w:val="IndexLink"/>
                <w:rtl w:val="true"/>
              </w:rPr>
              <w:t xml:space="preserve">: </w:t>
            </w:r>
            <w:r>
              <w:rPr>
                <w:rStyle w:val="IndexLink"/>
                <w:rtl w:val="true"/>
              </w:rPr>
              <w:t>قيد فِي الْإِسْلَامِ</w:t>
            </w:r>
            <w:r>
              <w:rPr>
                <w:rStyle w:val="IndexLink"/>
                <w:rtl w:val="true"/>
              </w:rPr>
              <w:tab/>
            </w:r>
            <w:r>
              <w:rPr>
                <w:rStyle w:val="IndexLink"/>
              </w:rPr>
              <w:t>58</w:t>
            </w:r>
          </w:hyperlink>
        </w:p>
        <w:p>
          <w:pPr>
            <w:pStyle w:val="Contents5"/>
            <w:tabs>
              <w:tab w:val="clear" w:pos="7892"/>
              <w:tab w:val="right" w:pos="9026" w:leader="dot"/>
            </w:tabs>
            <w:rPr/>
          </w:pPr>
          <w:hyperlink w:anchor="__RefHeading___Toc3219633_287045965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219635_2870459653">
            <w:r>
              <w:rPr>
                <w:webHidden/>
                <w:rStyle w:val="IndexLink"/>
                <w:rtl w:val="true"/>
              </w:rPr>
              <w:t>دوم</w:t>
            </w:r>
            <w:r>
              <w:rPr>
                <w:rStyle w:val="IndexLink"/>
                <w:rtl w:val="true"/>
              </w:rPr>
              <w:t xml:space="preserve">: </w:t>
            </w:r>
            <w:r>
              <w:rPr>
                <w:rStyle w:val="IndexLink"/>
                <w:rtl w:val="true"/>
              </w:rPr>
              <w:t>روایت صدوق در کتاب من لا يحضره الفقيه</w:t>
            </w:r>
            <w:r>
              <w:rPr>
                <w:rStyle w:val="IndexLink"/>
                <w:rtl w:val="true"/>
              </w:rPr>
              <w:t>:</w:t>
              <w:tab/>
            </w:r>
            <w:r>
              <w:rPr>
                <w:rStyle w:val="IndexLink"/>
              </w:rPr>
              <w:t>60</w:t>
            </w:r>
          </w:hyperlink>
        </w:p>
        <w:p>
          <w:pPr>
            <w:pStyle w:val="Contents5"/>
            <w:tabs>
              <w:tab w:val="clear" w:pos="7892"/>
              <w:tab w:val="right" w:pos="9026" w:leader="dot"/>
            </w:tabs>
            <w:rPr/>
          </w:pPr>
          <w:hyperlink w:anchor="__RefHeading___Toc3219637_2870459653">
            <w:r>
              <w:rPr>
                <w:webHidden/>
                <w:rStyle w:val="IndexLink"/>
                <w:rtl w:val="true"/>
              </w:rPr>
              <w:t xml:space="preserve">نظر ما در مورد قيد </w:t>
            </w:r>
            <w:r>
              <w:rPr>
                <w:rStyle w:val="IndexLink"/>
                <w:rtl w:val="true"/>
              </w:rPr>
              <w:t>«</w:t>
            </w:r>
            <w:r>
              <w:rPr>
                <w:rStyle w:val="IndexLink"/>
                <w:rtl w:val="true"/>
              </w:rPr>
              <w:t>فِي الْإِسْلَامِ</w:t>
            </w:r>
            <w:r>
              <w:rPr>
                <w:rStyle w:val="IndexLink"/>
                <w:rtl w:val="true"/>
              </w:rPr>
              <w:t xml:space="preserve">» </w:t>
            </w:r>
            <w:r>
              <w:rPr>
                <w:rStyle w:val="IndexLink"/>
                <w:rtl w:val="true"/>
              </w:rPr>
              <w:t>و دفع يک اتهام از شیخ صدوق رحمه اللّه علیه</w:t>
            </w:r>
            <w:r>
              <w:rPr>
                <w:rStyle w:val="IndexLink"/>
                <w:rtl w:val="true"/>
              </w:rPr>
              <w:tab/>
            </w:r>
            <w:r>
              <w:rPr>
                <w:rStyle w:val="IndexLink"/>
              </w:rPr>
              <w:t>61</w:t>
            </w:r>
          </w:hyperlink>
        </w:p>
        <w:p>
          <w:pPr>
            <w:pStyle w:val="Contents4"/>
            <w:tabs>
              <w:tab w:val="clear" w:pos="8176"/>
              <w:tab w:val="right" w:pos="9026" w:leader="dot"/>
            </w:tabs>
            <w:rPr/>
          </w:pPr>
          <w:hyperlink w:anchor="__RefHeading___Toc3219639_2870459653">
            <w:r>
              <w:rPr>
                <w:webHidden/>
                <w:rStyle w:val="IndexLink"/>
                <w:rtl w:val="true"/>
              </w:rPr>
              <w:t>بحث دوّم قيد عَلِيِّ مُؤْمِنُ</w:t>
            </w:r>
            <w:r>
              <w:rPr>
                <w:rStyle w:val="IndexLink"/>
                <w:rtl w:val="true"/>
              </w:rPr>
              <w:tab/>
            </w:r>
            <w:r>
              <w:rPr>
                <w:rStyle w:val="IndexLink"/>
              </w:rPr>
              <w:t>63</w:t>
            </w:r>
          </w:hyperlink>
        </w:p>
        <w:p>
          <w:pPr>
            <w:pStyle w:val="Contents4"/>
            <w:tabs>
              <w:tab w:val="clear" w:pos="8176"/>
              <w:tab w:val="right" w:pos="9026" w:leader="dot"/>
            </w:tabs>
            <w:rPr/>
          </w:pPr>
          <w:hyperlink w:anchor="__RefHeading___Toc3219641_2870459653">
            <w:r>
              <w:rPr>
                <w:webHidden/>
                <w:rStyle w:val="IndexLink"/>
                <w:rtl w:val="true"/>
              </w:rPr>
              <w:t>بحث سوّم</w:t>
            </w:r>
            <w:r>
              <w:rPr>
                <w:rStyle w:val="IndexLink"/>
                <w:rtl w:val="true"/>
              </w:rPr>
              <w:t xml:space="preserve">: </w:t>
            </w:r>
            <w:r>
              <w:rPr>
                <w:rStyle w:val="IndexLink"/>
                <w:rtl w:val="true"/>
              </w:rPr>
              <w:t>آیا لاضرر و لاضرار یک جملهٔ مستقل است؟</w:t>
            </w:r>
            <w:r>
              <w:rPr>
                <w:rStyle w:val="IndexLink"/>
                <w:rtl w:val="true"/>
              </w:rPr>
              <w:tab/>
            </w:r>
            <w:r>
              <w:rPr>
                <w:rStyle w:val="IndexLink"/>
              </w:rPr>
              <w:t>64</w:t>
            </w:r>
          </w:hyperlink>
        </w:p>
        <w:p>
          <w:pPr>
            <w:pStyle w:val="Contents5"/>
            <w:tabs>
              <w:tab w:val="clear" w:pos="7892"/>
              <w:tab w:val="right" w:pos="9026" w:leader="dot"/>
            </w:tabs>
            <w:rPr/>
          </w:pPr>
          <w:hyperlink w:anchor="__RefHeading___Toc3219643_287045965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3219645_2870459653">
            <w:r>
              <w:rPr>
                <w:webHidden/>
                <w:rStyle w:val="IndexLink"/>
                <w:rtl w:val="true"/>
              </w:rPr>
              <w:t>روایات عامه</w:t>
            </w:r>
            <w:r>
              <w:rPr>
                <w:rStyle w:val="IndexLink"/>
                <w:rtl w:val="true"/>
              </w:rPr>
              <w:tab/>
            </w:r>
            <w:r>
              <w:rPr>
                <w:rStyle w:val="IndexLink"/>
              </w:rPr>
              <w:t>64</w:t>
            </w:r>
          </w:hyperlink>
        </w:p>
        <w:p>
          <w:pPr>
            <w:pStyle w:val="Contents5"/>
            <w:tabs>
              <w:tab w:val="clear" w:pos="7892"/>
              <w:tab w:val="right" w:pos="9026" w:leader="dot"/>
            </w:tabs>
            <w:rPr/>
          </w:pPr>
          <w:hyperlink w:anchor="__RefHeading___Toc3219647_2870459653">
            <w:r>
              <w:rPr>
                <w:webHidden/>
                <w:rStyle w:val="IndexLink"/>
                <w:rtl w:val="true"/>
              </w:rPr>
              <w:t>روایات شیعه</w:t>
            </w:r>
            <w:r>
              <w:rPr>
                <w:rStyle w:val="IndexLink"/>
                <w:rtl w:val="true"/>
              </w:rPr>
              <w:tab/>
            </w:r>
            <w:r>
              <w:rPr>
                <w:rStyle w:val="IndexLink"/>
              </w:rPr>
              <w:t>65</w:t>
            </w:r>
          </w:hyperlink>
        </w:p>
        <w:p>
          <w:pPr>
            <w:pStyle w:val="Contents5"/>
            <w:tabs>
              <w:tab w:val="clear" w:pos="7892"/>
              <w:tab w:val="right" w:pos="9026" w:leader="dot"/>
            </w:tabs>
            <w:rPr/>
          </w:pPr>
          <w:hyperlink w:anchor="__RefHeading___Toc3219649_2870459653">
            <w:r>
              <w:rPr>
                <w:webHidden/>
                <w:rStyle w:val="IndexLink"/>
                <w:rtl w:val="true"/>
              </w:rPr>
              <w:t>نتیجه بررسی روایات</w:t>
            </w:r>
            <w:r>
              <w:rPr>
                <w:rStyle w:val="IndexLink"/>
                <w:rtl w:val="true"/>
              </w:rPr>
              <w:tab/>
            </w:r>
            <w:r>
              <w:rPr>
                <w:rStyle w:val="IndexLink"/>
              </w:rPr>
              <w:t>66</w:t>
            </w:r>
          </w:hyperlink>
        </w:p>
        <w:p>
          <w:pPr>
            <w:pStyle w:val="Contents4"/>
            <w:tabs>
              <w:tab w:val="clear" w:pos="8176"/>
              <w:tab w:val="right" w:pos="9026" w:leader="dot"/>
            </w:tabs>
            <w:rPr/>
          </w:pPr>
          <w:hyperlink w:anchor="__RefHeading___Toc3219651_2870459653">
            <w:r>
              <w:rPr>
                <w:webHidden/>
                <w:rStyle w:val="IndexLink"/>
                <w:rtl w:val="true"/>
              </w:rPr>
              <w:t>بحث چهارم</w:t>
            </w:r>
            <w:r>
              <w:rPr>
                <w:rStyle w:val="IndexLink"/>
                <w:rtl w:val="true"/>
              </w:rPr>
              <w:t xml:space="preserve">: </w:t>
            </w:r>
            <w:r>
              <w:rPr>
                <w:rStyle w:val="IndexLink"/>
                <w:rtl w:val="true"/>
              </w:rPr>
              <w:t>اشکال به دو روایت عقبة بن خالد</w:t>
            </w:r>
            <w:r>
              <w:rPr>
                <w:rStyle w:val="IndexLink"/>
                <w:rtl w:val="true"/>
              </w:rPr>
              <w:tab/>
            </w:r>
            <w:r>
              <w:rPr>
                <w:rStyle w:val="IndexLink"/>
              </w:rPr>
              <w:t>66</w:t>
            </w:r>
          </w:hyperlink>
        </w:p>
        <w:p>
          <w:pPr>
            <w:pStyle w:val="Contents5"/>
            <w:tabs>
              <w:tab w:val="clear" w:pos="7892"/>
              <w:tab w:val="right" w:pos="9026" w:leader="dot"/>
            </w:tabs>
            <w:rPr/>
          </w:pPr>
          <w:hyperlink w:anchor="__RefHeading___Toc3219653_2870459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219655_2870459653">
            <w:r>
              <w:rPr>
                <w:webHidden/>
                <w:rStyle w:val="IndexLink"/>
                <w:rtl w:val="true"/>
              </w:rPr>
              <w:t>روایت اوّل</w:t>
            </w:r>
            <w:r>
              <w:rPr>
                <w:rStyle w:val="IndexLink"/>
                <w:rtl w:val="true"/>
              </w:rPr>
              <w:t xml:space="preserve">: </w:t>
            </w:r>
            <w:r>
              <w:rPr>
                <w:rStyle w:val="IndexLink"/>
                <w:rtl w:val="true"/>
              </w:rPr>
              <w:t>از عقبة بن خالد</w:t>
            </w:r>
            <w:r>
              <w:rPr>
                <w:rStyle w:val="IndexLink"/>
                <w:rtl w:val="true"/>
              </w:rPr>
              <w:tab/>
            </w:r>
            <w:r>
              <w:rPr>
                <w:rStyle w:val="IndexLink"/>
              </w:rPr>
              <w:t>66</w:t>
            </w:r>
          </w:hyperlink>
        </w:p>
        <w:p>
          <w:pPr>
            <w:pStyle w:val="Contents5"/>
            <w:tabs>
              <w:tab w:val="clear" w:pos="7892"/>
              <w:tab w:val="right" w:pos="9026" w:leader="dot"/>
            </w:tabs>
            <w:rPr/>
          </w:pPr>
          <w:hyperlink w:anchor="__RefHeading___Toc3219657_2870459653">
            <w:r>
              <w:rPr>
                <w:webHidden/>
                <w:rStyle w:val="IndexLink"/>
                <w:rtl w:val="true"/>
              </w:rPr>
              <w:t>روایت دوّم از عقبة بن خالد</w:t>
            </w:r>
            <w:r>
              <w:rPr>
                <w:rStyle w:val="IndexLink"/>
                <w:rtl w:val="true"/>
              </w:rPr>
              <w:tab/>
            </w:r>
            <w:r>
              <w:rPr>
                <w:rStyle w:val="IndexLink"/>
              </w:rPr>
              <w:t>68</w:t>
            </w:r>
          </w:hyperlink>
        </w:p>
        <w:p>
          <w:pPr>
            <w:pStyle w:val="Contents5"/>
            <w:tabs>
              <w:tab w:val="clear" w:pos="7892"/>
              <w:tab w:val="right" w:pos="9026" w:leader="dot"/>
            </w:tabs>
            <w:rPr/>
          </w:pPr>
          <w:hyperlink w:anchor="__RefHeading___Toc3219659_2870459653">
            <w:r>
              <w:rPr>
                <w:webHidden/>
                <w:rStyle w:val="IndexLink"/>
                <w:rtl w:val="true"/>
              </w:rPr>
              <w:t>جواب اشکال اوّل</w:t>
            </w:r>
            <w:r>
              <w:rPr>
                <w:rStyle w:val="IndexLink"/>
                <w:rtl w:val="true"/>
              </w:rPr>
              <w:tab/>
            </w:r>
            <w:r>
              <w:rPr>
                <w:rStyle w:val="IndexLink"/>
              </w:rPr>
              <w:t>69</w:t>
            </w:r>
          </w:hyperlink>
        </w:p>
        <w:p>
          <w:pPr>
            <w:pStyle w:val="Contents5"/>
            <w:tabs>
              <w:tab w:val="clear" w:pos="7892"/>
              <w:tab w:val="right" w:pos="9026" w:leader="dot"/>
            </w:tabs>
            <w:rPr/>
          </w:pPr>
          <w:hyperlink w:anchor="__RefHeading___Toc3219661_2870459653">
            <w:r>
              <w:rPr>
                <w:webHidden/>
                <w:rStyle w:val="IndexLink"/>
                <w:rtl w:val="true"/>
              </w:rPr>
              <w:t>جواب اشکال دوّم</w:t>
            </w:r>
            <w:r>
              <w:rPr>
                <w:rStyle w:val="IndexLink"/>
                <w:rtl w:val="true"/>
              </w:rPr>
              <w:tab/>
            </w:r>
            <w:r>
              <w:rPr>
                <w:rStyle w:val="IndexLink"/>
              </w:rPr>
              <w:t>70</w:t>
            </w:r>
          </w:hyperlink>
        </w:p>
        <w:p>
          <w:pPr>
            <w:pStyle w:val="Contents5"/>
            <w:tabs>
              <w:tab w:val="clear" w:pos="7892"/>
              <w:tab w:val="right" w:pos="9026" w:leader="dot"/>
            </w:tabs>
            <w:rPr/>
          </w:pPr>
          <w:hyperlink w:anchor="__RefHeading___Toc3219663_2870459653">
            <w:r>
              <w:rPr>
                <w:webHidden/>
                <w:rStyle w:val="IndexLink"/>
                <w:rtl w:val="true"/>
              </w:rPr>
              <w:t>نقد دو نظریهٔ محقق نائینی رحمه اللّه علیه و آیة اللّه خوئی رحمه اللّه علیه</w:t>
            </w:r>
            <w:r>
              <w:rPr>
                <w:rStyle w:val="IndexLink"/>
                <w:rtl w:val="true"/>
              </w:rPr>
              <w:tab/>
            </w:r>
            <w:r>
              <w:rPr>
                <w:rStyle w:val="IndexLink"/>
              </w:rPr>
              <w:t>70</w:t>
            </w:r>
          </w:hyperlink>
        </w:p>
        <w:p>
          <w:pPr>
            <w:pStyle w:val="Contents5"/>
            <w:tabs>
              <w:tab w:val="clear" w:pos="7892"/>
              <w:tab w:val="right" w:pos="9026" w:leader="dot"/>
            </w:tabs>
            <w:rPr/>
          </w:pPr>
          <w:hyperlink w:anchor="__RefHeading___Toc3219665_2870459653">
            <w:r>
              <w:rPr>
                <w:webHidden/>
                <w:rStyle w:val="IndexLink"/>
                <w:rtl w:val="true"/>
              </w:rPr>
              <w:t>بررسی قول شيخ الشريعة</w:t>
            </w:r>
            <w:r>
              <w:rPr>
                <w:rStyle w:val="IndexLink"/>
                <w:rtl w:val="true"/>
              </w:rPr>
              <w:tab/>
            </w:r>
            <w:r>
              <w:rPr>
                <w:rStyle w:val="IndexLink"/>
              </w:rPr>
              <w:t>73</w:t>
            </w:r>
          </w:hyperlink>
        </w:p>
        <w:p>
          <w:pPr>
            <w:pStyle w:val="Contents5"/>
            <w:tabs>
              <w:tab w:val="clear" w:pos="7892"/>
              <w:tab w:val="right" w:pos="9026" w:leader="dot"/>
            </w:tabs>
            <w:rPr/>
          </w:pPr>
          <w:hyperlink w:anchor="__RefHeading___Toc3219667_2870459653">
            <w:r>
              <w:rPr>
                <w:webHidden/>
                <w:rStyle w:val="IndexLink"/>
                <w:rtl w:val="true"/>
              </w:rPr>
              <w:t>بررسی کتاب مسند احمد بن حنبل</w:t>
            </w:r>
            <w:r>
              <w:rPr>
                <w:rStyle w:val="IndexLink"/>
                <w:rtl w:val="true"/>
              </w:rPr>
              <w:tab/>
            </w:r>
            <w:r>
              <w:rPr>
                <w:rStyle w:val="IndexLink"/>
              </w:rPr>
              <w:t>74</w:t>
            </w:r>
          </w:hyperlink>
        </w:p>
        <w:p>
          <w:pPr>
            <w:pStyle w:val="Contents5"/>
            <w:tabs>
              <w:tab w:val="clear" w:pos="7892"/>
              <w:tab w:val="right" w:pos="9026" w:leader="dot"/>
            </w:tabs>
            <w:rPr/>
          </w:pPr>
          <w:hyperlink w:anchor="__RefHeading___Toc3219669_2870459653">
            <w:r>
              <w:rPr>
                <w:webHidden/>
                <w:rStyle w:val="IndexLink"/>
                <w:rtl w:val="true"/>
              </w:rPr>
              <w:t>اشکالاتی دیگر بر جناب شيخ الشريعة رحمه اللّه علیه</w:t>
            </w:r>
            <w:r>
              <w:rPr>
                <w:rStyle w:val="IndexLink"/>
                <w:rtl w:val="true"/>
              </w:rPr>
              <w:tab/>
            </w:r>
            <w:r>
              <w:rPr>
                <w:rStyle w:val="IndexLink"/>
              </w:rPr>
              <w:t>75</w:t>
            </w:r>
          </w:hyperlink>
        </w:p>
        <w:p>
          <w:pPr>
            <w:pStyle w:val="Contents2"/>
            <w:tabs>
              <w:tab w:val="clear" w:pos="8743"/>
              <w:tab w:val="right" w:pos="9026" w:leader="dot"/>
            </w:tabs>
            <w:rPr/>
          </w:pPr>
          <w:hyperlink w:anchor="__RefHeading___Toc3219671_2870459653">
            <w:r>
              <w:rPr>
                <w:webHidden/>
                <w:rStyle w:val="IndexLink"/>
                <w:rtl w:val="true"/>
              </w:rPr>
              <w:t>مفردات قاعده لاضرر</w:t>
            </w:r>
            <w:r>
              <w:rPr>
                <w:rStyle w:val="IndexLink"/>
                <w:rtl w:val="true"/>
              </w:rPr>
              <w:tab/>
            </w:r>
            <w:r>
              <w:rPr>
                <w:rStyle w:val="IndexLink"/>
              </w:rPr>
              <w:t>78</w:t>
            </w:r>
          </w:hyperlink>
        </w:p>
        <w:p>
          <w:pPr>
            <w:pStyle w:val="Contents3"/>
            <w:tabs>
              <w:tab w:val="clear" w:pos="8459"/>
              <w:tab w:val="right" w:pos="9026" w:leader="dot"/>
            </w:tabs>
            <w:rPr/>
          </w:pPr>
          <w:hyperlink w:anchor="__RefHeading___Toc3219673_2870459653">
            <w:r>
              <w:rPr>
                <w:webHidden/>
                <w:rStyle w:val="IndexLink"/>
              </w:rPr>
              <w:t>1</w:t>
            </w:r>
            <w:r>
              <w:rPr>
                <w:rStyle w:val="IndexLink"/>
                <w:rtl w:val="true"/>
              </w:rPr>
              <w:t>-</w:t>
            </w:r>
            <w:r>
              <w:rPr>
                <w:rStyle w:val="IndexLink"/>
                <w:rtl w:val="true"/>
              </w:rPr>
              <w:t>لا</w:t>
            </w:r>
            <w:r>
              <w:rPr>
                <w:rStyle w:val="IndexLink"/>
                <w:rtl w:val="true"/>
              </w:rPr>
              <w:tab/>
            </w:r>
            <w:r>
              <w:rPr>
                <w:rStyle w:val="IndexLink"/>
              </w:rPr>
              <w:t>78</w:t>
            </w:r>
          </w:hyperlink>
        </w:p>
        <w:p>
          <w:pPr>
            <w:pStyle w:val="Contents3"/>
            <w:tabs>
              <w:tab w:val="clear" w:pos="8459"/>
              <w:tab w:val="right" w:pos="9026" w:leader="dot"/>
            </w:tabs>
            <w:rPr/>
          </w:pPr>
          <w:hyperlink w:anchor="__RefHeading___Toc3219675_2870459653">
            <w:r>
              <w:rPr>
                <w:webHidden/>
                <w:rStyle w:val="IndexLink"/>
              </w:rPr>
              <w:t>2</w:t>
            </w:r>
            <w:r>
              <w:rPr>
                <w:rStyle w:val="IndexLink"/>
                <w:rtl w:val="true"/>
              </w:rPr>
              <w:t>-</w:t>
            </w:r>
            <w:r>
              <w:rPr>
                <w:rStyle w:val="IndexLink"/>
                <w:rtl w:val="true"/>
              </w:rPr>
              <w:t>ضرر</w:t>
            </w:r>
            <w:r>
              <w:rPr>
                <w:rStyle w:val="IndexLink"/>
                <w:rtl w:val="true"/>
              </w:rPr>
              <w:tab/>
            </w:r>
            <w:r>
              <w:rPr>
                <w:rStyle w:val="IndexLink"/>
              </w:rPr>
              <w:t>78</w:t>
            </w:r>
          </w:hyperlink>
        </w:p>
        <w:p>
          <w:pPr>
            <w:pStyle w:val="Contents4"/>
            <w:tabs>
              <w:tab w:val="clear" w:pos="8176"/>
              <w:tab w:val="right" w:pos="9026" w:leader="dot"/>
            </w:tabs>
            <w:rPr/>
          </w:pPr>
          <w:hyperlink w:anchor="__RefHeading___Toc3219677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219679_2870459653">
            <w:r>
              <w:rPr>
                <w:webHidden/>
                <w:rStyle w:val="IndexLink"/>
                <w:rtl w:val="true"/>
              </w:rPr>
              <w:t xml:space="preserve">نظر بزرگان در مورد کلمهٔ </w:t>
            </w:r>
            <w:r>
              <w:rPr>
                <w:rStyle w:val="IndexLink"/>
                <w:rtl w:val="true"/>
              </w:rPr>
              <w:t>«</w:t>
            </w:r>
            <w:r>
              <w:rPr>
                <w:rStyle w:val="IndexLink"/>
                <w:rtl w:val="true"/>
              </w:rPr>
              <w:t>ضرر</w:t>
            </w:r>
            <w:r>
              <w:rPr>
                <w:rStyle w:val="IndexLink"/>
                <w:rtl w:val="true"/>
              </w:rPr>
              <w:t>»</w:t>
              <w:tab/>
            </w:r>
            <w:r>
              <w:rPr>
                <w:rStyle w:val="IndexLink"/>
              </w:rPr>
              <w:t>79</w:t>
            </w:r>
          </w:hyperlink>
        </w:p>
        <w:p>
          <w:pPr>
            <w:pStyle w:val="Contents4"/>
            <w:tabs>
              <w:tab w:val="clear" w:pos="8176"/>
              <w:tab w:val="right" w:pos="9026" w:leader="dot"/>
            </w:tabs>
            <w:rPr/>
          </w:pPr>
          <w:hyperlink w:anchor="__RefHeading___Toc3219681_2870459653">
            <w:r>
              <w:rPr>
                <w:webHidden/>
                <w:rStyle w:val="IndexLink"/>
                <w:rtl w:val="true"/>
              </w:rPr>
              <w:t>سؤال آیا به عدم النفع ضرر گفته می شود یا خیر؟</w:t>
            </w:r>
            <w:r>
              <w:rPr>
                <w:rStyle w:val="IndexLink"/>
                <w:rtl w:val="true"/>
              </w:rPr>
              <w:tab/>
            </w:r>
            <w:r>
              <w:rPr>
                <w:rStyle w:val="IndexLink"/>
              </w:rPr>
              <w:t>80</w:t>
            </w:r>
          </w:hyperlink>
        </w:p>
        <w:p>
          <w:pPr>
            <w:pStyle w:val="Contents4"/>
            <w:tabs>
              <w:tab w:val="clear" w:pos="8176"/>
              <w:tab w:val="right" w:pos="9026" w:leader="dot"/>
            </w:tabs>
            <w:rPr/>
          </w:pPr>
          <w:hyperlink w:anchor="__RefHeading___Toc3219683_2870459653">
            <w:r>
              <w:rPr>
                <w:webHidden/>
                <w:rStyle w:val="IndexLink"/>
                <w:rtl w:val="true"/>
              </w:rPr>
              <w:t>آیا ضرر در عِرض هم ثابت است؟</w:t>
            </w:r>
            <w:r>
              <w:rPr>
                <w:rStyle w:val="IndexLink"/>
                <w:rtl w:val="true"/>
              </w:rPr>
              <w:tab/>
            </w:r>
            <w:r>
              <w:rPr>
                <w:rStyle w:val="IndexLink"/>
              </w:rPr>
              <w:t>80</w:t>
            </w:r>
          </w:hyperlink>
        </w:p>
        <w:p>
          <w:pPr>
            <w:pStyle w:val="Contents3"/>
            <w:tabs>
              <w:tab w:val="clear" w:pos="8459"/>
              <w:tab w:val="right" w:pos="9026" w:leader="dot"/>
            </w:tabs>
            <w:rPr/>
          </w:pPr>
          <w:hyperlink w:anchor="__RefHeading___Toc3219685_2870459653">
            <w:r>
              <w:rPr>
                <w:webHidden/>
                <w:rStyle w:val="IndexLink"/>
              </w:rPr>
              <w:t>3</w:t>
            </w:r>
            <w:r>
              <w:rPr>
                <w:rStyle w:val="IndexLink"/>
                <w:rtl w:val="true"/>
              </w:rPr>
              <w:t>-</w:t>
            </w:r>
            <w:r>
              <w:rPr>
                <w:rStyle w:val="IndexLink"/>
                <w:rtl w:val="true"/>
              </w:rPr>
              <w:t>ضرار</w:t>
            </w:r>
            <w:r>
              <w:rPr>
                <w:rStyle w:val="IndexLink"/>
                <w:rtl w:val="true"/>
              </w:rPr>
              <w:tab/>
            </w:r>
            <w:r>
              <w:rPr>
                <w:rStyle w:val="IndexLink"/>
              </w:rPr>
              <w:t>82</w:t>
            </w:r>
          </w:hyperlink>
        </w:p>
        <w:p>
          <w:pPr>
            <w:pStyle w:val="Contents4"/>
            <w:tabs>
              <w:tab w:val="clear" w:pos="8176"/>
              <w:tab w:val="right" w:pos="9026" w:leader="dot"/>
            </w:tabs>
            <w:rPr/>
          </w:pPr>
          <w:hyperlink w:anchor="__RefHeading___Toc3219687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219689_2870459653">
            <w:r>
              <w:rPr>
                <w:webHidden/>
                <w:rStyle w:val="IndexLink"/>
                <w:rtl w:val="true"/>
              </w:rPr>
              <w:t>هیئت ضرار</w:t>
            </w:r>
            <w:r>
              <w:rPr>
                <w:rStyle w:val="IndexLink"/>
                <w:rtl w:val="true"/>
              </w:rPr>
              <w:tab/>
            </w:r>
            <w:r>
              <w:rPr>
                <w:rStyle w:val="IndexLink"/>
              </w:rPr>
              <w:t>82</w:t>
            </w:r>
          </w:hyperlink>
        </w:p>
        <w:p>
          <w:pPr>
            <w:pStyle w:val="Contents4"/>
            <w:tabs>
              <w:tab w:val="clear" w:pos="8176"/>
              <w:tab w:val="right" w:pos="9026" w:leader="dot"/>
            </w:tabs>
            <w:rPr/>
          </w:pPr>
          <w:hyperlink w:anchor="__RefHeading___Toc3219691_2870459653">
            <w:r>
              <w:rPr>
                <w:webHidden/>
                <w:rStyle w:val="IndexLink"/>
                <w:rtl w:val="true"/>
              </w:rPr>
              <w:t>معنای ضرار</w:t>
            </w:r>
            <w:r>
              <w:rPr>
                <w:rStyle w:val="IndexLink"/>
                <w:rtl w:val="true"/>
              </w:rPr>
              <w:tab/>
            </w:r>
            <w:r>
              <w:rPr>
                <w:rStyle w:val="IndexLink"/>
              </w:rPr>
              <w:t>82</w:t>
            </w:r>
          </w:hyperlink>
        </w:p>
        <w:p>
          <w:pPr>
            <w:pStyle w:val="Contents2"/>
            <w:tabs>
              <w:tab w:val="clear" w:pos="8743"/>
              <w:tab w:val="right" w:pos="9026" w:leader="dot"/>
            </w:tabs>
            <w:rPr/>
          </w:pPr>
          <w:hyperlink w:anchor="__RefHeading___Toc3219693_2870459653">
            <w:r>
              <w:rPr>
                <w:webHidden/>
                <w:rStyle w:val="IndexLink"/>
                <w:rtl w:val="true"/>
              </w:rPr>
              <w:t>مفاد هیئت ترکیبیه لاضرر ولاضرار</w:t>
            </w:r>
            <w:r>
              <w:rPr>
                <w:rStyle w:val="IndexLink"/>
                <w:rtl w:val="true"/>
              </w:rPr>
              <w:tab/>
            </w:r>
            <w:r>
              <w:rPr>
                <w:rStyle w:val="IndexLink"/>
              </w:rPr>
              <w:t>82</w:t>
            </w:r>
          </w:hyperlink>
        </w:p>
        <w:p>
          <w:pPr>
            <w:pStyle w:val="Contents3"/>
            <w:tabs>
              <w:tab w:val="clear" w:pos="8459"/>
              <w:tab w:val="right" w:pos="9026" w:leader="dot"/>
            </w:tabs>
            <w:rPr/>
          </w:pPr>
          <w:hyperlink w:anchor="__RefHeading___Toc3219695_2870459653">
            <w:r>
              <w:rPr>
                <w:webHidden/>
                <w:rStyle w:val="IndexLink"/>
                <w:rtl w:val="true"/>
              </w:rPr>
              <w:t>وجه اوّل</w:t>
            </w:r>
            <w:r>
              <w:rPr>
                <w:rStyle w:val="IndexLink"/>
                <w:rtl w:val="true"/>
              </w:rPr>
              <w:t xml:space="preserve">: </w:t>
            </w:r>
            <w:r>
              <w:rPr>
                <w:rStyle w:val="IndexLink"/>
                <w:rtl w:val="true"/>
              </w:rPr>
              <w:t>معنای مفاعله و بین اثنینی</w:t>
            </w:r>
            <w:r>
              <w:rPr>
                <w:rStyle w:val="IndexLink"/>
                <w:rtl w:val="true"/>
              </w:rPr>
              <w:tab/>
            </w:r>
            <w:r>
              <w:rPr>
                <w:rStyle w:val="IndexLink"/>
              </w:rPr>
              <w:t>82</w:t>
            </w:r>
          </w:hyperlink>
        </w:p>
        <w:p>
          <w:pPr>
            <w:pStyle w:val="Contents3"/>
            <w:tabs>
              <w:tab w:val="clear" w:pos="8459"/>
              <w:tab w:val="right" w:pos="9026" w:leader="dot"/>
            </w:tabs>
            <w:rPr/>
          </w:pPr>
          <w:hyperlink w:anchor="__RefHeading___Toc3219697_2870459653">
            <w:r>
              <w:rPr>
                <w:webHidden/>
                <w:rStyle w:val="IndexLink"/>
                <w:rtl w:val="true"/>
              </w:rPr>
              <w:t xml:space="preserve">وجه دوّم </w:t>
            </w:r>
            <w:r>
              <w:rPr>
                <w:rStyle w:val="IndexLink"/>
                <w:rtl w:val="true"/>
              </w:rPr>
              <w:t xml:space="preserve">: </w:t>
            </w:r>
            <w:r>
              <w:rPr>
                <w:rStyle w:val="IndexLink"/>
                <w:rtl w:val="true"/>
              </w:rPr>
              <w:t>حرمت ضرر و ضرار به نهی مولوی</w:t>
            </w:r>
            <w:r>
              <w:rPr>
                <w:rStyle w:val="IndexLink"/>
                <w:rtl w:val="true"/>
              </w:rPr>
              <w:tab/>
            </w:r>
            <w:r>
              <w:rPr>
                <w:rStyle w:val="IndexLink"/>
              </w:rPr>
              <w:t>83</w:t>
            </w:r>
          </w:hyperlink>
        </w:p>
        <w:p>
          <w:pPr>
            <w:pStyle w:val="Contents3"/>
            <w:tabs>
              <w:tab w:val="clear" w:pos="8459"/>
              <w:tab w:val="right" w:pos="9026" w:leader="dot"/>
            </w:tabs>
            <w:rPr/>
          </w:pPr>
          <w:hyperlink w:anchor="__RefHeading___Toc3219699_2870459653">
            <w:r>
              <w:rPr>
                <w:webHidden/>
                <w:rStyle w:val="IndexLink"/>
                <w:rtl w:val="true"/>
              </w:rPr>
              <w:t>وجه سوّم</w:t>
            </w:r>
            <w:r>
              <w:rPr>
                <w:rStyle w:val="IndexLink"/>
                <w:rtl w:val="true"/>
              </w:rPr>
              <w:t xml:space="preserve">: </w:t>
            </w:r>
            <w:r>
              <w:rPr>
                <w:rStyle w:val="IndexLink"/>
                <w:rtl w:val="true"/>
              </w:rPr>
              <w:t>ضرار به معنای جزای به ضرر</w:t>
            </w:r>
            <w:r>
              <w:rPr>
                <w:rStyle w:val="IndexLink"/>
                <w:rtl w:val="true"/>
              </w:rPr>
              <w:tab/>
            </w:r>
            <w:r>
              <w:rPr>
                <w:rStyle w:val="IndexLink"/>
              </w:rPr>
              <w:t>83</w:t>
            </w:r>
          </w:hyperlink>
        </w:p>
        <w:p>
          <w:pPr>
            <w:pStyle w:val="Contents3"/>
            <w:tabs>
              <w:tab w:val="clear" w:pos="8459"/>
              <w:tab w:val="right" w:pos="9026" w:leader="dot"/>
            </w:tabs>
            <w:rPr/>
          </w:pPr>
          <w:hyperlink w:anchor="__RefHeading___Toc3219701_2870459653">
            <w:r>
              <w:rPr>
                <w:webHidden/>
                <w:rStyle w:val="IndexLink"/>
                <w:rtl w:val="true"/>
              </w:rPr>
              <w:t>وجه چهارم</w:t>
            </w:r>
            <w:r>
              <w:rPr>
                <w:rStyle w:val="IndexLink"/>
                <w:rtl w:val="true"/>
              </w:rPr>
              <w:t xml:space="preserve">: </w:t>
            </w:r>
            <w:r>
              <w:rPr>
                <w:rStyle w:val="IndexLink"/>
                <w:rtl w:val="true"/>
              </w:rPr>
              <w:t>سعی برای فعل ضرر</w:t>
            </w:r>
            <w:r>
              <w:rPr>
                <w:rStyle w:val="IndexLink"/>
                <w:rtl w:val="true"/>
              </w:rPr>
              <w:tab/>
            </w:r>
            <w:r>
              <w:rPr>
                <w:rStyle w:val="IndexLink"/>
              </w:rPr>
              <w:t>83</w:t>
            </w:r>
          </w:hyperlink>
        </w:p>
        <w:p>
          <w:pPr>
            <w:pStyle w:val="Contents3"/>
            <w:tabs>
              <w:tab w:val="clear" w:pos="8459"/>
              <w:tab w:val="right" w:pos="9026" w:leader="dot"/>
            </w:tabs>
            <w:rPr/>
          </w:pPr>
          <w:hyperlink w:anchor="__RefHeading___Toc3219703_2870459653">
            <w:r>
              <w:rPr>
                <w:webHidden/>
                <w:rStyle w:val="IndexLink"/>
                <w:rtl w:val="true"/>
              </w:rPr>
              <w:t>وجه پنجم</w:t>
            </w:r>
            <w:r>
              <w:rPr>
                <w:rStyle w:val="IndexLink"/>
                <w:rtl w:val="true"/>
              </w:rPr>
              <w:t xml:space="preserve">: </w:t>
            </w:r>
            <w:r>
              <w:rPr>
                <w:rStyle w:val="IndexLink"/>
                <w:rtl w:val="true"/>
              </w:rPr>
              <w:t>ضرار به معنای تصدی برای ضرر زدن به غیر</w:t>
            </w:r>
            <w:r>
              <w:rPr>
                <w:rStyle w:val="IndexLink"/>
                <w:rtl w:val="true"/>
              </w:rPr>
              <w:tab/>
            </w:r>
            <w:r>
              <w:rPr>
                <w:rStyle w:val="IndexLink"/>
              </w:rPr>
              <w:t>84</w:t>
            </w:r>
          </w:hyperlink>
        </w:p>
        <w:p>
          <w:pPr>
            <w:pStyle w:val="Contents3"/>
            <w:tabs>
              <w:tab w:val="clear" w:pos="8459"/>
              <w:tab w:val="right" w:pos="9026" w:leader="dot"/>
            </w:tabs>
            <w:rPr/>
          </w:pPr>
          <w:hyperlink w:anchor="__RefHeading___Toc3219705_2870459653">
            <w:r>
              <w:rPr>
                <w:webHidden/>
                <w:rStyle w:val="IndexLink"/>
                <w:rtl w:val="true"/>
              </w:rPr>
              <w:t>وجه ششم</w:t>
            </w:r>
            <w:r>
              <w:rPr>
                <w:rStyle w:val="IndexLink"/>
                <w:rtl w:val="true"/>
              </w:rPr>
              <w:t xml:space="preserve">: </w:t>
            </w:r>
            <w:r>
              <w:rPr>
                <w:rStyle w:val="IndexLink"/>
                <w:rtl w:val="true"/>
              </w:rPr>
              <w:t>ضرار به معنی تضییق و تشدید</w:t>
            </w:r>
            <w:r>
              <w:rPr>
                <w:rStyle w:val="IndexLink"/>
                <w:rtl w:val="true"/>
              </w:rPr>
              <w:tab/>
            </w:r>
            <w:r>
              <w:rPr>
                <w:rStyle w:val="IndexLink"/>
              </w:rPr>
              <w:t>84</w:t>
            </w:r>
          </w:hyperlink>
        </w:p>
        <w:p>
          <w:pPr>
            <w:pStyle w:val="Contents3"/>
            <w:tabs>
              <w:tab w:val="clear" w:pos="8459"/>
              <w:tab w:val="right" w:pos="9026" w:leader="dot"/>
            </w:tabs>
            <w:rPr/>
          </w:pPr>
          <w:hyperlink w:anchor="__RefHeading___Toc3219707_2870459653">
            <w:r>
              <w:rPr>
                <w:webHidden/>
                <w:rStyle w:val="IndexLink"/>
                <w:rtl w:val="true"/>
              </w:rPr>
              <w:t>وجه هفتم</w:t>
            </w:r>
            <w:r>
              <w:rPr>
                <w:rStyle w:val="IndexLink"/>
                <w:rtl w:val="true"/>
              </w:rPr>
              <w:t xml:space="preserve">: </w:t>
            </w:r>
            <w:r>
              <w:rPr>
                <w:rStyle w:val="IndexLink"/>
                <w:rtl w:val="true"/>
              </w:rPr>
              <w:t>ضرار به معنای استمرار ضرر و تکرار ضرر است</w:t>
            </w:r>
            <w:r>
              <w:rPr>
                <w:rStyle w:val="IndexLink"/>
                <w:rtl w:val="true"/>
              </w:rPr>
              <w:t>.</w:t>
              <w:tab/>
            </w:r>
            <w:r>
              <w:rPr>
                <w:rStyle w:val="IndexLink"/>
              </w:rPr>
              <w:t>85</w:t>
            </w:r>
          </w:hyperlink>
        </w:p>
        <w:p>
          <w:pPr>
            <w:pStyle w:val="Contents2"/>
            <w:tabs>
              <w:tab w:val="clear" w:pos="8743"/>
              <w:tab w:val="right" w:pos="9026" w:leader="dot"/>
            </w:tabs>
            <w:rPr/>
          </w:pPr>
          <w:hyperlink w:anchor="__RefHeading___Toc3219709_2870459653">
            <w:r>
              <w:rPr>
                <w:webHidden/>
                <w:rStyle w:val="IndexLink"/>
                <w:rtl w:val="true"/>
              </w:rPr>
              <w:t>مفاد هیئت ترکیبیه لاضرر و لاضرار</w:t>
            </w:r>
            <w:r>
              <w:rPr>
                <w:rStyle w:val="IndexLink"/>
                <w:rtl w:val="true"/>
              </w:rPr>
              <w:tab/>
            </w:r>
            <w:r>
              <w:rPr>
                <w:rStyle w:val="IndexLink"/>
              </w:rPr>
              <w:t>87</w:t>
            </w:r>
          </w:hyperlink>
        </w:p>
        <w:p>
          <w:pPr>
            <w:pStyle w:val="Contents3"/>
            <w:tabs>
              <w:tab w:val="clear" w:pos="8459"/>
              <w:tab w:val="right" w:pos="9026" w:leader="dot"/>
            </w:tabs>
            <w:rPr/>
          </w:pPr>
          <w:hyperlink w:anchor="__RefHeading___Toc3219711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219713_2870459653">
            <w:r>
              <w:rPr>
                <w:webHidden/>
                <w:rStyle w:val="IndexLink"/>
                <w:rtl w:val="true"/>
              </w:rPr>
              <w:t>وجه اوّل</w:t>
            </w:r>
            <w:r>
              <w:rPr>
                <w:rStyle w:val="IndexLink"/>
                <w:rtl w:val="true"/>
              </w:rPr>
              <w:t xml:space="preserve">: </w:t>
            </w:r>
            <w:r>
              <w:rPr>
                <w:rStyle w:val="IndexLink"/>
                <w:rtl w:val="true"/>
              </w:rPr>
              <w:t>قول شیخ انصاری رحمه اللّه علیه بر نفی حکم ضرری</w:t>
            </w:r>
            <w:r>
              <w:rPr>
                <w:rStyle w:val="IndexLink"/>
                <w:rtl w:val="true"/>
              </w:rPr>
              <w:tab/>
            </w:r>
            <w:r>
              <w:rPr>
                <w:rStyle w:val="IndexLink"/>
              </w:rPr>
              <w:t>87</w:t>
            </w:r>
          </w:hyperlink>
        </w:p>
        <w:p>
          <w:pPr>
            <w:pStyle w:val="Contents3"/>
            <w:tabs>
              <w:tab w:val="clear" w:pos="8459"/>
              <w:tab w:val="right" w:pos="9026" w:leader="dot"/>
            </w:tabs>
            <w:rPr/>
          </w:pPr>
          <w:hyperlink w:anchor="__RefHeading___Toc3219715_2870459653">
            <w:r>
              <w:rPr>
                <w:webHidden/>
                <w:rStyle w:val="IndexLink"/>
                <w:rtl w:val="true"/>
              </w:rPr>
              <w:t>وجه دوّم</w:t>
            </w:r>
            <w:r>
              <w:rPr>
                <w:rStyle w:val="IndexLink"/>
                <w:rtl w:val="true"/>
              </w:rPr>
              <w:t xml:space="preserve">: </w:t>
            </w:r>
            <w:r>
              <w:rPr>
                <w:rStyle w:val="IndexLink"/>
                <w:rtl w:val="true"/>
              </w:rPr>
              <w:t>حرمت ضرر و ضرار به نهی مولوی</w:t>
            </w:r>
            <w:r>
              <w:rPr>
                <w:rStyle w:val="IndexLink"/>
                <w:rtl w:val="true"/>
              </w:rPr>
              <w:tab/>
            </w:r>
            <w:r>
              <w:rPr>
                <w:rStyle w:val="IndexLink"/>
              </w:rPr>
              <w:t>90</w:t>
            </w:r>
          </w:hyperlink>
        </w:p>
        <w:p>
          <w:pPr>
            <w:pStyle w:val="Contents3"/>
            <w:tabs>
              <w:tab w:val="clear" w:pos="8459"/>
              <w:tab w:val="right" w:pos="9026" w:leader="dot"/>
            </w:tabs>
            <w:rPr/>
          </w:pPr>
          <w:hyperlink w:anchor="__RefHeading___Toc3219717_2870459653">
            <w:r>
              <w:rPr>
                <w:webHidden/>
                <w:rStyle w:val="IndexLink"/>
                <w:rtl w:val="true"/>
              </w:rPr>
              <w:t>دلیل اوّل شيخ الشريعة</w:t>
            </w:r>
            <w:r>
              <w:rPr>
                <w:rStyle w:val="IndexLink"/>
                <w:rtl w:val="true"/>
              </w:rPr>
              <w:tab/>
            </w:r>
            <w:r>
              <w:rPr>
                <w:rStyle w:val="IndexLink"/>
              </w:rPr>
              <w:t>91</w:t>
            </w:r>
          </w:hyperlink>
        </w:p>
        <w:p>
          <w:pPr>
            <w:pStyle w:val="Contents3"/>
            <w:tabs>
              <w:tab w:val="clear" w:pos="8459"/>
              <w:tab w:val="right" w:pos="9026" w:leader="dot"/>
            </w:tabs>
            <w:rPr/>
          </w:pPr>
          <w:hyperlink w:anchor="__RefHeading___Toc3219719_2870459653">
            <w:r>
              <w:rPr>
                <w:webHidden/>
                <w:rStyle w:val="IndexLink"/>
                <w:rtl w:val="true"/>
              </w:rPr>
              <w:t>مناقشه در كلام شيخ الشريعة</w:t>
            </w:r>
            <w:r>
              <w:rPr>
                <w:rStyle w:val="IndexLink"/>
                <w:rtl w:val="true"/>
              </w:rPr>
              <w:tab/>
            </w:r>
            <w:r>
              <w:rPr>
                <w:rStyle w:val="IndexLink"/>
              </w:rPr>
              <w:t>93</w:t>
            </w:r>
          </w:hyperlink>
        </w:p>
        <w:p>
          <w:pPr>
            <w:pStyle w:val="Contents3"/>
            <w:tabs>
              <w:tab w:val="clear" w:pos="8459"/>
              <w:tab w:val="right" w:pos="9026" w:leader="dot"/>
            </w:tabs>
            <w:rPr/>
          </w:pPr>
          <w:hyperlink w:anchor="__RefHeading___Toc3219721_2870459653">
            <w:r>
              <w:rPr>
                <w:webHidden/>
                <w:rStyle w:val="IndexLink"/>
                <w:rtl w:val="true"/>
              </w:rPr>
              <w:t>دلیل دوّم شيخ الشريعة</w:t>
            </w:r>
            <w:r>
              <w:rPr>
                <w:rStyle w:val="IndexLink"/>
                <w:rtl w:val="true"/>
              </w:rPr>
              <w:tab/>
            </w:r>
            <w:r>
              <w:rPr>
                <w:rStyle w:val="IndexLink"/>
              </w:rPr>
              <w:t>95</w:t>
            </w:r>
          </w:hyperlink>
        </w:p>
        <w:p>
          <w:pPr>
            <w:pStyle w:val="Contents3"/>
            <w:tabs>
              <w:tab w:val="clear" w:pos="8459"/>
              <w:tab w:val="right" w:pos="9026" w:leader="dot"/>
            </w:tabs>
            <w:rPr/>
          </w:pPr>
          <w:hyperlink w:anchor="__RefHeading___Toc3219723_2870459653">
            <w:r>
              <w:rPr>
                <w:webHidden/>
                <w:rStyle w:val="IndexLink"/>
                <w:rtl w:val="true"/>
              </w:rPr>
              <w:t>مناقشه در دلیل دوّم</w:t>
            </w:r>
            <w:r>
              <w:rPr>
                <w:rStyle w:val="IndexLink"/>
                <w:rtl w:val="true"/>
              </w:rPr>
              <w:t>:</w:t>
              <w:tab/>
            </w:r>
            <w:r>
              <w:rPr>
                <w:rStyle w:val="IndexLink"/>
              </w:rPr>
              <w:t>96</w:t>
            </w:r>
          </w:hyperlink>
        </w:p>
        <w:p>
          <w:pPr>
            <w:pStyle w:val="Contents3"/>
            <w:tabs>
              <w:tab w:val="clear" w:pos="8459"/>
              <w:tab w:val="right" w:pos="9026" w:leader="dot"/>
            </w:tabs>
            <w:rPr/>
          </w:pPr>
          <w:hyperlink w:anchor="__RefHeading___Toc3219725_2870459653">
            <w:r>
              <w:rPr>
                <w:webHidden/>
                <w:rStyle w:val="IndexLink"/>
                <w:rtl w:val="true"/>
              </w:rPr>
              <w:t>بیان مناقشه</w:t>
            </w:r>
            <w:r>
              <w:rPr>
                <w:rStyle w:val="IndexLink"/>
                <w:rtl w:val="true"/>
              </w:rPr>
              <w:tab/>
            </w:r>
            <w:r>
              <w:rPr>
                <w:rStyle w:val="IndexLink"/>
              </w:rPr>
              <w:t>96</w:t>
            </w:r>
          </w:hyperlink>
        </w:p>
        <w:p>
          <w:pPr>
            <w:pStyle w:val="Contents3"/>
            <w:tabs>
              <w:tab w:val="clear" w:pos="8459"/>
              <w:tab w:val="right" w:pos="9026" w:leader="dot"/>
            </w:tabs>
            <w:rPr/>
          </w:pPr>
          <w:hyperlink w:anchor="__RefHeading___Toc3219727_2870459653">
            <w:r>
              <w:rPr>
                <w:webHidden/>
                <w:rStyle w:val="IndexLink"/>
                <w:rtl w:val="true"/>
              </w:rPr>
              <w:t>دلیل سوم شيخ الشريعة</w:t>
            </w:r>
            <w:r>
              <w:rPr>
                <w:rStyle w:val="IndexLink"/>
                <w:rtl w:val="true"/>
              </w:rPr>
              <w:tab/>
            </w:r>
            <w:r>
              <w:rPr>
                <w:rStyle w:val="IndexLink"/>
              </w:rPr>
              <w:t>97</w:t>
            </w:r>
          </w:hyperlink>
        </w:p>
        <w:p>
          <w:pPr>
            <w:pStyle w:val="Contents3"/>
            <w:tabs>
              <w:tab w:val="clear" w:pos="8459"/>
              <w:tab w:val="right" w:pos="9026" w:leader="dot"/>
            </w:tabs>
            <w:rPr/>
          </w:pPr>
          <w:hyperlink w:anchor="__RefHeading___Toc3219729_2870459653">
            <w:r>
              <w:rPr>
                <w:webHidden/>
                <w:rStyle w:val="IndexLink"/>
                <w:rtl w:val="true"/>
              </w:rPr>
              <w:t>مناقشه</w:t>
            </w:r>
            <w:r>
              <w:rPr>
                <w:rStyle w:val="IndexLink"/>
                <w:rtl w:val="true"/>
              </w:rPr>
              <w:tab/>
            </w:r>
            <w:r>
              <w:rPr>
                <w:rStyle w:val="IndexLink"/>
              </w:rPr>
              <w:t>97</w:t>
            </w:r>
          </w:hyperlink>
        </w:p>
        <w:p>
          <w:pPr>
            <w:pStyle w:val="Contents3"/>
            <w:tabs>
              <w:tab w:val="clear" w:pos="8459"/>
              <w:tab w:val="right" w:pos="9026" w:leader="dot"/>
            </w:tabs>
            <w:rPr/>
          </w:pPr>
          <w:hyperlink w:anchor="__RefHeading___Toc3219731_2870459653">
            <w:r>
              <w:rPr>
                <w:webHidden/>
                <w:rStyle w:val="IndexLink"/>
                <w:rtl w:val="true"/>
              </w:rPr>
              <w:t>دلیل چهارم شيخ الشريعه</w:t>
            </w:r>
            <w:r>
              <w:rPr>
                <w:rStyle w:val="IndexLink"/>
                <w:rtl w:val="true"/>
              </w:rPr>
              <w:t>:</w:t>
              <w:tab/>
            </w:r>
            <w:r>
              <w:rPr>
                <w:rStyle w:val="IndexLink"/>
              </w:rPr>
              <w:t>97</w:t>
            </w:r>
          </w:hyperlink>
        </w:p>
        <w:p>
          <w:pPr>
            <w:pStyle w:val="Contents3"/>
            <w:tabs>
              <w:tab w:val="clear" w:pos="8459"/>
              <w:tab w:val="right" w:pos="9026" w:leader="dot"/>
            </w:tabs>
            <w:rPr/>
          </w:pPr>
          <w:hyperlink w:anchor="__RefHeading___Toc3219733_2870459653">
            <w:r>
              <w:rPr>
                <w:webHidden/>
                <w:rStyle w:val="IndexLink"/>
                <w:rtl w:val="true"/>
              </w:rPr>
              <w:t>وجه سوّم</w:t>
            </w:r>
            <w:r>
              <w:rPr>
                <w:rStyle w:val="IndexLink"/>
                <w:rtl w:val="true"/>
              </w:rPr>
              <w:t xml:space="preserve">: </w:t>
            </w:r>
            <w:r>
              <w:rPr>
                <w:rStyle w:val="IndexLink"/>
                <w:rtl w:val="true"/>
              </w:rPr>
              <w:t xml:space="preserve">قول صاحب کفایه رحمه اللّه علیه </w:t>
            </w:r>
            <w:r>
              <w:rPr>
                <w:rStyle w:val="IndexLink"/>
                <w:rtl w:val="true"/>
              </w:rPr>
              <w:t>(</w:t>
            </w:r>
            <w:r>
              <w:rPr>
                <w:rStyle w:val="IndexLink"/>
                <w:rtl w:val="true"/>
              </w:rPr>
              <w:t>نفی حکم به لسان نفی موضوع</w:t>
            </w:r>
            <w:r>
              <w:rPr>
                <w:rStyle w:val="IndexLink"/>
                <w:rtl w:val="true"/>
              </w:rPr>
              <w:t>)</w:t>
              <w:tab/>
            </w:r>
            <w:r>
              <w:rPr>
                <w:rStyle w:val="IndexLink"/>
              </w:rPr>
              <w:t>97</w:t>
            </w:r>
          </w:hyperlink>
        </w:p>
        <w:p>
          <w:pPr>
            <w:pStyle w:val="Contents3"/>
            <w:tabs>
              <w:tab w:val="clear" w:pos="8459"/>
              <w:tab w:val="right" w:pos="9026" w:leader="dot"/>
            </w:tabs>
            <w:rPr/>
          </w:pPr>
          <w:hyperlink w:anchor="__RefHeading___Toc3219735_2870459653">
            <w:r>
              <w:rPr>
                <w:webHidden/>
                <w:rStyle w:val="IndexLink"/>
                <w:rtl w:val="true"/>
              </w:rPr>
              <w:t>فرق بین کلام صاحب کفایه و شیخ انصاری رحمه اللّه علیه</w:t>
            </w:r>
            <w:r>
              <w:rPr>
                <w:rStyle w:val="IndexLink"/>
                <w:rtl w:val="true"/>
              </w:rPr>
              <w:tab/>
            </w:r>
            <w:r>
              <w:rPr>
                <w:rStyle w:val="IndexLink"/>
              </w:rPr>
              <w:t>98</w:t>
            </w:r>
          </w:hyperlink>
        </w:p>
        <w:p>
          <w:pPr>
            <w:pStyle w:val="Contents3"/>
            <w:tabs>
              <w:tab w:val="clear" w:pos="8459"/>
              <w:tab w:val="right" w:pos="9026" w:leader="dot"/>
            </w:tabs>
            <w:rPr/>
          </w:pPr>
          <w:hyperlink w:anchor="__RefHeading___Toc3219737_2870459653">
            <w:r>
              <w:rPr>
                <w:webHidden/>
                <w:rStyle w:val="IndexLink"/>
                <w:rtl w:val="true"/>
              </w:rPr>
              <w:t>مناقشه در قول صاحب کفایه رحمه اللّه علیه</w:t>
            </w:r>
            <w:r>
              <w:rPr>
                <w:rStyle w:val="IndexLink"/>
                <w:rtl w:val="true"/>
              </w:rPr>
              <w:tab/>
            </w:r>
            <w:r>
              <w:rPr>
                <w:rStyle w:val="IndexLink"/>
              </w:rPr>
              <w:t>98</w:t>
            </w:r>
          </w:hyperlink>
        </w:p>
        <w:p>
          <w:pPr>
            <w:pStyle w:val="Contents3"/>
            <w:tabs>
              <w:tab w:val="clear" w:pos="8459"/>
              <w:tab w:val="right" w:pos="9026" w:leader="dot"/>
            </w:tabs>
            <w:rPr/>
          </w:pPr>
          <w:hyperlink w:anchor="__RefHeading___Toc3219739_2870459653">
            <w:r>
              <w:rPr>
                <w:webHidden/>
                <w:rStyle w:val="IndexLink"/>
                <w:rtl w:val="true"/>
              </w:rPr>
              <w:t>وجه چهارم</w:t>
            </w:r>
            <w:r>
              <w:rPr>
                <w:rStyle w:val="IndexLink"/>
                <w:rtl w:val="true"/>
              </w:rPr>
              <w:t xml:space="preserve">: </w:t>
            </w:r>
            <w:r>
              <w:rPr>
                <w:rStyle w:val="IndexLink"/>
                <w:rtl w:val="true"/>
              </w:rPr>
              <w:t>نفی ضرر غیر متدارک</w:t>
            </w:r>
            <w:r>
              <w:rPr>
                <w:rStyle w:val="IndexLink"/>
                <w:rtl w:val="true"/>
              </w:rPr>
              <w:tab/>
            </w:r>
            <w:r>
              <w:rPr>
                <w:rStyle w:val="IndexLink"/>
              </w:rPr>
              <w:t>99</w:t>
            </w:r>
          </w:hyperlink>
        </w:p>
        <w:p>
          <w:pPr>
            <w:pStyle w:val="Contents3"/>
            <w:tabs>
              <w:tab w:val="clear" w:pos="8459"/>
              <w:tab w:val="right" w:pos="9026" w:leader="dot"/>
            </w:tabs>
            <w:rPr/>
          </w:pPr>
          <w:hyperlink w:anchor="__RefHeading___Toc3219741_2870459653">
            <w:r>
              <w:rPr>
                <w:webHidden/>
                <w:rStyle w:val="IndexLink"/>
                <w:rtl w:val="true"/>
              </w:rPr>
              <w:t>مناقشه در کلام فاضل تونی</w:t>
            </w:r>
            <w:r>
              <w:rPr>
                <w:rStyle w:val="IndexLink"/>
                <w:rtl w:val="true"/>
              </w:rPr>
              <w:tab/>
            </w:r>
            <w:r>
              <w:rPr>
                <w:rStyle w:val="IndexLink"/>
              </w:rPr>
              <w:t>99</w:t>
            </w:r>
          </w:hyperlink>
        </w:p>
        <w:p>
          <w:pPr>
            <w:pStyle w:val="Contents3"/>
            <w:tabs>
              <w:tab w:val="clear" w:pos="8459"/>
              <w:tab w:val="right" w:pos="9026" w:leader="dot"/>
            </w:tabs>
            <w:rPr/>
          </w:pPr>
          <w:hyperlink w:anchor="__RefHeading___Toc3219743_2870459653">
            <w:r>
              <w:rPr>
                <w:webHidden/>
                <w:rStyle w:val="IndexLink"/>
                <w:rtl w:val="true"/>
              </w:rPr>
              <w:t>وجه پنجم</w:t>
            </w:r>
            <w:r>
              <w:rPr>
                <w:rStyle w:val="IndexLink"/>
                <w:rtl w:val="true"/>
              </w:rPr>
              <w:t xml:space="preserve">: </w:t>
            </w:r>
            <w:r>
              <w:rPr>
                <w:rStyle w:val="IndexLink"/>
                <w:rtl w:val="true"/>
              </w:rPr>
              <w:t>اسلامِ شخص موجب تنقیص شیء از حقوق او نمی شود</w:t>
            </w:r>
            <w:r>
              <w:rPr>
                <w:rStyle w:val="IndexLink"/>
                <w:rtl w:val="true"/>
              </w:rPr>
              <w:tab/>
            </w:r>
            <w:r>
              <w:rPr>
                <w:rStyle w:val="IndexLink"/>
              </w:rPr>
              <w:t>100</w:t>
            </w:r>
          </w:hyperlink>
        </w:p>
        <w:p>
          <w:pPr>
            <w:pStyle w:val="Contents3"/>
            <w:tabs>
              <w:tab w:val="clear" w:pos="8459"/>
              <w:tab w:val="right" w:pos="9026" w:leader="dot"/>
            </w:tabs>
            <w:rPr/>
          </w:pPr>
          <w:hyperlink w:anchor="__RefHeading___Toc3219745_2870459653">
            <w:r>
              <w:rPr>
                <w:webHidden/>
                <w:rStyle w:val="IndexLink"/>
                <w:rtl w:val="true"/>
              </w:rPr>
              <w:t>اشکال بر وجه پنجم</w:t>
            </w:r>
            <w:r>
              <w:rPr>
                <w:rStyle w:val="IndexLink"/>
                <w:rtl w:val="true"/>
              </w:rPr>
              <w:tab/>
            </w:r>
            <w:r>
              <w:rPr>
                <w:rStyle w:val="IndexLink"/>
              </w:rPr>
              <w:t>101</w:t>
            </w:r>
          </w:hyperlink>
        </w:p>
        <w:p>
          <w:pPr>
            <w:pStyle w:val="Contents3"/>
            <w:tabs>
              <w:tab w:val="clear" w:pos="8459"/>
              <w:tab w:val="right" w:pos="9026" w:leader="dot"/>
            </w:tabs>
            <w:rPr/>
          </w:pPr>
          <w:hyperlink w:anchor="__RefHeading___Toc3219747_2870459653">
            <w:r>
              <w:rPr>
                <w:webHidden/>
                <w:rStyle w:val="IndexLink"/>
                <w:rtl w:val="true"/>
              </w:rPr>
              <w:t>وجه ششم</w:t>
            </w:r>
            <w:r>
              <w:rPr>
                <w:rStyle w:val="IndexLink"/>
                <w:rtl w:val="true"/>
              </w:rPr>
              <w:t xml:space="preserve">: </w:t>
            </w:r>
            <w:r>
              <w:rPr>
                <w:rStyle w:val="IndexLink"/>
                <w:rtl w:val="true"/>
              </w:rPr>
              <w:t>نهی سلطانی و حکم ولائی</w:t>
            </w:r>
            <w:r>
              <w:rPr>
                <w:rStyle w:val="IndexLink"/>
                <w:rtl w:val="true"/>
              </w:rPr>
              <w:tab/>
            </w:r>
            <w:r>
              <w:rPr>
                <w:rStyle w:val="IndexLink"/>
              </w:rPr>
              <w:t>101</w:t>
            </w:r>
          </w:hyperlink>
        </w:p>
        <w:p>
          <w:pPr>
            <w:pStyle w:val="Contents3"/>
            <w:tabs>
              <w:tab w:val="clear" w:pos="8459"/>
              <w:tab w:val="right" w:pos="9026" w:leader="dot"/>
            </w:tabs>
            <w:rPr/>
          </w:pPr>
          <w:hyperlink w:anchor="__RefHeading___Toc3219749_2870459653">
            <w:r>
              <w:rPr>
                <w:webHidden/>
                <w:rStyle w:val="IndexLink"/>
                <w:rtl w:val="true"/>
              </w:rPr>
              <w:t>مقدمه اوّل مقامات پیامبر صلی اللّه علیه و آله و سلم</w:t>
            </w:r>
            <w:r>
              <w:rPr>
                <w:rStyle w:val="IndexLink"/>
                <w:rtl w:val="true"/>
              </w:rPr>
              <w:tab/>
            </w:r>
            <w:r>
              <w:rPr>
                <w:rStyle w:val="IndexLink"/>
              </w:rPr>
              <w:t>102</w:t>
            </w:r>
          </w:hyperlink>
        </w:p>
        <w:p>
          <w:pPr>
            <w:pStyle w:val="Contents3"/>
            <w:tabs>
              <w:tab w:val="clear" w:pos="8459"/>
              <w:tab w:val="right" w:pos="9026" w:leader="dot"/>
            </w:tabs>
            <w:rPr/>
          </w:pPr>
          <w:hyperlink w:anchor="__RefHeading___Toc3219751_2870459653">
            <w:r>
              <w:rPr>
                <w:webHidden/>
                <w:rStyle w:val="IndexLink"/>
                <w:rtl w:val="true"/>
              </w:rPr>
              <w:t>مقدمه دوّم</w:t>
            </w:r>
            <w:r>
              <w:rPr>
                <w:rStyle w:val="IndexLink"/>
                <w:rtl w:val="true"/>
              </w:rPr>
              <w:tab/>
            </w:r>
            <w:r>
              <w:rPr>
                <w:rStyle w:val="IndexLink"/>
              </w:rPr>
              <w:t>103</w:t>
            </w:r>
          </w:hyperlink>
        </w:p>
        <w:p>
          <w:pPr>
            <w:pStyle w:val="Contents3"/>
            <w:tabs>
              <w:tab w:val="clear" w:pos="8459"/>
              <w:tab w:val="right" w:pos="9026" w:leader="dot"/>
            </w:tabs>
            <w:rPr/>
          </w:pPr>
          <w:hyperlink w:anchor="__RefHeading___Toc3219753_2870459653">
            <w:r>
              <w:rPr>
                <w:webHidden/>
                <w:rStyle w:val="IndexLink"/>
                <w:rtl w:val="true"/>
              </w:rPr>
              <w:t>مقدّمه سوّم</w:t>
            </w:r>
            <w:r>
              <w:rPr>
                <w:rStyle w:val="IndexLink"/>
                <w:rtl w:val="true"/>
              </w:rPr>
              <w:tab/>
            </w:r>
            <w:r>
              <w:rPr>
                <w:rStyle w:val="IndexLink"/>
              </w:rPr>
              <w:t>103</w:t>
            </w:r>
          </w:hyperlink>
        </w:p>
        <w:p>
          <w:pPr>
            <w:pStyle w:val="Contents3"/>
            <w:tabs>
              <w:tab w:val="clear" w:pos="8459"/>
              <w:tab w:val="right" w:pos="9026" w:leader="dot"/>
            </w:tabs>
            <w:rPr/>
          </w:pPr>
          <w:hyperlink w:anchor="__RefHeading___Toc3219755_2870459653">
            <w:r>
              <w:rPr>
                <w:webHidden/>
                <w:rStyle w:val="IndexLink"/>
                <w:rtl w:val="true"/>
              </w:rPr>
              <w:t>مناقشه ادله وجه ششم</w:t>
            </w:r>
            <w:r>
              <w:rPr>
                <w:rStyle w:val="IndexLink"/>
                <w:rtl w:val="true"/>
              </w:rPr>
              <w:tab/>
            </w:r>
            <w:r>
              <w:rPr>
                <w:rStyle w:val="IndexLink"/>
              </w:rPr>
              <w:t>106</w:t>
            </w:r>
          </w:hyperlink>
        </w:p>
        <w:p>
          <w:pPr>
            <w:pStyle w:val="Contents3"/>
            <w:tabs>
              <w:tab w:val="clear" w:pos="8459"/>
              <w:tab w:val="right" w:pos="9026" w:leader="dot"/>
            </w:tabs>
            <w:rPr/>
          </w:pPr>
          <w:hyperlink w:anchor="__RefHeading___Toc3219757_2870459653">
            <w:r>
              <w:rPr>
                <w:webHidden/>
                <w:rStyle w:val="IndexLink"/>
                <w:rtl w:val="true"/>
              </w:rPr>
              <w:t>وجه هفتم قول آیة اللّه سیستانی حفظه اللّه</w:t>
            </w:r>
            <w:r>
              <w:rPr>
                <w:rStyle w:val="IndexLink"/>
                <w:rtl w:val="true"/>
              </w:rPr>
              <w:tab/>
            </w:r>
            <w:r>
              <w:rPr>
                <w:rStyle w:val="IndexLink"/>
              </w:rPr>
              <w:t>108</w:t>
            </w:r>
          </w:hyperlink>
        </w:p>
        <w:p>
          <w:pPr>
            <w:pStyle w:val="Contents3"/>
            <w:tabs>
              <w:tab w:val="clear" w:pos="8459"/>
              <w:tab w:val="right" w:pos="9026" w:leader="dot"/>
            </w:tabs>
            <w:rPr/>
          </w:pPr>
          <w:hyperlink w:anchor="__RefHeading___Toc3219759_2870459653">
            <w:r>
              <w:rPr>
                <w:webHidden/>
                <w:rStyle w:val="IndexLink"/>
                <w:rtl w:val="true"/>
              </w:rPr>
              <w:t>توضیح اجمالی کلام ایشان</w:t>
            </w:r>
            <w:r>
              <w:rPr>
                <w:rStyle w:val="IndexLink"/>
                <w:rtl w:val="true"/>
              </w:rPr>
              <w:tab/>
            </w:r>
            <w:r>
              <w:rPr>
                <w:rStyle w:val="IndexLink"/>
              </w:rPr>
              <w:t>108</w:t>
            </w:r>
          </w:hyperlink>
        </w:p>
        <w:p>
          <w:pPr>
            <w:pStyle w:val="Contents3"/>
            <w:tabs>
              <w:tab w:val="clear" w:pos="8459"/>
              <w:tab w:val="right" w:pos="9026" w:leader="dot"/>
            </w:tabs>
            <w:rPr/>
          </w:pPr>
          <w:hyperlink w:anchor="__RefHeading___Toc3219761_2870459653">
            <w:r>
              <w:rPr>
                <w:webHidden/>
                <w:rStyle w:val="IndexLink"/>
                <w:rtl w:val="true"/>
              </w:rPr>
              <w:t>مناقشه کلام آیة اللّه سیستانی دَامَ ظِلُّهُ</w:t>
            </w:r>
            <w:r>
              <w:rPr>
                <w:rStyle w:val="IndexLink"/>
                <w:rtl w:val="true"/>
              </w:rPr>
              <w:tab/>
            </w:r>
            <w:r>
              <w:rPr>
                <w:rStyle w:val="IndexLink"/>
              </w:rPr>
              <w:t>110</w:t>
            </w:r>
          </w:hyperlink>
        </w:p>
        <w:p>
          <w:pPr>
            <w:pStyle w:val="Contents3"/>
            <w:tabs>
              <w:tab w:val="clear" w:pos="8459"/>
              <w:tab w:val="right" w:pos="9026" w:leader="dot"/>
            </w:tabs>
            <w:rPr/>
          </w:pPr>
          <w:hyperlink w:anchor="__RefHeading___Toc3219763_2870459653">
            <w:r>
              <w:rPr>
                <w:webHidden/>
                <w:rStyle w:val="IndexLink"/>
                <w:rtl w:val="true"/>
              </w:rPr>
              <w:t>وجه هشتم</w:t>
            </w:r>
            <w:r>
              <w:rPr>
                <w:rStyle w:val="IndexLink"/>
                <w:rtl w:val="true"/>
              </w:rPr>
              <w:t xml:space="preserve">: </w:t>
            </w:r>
            <w:r>
              <w:rPr>
                <w:rStyle w:val="IndexLink"/>
                <w:rtl w:val="true"/>
              </w:rPr>
              <w:t>نظریه مختار</w:t>
            </w:r>
            <w:r>
              <w:rPr>
                <w:rStyle w:val="IndexLink"/>
                <w:rtl w:val="true"/>
              </w:rPr>
              <w:tab/>
            </w:r>
            <w:r>
              <w:rPr>
                <w:rStyle w:val="IndexLink"/>
              </w:rPr>
              <w:t>111</w:t>
            </w:r>
          </w:hyperlink>
        </w:p>
        <w:p>
          <w:pPr>
            <w:pStyle w:val="Contents2"/>
            <w:tabs>
              <w:tab w:val="clear" w:pos="8743"/>
              <w:tab w:val="right" w:pos="9026" w:leader="dot"/>
            </w:tabs>
            <w:rPr/>
          </w:pPr>
          <w:hyperlink w:anchor="__RefHeading___Toc3219765_2870459653">
            <w:r>
              <w:rPr>
                <w:webHidden/>
                <w:rStyle w:val="IndexLink"/>
                <w:rtl w:val="true"/>
              </w:rPr>
              <w:t>تنبیهات قاعده لاضرر</w:t>
            </w:r>
            <w:r>
              <w:rPr>
                <w:rStyle w:val="IndexLink"/>
                <w:rtl w:val="true"/>
              </w:rPr>
              <w:tab/>
            </w:r>
            <w:r>
              <w:rPr>
                <w:rStyle w:val="IndexLink"/>
              </w:rPr>
              <w:t>114</w:t>
            </w:r>
          </w:hyperlink>
        </w:p>
        <w:p>
          <w:pPr>
            <w:pStyle w:val="Contents3"/>
            <w:tabs>
              <w:tab w:val="clear" w:pos="8459"/>
              <w:tab w:val="right" w:pos="9026" w:leader="dot"/>
            </w:tabs>
            <w:rPr/>
          </w:pPr>
          <w:hyperlink w:anchor="__RefHeading___Toc3219767_2870459653">
            <w:r>
              <w:rPr>
                <w:webHidden/>
                <w:rStyle w:val="IndexLink"/>
                <w:rtl w:val="true"/>
              </w:rPr>
              <w:t>تنبیه اوّل</w:t>
            </w:r>
            <w:r>
              <w:rPr>
                <w:rStyle w:val="IndexLink"/>
                <w:rtl w:val="true"/>
              </w:rPr>
              <w:t xml:space="preserve">: </w:t>
            </w:r>
            <w:r>
              <w:rPr>
                <w:rStyle w:val="IndexLink"/>
                <w:rtl w:val="true"/>
              </w:rPr>
              <w:t>جمع بین قاعده لاضرر و ادله احکام شرعیه</w:t>
            </w:r>
            <w:r>
              <w:rPr>
                <w:rStyle w:val="IndexLink"/>
                <w:rtl w:val="true"/>
              </w:rPr>
              <w:tab/>
            </w:r>
            <w:r>
              <w:rPr>
                <w:rStyle w:val="IndexLink"/>
              </w:rPr>
              <w:t>114</w:t>
            </w:r>
          </w:hyperlink>
        </w:p>
        <w:p>
          <w:pPr>
            <w:pStyle w:val="Contents4"/>
            <w:tabs>
              <w:tab w:val="clear" w:pos="8176"/>
              <w:tab w:val="right" w:pos="9026" w:leader="dot"/>
            </w:tabs>
            <w:rPr/>
          </w:pPr>
          <w:hyperlink w:anchor="__RefHeading___Toc3219769_2870459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219771_2870459653">
            <w:r>
              <w:rPr>
                <w:webHidden/>
                <w:rStyle w:val="IndexLink"/>
                <w:rtl w:val="true"/>
              </w:rPr>
              <w:t>وجه اوّل</w:t>
            </w:r>
            <w:r>
              <w:rPr>
                <w:rStyle w:val="IndexLink"/>
                <w:rtl w:val="true"/>
              </w:rPr>
              <w:tab/>
            </w:r>
            <w:r>
              <w:rPr>
                <w:rStyle w:val="IndexLink"/>
              </w:rPr>
              <w:t>114</w:t>
            </w:r>
          </w:hyperlink>
        </w:p>
        <w:p>
          <w:pPr>
            <w:pStyle w:val="Contents4"/>
            <w:tabs>
              <w:tab w:val="clear" w:pos="8176"/>
              <w:tab w:val="right" w:pos="9026" w:leader="dot"/>
            </w:tabs>
            <w:rPr/>
          </w:pPr>
          <w:hyperlink w:anchor="__RefHeading___Toc3219773_2870459653">
            <w:r>
              <w:rPr>
                <w:webHidden/>
                <w:rStyle w:val="IndexLink"/>
                <w:rtl w:val="true"/>
              </w:rPr>
              <w:t>وجه دوّم</w:t>
            </w:r>
            <w:r>
              <w:rPr>
                <w:rStyle w:val="IndexLink"/>
                <w:rtl w:val="true"/>
              </w:rPr>
              <w:tab/>
            </w:r>
            <w:r>
              <w:rPr>
                <w:rStyle w:val="IndexLink"/>
              </w:rPr>
              <w:t>115</w:t>
            </w:r>
          </w:hyperlink>
        </w:p>
        <w:p>
          <w:pPr>
            <w:pStyle w:val="Contents4"/>
            <w:tabs>
              <w:tab w:val="clear" w:pos="8176"/>
              <w:tab w:val="right" w:pos="9026" w:leader="dot"/>
            </w:tabs>
            <w:rPr/>
          </w:pPr>
          <w:hyperlink w:anchor="__RefHeading___Toc3219775_2870459653">
            <w:r>
              <w:rPr>
                <w:webHidden/>
                <w:rStyle w:val="IndexLink"/>
                <w:rtl w:val="true"/>
              </w:rPr>
              <w:t>نقد وجه دوّم</w:t>
            </w:r>
            <w:r>
              <w:rPr>
                <w:rStyle w:val="IndexLink"/>
                <w:rtl w:val="true"/>
              </w:rPr>
              <w:tab/>
            </w:r>
            <w:r>
              <w:rPr>
                <w:rStyle w:val="IndexLink"/>
              </w:rPr>
              <w:t>115</w:t>
            </w:r>
          </w:hyperlink>
        </w:p>
        <w:p>
          <w:pPr>
            <w:pStyle w:val="Contents4"/>
            <w:tabs>
              <w:tab w:val="clear" w:pos="8176"/>
              <w:tab w:val="right" w:pos="9026" w:leader="dot"/>
            </w:tabs>
            <w:rPr/>
          </w:pPr>
          <w:hyperlink w:anchor="__RefHeading___Toc3219777_2870459653">
            <w:r>
              <w:rPr>
                <w:webHidden/>
                <w:rStyle w:val="IndexLink"/>
                <w:rtl w:val="true"/>
              </w:rPr>
              <w:t>وجه سوّم</w:t>
            </w:r>
            <w:r>
              <w:rPr>
                <w:rStyle w:val="IndexLink"/>
                <w:rtl w:val="true"/>
              </w:rPr>
              <w:tab/>
            </w:r>
            <w:r>
              <w:rPr>
                <w:rStyle w:val="IndexLink"/>
              </w:rPr>
              <w:t>115</w:t>
            </w:r>
          </w:hyperlink>
        </w:p>
        <w:p>
          <w:pPr>
            <w:pStyle w:val="Contents4"/>
            <w:tabs>
              <w:tab w:val="clear" w:pos="8176"/>
              <w:tab w:val="right" w:pos="9026" w:leader="dot"/>
            </w:tabs>
            <w:rPr/>
          </w:pPr>
          <w:hyperlink w:anchor="__RefHeading___Toc3219779_2870459653">
            <w:r>
              <w:rPr>
                <w:webHidden/>
                <w:rStyle w:val="IndexLink"/>
                <w:rtl w:val="true"/>
              </w:rPr>
              <w:t>نقد وجه سوّم</w:t>
            </w:r>
            <w:r>
              <w:rPr>
                <w:rStyle w:val="IndexLink"/>
                <w:rtl w:val="true"/>
              </w:rPr>
              <w:tab/>
            </w:r>
            <w:r>
              <w:rPr>
                <w:rStyle w:val="IndexLink"/>
              </w:rPr>
              <w:t>116</w:t>
            </w:r>
          </w:hyperlink>
        </w:p>
        <w:p>
          <w:pPr>
            <w:pStyle w:val="Contents4"/>
            <w:tabs>
              <w:tab w:val="clear" w:pos="8176"/>
              <w:tab w:val="right" w:pos="9026" w:leader="dot"/>
            </w:tabs>
            <w:rPr/>
          </w:pPr>
          <w:hyperlink w:anchor="__RefHeading___Toc3219781_2870459653">
            <w:r>
              <w:rPr>
                <w:webHidden/>
                <w:rStyle w:val="IndexLink"/>
                <w:rtl w:val="true"/>
              </w:rPr>
              <w:t>وجه چهارم</w:t>
            </w:r>
            <w:r>
              <w:rPr>
                <w:rStyle w:val="IndexLink"/>
                <w:rtl w:val="true"/>
              </w:rPr>
              <w:t xml:space="preserve">: </w:t>
            </w:r>
            <w:r>
              <w:rPr>
                <w:rStyle w:val="IndexLink"/>
                <w:rtl w:val="true"/>
              </w:rPr>
              <w:t>قول مرحوم آخوند در کفایه</w:t>
            </w:r>
            <w:r>
              <w:rPr>
                <w:rStyle w:val="IndexLink"/>
                <w:rtl w:val="true"/>
              </w:rPr>
              <w:tab/>
            </w:r>
            <w:r>
              <w:rPr>
                <w:rStyle w:val="IndexLink"/>
              </w:rPr>
              <w:t>116</w:t>
            </w:r>
          </w:hyperlink>
        </w:p>
        <w:p>
          <w:pPr>
            <w:pStyle w:val="Contents4"/>
            <w:tabs>
              <w:tab w:val="clear" w:pos="8176"/>
              <w:tab w:val="right" w:pos="9026" w:leader="dot"/>
            </w:tabs>
            <w:rPr/>
          </w:pPr>
          <w:hyperlink w:anchor="__RefHeading___Toc3219783_2870459653">
            <w:r>
              <w:rPr>
                <w:webHidden/>
                <w:rStyle w:val="IndexLink"/>
                <w:rtl w:val="true"/>
              </w:rPr>
              <w:t>اجمال قول آخوند</w:t>
            </w:r>
            <w:r>
              <w:rPr>
                <w:rStyle w:val="IndexLink"/>
                <w:rtl w:val="true"/>
              </w:rPr>
              <w:tab/>
            </w:r>
            <w:r>
              <w:rPr>
                <w:rStyle w:val="IndexLink"/>
              </w:rPr>
              <w:t>116</w:t>
            </w:r>
          </w:hyperlink>
        </w:p>
        <w:p>
          <w:pPr>
            <w:pStyle w:val="Contents4"/>
            <w:tabs>
              <w:tab w:val="clear" w:pos="8176"/>
              <w:tab w:val="right" w:pos="9026" w:leader="dot"/>
            </w:tabs>
            <w:rPr/>
          </w:pPr>
          <w:hyperlink w:anchor="__RefHeading___Toc3219785_2870459653">
            <w:r>
              <w:rPr>
                <w:webHidden/>
                <w:rStyle w:val="IndexLink"/>
                <w:rtl w:val="true"/>
              </w:rPr>
              <w:t>اجمال قول شیخ انصاری رحمه اللّه علیه</w:t>
            </w:r>
            <w:r>
              <w:rPr>
                <w:rStyle w:val="IndexLink"/>
                <w:rtl w:val="true"/>
              </w:rPr>
              <w:tab/>
            </w:r>
            <w:r>
              <w:rPr>
                <w:rStyle w:val="IndexLink"/>
              </w:rPr>
              <w:t>117</w:t>
            </w:r>
          </w:hyperlink>
        </w:p>
        <w:p>
          <w:pPr>
            <w:pStyle w:val="Contents4"/>
            <w:tabs>
              <w:tab w:val="clear" w:pos="8176"/>
              <w:tab w:val="right" w:pos="9026" w:leader="dot"/>
            </w:tabs>
            <w:rPr/>
          </w:pPr>
          <w:hyperlink w:anchor="__RefHeading___Toc3219787_2870459653">
            <w:r>
              <w:rPr>
                <w:webHidden/>
                <w:rStyle w:val="IndexLink"/>
                <w:rtl w:val="true"/>
              </w:rPr>
              <w:t>اشکال به مرحوم آخوند رحمه اللّه علیه</w:t>
            </w:r>
            <w:r>
              <w:rPr>
                <w:rStyle w:val="IndexLink"/>
                <w:rtl w:val="true"/>
              </w:rPr>
              <w:tab/>
            </w:r>
            <w:r>
              <w:rPr>
                <w:rStyle w:val="IndexLink"/>
              </w:rPr>
              <w:t>118</w:t>
            </w:r>
          </w:hyperlink>
        </w:p>
        <w:p>
          <w:pPr>
            <w:pStyle w:val="Contents4"/>
            <w:tabs>
              <w:tab w:val="clear" w:pos="8176"/>
              <w:tab w:val="right" w:pos="9026" w:leader="dot"/>
            </w:tabs>
            <w:rPr/>
          </w:pPr>
          <w:hyperlink w:anchor="__RefHeading___Toc3219789_2870459653">
            <w:r>
              <w:rPr>
                <w:webHidden/>
                <w:rStyle w:val="IndexLink"/>
                <w:rtl w:val="true"/>
              </w:rPr>
              <w:t>وجه پنجم</w:t>
            </w:r>
            <w:r>
              <w:rPr>
                <w:rStyle w:val="IndexLink"/>
                <w:rtl w:val="true"/>
              </w:rPr>
              <w:t xml:space="preserve">: </w:t>
            </w:r>
            <w:r>
              <w:rPr>
                <w:rStyle w:val="IndexLink"/>
                <w:rtl w:val="true"/>
              </w:rPr>
              <w:t>قول شیخ انصاری رحمه اللّه علیه</w:t>
            </w:r>
            <w:r>
              <w:rPr>
                <w:rStyle w:val="IndexLink"/>
                <w:rtl w:val="true"/>
              </w:rPr>
              <w:t>(</w:t>
            </w:r>
            <w:r>
              <w:rPr>
                <w:rStyle w:val="IndexLink"/>
                <w:rtl w:val="true"/>
              </w:rPr>
              <w:t>حکومت</w:t>
            </w:r>
            <w:r>
              <w:rPr>
                <w:rStyle w:val="IndexLink"/>
                <w:rtl w:val="true"/>
              </w:rPr>
              <w:t>)</w:t>
              <w:tab/>
            </w:r>
            <w:r>
              <w:rPr>
                <w:rStyle w:val="IndexLink"/>
              </w:rPr>
              <w:t>119</w:t>
            </w:r>
          </w:hyperlink>
        </w:p>
        <w:p>
          <w:pPr>
            <w:pStyle w:val="Contents4"/>
            <w:tabs>
              <w:tab w:val="clear" w:pos="8176"/>
              <w:tab w:val="right" w:pos="9026" w:leader="dot"/>
            </w:tabs>
            <w:rPr/>
          </w:pPr>
          <w:hyperlink w:anchor="__RefHeading___Toc3219791_2870459653">
            <w:r>
              <w:rPr>
                <w:webHidden/>
                <w:rStyle w:val="IndexLink"/>
                <w:rtl w:val="true"/>
              </w:rPr>
              <w:t>قول مرحوم نائینی در توضیح کلام شیخ انصاری در باب حکومت لاضرر</w:t>
            </w:r>
            <w:r>
              <w:rPr>
                <w:rStyle w:val="IndexLink"/>
                <w:rtl w:val="true"/>
              </w:rPr>
              <w:tab/>
            </w:r>
            <w:r>
              <w:rPr>
                <w:rStyle w:val="IndexLink"/>
              </w:rPr>
              <w:t>121</w:t>
            </w:r>
          </w:hyperlink>
        </w:p>
        <w:p>
          <w:pPr>
            <w:pStyle w:val="Contents4"/>
            <w:tabs>
              <w:tab w:val="clear" w:pos="8176"/>
              <w:tab w:val="right" w:pos="9026" w:leader="dot"/>
            </w:tabs>
            <w:rPr/>
          </w:pPr>
          <w:hyperlink w:anchor="__RefHeading___Toc3219793_2870459653">
            <w:r>
              <w:rPr>
                <w:webHidden/>
                <w:rStyle w:val="IndexLink"/>
                <w:rtl w:val="true"/>
              </w:rPr>
              <w:t>اجمال قول محقق نائینی</w:t>
            </w:r>
            <w:r>
              <w:rPr>
                <w:rStyle w:val="IndexLink"/>
                <w:rtl w:val="true"/>
              </w:rPr>
              <w:tab/>
            </w:r>
            <w:r>
              <w:rPr>
                <w:rStyle w:val="IndexLink"/>
              </w:rPr>
              <w:t>121</w:t>
            </w:r>
          </w:hyperlink>
        </w:p>
        <w:p>
          <w:pPr>
            <w:pStyle w:val="Contents4"/>
            <w:tabs>
              <w:tab w:val="clear" w:pos="8176"/>
              <w:tab w:val="right" w:pos="9026" w:leader="dot"/>
            </w:tabs>
            <w:rPr/>
          </w:pPr>
          <w:hyperlink w:anchor="__RefHeading___Toc3219795_2870459653">
            <w:r>
              <w:rPr>
                <w:webHidden/>
                <w:rStyle w:val="IndexLink"/>
                <w:rtl w:val="true"/>
              </w:rPr>
              <w:t>فرق قول شیخ رحمه اللّه علیه و مرحوم آخوند در این بحث</w:t>
            </w:r>
            <w:r>
              <w:rPr>
                <w:rStyle w:val="IndexLink"/>
                <w:rtl w:val="true"/>
              </w:rPr>
              <w:tab/>
            </w:r>
            <w:r>
              <w:rPr>
                <w:rStyle w:val="IndexLink"/>
              </w:rPr>
              <w:t>123</w:t>
            </w:r>
          </w:hyperlink>
        </w:p>
        <w:p>
          <w:pPr>
            <w:pStyle w:val="Contents4"/>
            <w:tabs>
              <w:tab w:val="clear" w:pos="8176"/>
              <w:tab w:val="right" w:pos="9026" w:leader="dot"/>
            </w:tabs>
            <w:rPr/>
          </w:pPr>
          <w:hyperlink w:anchor="__RefHeading___Toc3219797_2870459653">
            <w:r>
              <w:rPr>
                <w:webHidden/>
                <w:rStyle w:val="IndexLink"/>
                <w:rtl w:val="true"/>
              </w:rPr>
              <w:t>مقام اول</w:t>
            </w:r>
            <w:r>
              <w:rPr>
                <w:rStyle w:val="IndexLink"/>
                <w:rtl w:val="true"/>
              </w:rPr>
              <w:tab/>
            </w:r>
            <w:r>
              <w:rPr>
                <w:rStyle w:val="IndexLink"/>
              </w:rPr>
              <w:t>123</w:t>
            </w:r>
          </w:hyperlink>
        </w:p>
        <w:p>
          <w:pPr>
            <w:pStyle w:val="Contents4"/>
            <w:tabs>
              <w:tab w:val="clear" w:pos="8176"/>
              <w:tab w:val="right" w:pos="9026" w:leader="dot"/>
            </w:tabs>
            <w:rPr/>
          </w:pPr>
          <w:hyperlink w:anchor="__RefHeading___Toc3219799_2870459653">
            <w:r>
              <w:rPr>
                <w:webHidden/>
                <w:rStyle w:val="IndexLink"/>
                <w:rtl w:val="true"/>
              </w:rPr>
              <w:t>مقام دوّم</w:t>
            </w:r>
            <w:r>
              <w:rPr>
                <w:rStyle w:val="IndexLink"/>
                <w:rtl w:val="true"/>
              </w:rPr>
              <w:tab/>
            </w:r>
            <w:r>
              <w:rPr>
                <w:rStyle w:val="IndexLink"/>
              </w:rPr>
              <w:t>124</w:t>
            </w:r>
          </w:hyperlink>
        </w:p>
        <w:p>
          <w:pPr>
            <w:pStyle w:val="Contents4"/>
            <w:tabs>
              <w:tab w:val="clear" w:pos="8176"/>
              <w:tab w:val="right" w:pos="9026" w:leader="dot"/>
            </w:tabs>
            <w:rPr/>
          </w:pPr>
          <w:hyperlink w:anchor="__RefHeading___Toc3219801_2870459653">
            <w:r>
              <w:rPr>
                <w:webHidden/>
                <w:rStyle w:val="IndexLink"/>
                <w:rtl w:val="true"/>
              </w:rPr>
              <w:t>اشکال اول</w:t>
            </w:r>
            <w:r>
              <w:rPr>
                <w:rStyle w:val="IndexLink"/>
                <w:rtl w:val="true"/>
              </w:rPr>
              <w:tab/>
            </w:r>
            <w:r>
              <w:rPr>
                <w:rStyle w:val="IndexLink"/>
              </w:rPr>
              <w:t>125</w:t>
            </w:r>
          </w:hyperlink>
        </w:p>
        <w:p>
          <w:pPr>
            <w:pStyle w:val="Contents4"/>
            <w:tabs>
              <w:tab w:val="clear" w:pos="8176"/>
              <w:tab w:val="right" w:pos="9026" w:leader="dot"/>
            </w:tabs>
            <w:rPr/>
          </w:pPr>
          <w:hyperlink w:anchor="__RefHeading___Toc3219803_2870459653">
            <w:r>
              <w:rPr>
                <w:webHidden/>
                <w:rStyle w:val="IndexLink"/>
                <w:rtl w:val="true"/>
              </w:rPr>
              <w:t>اشکال دوم به کلام مرحوم نائینی</w:t>
            </w:r>
            <w:r>
              <w:rPr>
                <w:rStyle w:val="IndexLink"/>
                <w:rtl w:val="true"/>
              </w:rPr>
              <w:tab/>
            </w:r>
            <w:r>
              <w:rPr>
                <w:rStyle w:val="IndexLink"/>
              </w:rPr>
              <w:t>125</w:t>
            </w:r>
          </w:hyperlink>
        </w:p>
        <w:p>
          <w:pPr>
            <w:pStyle w:val="Contents4"/>
            <w:tabs>
              <w:tab w:val="clear" w:pos="8176"/>
              <w:tab w:val="right" w:pos="9026" w:leader="dot"/>
            </w:tabs>
            <w:rPr/>
          </w:pPr>
          <w:hyperlink w:anchor="__RefHeading___Toc3219805_2870459653">
            <w:r>
              <w:rPr>
                <w:webHidden/>
                <w:rStyle w:val="IndexLink"/>
                <w:rtl w:val="true"/>
              </w:rPr>
              <w:t>تقریب اشکال</w:t>
            </w:r>
            <w:r>
              <w:rPr>
                <w:rStyle w:val="IndexLink"/>
                <w:rtl w:val="true"/>
              </w:rPr>
              <w:tab/>
            </w:r>
            <w:r>
              <w:rPr>
                <w:rStyle w:val="IndexLink"/>
              </w:rPr>
              <w:t>125</w:t>
            </w:r>
          </w:hyperlink>
        </w:p>
        <w:p>
          <w:pPr>
            <w:pStyle w:val="Contents4"/>
            <w:tabs>
              <w:tab w:val="clear" w:pos="8176"/>
              <w:tab w:val="right" w:pos="9026" w:leader="dot"/>
            </w:tabs>
            <w:rPr/>
          </w:pPr>
          <w:hyperlink w:anchor="__RefHeading___Toc3219807_2870459653">
            <w:r>
              <w:rPr>
                <w:webHidden/>
                <w:rStyle w:val="IndexLink"/>
                <w:rtl w:val="true"/>
              </w:rPr>
              <w:t>اشکال سوم به مرحوم نائینی</w:t>
            </w:r>
            <w:r>
              <w:rPr>
                <w:rStyle w:val="IndexLink"/>
                <w:rtl w:val="true"/>
              </w:rPr>
              <w:tab/>
            </w:r>
            <w:r>
              <w:rPr>
                <w:rStyle w:val="IndexLink"/>
              </w:rPr>
              <w:t>126</w:t>
            </w:r>
          </w:hyperlink>
        </w:p>
        <w:p>
          <w:pPr>
            <w:pStyle w:val="Contents4"/>
            <w:tabs>
              <w:tab w:val="clear" w:pos="8176"/>
              <w:tab w:val="right" w:pos="9026" w:leader="dot"/>
            </w:tabs>
            <w:rPr/>
          </w:pPr>
          <w:hyperlink w:anchor="__RefHeading___Toc3219809_2870459653">
            <w:r>
              <w:rPr>
                <w:webHidden/>
                <w:rStyle w:val="IndexLink"/>
                <w:rtl w:val="true"/>
              </w:rPr>
              <w:t>سؤال پس دلیل تقدم حاکم بر محکوم چیست؟</w:t>
            </w:r>
            <w:r>
              <w:rPr>
                <w:rStyle w:val="IndexLink"/>
                <w:rtl w:val="true"/>
              </w:rPr>
              <w:tab/>
            </w:r>
            <w:r>
              <w:rPr>
                <w:rStyle w:val="IndexLink"/>
              </w:rPr>
              <w:t>126</w:t>
            </w:r>
          </w:hyperlink>
        </w:p>
        <w:p>
          <w:pPr>
            <w:pStyle w:val="Contents2"/>
            <w:tabs>
              <w:tab w:val="clear" w:pos="8743"/>
              <w:tab w:val="right" w:pos="9026" w:leader="dot"/>
            </w:tabs>
            <w:rPr/>
          </w:pPr>
          <w:hyperlink w:anchor="__RefHeading___Toc3219811_2870459653">
            <w:r>
              <w:rPr>
                <w:webHidden/>
                <w:rStyle w:val="IndexLink"/>
                <w:rtl w:val="true"/>
              </w:rPr>
              <w:t>تنبیه دوّم</w:t>
            </w:r>
            <w:r>
              <w:rPr>
                <w:rStyle w:val="IndexLink"/>
                <w:rtl w:val="true"/>
              </w:rPr>
              <w:t xml:space="preserve">: </w:t>
            </w:r>
            <w:r>
              <w:rPr>
                <w:rStyle w:val="IndexLink"/>
                <w:rtl w:val="true"/>
              </w:rPr>
              <w:t>مراد از ضرر، ضرر واقعی است یا ضرر معلوم؟</w:t>
            </w:r>
            <w:r>
              <w:rPr>
                <w:rStyle w:val="IndexLink"/>
                <w:rtl w:val="true"/>
              </w:rPr>
              <w:tab/>
            </w:r>
            <w:r>
              <w:rPr>
                <w:rStyle w:val="IndexLink"/>
              </w:rPr>
              <w:t>127</w:t>
            </w:r>
          </w:hyperlink>
        </w:p>
        <w:p>
          <w:pPr>
            <w:pStyle w:val="Contents3"/>
            <w:tabs>
              <w:tab w:val="clear" w:pos="8459"/>
              <w:tab w:val="right" w:pos="9026" w:leader="dot"/>
            </w:tabs>
            <w:rPr/>
          </w:pPr>
          <w:hyperlink w:anchor="__RefHeading___Toc3219813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3219815_2870459653">
            <w:r>
              <w:rPr>
                <w:webHidden/>
                <w:rStyle w:val="IndexLink"/>
                <w:rtl w:val="true"/>
              </w:rPr>
              <w:t>قول محقق نائینی</w:t>
            </w:r>
            <w:r>
              <w:rPr>
                <w:rStyle w:val="IndexLink"/>
                <w:rtl w:val="true"/>
              </w:rPr>
              <w:tab/>
            </w:r>
            <w:r>
              <w:rPr>
                <w:rStyle w:val="IndexLink"/>
              </w:rPr>
              <w:t>127</w:t>
            </w:r>
          </w:hyperlink>
        </w:p>
        <w:p>
          <w:pPr>
            <w:pStyle w:val="Contents3"/>
            <w:tabs>
              <w:tab w:val="clear" w:pos="8459"/>
              <w:tab w:val="right" w:pos="9026" w:leader="dot"/>
            </w:tabs>
            <w:rPr/>
          </w:pPr>
          <w:hyperlink w:anchor="__RefHeading___Toc3219817_2870459653">
            <w:r>
              <w:rPr>
                <w:webHidden/>
                <w:rStyle w:val="IndexLink"/>
                <w:rtl w:val="true"/>
              </w:rPr>
              <w:t>نقودی که بر بیانات محقق نائینی وارد می شود</w:t>
            </w:r>
            <w:r>
              <w:rPr>
                <w:rStyle w:val="IndexLink"/>
                <w:rtl w:val="true"/>
              </w:rPr>
              <w:tab/>
            </w:r>
            <w:r>
              <w:rPr>
                <w:rStyle w:val="IndexLink"/>
              </w:rPr>
              <w:t>130</w:t>
            </w:r>
          </w:hyperlink>
        </w:p>
        <w:p>
          <w:pPr>
            <w:pStyle w:val="Contents3"/>
            <w:tabs>
              <w:tab w:val="clear" w:pos="8459"/>
              <w:tab w:val="right" w:pos="9026" w:leader="dot"/>
            </w:tabs>
            <w:rPr/>
          </w:pPr>
          <w:hyperlink w:anchor="__RefHeading___Toc3219819_2870459653">
            <w:r>
              <w:rPr>
                <w:webHidden/>
                <w:rStyle w:val="IndexLink"/>
                <w:rtl w:val="true"/>
              </w:rPr>
              <w:t>خیار غبن</w:t>
            </w:r>
            <w:r>
              <w:rPr>
                <w:rStyle w:val="IndexLink"/>
                <w:rtl w:val="true"/>
              </w:rPr>
              <w:tab/>
            </w:r>
            <w:r>
              <w:rPr>
                <w:rStyle w:val="IndexLink"/>
              </w:rPr>
              <w:t>132</w:t>
            </w:r>
          </w:hyperlink>
        </w:p>
        <w:p>
          <w:pPr>
            <w:pStyle w:val="Contents3"/>
            <w:tabs>
              <w:tab w:val="clear" w:pos="8459"/>
              <w:tab w:val="right" w:pos="9026" w:leader="dot"/>
            </w:tabs>
            <w:rPr/>
          </w:pPr>
          <w:hyperlink w:anchor="__RefHeading___Toc3219821_2870459653">
            <w:r>
              <w:rPr>
                <w:webHidden/>
                <w:rStyle w:val="IndexLink"/>
                <w:rtl w:val="true"/>
              </w:rPr>
              <w:t>طرح اشکال</w:t>
            </w:r>
            <w:r>
              <w:rPr>
                <w:rStyle w:val="IndexLink"/>
                <w:rtl w:val="true"/>
              </w:rPr>
              <w:tab/>
            </w:r>
            <w:r>
              <w:rPr>
                <w:rStyle w:val="IndexLink"/>
              </w:rPr>
              <w:t>132</w:t>
            </w:r>
          </w:hyperlink>
        </w:p>
        <w:p>
          <w:pPr>
            <w:pStyle w:val="Contents3"/>
            <w:tabs>
              <w:tab w:val="clear" w:pos="8459"/>
              <w:tab w:val="right" w:pos="9026" w:leader="dot"/>
            </w:tabs>
            <w:rPr/>
          </w:pPr>
          <w:hyperlink w:anchor="__RefHeading___Toc3219823_2870459653">
            <w:r>
              <w:rPr>
                <w:webHidden/>
                <w:rStyle w:val="IndexLink"/>
                <w:rtl w:val="true"/>
              </w:rPr>
              <w:t>نقد فرمایش محقق نائینی</w:t>
            </w:r>
            <w:r>
              <w:rPr>
                <w:rStyle w:val="IndexLink"/>
                <w:rtl w:val="true"/>
              </w:rPr>
              <w:tab/>
            </w:r>
            <w:r>
              <w:rPr>
                <w:rStyle w:val="IndexLink"/>
              </w:rPr>
              <w:t>133</w:t>
            </w:r>
          </w:hyperlink>
        </w:p>
        <w:p>
          <w:pPr>
            <w:pStyle w:val="Contents3"/>
            <w:tabs>
              <w:tab w:val="clear" w:pos="8459"/>
              <w:tab w:val="right" w:pos="9026" w:leader="dot"/>
            </w:tabs>
            <w:rPr/>
          </w:pPr>
          <w:hyperlink w:anchor="__RefHeading___Toc3219825_2870459653">
            <w:r>
              <w:rPr>
                <w:webHidden/>
                <w:rStyle w:val="IndexLink"/>
                <w:rtl w:val="true"/>
              </w:rPr>
              <w:t>اشکال</w:t>
            </w:r>
            <w:r>
              <w:rPr>
                <w:rStyle w:val="IndexLink"/>
                <w:rtl w:val="true"/>
              </w:rPr>
              <w:tab/>
            </w:r>
            <w:r>
              <w:rPr>
                <w:rStyle w:val="IndexLink"/>
              </w:rPr>
              <w:t>133</w:t>
            </w:r>
          </w:hyperlink>
        </w:p>
        <w:p>
          <w:pPr>
            <w:pStyle w:val="Contents3"/>
            <w:tabs>
              <w:tab w:val="clear" w:pos="8459"/>
              <w:tab w:val="right" w:pos="9026" w:leader="dot"/>
            </w:tabs>
            <w:rPr/>
          </w:pPr>
          <w:hyperlink w:anchor="__RefHeading___Toc3219827_2870459653">
            <w:r>
              <w:rPr>
                <w:webHidden/>
                <w:rStyle w:val="IndexLink"/>
                <w:rtl w:val="true"/>
              </w:rPr>
              <w:t>اصول قانون چیست؟</w:t>
            </w:r>
            <w:r>
              <w:rPr>
                <w:rStyle w:val="IndexLink"/>
                <w:rtl w:val="true"/>
              </w:rPr>
              <w:tab/>
            </w:r>
            <w:r>
              <w:rPr>
                <w:rStyle w:val="IndexLink"/>
              </w:rPr>
              <w:t>133</w:t>
            </w:r>
          </w:hyperlink>
        </w:p>
        <w:p>
          <w:pPr>
            <w:pStyle w:val="Contents3"/>
            <w:tabs>
              <w:tab w:val="clear" w:pos="8459"/>
              <w:tab w:val="right" w:pos="9026" w:leader="dot"/>
            </w:tabs>
            <w:rPr/>
          </w:pPr>
          <w:hyperlink w:anchor="__RefHeading___Toc3219829_2870459653">
            <w:r>
              <w:rPr>
                <w:webHidden/>
                <w:rStyle w:val="IndexLink"/>
                <w:rtl w:val="true"/>
              </w:rPr>
              <w:t>فروعات تنبیه دوم</w:t>
            </w:r>
            <w:r>
              <w:rPr>
                <w:rStyle w:val="IndexLink"/>
                <w:rtl w:val="true"/>
              </w:rPr>
              <w:tab/>
            </w:r>
            <w:r>
              <w:rPr>
                <w:rStyle w:val="IndexLink"/>
              </w:rPr>
              <w:t>134</w:t>
            </w:r>
          </w:hyperlink>
        </w:p>
        <w:p>
          <w:pPr>
            <w:pStyle w:val="Contents3"/>
            <w:tabs>
              <w:tab w:val="clear" w:pos="8459"/>
              <w:tab w:val="right" w:pos="9026" w:leader="dot"/>
            </w:tabs>
            <w:rPr/>
          </w:pPr>
          <w:hyperlink w:anchor="__RefHeading___Toc3219831_2870459653">
            <w:r>
              <w:rPr>
                <w:webHidden/>
                <w:rStyle w:val="IndexLink"/>
                <w:rtl w:val="true"/>
              </w:rPr>
              <w:t>نظر ما در مورد فروعی که محقق نائینی رحمه اللّه علیه بیان فرمودند</w:t>
            </w:r>
            <w:r>
              <w:rPr>
                <w:rStyle w:val="IndexLink"/>
                <w:rtl w:val="true"/>
              </w:rPr>
              <w:tab/>
            </w:r>
            <w:r>
              <w:rPr>
                <w:rStyle w:val="IndexLink"/>
              </w:rPr>
              <w:t>137</w:t>
            </w:r>
          </w:hyperlink>
        </w:p>
        <w:p>
          <w:pPr>
            <w:pStyle w:val="Contents3"/>
            <w:tabs>
              <w:tab w:val="clear" w:pos="8459"/>
              <w:tab w:val="right" w:pos="9026" w:leader="dot"/>
            </w:tabs>
            <w:rPr/>
          </w:pPr>
          <w:hyperlink w:anchor="__RefHeading___Toc3219833_2870459653">
            <w:r>
              <w:rPr>
                <w:webHidden/>
                <w:rStyle w:val="IndexLink"/>
                <w:rtl w:val="true"/>
              </w:rPr>
              <w:t>بحث در مورد فرع سوم محقق نائینی رحمه اللّه علیه</w:t>
            </w:r>
            <w:r>
              <w:rPr>
                <w:rStyle w:val="IndexLink"/>
                <w:rtl w:val="true"/>
              </w:rPr>
              <w:tab/>
            </w:r>
            <w:r>
              <w:rPr>
                <w:rStyle w:val="IndexLink"/>
              </w:rPr>
              <w:t>139</w:t>
            </w:r>
          </w:hyperlink>
        </w:p>
        <w:p>
          <w:pPr>
            <w:pStyle w:val="Contents3"/>
            <w:tabs>
              <w:tab w:val="clear" w:pos="8459"/>
              <w:tab w:val="right" w:pos="9026" w:leader="dot"/>
            </w:tabs>
            <w:rPr/>
          </w:pPr>
          <w:hyperlink w:anchor="__RefHeading___Toc3219835_2870459653">
            <w:r>
              <w:rPr>
                <w:webHidden/>
                <w:rStyle w:val="IndexLink"/>
                <w:rtl w:val="true"/>
              </w:rPr>
              <w:t>اجمال بحث</w:t>
            </w:r>
            <w:r>
              <w:rPr>
                <w:rStyle w:val="IndexLink"/>
                <w:rtl w:val="true"/>
              </w:rPr>
              <w:tab/>
            </w:r>
            <w:r>
              <w:rPr>
                <w:rStyle w:val="IndexLink"/>
              </w:rPr>
              <w:t>139</w:t>
            </w:r>
          </w:hyperlink>
        </w:p>
        <w:p>
          <w:pPr>
            <w:pStyle w:val="Contents3"/>
            <w:tabs>
              <w:tab w:val="clear" w:pos="8459"/>
              <w:tab w:val="right" w:pos="9026" w:leader="dot"/>
            </w:tabs>
            <w:rPr/>
          </w:pPr>
          <w:hyperlink w:anchor="__RefHeading___Toc3219837_2870459653">
            <w:r>
              <w:rPr>
                <w:webHidden/>
                <w:rStyle w:val="IndexLink"/>
                <w:rtl w:val="true"/>
              </w:rPr>
              <w:t>حدیث اوّل</w:t>
            </w:r>
            <w:r>
              <w:rPr>
                <w:rStyle w:val="IndexLink"/>
                <w:rtl w:val="true"/>
              </w:rPr>
              <w:tab/>
            </w:r>
            <w:r>
              <w:rPr>
                <w:rStyle w:val="IndexLink"/>
              </w:rPr>
              <w:t>139</w:t>
            </w:r>
          </w:hyperlink>
        </w:p>
        <w:p>
          <w:pPr>
            <w:pStyle w:val="Contents3"/>
            <w:tabs>
              <w:tab w:val="clear" w:pos="8459"/>
              <w:tab w:val="right" w:pos="9026" w:leader="dot"/>
            </w:tabs>
            <w:rPr/>
          </w:pPr>
          <w:hyperlink w:anchor="__RefHeading___Toc3219839_2870459653">
            <w:r>
              <w:rPr>
                <w:webHidden/>
                <w:rStyle w:val="IndexLink"/>
                <w:rtl w:val="true"/>
              </w:rPr>
              <w:t>حدیث دوّم</w:t>
            </w:r>
            <w:r>
              <w:rPr>
                <w:rStyle w:val="IndexLink"/>
                <w:rtl w:val="true"/>
              </w:rPr>
              <w:tab/>
            </w:r>
            <w:r>
              <w:rPr>
                <w:rStyle w:val="IndexLink"/>
              </w:rPr>
              <w:t>140</w:t>
            </w:r>
          </w:hyperlink>
        </w:p>
        <w:p>
          <w:pPr>
            <w:pStyle w:val="Contents3"/>
            <w:tabs>
              <w:tab w:val="clear" w:pos="8459"/>
              <w:tab w:val="right" w:pos="9026" w:leader="dot"/>
            </w:tabs>
            <w:rPr/>
          </w:pPr>
          <w:hyperlink w:anchor="__RefHeading___Toc3219841_2870459653">
            <w:r>
              <w:rPr>
                <w:webHidden/>
                <w:rStyle w:val="IndexLink"/>
                <w:rtl w:val="true"/>
              </w:rPr>
              <w:t>روايت سوّم</w:t>
            </w:r>
            <w:r>
              <w:rPr>
                <w:rStyle w:val="IndexLink"/>
                <w:rtl w:val="true"/>
              </w:rPr>
              <w:tab/>
            </w:r>
            <w:r>
              <w:rPr>
                <w:rStyle w:val="IndexLink"/>
              </w:rPr>
              <w:t>141</w:t>
            </w:r>
          </w:hyperlink>
        </w:p>
        <w:p>
          <w:pPr>
            <w:pStyle w:val="Contents2"/>
            <w:tabs>
              <w:tab w:val="clear" w:pos="8743"/>
              <w:tab w:val="right" w:pos="9026" w:leader="dot"/>
            </w:tabs>
            <w:rPr/>
          </w:pPr>
          <w:hyperlink w:anchor="__RefHeading___Toc3219843_2870459653">
            <w:r>
              <w:rPr>
                <w:webHidden/>
                <w:rStyle w:val="IndexLink"/>
                <w:rtl w:val="true"/>
              </w:rPr>
              <w:t>تنبیه سوّم</w:t>
            </w:r>
            <w:r>
              <w:rPr>
                <w:rStyle w:val="IndexLink"/>
                <w:rtl w:val="true"/>
              </w:rPr>
              <w:t xml:space="preserve">: </w:t>
            </w:r>
            <w:r>
              <w:rPr>
                <w:rStyle w:val="IndexLink"/>
                <w:rtl w:val="true"/>
              </w:rPr>
              <w:t>لا ضرر نمی تواند اثبات حکم کند</w:t>
            </w:r>
            <w:r>
              <w:rPr>
                <w:rStyle w:val="IndexLink"/>
                <w:rtl w:val="true"/>
              </w:rPr>
              <w:tab/>
            </w:r>
            <w:r>
              <w:rPr>
                <w:rStyle w:val="IndexLink"/>
              </w:rPr>
              <w:t>142</w:t>
            </w:r>
          </w:hyperlink>
        </w:p>
        <w:p>
          <w:pPr>
            <w:pStyle w:val="Contents3"/>
            <w:tabs>
              <w:tab w:val="clear" w:pos="8459"/>
              <w:tab w:val="right" w:pos="9026" w:leader="dot"/>
            </w:tabs>
            <w:rPr/>
          </w:pPr>
          <w:hyperlink w:anchor="__RefHeading___Toc3219845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219847_2870459653">
            <w:r>
              <w:rPr>
                <w:webHidden/>
                <w:rStyle w:val="IndexLink"/>
                <w:rtl w:val="true"/>
              </w:rPr>
              <w:t>حدیث اوّل</w:t>
            </w:r>
            <w:r>
              <w:rPr>
                <w:rStyle w:val="IndexLink"/>
                <w:rtl w:val="true"/>
              </w:rPr>
              <w:tab/>
            </w:r>
            <w:r>
              <w:rPr>
                <w:rStyle w:val="IndexLink"/>
              </w:rPr>
              <w:t>147</w:t>
            </w:r>
          </w:hyperlink>
        </w:p>
        <w:p>
          <w:pPr>
            <w:pStyle w:val="Contents3"/>
            <w:tabs>
              <w:tab w:val="clear" w:pos="8459"/>
              <w:tab w:val="right" w:pos="9026" w:leader="dot"/>
            </w:tabs>
            <w:rPr/>
          </w:pPr>
          <w:hyperlink w:anchor="__RefHeading___Toc3219849_2870459653">
            <w:r>
              <w:rPr>
                <w:webHidden/>
                <w:rStyle w:val="IndexLink"/>
                <w:rtl w:val="true"/>
              </w:rPr>
              <w:t>حدیث دوّم</w:t>
            </w:r>
            <w:r>
              <w:rPr>
                <w:rStyle w:val="IndexLink"/>
                <w:rtl w:val="true"/>
              </w:rPr>
              <w:tab/>
            </w:r>
            <w:r>
              <w:rPr>
                <w:rStyle w:val="IndexLink"/>
              </w:rPr>
              <w:t>147</w:t>
            </w:r>
          </w:hyperlink>
        </w:p>
        <w:p>
          <w:pPr>
            <w:pStyle w:val="Contents3"/>
            <w:tabs>
              <w:tab w:val="clear" w:pos="8459"/>
              <w:tab w:val="right" w:pos="9026" w:leader="dot"/>
            </w:tabs>
            <w:rPr/>
          </w:pPr>
          <w:hyperlink w:anchor="__RefHeading___Toc3219851_2870459653">
            <w:r>
              <w:rPr>
                <w:webHidden/>
                <w:rStyle w:val="IndexLink"/>
                <w:rtl w:val="true"/>
              </w:rPr>
              <w:t>حدیث سوم</w:t>
            </w:r>
            <w:r>
              <w:rPr>
                <w:rStyle w:val="IndexLink"/>
                <w:rtl w:val="true"/>
              </w:rPr>
              <w:tab/>
            </w:r>
            <w:r>
              <w:rPr>
                <w:rStyle w:val="IndexLink"/>
              </w:rPr>
              <w:t>148</w:t>
            </w:r>
          </w:hyperlink>
        </w:p>
        <w:p>
          <w:pPr>
            <w:pStyle w:val="Contents3"/>
            <w:tabs>
              <w:tab w:val="clear" w:pos="8459"/>
              <w:tab w:val="right" w:pos="9026" w:leader="dot"/>
            </w:tabs>
            <w:rPr/>
          </w:pPr>
          <w:hyperlink w:anchor="__RefHeading___Toc3219853_2870459653">
            <w:r>
              <w:rPr>
                <w:webHidden/>
                <w:rStyle w:val="IndexLink"/>
                <w:rtl w:val="true"/>
              </w:rPr>
              <w:t>نقد نظریّه محقق نائینی در تنبیه سوم</w:t>
            </w:r>
            <w:r>
              <w:rPr>
                <w:rStyle w:val="IndexLink"/>
                <w:rtl w:val="true"/>
              </w:rPr>
              <w:tab/>
            </w:r>
            <w:r>
              <w:rPr>
                <w:rStyle w:val="IndexLink"/>
              </w:rPr>
              <w:t>149</w:t>
            </w:r>
          </w:hyperlink>
        </w:p>
        <w:p>
          <w:pPr>
            <w:pStyle w:val="Contents2"/>
            <w:tabs>
              <w:tab w:val="clear" w:pos="8743"/>
              <w:tab w:val="right" w:pos="9026" w:leader="dot"/>
            </w:tabs>
            <w:rPr/>
          </w:pPr>
          <w:hyperlink w:anchor="__RefHeading___Toc3219855_2870459653">
            <w:r>
              <w:rPr>
                <w:webHidden/>
                <w:rStyle w:val="IndexLink"/>
                <w:rtl w:val="true"/>
              </w:rPr>
              <w:t>تنبیه چهارم</w:t>
            </w:r>
            <w:r>
              <w:rPr>
                <w:rStyle w:val="IndexLink"/>
                <w:rtl w:val="true"/>
              </w:rPr>
              <w:t xml:space="preserve">: </w:t>
            </w:r>
            <w:r>
              <w:rPr>
                <w:rStyle w:val="IndexLink"/>
                <w:rtl w:val="true"/>
              </w:rPr>
              <w:t>مراد از ضرر، شخصی است یا نوعی؟</w:t>
            </w:r>
            <w:r>
              <w:rPr>
                <w:rStyle w:val="IndexLink"/>
                <w:rtl w:val="true"/>
              </w:rPr>
              <w:tab/>
            </w:r>
            <w:r>
              <w:rPr>
                <w:rStyle w:val="IndexLink"/>
              </w:rPr>
              <w:t>153</w:t>
            </w:r>
          </w:hyperlink>
        </w:p>
        <w:p>
          <w:pPr>
            <w:pStyle w:val="Contents3"/>
            <w:tabs>
              <w:tab w:val="clear" w:pos="8459"/>
              <w:tab w:val="right" w:pos="9026" w:leader="dot"/>
            </w:tabs>
            <w:rPr/>
          </w:pPr>
          <w:hyperlink w:anchor="__RefHeading___Toc3219857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3219859_2870459653">
            <w:r>
              <w:rPr>
                <w:webHidden/>
                <w:rStyle w:val="IndexLink"/>
                <w:rtl w:val="true"/>
              </w:rPr>
              <w:t>دلیل کسانی که مراد از ضرر را ضرر شخصی گرفته اند</w:t>
            </w:r>
            <w:r>
              <w:rPr>
                <w:rStyle w:val="IndexLink"/>
                <w:rtl w:val="true"/>
              </w:rPr>
              <w:tab/>
            </w:r>
            <w:r>
              <w:rPr>
                <w:rStyle w:val="IndexLink"/>
              </w:rPr>
              <w:t>153</w:t>
            </w:r>
          </w:hyperlink>
        </w:p>
        <w:p>
          <w:pPr>
            <w:pStyle w:val="Contents3"/>
            <w:tabs>
              <w:tab w:val="clear" w:pos="8459"/>
              <w:tab w:val="right" w:pos="9026" w:leader="dot"/>
            </w:tabs>
            <w:rPr/>
          </w:pPr>
          <w:hyperlink w:anchor="__RefHeading___Toc3219861_2870459653">
            <w:r>
              <w:rPr>
                <w:webHidden/>
                <w:rStyle w:val="IndexLink"/>
                <w:rtl w:val="true"/>
              </w:rPr>
              <w:t>دلیل شیخ انصاری و من تبع ایشان</w:t>
            </w:r>
            <w:r>
              <w:rPr>
                <w:rStyle w:val="IndexLink"/>
                <w:rtl w:val="true"/>
              </w:rPr>
              <w:tab/>
            </w:r>
            <w:r>
              <w:rPr>
                <w:rStyle w:val="IndexLink"/>
              </w:rPr>
              <w:t>154</w:t>
            </w:r>
          </w:hyperlink>
        </w:p>
        <w:p>
          <w:pPr>
            <w:pStyle w:val="Contents3"/>
            <w:tabs>
              <w:tab w:val="clear" w:pos="8459"/>
              <w:tab w:val="right" w:pos="9026" w:leader="dot"/>
            </w:tabs>
            <w:rPr/>
          </w:pPr>
          <w:hyperlink w:anchor="__RefHeading___Toc3219863_2870459653">
            <w:r>
              <w:rPr>
                <w:webHidden/>
                <w:rStyle w:val="IndexLink"/>
                <w:rtl w:val="true"/>
              </w:rPr>
              <w:t>نقد به کلام محقق نائینی</w:t>
            </w:r>
            <w:r>
              <w:rPr>
                <w:rStyle w:val="IndexLink"/>
                <w:rtl w:val="true"/>
              </w:rPr>
              <w:tab/>
            </w:r>
            <w:r>
              <w:rPr>
                <w:rStyle w:val="IndexLink"/>
              </w:rPr>
              <w:t>155</w:t>
            </w:r>
          </w:hyperlink>
        </w:p>
        <w:p>
          <w:pPr>
            <w:pStyle w:val="Contents3"/>
            <w:tabs>
              <w:tab w:val="clear" w:pos="8459"/>
              <w:tab w:val="right" w:pos="9026" w:leader="dot"/>
            </w:tabs>
            <w:rPr/>
          </w:pPr>
          <w:hyperlink w:anchor="__RefHeading___Toc3219865_2870459653">
            <w:r>
              <w:rPr>
                <w:webHidden/>
                <w:rStyle w:val="IndexLink"/>
                <w:rtl w:val="true"/>
              </w:rPr>
              <w:t>دلیل کسانی که مراد از ضرر را ضرر نوعی گرفته اند</w:t>
            </w:r>
            <w:r>
              <w:rPr>
                <w:rStyle w:val="IndexLink"/>
                <w:rtl w:val="true"/>
              </w:rPr>
              <w:tab/>
            </w:r>
            <w:r>
              <w:rPr>
                <w:rStyle w:val="IndexLink"/>
              </w:rPr>
              <w:t>156</w:t>
            </w:r>
          </w:hyperlink>
        </w:p>
        <w:p>
          <w:pPr>
            <w:pStyle w:val="Contents3"/>
            <w:tabs>
              <w:tab w:val="clear" w:pos="8459"/>
              <w:tab w:val="right" w:pos="9026" w:leader="dot"/>
            </w:tabs>
            <w:rPr/>
          </w:pPr>
          <w:hyperlink w:anchor="__RefHeading___Toc3219867_2870459653">
            <w:r>
              <w:rPr>
                <w:webHidden/>
                <w:rStyle w:val="IndexLink"/>
                <w:rtl w:val="true"/>
              </w:rPr>
              <w:t>دلیل اوّل</w:t>
            </w:r>
            <w:r>
              <w:rPr>
                <w:rStyle w:val="IndexLink"/>
                <w:rtl w:val="true"/>
              </w:rPr>
              <w:tab/>
            </w:r>
            <w:r>
              <w:rPr>
                <w:rStyle w:val="IndexLink"/>
              </w:rPr>
              <w:t>156</w:t>
            </w:r>
          </w:hyperlink>
        </w:p>
        <w:p>
          <w:pPr>
            <w:pStyle w:val="Contents3"/>
            <w:tabs>
              <w:tab w:val="clear" w:pos="8459"/>
              <w:tab w:val="right" w:pos="9026" w:leader="dot"/>
            </w:tabs>
            <w:rPr/>
          </w:pPr>
          <w:hyperlink w:anchor="__RefHeading___Toc3219869_2870459653">
            <w:r>
              <w:rPr>
                <w:webHidden/>
                <w:rStyle w:val="IndexLink"/>
                <w:rtl w:val="true"/>
              </w:rPr>
              <w:t>دلیل دوّم</w:t>
            </w:r>
            <w:r>
              <w:rPr>
                <w:rStyle w:val="IndexLink"/>
                <w:rtl w:val="true"/>
              </w:rPr>
              <w:t xml:space="preserve">: </w:t>
            </w:r>
            <w:r>
              <w:rPr>
                <w:rStyle w:val="IndexLink"/>
                <w:rtl w:val="true"/>
              </w:rPr>
              <w:t>استناد به حدیث شفعه</w:t>
            </w:r>
            <w:r>
              <w:rPr>
                <w:rStyle w:val="IndexLink"/>
                <w:rtl w:val="true"/>
              </w:rPr>
              <w:tab/>
            </w:r>
            <w:r>
              <w:rPr>
                <w:rStyle w:val="IndexLink"/>
              </w:rPr>
              <w:t>156</w:t>
            </w:r>
          </w:hyperlink>
        </w:p>
        <w:p>
          <w:pPr>
            <w:pStyle w:val="Contents3"/>
            <w:tabs>
              <w:tab w:val="clear" w:pos="8459"/>
              <w:tab w:val="right" w:pos="9026" w:leader="dot"/>
            </w:tabs>
            <w:rPr/>
          </w:pPr>
          <w:hyperlink w:anchor="__RefHeading___Toc3219871_2870459653">
            <w:r>
              <w:rPr>
                <w:webHidden/>
                <w:rStyle w:val="IndexLink"/>
                <w:rtl w:val="true"/>
              </w:rPr>
              <w:t>قول مرحوم مامقانی در حاشیه بر لاضرر شیخ انصاری رحمه اللّه علیه</w:t>
            </w:r>
            <w:r>
              <w:rPr>
                <w:rStyle w:val="IndexLink"/>
                <w:rtl w:val="true"/>
              </w:rPr>
              <w:tab/>
            </w:r>
            <w:r>
              <w:rPr>
                <w:rStyle w:val="IndexLink"/>
              </w:rPr>
              <w:t>157</w:t>
            </w:r>
          </w:hyperlink>
        </w:p>
        <w:p>
          <w:pPr>
            <w:pStyle w:val="Contents2"/>
            <w:tabs>
              <w:tab w:val="clear" w:pos="8743"/>
              <w:tab w:val="right" w:pos="9026" w:leader="dot"/>
            </w:tabs>
            <w:rPr/>
          </w:pPr>
          <w:hyperlink w:anchor="__RefHeading___Toc3219873_2870459653">
            <w:r>
              <w:rPr>
                <w:webHidden/>
                <w:rStyle w:val="IndexLink"/>
                <w:rtl w:val="true"/>
              </w:rPr>
              <w:t>تنبیه پنجم</w:t>
            </w:r>
            <w:r>
              <w:rPr>
                <w:rStyle w:val="IndexLink"/>
                <w:rtl w:val="true"/>
              </w:rPr>
              <w:t xml:space="preserve">: </w:t>
            </w:r>
            <w:r>
              <w:rPr>
                <w:rStyle w:val="IndexLink"/>
                <w:rtl w:val="true"/>
              </w:rPr>
              <w:t>تعارض ضررین</w:t>
            </w:r>
            <w:r>
              <w:rPr>
                <w:rStyle w:val="IndexLink"/>
                <w:rtl w:val="true"/>
              </w:rPr>
              <w:tab/>
            </w:r>
            <w:r>
              <w:rPr>
                <w:rStyle w:val="IndexLink"/>
              </w:rPr>
              <w:t>158</w:t>
            </w:r>
          </w:hyperlink>
        </w:p>
        <w:p>
          <w:pPr>
            <w:pStyle w:val="Contents3"/>
            <w:tabs>
              <w:tab w:val="clear" w:pos="8459"/>
              <w:tab w:val="right" w:pos="9026" w:leader="dot"/>
            </w:tabs>
            <w:rPr/>
          </w:pPr>
          <w:hyperlink w:anchor="__RefHeading___Toc3219875_2870459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3219877_2870459653">
            <w:r>
              <w:rPr>
                <w:webHidden/>
                <w:rStyle w:val="IndexLink"/>
                <w:rtl w:val="true"/>
              </w:rPr>
              <w:t>بررسی کلام محقق نائینی در بحث تعارض ضررین</w:t>
            </w:r>
            <w:r>
              <w:rPr>
                <w:rStyle w:val="IndexLink"/>
                <w:rtl w:val="true"/>
              </w:rPr>
              <w:tab/>
            </w:r>
            <w:r>
              <w:rPr>
                <w:rStyle w:val="IndexLink"/>
              </w:rPr>
              <w:t>160</w:t>
            </w:r>
          </w:hyperlink>
        </w:p>
        <w:p>
          <w:pPr>
            <w:pStyle w:val="Contents3"/>
            <w:tabs>
              <w:tab w:val="clear" w:pos="8459"/>
              <w:tab w:val="right" w:pos="9026" w:leader="dot"/>
            </w:tabs>
            <w:rPr/>
          </w:pPr>
          <w:hyperlink w:anchor="__RefHeading___Toc3219879_2870459653">
            <w:r>
              <w:rPr>
                <w:webHidden/>
                <w:rStyle w:val="IndexLink"/>
                <w:rtl w:val="true"/>
              </w:rPr>
              <w:t>آیا قاعده لاضرر می تواند حرمتِ توجه به غیر را بردارد یا خیر؟</w:t>
            </w:r>
            <w:r>
              <w:rPr>
                <w:rStyle w:val="IndexLink"/>
                <w:rtl w:val="true"/>
              </w:rPr>
              <w:tab/>
            </w:r>
            <w:r>
              <w:rPr>
                <w:rStyle w:val="IndexLink"/>
              </w:rPr>
              <w:t>161</w:t>
            </w:r>
          </w:hyperlink>
        </w:p>
        <w:p>
          <w:pPr>
            <w:pStyle w:val="Contents3"/>
            <w:tabs>
              <w:tab w:val="clear" w:pos="8459"/>
              <w:tab w:val="right" w:pos="9026" w:leader="dot"/>
            </w:tabs>
            <w:rPr/>
          </w:pPr>
          <w:hyperlink w:anchor="__RefHeading___Toc3219881_2870459653">
            <w:r>
              <w:rPr>
                <w:webHidden/>
                <w:rStyle w:val="IndexLink"/>
                <w:rtl w:val="true"/>
              </w:rPr>
              <w:t>بحث حرمت تکلیفی</w:t>
            </w:r>
            <w:r>
              <w:rPr>
                <w:rStyle w:val="IndexLink"/>
                <w:rtl w:val="true"/>
              </w:rPr>
              <w:tab/>
            </w:r>
            <w:r>
              <w:rPr>
                <w:rStyle w:val="IndexLink"/>
              </w:rPr>
              <w:t>161</w:t>
            </w:r>
          </w:hyperlink>
        </w:p>
        <w:p>
          <w:pPr>
            <w:pStyle w:val="Contents3"/>
            <w:tabs>
              <w:tab w:val="clear" w:pos="8459"/>
              <w:tab w:val="right" w:pos="9026" w:leader="dot"/>
            </w:tabs>
            <w:rPr/>
          </w:pPr>
          <w:hyperlink w:anchor="__RefHeading___Toc3219883_2870459653">
            <w:r>
              <w:rPr>
                <w:webHidden/>
                <w:rStyle w:val="IndexLink"/>
                <w:rtl w:val="true"/>
              </w:rPr>
              <w:t>بحث ضمان</w:t>
            </w:r>
            <w:r>
              <w:rPr>
                <w:rStyle w:val="IndexLink"/>
                <w:rtl w:val="true"/>
              </w:rPr>
              <w:tab/>
            </w:r>
            <w:r>
              <w:rPr>
                <w:rStyle w:val="IndexLink"/>
              </w:rPr>
              <w:t>162</w:t>
            </w:r>
          </w:hyperlink>
        </w:p>
        <w:p>
          <w:pPr>
            <w:pStyle w:val="Contents2"/>
            <w:tabs>
              <w:tab w:val="clear" w:pos="8743"/>
              <w:tab w:val="right" w:pos="9026" w:leader="dot"/>
            </w:tabs>
            <w:rPr/>
          </w:pPr>
          <w:hyperlink w:anchor="__RefHeading___Toc3219885_2870459653">
            <w:r>
              <w:rPr>
                <w:webHidden/>
                <w:rStyle w:val="IndexLink"/>
                <w:rtl w:val="true"/>
              </w:rPr>
              <w:t>تنبیه ششم</w:t>
            </w:r>
            <w:r>
              <w:rPr>
                <w:rStyle w:val="IndexLink"/>
                <w:rtl w:val="true"/>
              </w:rPr>
              <w:t xml:space="preserve">: </w:t>
            </w:r>
            <w:r>
              <w:rPr>
                <w:rStyle w:val="IndexLink"/>
                <w:rtl w:val="true"/>
              </w:rPr>
              <w:t>شمول قاعده برای ضرر اعتباری</w:t>
            </w:r>
            <w:r>
              <w:rPr>
                <w:rStyle w:val="IndexLink"/>
                <w:rtl w:val="true"/>
              </w:rPr>
              <w:tab/>
            </w:r>
            <w:r>
              <w:rPr>
                <w:rStyle w:val="IndexLink"/>
              </w:rPr>
              <w:t>168</w:t>
            </w:r>
          </w:hyperlink>
        </w:p>
        <w:p>
          <w:pPr>
            <w:pStyle w:val="Contents2"/>
            <w:tabs>
              <w:tab w:val="clear" w:pos="8743"/>
              <w:tab w:val="right" w:pos="9026" w:leader="dot"/>
            </w:tabs>
            <w:rPr/>
          </w:pPr>
          <w:hyperlink w:anchor="__RefHeading___Toc3219887_2870459653">
            <w:r>
              <w:rPr>
                <w:webHidden/>
                <w:rStyle w:val="IndexLink"/>
                <w:rtl w:val="true"/>
              </w:rPr>
              <w:t>تنبیه هفتم</w:t>
            </w:r>
            <w:r>
              <w:rPr>
                <w:rStyle w:val="IndexLink"/>
                <w:rtl w:val="true"/>
              </w:rPr>
              <w:t xml:space="preserve">: </w:t>
            </w:r>
            <w:r>
              <w:rPr>
                <w:rStyle w:val="IndexLink"/>
                <w:rtl w:val="true"/>
              </w:rPr>
              <w:t>دلالت قاعده لاضرر بر حرمت اضرار به نفس</w:t>
            </w:r>
            <w:r>
              <w:rPr>
                <w:rStyle w:val="IndexLink"/>
                <w:rtl w:val="true"/>
              </w:rPr>
              <w:tab/>
            </w:r>
            <w:r>
              <w:rPr>
                <w:rStyle w:val="IndexLink"/>
              </w:rPr>
              <w:t>172</w:t>
            </w:r>
          </w:hyperlink>
        </w:p>
        <w:p>
          <w:pPr>
            <w:pStyle w:val="Contents2"/>
            <w:tabs>
              <w:tab w:val="clear" w:pos="8743"/>
              <w:tab w:val="right" w:pos="9026" w:leader="dot"/>
            </w:tabs>
            <w:rPr/>
          </w:pPr>
          <w:hyperlink w:anchor="__RefHeading___Toc3219889_2870459653">
            <w:r>
              <w:rPr>
                <w:webHidden/>
                <w:rStyle w:val="IndexLink"/>
                <w:rtl w:val="true"/>
              </w:rPr>
              <w:t>تنبیه هشتم</w:t>
            </w:r>
            <w:r>
              <w:rPr>
                <w:rStyle w:val="IndexLink"/>
                <w:rtl w:val="true"/>
              </w:rPr>
              <w:t xml:space="preserve">: </w:t>
            </w:r>
            <w:r>
              <w:rPr>
                <w:rStyle w:val="IndexLink"/>
                <w:rtl w:val="true"/>
              </w:rPr>
              <w:t>تعارض ضرر مالک و غیر مالک</w:t>
            </w:r>
            <w:r>
              <w:rPr>
                <w:rStyle w:val="IndexLink"/>
                <w:rtl w:val="true"/>
              </w:rPr>
              <w:tab/>
            </w:r>
            <w:r>
              <w:rPr>
                <w:rStyle w:val="IndexLink"/>
              </w:rPr>
              <w:t>177</w:t>
            </w:r>
          </w:hyperlink>
        </w:p>
        <w:p>
          <w:pPr>
            <w:pStyle w:val="Contents3"/>
            <w:tabs>
              <w:tab w:val="clear" w:pos="8459"/>
              <w:tab w:val="right" w:pos="9026" w:leader="dot"/>
            </w:tabs>
            <w:rPr/>
          </w:pPr>
          <w:hyperlink w:anchor="__RefHeading___Toc3219891_287045965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219893_2870459653">
            <w:r>
              <w:rPr>
                <w:webHidden/>
                <w:rStyle w:val="IndexLink"/>
                <w:rtl w:val="true"/>
              </w:rPr>
              <w:t>امرِ اوّل</w:t>
            </w:r>
            <w:r>
              <w:rPr>
                <w:rStyle w:val="IndexLink"/>
                <w:rtl w:val="true"/>
              </w:rPr>
              <w:t xml:space="preserve">: </w:t>
            </w:r>
            <w:r>
              <w:rPr>
                <w:rStyle w:val="IndexLink"/>
                <w:rtl w:val="true"/>
              </w:rPr>
              <w:t>دلیلِ سَلطنت مالک بر اموالش چیست؟</w:t>
            </w:r>
            <w:r>
              <w:rPr>
                <w:rStyle w:val="IndexLink"/>
                <w:rtl w:val="true"/>
              </w:rPr>
              <w:tab/>
            </w:r>
            <w:r>
              <w:rPr>
                <w:rStyle w:val="IndexLink"/>
              </w:rPr>
              <w:t>177</w:t>
            </w:r>
          </w:hyperlink>
        </w:p>
        <w:p>
          <w:pPr>
            <w:pStyle w:val="Contents3"/>
            <w:tabs>
              <w:tab w:val="clear" w:pos="8459"/>
              <w:tab w:val="right" w:pos="9026" w:leader="dot"/>
            </w:tabs>
            <w:rPr/>
          </w:pPr>
          <w:hyperlink w:anchor="__RefHeading___Toc3219895_2870459653">
            <w:r>
              <w:rPr>
                <w:webHidden/>
                <w:rStyle w:val="IndexLink"/>
                <w:rtl w:val="true"/>
              </w:rPr>
              <w:t>امر دوّم</w:t>
            </w:r>
            <w:r>
              <w:rPr>
                <w:rStyle w:val="IndexLink"/>
                <w:rtl w:val="true"/>
              </w:rPr>
              <w:tab/>
            </w:r>
            <w:r>
              <w:rPr>
                <w:rStyle w:val="IndexLink"/>
              </w:rPr>
              <w:t>178</w:t>
            </w:r>
          </w:hyperlink>
        </w:p>
        <w:p>
          <w:pPr>
            <w:pStyle w:val="Contents3"/>
            <w:tabs>
              <w:tab w:val="clear" w:pos="8459"/>
              <w:tab w:val="right" w:pos="9026" w:leader="dot"/>
            </w:tabs>
            <w:rPr/>
          </w:pPr>
          <w:hyperlink w:anchor="__RefHeading___Toc3219897_2870459653">
            <w:r>
              <w:rPr>
                <w:webHidden/>
                <w:rStyle w:val="IndexLink"/>
                <w:rtl w:val="true"/>
              </w:rPr>
              <w:t>قول مرحوم آیة اللّه آقا ضیاء الدین عراقی در مقالات الأصول</w:t>
            </w:r>
            <w:r>
              <w:rPr>
                <w:rStyle w:val="IndexLink"/>
                <w:rtl w:val="true"/>
              </w:rPr>
              <w:tab/>
            </w:r>
            <w:r>
              <w:rPr>
                <w:rStyle w:val="IndexLink"/>
              </w:rPr>
              <w:t>181</w:t>
            </w:r>
          </w:hyperlink>
        </w:p>
        <w:p>
          <w:pPr>
            <w:pStyle w:val="Contents3"/>
            <w:tabs>
              <w:tab w:val="clear" w:pos="8459"/>
              <w:tab w:val="right" w:pos="9026" w:leader="dot"/>
            </w:tabs>
            <w:rPr/>
          </w:pPr>
          <w:hyperlink w:anchor="__RefHeading___Toc3219899_2870459653">
            <w:r>
              <w:rPr>
                <w:webHidden/>
                <w:rStyle w:val="IndexLink"/>
                <w:rtl w:val="true"/>
              </w:rPr>
              <w:t>صور سلطنت مالک با اضرار بر غیر</w:t>
            </w:r>
            <w:r>
              <w:rPr>
                <w:rStyle w:val="IndexLink"/>
                <w:rtl w:val="true"/>
              </w:rPr>
              <w:tab/>
            </w:r>
            <w:r>
              <w:rPr>
                <w:rStyle w:val="IndexLink"/>
              </w:rPr>
              <w:t>183</w:t>
            </w:r>
          </w:hyperlink>
        </w:p>
        <w:p>
          <w:pPr>
            <w:pStyle w:val="Contents3"/>
            <w:tabs>
              <w:tab w:val="clear" w:pos="8459"/>
              <w:tab w:val="right" w:pos="9026" w:leader="dot"/>
            </w:tabs>
            <w:rPr/>
          </w:pPr>
          <w:hyperlink w:anchor="__RefHeading___Toc3219901_2870459653">
            <w:r>
              <w:rPr>
                <w:webHidden/>
                <w:rStyle w:val="IndexLink"/>
                <w:rtl w:val="true"/>
              </w:rPr>
              <w:t>نظر فقها در مورد این صور و فروض</w:t>
            </w:r>
            <w:r>
              <w:rPr>
                <w:rStyle w:val="IndexLink"/>
                <w:rtl w:val="true"/>
              </w:rPr>
              <w:tab/>
            </w:r>
            <w:r>
              <w:rPr>
                <w:rStyle w:val="IndexLink"/>
              </w:rPr>
              <w:t>184</w:t>
            </w:r>
          </w:hyperlink>
        </w:p>
        <w:p>
          <w:pPr>
            <w:pStyle w:val="Contents3"/>
            <w:tabs>
              <w:tab w:val="clear" w:pos="8459"/>
              <w:tab w:val="right" w:pos="9026" w:leader="dot"/>
            </w:tabs>
            <w:rPr/>
          </w:pPr>
          <w:hyperlink w:anchor="__RefHeading___Toc3219903_2870459653">
            <w:r>
              <w:rPr>
                <w:webHidden/>
                <w:rStyle w:val="IndexLink"/>
                <w:rtl w:val="true"/>
              </w:rPr>
              <w:t>مستند قول اوّل</w:t>
            </w:r>
            <w:r>
              <w:rPr>
                <w:rStyle w:val="IndexLink"/>
                <w:rtl w:val="true"/>
              </w:rPr>
              <w:t xml:space="preserve">: </w:t>
            </w:r>
            <w:r>
              <w:rPr>
                <w:rStyle w:val="IndexLink"/>
                <w:rtl w:val="true"/>
              </w:rPr>
              <w:t>شیخ انصاری رحمه اللّه علیه می فرماید</w:t>
            </w:r>
            <w:r>
              <w:rPr>
                <w:rStyle w:val="IndexLink"/>
                <w:rtl w:val="true"/>
              </w:rPr>
              <w:t>:</w:t>
              <w:tab/>
            </w:r>
            <w:r>
              <w:rPr>
                <w:rStyle w:val="IndexLink"/>
              </w:rPr>
              <w:t>185</w:t>
            </w:r>
          </w:hyperlink>
        </w:p>
        <w:p>
          <w:pPr>
            <w:pStyle w:val="Contents3"/>
            <w:tabs>
              <w:tab w:val="clear" w:pos="8459"/>
              <w:tab w:val="right" w:pos="9026" w:leader="dot"/>
            </w:tabs>
            <w:rPr/>
          </w:pPr>
          <w:hyperlink w:anchor="__RefHeading___Toc3219905_2870459653">
            <w:r>
              <w:rPr>
                <w:webHidden/>
                <w:rStyle w:val="IndexLink"/>
                <w:rtl w:val="true"/>
              </w:rPr>
              <w:t>مناقشه قول شیخ انصاری</w:t>
            </w:r>
            <w:r>
              <w:rPr>
                <w:rStyle w:val="IndexLink"/>
                <w:rtl w:val="true"/>
              </w:rPr>
              <w:tab/>
            </w:r>
            <w:r>
              <w:rPr>
                <w:rStyle w:val="IndexLink"/>
              </w:rPr>
              <w:t>185</w:t>
            </w:r>
          </w:hyperlink>
        </w:p>
        <w:p>
          <w:pPr>
            <w:pStyle w:val="Contents3"/>
            <w:tabs>
              <w:tab w:val="clear" w:pos="8459"/>
              <w:tab w:val="right" w:pos="9026" w:leader="dot"/>
            </w:tabs>
            <w:rPr/>
          </w:pPr>
          <w:hyperlink w:anchor="__RefHeading___Toc3219907_2870459653">
            <w:r>
              <w:rPr>
                <w:webHidden/>
                <w:rStyle w:val="IndexLink"/>
                <w:rtl w:val="true"/>
              </w:rPr>
              <w:t>مناقشه دلیل اول</w:t>
            </w:r>
            <w:r>
              <w:rPr>
                <w:rStyle w:val="IndexLink"/>
                <w:rtl w:val="true"/>
              </w:rPr>
              <w:tab/>
            </w:r>
            <w:r>
              <w:rPr>
                <w:rStyle w:val="IndexLink"/>
              </w:rPr>
              <w:t>185</w:t>
            </w:r>
          </w:hyperlink>
        </w:p>
        <w:p>
          <w:pPr>
            <w:pStyle w:val="Contents3"/>
            <w:tabs>
              <w:tab w:val="clear" w:pos="8459"/>
              <w:tab w:val="right" w:pos="9026" w:leader="dot"/>
            </w:tabs>
            <w:rPr/>
          </w:pPr>
          <w:hyperlink w:anchor="__RefHeading___Toc3219909_2870459653">
            <w:r>
              <w:rPr>
                <w:webHidden/>
                <w:rStyle w:val="IndexLink"/>
                <w:rtl w:val="true"/>
              </w:rPr>
              <w:t>مناقشه دلیل دوّم</w:t>
            </w:r>
            <w:r>
              <w:rPr>
                <w:rStyle w:val="IndexLink"/>
                <w:rtl w:val="true"/>
              </w:rPr>
              <w:tab/>
            </w:r>
            <w:r>
              <w:rPr>
                <w:rStyle w:val="IndexLink"/>
              </w:rPr>
              <w:t>186</w:t>
            </w:r>
          </w:hyperlink>
        </w:p>
        <w:p>
          <w:pPr>
            <w:pStyle w:val="Contents3"/>
            <w:tabs>
              <w:tab w:val="clear" w:pos="8459"/>
              <w:tab w:val="right" w:pos="9026" w:leader="dot"/>
            </w:tabs>
            <w:rPr/>
          </w:pPr>
          <w:hyperlink w:anchor="__RefHeading___Toc3219911_2870459653">
            <w:r>
              <w:rPr>
                <w:webHidden/>
                <w:rStyle w:val="IndexLink"/>
                <w:rtl w:val="true"/>
              </w:rPr>
              <w:t>آیا قاعده ضمان شامل ضرر مالک به همسایه می شود؟</w:t>
            </w:r>
            <w:r>
              <w:rPr>
                <w:rStyle w:val="IndexLink"/>
                <w:rtl w:val="true"/>
              </w:rPr>
              <w:tab/>
            </w:r>
            <w:r>
              <w:rPr>
                <w:rStyle w:val="IndexLink"/>
              </w:rPr>
              <w:t>190</w:t>
            </w:r>
          </w:hyperlink>
        </w:p>
        <w:p>
          <w:pPr>
            <w:pStyle w:val="Contents3"/>
            <w:tabs>
              <w:tab w:val="clear" w:pos="8459"/>
              <w:tab w:val="right" w:pos="9026" w:leader="dot"/>
            </w:tabs>
            <w:rPr/>
          </w:pPr>
          <w:hyperlink w:anchor="__RefHeading___Toc3219913_2870459653">
            <w:r>
              <w:rPr>
                <w:webHidden/>
                <w:rStyle w:val="IndexLink"/>
                <w:rtl w:val="true"/>
              </w:rPr>
              <w:t>آیا نقصِ در قیمتِ سوقیه موجبِ ضمان است؟</w:t>
            </w:r>
            <w:r>
              <w:rPr>
                <w:rStyle w:val="IndexLink"/>
                <w:rtl w:val="true"/>
              </w:rPr>
              <w:tab/>
            </w:r>
            <w:r>
              <w:rPr>
                <w:rStyle w:val="IndexLink"/>
              </w:rPr>
              <w:t>191</w:t>
            </w:r>
          </w:hyperlink>
        </w:p>
        <w:p>
          <w:pPr>
            <w:pStyle w:val="Contents2"/>
            <w:tabs>
              <w:tab w:val="clear" w:pos="8743"/>
              <w:tab w:val="right" w:pos="9026" w:leader="dot"/>
            </w:tabs>
            <w:rPr/>
          </w:pPr>
          <w:hyperlink w:anchor="__RefHeading___Toc3219915_2870459653">
            <w:r>
              <w:rPr>
                <w:webHidden/>
                <w:rStyle w:val="IndexLink"/>
                <w:rtl w:val="true"/>
              </w:rPr>
              <w:t>تنبیه نهم</w:t>
            </w:r>
            <w:r>
              <w:rPr>
                <w:rStyle w:val="IndexLink"/>
                <w:rtl w:val="true"/>
              </w:rPr>
              <w:t xml:space="preserve">: </w:t>
            </w:r>
            <w:r>
              <w:rPr>
                <w:rStyle w:val="IndexLink"/>
                <w:rtl w:val="true"/>
              </w:rPr>
              <w:t>برخی از تطبيقات قاعده لاضرر</w:t>
            </w:r>
            <w:r>
              <w:rPr>
                <w:rStyle w:val="IndexLink"/>
                <w:rtl w:val="true"/>
              </w:rPr>
              <w:tab/>
            </w:r>
            <w:r>
              <w:rPr>
                <w:rStyle w:val="IndexLink"/>
              </w:rPr>
              <w:t>193</w:t>
            </w:r>
          </w:hyperlink>
        </w:p>
        <w:p>
          <w:pPr>
            <w:pStyle w:val="Contents2"/>
            <w:tabs>
              <w:tab w:val="clear" w:pos="8743"/>
              <w:tab w:val="right" w:pos="9026" w:leader="dot"/>
            </w:tabs>
            <w:rPr/>
          </w:pPr>
          <w:hyperlink w:anchor="__RefHeading___Toc3219917_2870459653">
            <w:r>
              <w:rPr>
                <w:webHidden/>
                <w:rStyle w:val="IndexLink"/>
                <w:rtl w:val="true"/>
              </w:rPr>
              <w:t>فهرست منابع</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35_79556"/>
      <w:bookmarkStart w:id="1" w:name="pg9135_79556"/>
      <w:bookmarkEnd w:id="1"/>
    </w:p>
    <w:p>
      <w:pPr>
        <w:pStyle w:val="Heading2"/>
        <w:numPr>
          <w:ilvl w:val="1"/>
          <w:numId w:val="1"/>
        </w:numPr>
        <w:rPr/>
      </w:pPr>
      <w:bookmarkStart w:id="2" w:name="pg9135_79556"/>
      <w:bookmarkStart w:id="3" w:name="__RefHeading___Toc321944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 هادی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تقریر دروس آیه الله هادی نجفی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سیدمرتضی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تقریر دروس آیه الله هادی نجفی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Lazarar formula (Islamic law)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سیدمرتضی،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BP169/52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5970798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944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35_79558"/>
      <w:bookmarkStart w:id="8" w:name="pg9135_79558"/>
      <w:bookmarkEnd w:id="8"/>
    </w:p>
    <w:p>
      <w:pPr>
        <w:pStyle w:val="Heading2"/>
        <w:numPr>
          <w:ilvl w:val="1"/>
          <w:numId w:val="1"/>
        </w:numPr>
        <w:rPr/>
      </w:pPr>
      <w:bookmarkStart w:id="9" w:name="pg9135_79558"/>
      <w:bookmarkStart w:id="10" w:name="__RefHeading___Toc321945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بحث</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قاعدۀ لاضرر در استنباط احکام شرعی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بودن قاعده لا ضرر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قاعده لا ضرر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که از قاعده لاضرر شده است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مستند قاعده لاضرر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قاعده لاضرر را بر موردش تطبیق کرده است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ascii="Amiri" w:hAnsi="Amiri" w:eastAsia="Amiri" w:cs="Amiri"/>
          <w:color w:val="111111"/>
          <w:sz w:val="28"/>
          <w:sz w:val="28"/>
          <w:szCs w:val="28"/>
          <w:rtl w:val="true"/>
          <w:lang w:bidi="ar-SA"/>
        </w:rPr>
        <w:t>مَنَعَ فَضْلَ الْمَاءِ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Amiri" w:hAnsi="Amiri" w:eastAsia="Amiri" w:cs="Amiri"/>
          <w:color w:val="111111"/>
          <w:sz w:val="28"/>
          <w:sz w:val="28"/>
          <w:szCs w:val="28"/>
          <w:rtl w:val="true"/>
          <w:lang w:bidi="ar-SA"/>
        </w:rPr>
        <w:t>هَدَمَ الْحَائِطِ</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ascii="Amiri" w:hAnsi="Amiri" w:eastAsia="Amiri" w:cs="Amiri"/>
          <w:color w:val="111111"/>
          <w:sz w:val="28"/>
          <w:sz w:val="28"/>
          <w:szCs w:val="28"/>
          <w:rtl w:val="true"/>
          <w:lang w:bidi="ar-SA"/>
        </w:rPr>
        <w:t>قِسْمَةُ الْعَيْنِ الْمُشْتَرَكَةَ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مورد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عَذْقُ أَبِي لُبَابَةَ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 حديث مَشَارِبِ النَّخْلِ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ascii="Amiri" w:hAnsi="Amiri" w:eastAsia="Amiri" w:cs="Amiri"/>
          <w:color w:val="111111"/>
          <w:sz w:val="28"/>
          <w:sz w:val="28"/>
          <w:szCs w:val="28"/>
          <w:rtl w:val="true"/>
          <w:lang w:bidi="ar-SA"/>
        </w:rPr>
        <w:t>جَعَلَ اَلْخَشَبُهُ فِي حَائِطِ الْجَارِ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فقط نص قاعده لا ضرر را در بردارد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روایت شانزدهم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روایت هفدهم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روایت هجدهم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روایت نوزدهم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روایت بیستم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روایت بیست و یکم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روایت بیست و دوم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روایت بیست و سوم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روایت بیست و چهارم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روایت بیست و پنجم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روایت بیست و ششم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روایت بیست و هفتم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از نظر متن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عَلِيِّ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 ضرر و لا ضرار یک جملهٔ مستقل است؟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روایات عامه</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شیعه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بررسی روایات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دو روايت عقبة بن خالد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خالد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خالد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نقد دو نظریهٔ محقّق نائینی رحمه اللّه علیه و آیة اللّه خوئی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بررسی قول شيخ الشريعة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بررسی کتاب مسند احمد بن حنبل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اشکالاتی دیگر بر جناب شيخ الشريعة رحمه اللّه علیه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مفردات قاعده لا ضرر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نظر بزرگان در مورد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عدم النفع ضرر گفته می شود یا خیر؟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آیا ضرر در عِرض هم ثابت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هیئت ضرار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معنای ضرار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مفاد هیئت ترکیبیه لا ضرر و لا ضرار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انصاری رحمه اللّه علیه بر نفی حکم ضرری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ضرر و ضرار به نهی مولوی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دلیل اوّل شيخ الشريعة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مناقشة در كلام شيخ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دليل دوّم شيخ الشريعة رحمه اللّه علیه</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دوّم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سوّم شيخ الشريعة</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دلیل چهارم شيخ الشريعة</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کفایه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حکم به لسان نفی موضوع</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فرق بین کلام صاحب کفایه و شیخ انصاری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مناقشه در قول صاحب كفايه رحمه اللّه علیه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غیر متدارک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مناقشه در کلام فاضل تونی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شخص موجب تنقیص شیء از حقوق او نمی شود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اشکال بر وجه پنجم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سلطانی و حکم ولائی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مقدمه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مناقشه ادله وجه ششم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آیة اللّه سیستانی حفظه اللّه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توضیح اجمالی کلام ایشان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مناقشه کلام آیة اللّه سیستانی 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مختار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تنبیهات قاعده لا ضرر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قاعده لا ضرر و ادله احکام شرعیه جمع کنیم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آخوند در کفایه</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مرحوم آخوند رحمه اللّه علیه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شیخ انصاری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قول مرحوم نائینی در توضیح کلام شیخ انصاری در باب حکومت لا ضرر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اجمال قول محقّق نائینی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فرق قول شیخ رحمه اللّه علیه و مرحوم آخوند در این بحث</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 در قاعده لاضرر ضرر واقعی است یا ضرر معلوم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قول محقق نائینی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نقودی که بر بیانات محقق نائینی وارد می شود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اصول قانون چیست؟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فروعات تنبیه دوم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نظر ما در مورد فروعی که محقق نائینی رحمه اللّه علیه بیان فرمودند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تنبيه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حدیث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نقد نظریّه محقق نائینی در تنبیه سوّم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 ضرر شخصی یا ضرر نوعی است؟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دلیل کسانی که مراد از ضرر را ضرر شخصی گرفته اند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دلیل شیخ انصاری و من تبع ایشان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نقد به کلام محقق نائینی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دلیل کسانی که مراد از ضرر را ضرر نوعی گرفته اند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حدیث شفعه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قول مرحوم مامقانی در حاشیه بر لاضرر شیخ انصاری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ضررین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بررسی کلام محقق نائینی در بحث تعارض ضررین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آیا قاعده لا ضرر می تواند حرمتِ توجّه به غیر را بردارد یا خیر؟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بحث حرمت تکلیفی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بحث ضمان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قاعده برای ضرر اعتباری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قاعده لاضرر بر حرمت اضرار به نفس</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تنبیه هشتم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سلطنت مالک بر اموالش چیست؟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قول مرحوم آیة اللّه آقا ضیاء الدین عراقی در مقالات الأصول</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صور سلطنت مالک با اضرار بر غیر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نظر فقها در مورد این صور و فروض</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علیه می فرماید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مناقشه قول شیخ انصاری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مناقشه دلیل اول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مناقشه دلیل دوّم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آیا قاعده ضمان شامل ضرر مالک به همسایه می شود؟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آیا نقصِ در قیمتِ سوقیّه موجبِ ضمان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تنبیه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تطبیقات قاعده لا ضرر</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12" w:name="pg9135_79566"/>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3219453_2870459653"/>
      <w:bookmarkStart w:id="14" w:name="_Toc4"/>
      <w:bookmarkEnd w:id="13"/>
      <w:r>
        <w:rPr>
          <w:rtl w:val="true"/>
        </w:rPr>
        <w:t>تَمهید</w:t>
      </w:r>
      <w:bookmarkEnd w:id="14"/>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الْأَنْبِيَاءِ وَ الْمُرْسَلِينَ مُحَمَّدٍ وَ عَلَى آلِهِ الْهُدَاةِ الْمَهْدِيِّينَ الْغُرِّ الْمَيَامِينِ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معروف فقهی که در ابواب مختلف به آن استناد می شود و آثار فراوانی را به دنبال دارد قاعده لاضرر می باشد اهمیت این قاعده به عنوان یکی از قواعد اساسی و بنیادین به حدی است که در بیشتر ابواب فقه اعم از عبادات و معاملات مورد استناد و استفاده قرار گرفته است و حتی از آن به اصول القانون یاد کرده اند اهمیت این قاعده به حدی است که بسیاری از فقها در تألیفات و تقریرات خود رساله مستقلی را به آن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معظم آیة اللّه آقای حاج شیخ هادی نجفی دَامَ ظِلُّهُ در دورۀ دوم درس خارج اصول از تاریخ </w:t>
      </w:r>
      <w:r>
        <w:rPr>
          <w:rFonts w:eastAsia="IRNazanin" w:cs="IRNazanin"/>
          <w:color w:val="111111"/>
          <w:sz w:val="28"/>
          <w:szCs w:val="28"/>
          <w:lang w:bidi="fa-IR"/>
        </w:rPr>
        <w:t>1396/12/19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حوزه علمیه اصفهان، و در مدرسه صدر بازار به این بحث پرداختند و آن چه در این رساله تدوین شده است استفاده این حقیر از تقریر بحوث ایشان می باشد و صوت این دروس بر روی سایت استاد محترم به آدرس </w:t>
      </w:r>
      <w:r>
        <w:rPr>
          <w:rFonts w:eastAsia="Times New Roman" w:cs="Times New Roman" w:ascii="Times New Roman" w:hAnsi="Times New Roman"/>
          <w:color w:val="111111"/>
          <w:sz w:val="28"/>
          <w:szCs w:val="28"/>
          <w:lang w:val="en-US" w:bidi="en-US"/>
        </w:rPr>
        <w:t>Alnajafi.ir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 و بدیهی است در فرض تعارض بین این نوشتار با صوت استاد، جلسه درس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ابهامی در این نوشتار وجود دارد با استفاده از صوت جلسات درس می تواند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این کوشش مورد رضایت امام زمان عجل اللّه تعالی فرجه الشریف و استفاده علما طلاب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 اللَّهَ تَعَالَى أَنْ يُوَفِّقَ الْجَمِيعِ لِلْعِلْمِ وَ الْعَمَلُ الصَّالِحِينَ إِنَّهُ جَوَادُ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سجادی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135_79568"/>
      <w:bookmarkStart w:id="16" w:name="pg9135_79568"/>
      <w:bookmarkEnd w:id="16"/>
    </w:p>
    <w:p>
      <w:pPr>
        <w:pStyle w:val="Heading2"/>
        <w:numPr>
          <w:ilvl w:val="1"/>
          <w:numId w:val="1"/>
        </w:numPr>
        <w:rPr/>
      </w:pPr>
      <w:bookmarkStart w:id="17" w:name="pg9135_79568"/>
      <w:bookmarkStart w:id="18" w:name="__RefHeading___Toc3219455_2870459653"/>
      <w:bookmarkStart w:id="19" w:name="_Toc5"/>
      <w:bookmarkEnd w:id="17"/>
      <w:bookmarkEnd w:id="18"/>
      <w:r>
        <w:rPr>
          <w:rtl w:val="true"/>
        </w:rPr>
        <w:t>مقدمه بحث</w:t>
      </w:r>
      <w:bookmarkEnd w:id="19"/>
    </w:p>
    <w:p>
      <w:pPr>
        <w:pStyle w:val="Heading3"/>
        <w:numPr>
          <w:ilvl w:val="2"/>
          <w:numId w:val="1"/>
        </w:numPr>
        <w:rPr/>
      </w:pPr>
      <w:bookmarkStart w:id="20" w:name="__RefHeading___Toc3219457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قاعده لاضرر از جمله قواعد فقهیه ای است که مختص به یک باب از ابواب فقه نیست و از باب طهارت تا آخر باب دیات جاری می شود و به همین جهت شایسته است که به دقت مورد بحث و بررسی قرار گیرد قبل از این که به بحث و بررسی این قاعده بپردازیم، لازم است چند مطلب را به عنوان مقدمه در مورد این قاعده متذکر شویم</w:t>
      </w:r>
      <w:r>
        <w:rPr>
          <w:rFonts w:eastAsia="IRNazanin" w:cs="IRNazanin"/>
          <w:color w:val="111111"/>
          <w:sz w:val="28"/>
          <w:szCs w:val="28"/>
          <w:rtl w:val="true"/>
          <w:lang w:bidi="fa-IR"/>
        </w:rPr>
        <w:t>:</w:t>
      </w:r>
    </w:p>
    <w:p>
      <w:pPr>
        <w:pStyle w:val="Heading3"/>
        <w:numPr>
          <w:ilvl w:val="2"/>
          <w:numId w:val="1"/>
        </w:numPr>
        <w:rPr/>
      </w:pPr>
      <w:bookmarkStart w:id="22" w:name="__RefHeading___Toc3219459_2870459653"/>
      <w:bookmarkStart w:id="23" w:name="_Toc7"/>
      <w:bookmarkEnd w:id="22"/>
      <w:r>
        <w:rPr>
          <w:rtl w:val="true"/>
        </w:rPr>
        <w:t>اوّل</w:t>
      </w:r>
      <w:r>
        <w:rPr>
          <w:rtl w:val="true"/>
        </w:rPr>
        <w:t xml:space="preserve">: </w:t>
      </w:r>
      <w:r>
        <w:rPr>
          <w:rtl w:val="true"/>
        </w:rPr>
        <w:t>اهمیت و جایگاه قاعدۀ لا ضرر در استنباط احکام شرعی</w:t>
      </w:r>
      <w:bookmarkEnd w:id="23"/>
    </w:p>
    <w:p>
      <w:pPr>
        <w:pStyle w:val="BookText"/>
        <w:rPr/>
      </w:pPr>
      <w:r>
        <w:rPr>
          <w:rFonts w:ascii="IRNazanin" w:hAnsi="IRNazanin" w:eastAsia="IRNazanin"/>
          <w:color w:val="111111"/>
          <w:sz w:val="28"/>
          <w:sz w:val="28"/>
          <w:szCs w:val="28"/>
          <w:rtl w:val="true"/>
          <w:lang w:bidi="fa-IR"/>
        </w:rPr>
        <w:t>شهید اوّل این قاعده را جزء قواعد پنج گانه ای ذکر کرده است که امکان دارد احکام شرعی به آن ها باز گردد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ابی طاهر دبّاس از فقهاء حنفیه آن را جزء قواعد فقهیه ای ذکر می کند که همة فقه حنفیه از آن استنباط می 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قاضی حسین از فقهای مذهب شافعی آن را از قواعد چهار گانه یا پنج گانه ای می داند که تمام مذهب فقهی شافعی از آن استنباط می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مورد این پنج قاعده مذهب شافعی این ابیات را گفته 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خمسّ مقرّرةّ قواعد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 فكن بهنّ خبيراً</w:t>
      </w:r>
    </w:p>
    <w:p>
      <w:pPr>
        <w:pStyle w:val="BookText"/>
        <w:rPr/>
      </w:pPr>
      <w:r>
        <w:rPr>
          <w:rFonts w:ascii="Amiri" w:hAnsi="Amiri" w:eastAsia="Amiri" w:cs="Amiri"/>
          <w:color w:val="111111"/>
          <w:sz w:val="28"/>
          <w:sz w:val="28"/>
          <w:szCs w:val="28"/>
          <w:rtl w:val="true"/>
          <w:lang w:bidi="ar-SA"/>
        </w:rPr>
        <w:t xml:space="preserve">ضررٌ لايزال و عادةً قد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لِلْمَشِّقَّه تجلب التيسيراً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الشك لاترفع به متیقناً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القصدُ أخْلِص إنْ أَرَدْتَ أجوراً </w:t>
      </w:r>
      <w:bookmarkStart w:id="24" w:name="pg9135_79569"/>
    </w:p>
    <w:p>
      <w:pPr>
        <w:pStyle w:val="BookText"/>
        <w:rPr/>
      </w:pPr>
      <w:bookmarkEnd w:id="2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قاعده ای که مذهب شافعی از آن استنباط می شود نسبت به آن 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لا ضرر و قاعده عادت که این قاعده چه اقتضا دارد و هم چنین برای مشقت که جلب می کند آسانی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متیقن، به شک رفع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و نیت را خالص گردان تا مأجور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را به چه قصدی انجام می دهد</w:t>
      </w:r>
      <w:r>
        <w:rPr>
          <w:rFonts w:eastAsia="IRNazanin" w:cs="IRNazanin"/>
          <w:color w:val="111111"/>
          <w:sz w:val="28"/>
          <w:szCs w:val="28"/>
          <w:rtl w:val="true"/>
          <w:lang w:bidi="fa-IR"/>
        </w:rPr>
        <w:t>).</w:t>
      </w:r>
    </w:p>
    <w:p>
      <w:pPr>
        <w:pStyle w:val="Heading3"/>
        <w:numPr>
          <w:ilvl w:val="2"/>
          <w:numId w:val="1"/>
        </w:numPr>
        <w:rPr/>
      </w:pPr>
      <w:bookmarkStart w:id="25" w:name="__RefHeading___Toc3219461_2870459653"/>
      <w:bookmarkStart w:id="26" w:name="_Toc8"/>
      <w:bookmarkEnd w:id="25"/>
      <w:r>
        <w:rPr>
          <w:rtl w:val="true"/>
        </w:rPr>
        <w:t>دوم</w:t>
      </w:r>
      <w:r>
        <w:rPr>
          <w:rtl w:val="true"/>
        </w:rPr>
        <w:t xml:space="preserve">: </w:t>
      </w:r>
      <w:r>
        <w:rPr>
          <w:rtl w:val="true"/>
        </w:rPr>
        <w:t>منصوص بودن قاعده لا ضرر</w:t>
      </w:r>
      <w:bookmarkEnd w:id="26"/>
    </w:p>
    <w:p>
      <w:pPr>
        <w:pStyle w:val="BookText"/>
        <w:rPr/>
      </w:pPr>
      <w:r>
        <w:rPr>
          <w:rFonts w:ascii="IRNazanin" w:hAnsi="IRNazanin" w:eastAsia="IRNazanin"/>
          <w:color w:val="111111"/>
          <w:sz w:val="28"/>
          <w:sz w:val="28"/>
          <w:szCs w:val="28"/>
          <w:rtl w:val="true"/>
          <w:lang w:bidi="fa-IR"/>
        </w:rPr>
        <w:t>این قاعده قاعده ای منصوص است؛ یعنی قاعده لاضرر در متون روایات شیعی و سنّی با تعابیر مختلف ذکر شده است 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ضَرَرَ وَ لَا ضِرَارَ</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لَا ضَرَرَ وَ لَا ضِرَارَ فِي الْإِسْلَامِ</w:t>
      </w:r>
      <w:r>
        <w:rPr>
          <w:rFonts w:ascii="IRNazanin" w:hAnsi="IRNazanin" w:eastAsia="IRNazanin"/>
          <w:color w:val="111111"/>
          <w:sz w:val="28"/>
          <w:sz w:val="28"/>
          <w:szCs w:val="28"/>
          <w:rtl w:val="true"/>
          <w:lang w:bidi="fa-IR"/>
        </w:rPr>
        <w:t xml:space="preserve"> ، </w:t>
      </w:r>
      <w:r>
        <w:rPr>
          <w:rStyle w:val="FootnoteAnchor"/>
          <w:rtl w:val="true"/>
        </w:rPr>
        <w:footnoteReference w:id="7"/>
      </w:r>
      <w:r>
        <w:rPr>
          <w:rFonts w:ascii="Amiri" w:hAnsi="Amiri" w:eastAsia="Amiri" w:cs="Amiri"/>
          <w:color w:val="111111"/>
          <w:sz w:val="28"/>
          <w:sz w:val="28"/>
          <w:szCs w:val="28"/>
          <w:rtl w:val="true"/>
          <w:lang w:bidi="ar-SA"/>
        </w:rPr>
        <w:t>لَا ضَرَرَ وَ لَا ضِرَارَ عَلَى 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Heading3"/>
        <w:numPr>
          <w:ilvl w:val="2"/>
          <w:numId w:val="1"/>
        </w:numPr>
        <w:rPr/>
      </w:pPr>
      <w:bookmarkStart w:id="27" w:name="__RefHeading___Toc3219463_2870459653"/>
      <w:bookmarkStart w:id="28" w:name="_Toc9"/>
      <w:bookmarkEnd w:id="27"/>
      <w:r>
        <w:rPr>
          <w:rtl w:val="true"/>
        </w:rPr>
        <w:t>سوم</w:t>
      </w:r>
      <w:r>
        <w:rPr>
          <w:rtl w:val="true"/>
        </w:rPr>
        <w:t xml:space="preserve">: </w:t>
      </w:r>
      <w:r>
        <w:rPr>
          <w:rtl w:val="true"/>
        </w:rPr>
        <w:t>سیر تاریخی قاعده لاضرر</w:t>
      </w:r>
      <w:bookmarkEnd w:id="28"/>
    </w:p>
    <w:p>
      <w:pPr>
        <w:pStyle w:val="BookText"/>
        <w:rPr/>
      </w:pPr>
      <w:r>
        <w:rPr>
          <w:rFonts w:ascii="IRNazanin" w:hAnsi="IRNazanin" w:eastAsia="IRNazanin"/>
          <w:color w:val="111111"/>
          <w:sz w:val="28"/>
          <w:sz w:val="28"/>
          <w:szCs w:val="28"/>
          <w:rtl w:val="true"/>
          <w:lang w:bidi="fa-IR"/>
        </w:rPr>
        <w:t xml:space="preserve">این قاعده از قدیم الایام از زمان شیخ صدوق تا زمان حال، یعنی یک دوره زمانی هزار ساله در اختیار فقها بوده و مطابق آن فتوی داده اند؛ امّا اولین کسی که از فقهاء شیعه قاعده لا ضرر را مستقلاً بحث کرده است شهید اوّل در كتاب القواعد و الفوائد </w:t>
      </w:r>
      <w:r>
        <w:rPr>
          <w:rStyle w:val="FootnoteAnchor"/>
          <w:rtl w:val="true"/>
        </w:rPr>
        <w:footnoteReference w:id="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29" w:name="__RefHeading___Toc3219465_2870459653"/>
      <w:bookmarkStart w:id="30" w:name="_Toc10"/>
      <w:bookmarkEnd w:id="29"/>
      <w:r>
        <w:rPr>
          <w:rtl w:val="true"/>
        </w:rPr>
        <w:t>چهارم</w:t>
      </w:r>
      <w:r>
        <w:rPr>
          <w:rtl w:val="true"/>
        </w:rPr>
        <w:t xml:space="preserve">: </w:t>
      </w:r>
      <w:r>
        <w:rPr>
          <w:rtl w:val="true"/>
        </w:rPr>
        <w:t>تعابیری که از قاعده لاضرر شده است</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هایی که از این قاعده شده مختلف است 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قَاعِدَةً لَا ضَرَرَ وَ لَا ضِرَارَ</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لَا ضَرَرَ وَ لَا ضِرَارَ فِي الْإِسْلَامِ</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نَفْيِ الضَّرَرِ</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الضَّرَرِ وَ الضِّرَارِ</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الضَّرَرِ</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الضَّرَرِ لَا يَزَالُ بِالضَّرَرِ</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الضَّرَرِ لَا يَزَالُ بِمِثْلِهِ</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الضَّرَرِ وَ الضِّرَارِ</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لَا ضَرَرَ وَ لَا ضِرَارَ فِي الشَّرْعِ</w:t>
      </w:r>
      <w:r>
        <w:rPr>
          <w:rStyle w:val="FootnoteAnchor"/>
          <w:rtl w:val="true"/>
        </w:rPr>
        <w:footnoteReference w:id="18"/>
      </w:r>
      <w:r>
        <w:rPr>
          <w:rFonts w:ascii="IRNazanin" w:hAnsi="IRNazanin" w:eastAsia="IRNazanin"/>
          <w:color w:val="111111"/>
          <w:sz w:val="28"/>
          <w:sz w:val="28"/>
          <w:szCs w:val="28"/>
          <w:rtl w:val="true"/>
          <w:lang w:bidi="fa-IR"/>
        </w:rPr>
        <w:t xml:space="preserve">یا </w:t>
      </w:r>
      <w:r>
        <w:rPr>
          <w:rFonts w:ascii="Amiri" w:hAnsi="Amiri" w:eastAsia="Amiri" w:cs="Amiri"/>
          <w:color w:val="111111"/>
          <w:sz w:val="28"/>
          <w:sz w:val="28"/>
          <w:szCs w:val="28"/>
          <w:rtl w:val="true"/>
          <w:lang w:bidi="ar-SA"/>
        </w:rPr>
        <w:t>فِي الدَّيْنِ</w:t>
      </w:r>
      <w:r>
        <w:rPr>
          <w:rStyle w:val="FootnoteAnchor"/>
          <w:rtl w:val="true"/>
        </w:rPr>
        <w:footnoteReference w:id="19"/>
      </w:r>
      <w:r>
        <w:rPr>
          <w:rFonts w:ascii="Amiri" w:hAnsi="Amiri" w:eastAsia="Amiri" w:cs="Amiri"/>
          <w:color w:val="111111"/>
          <w:sz w:val="28"/>
          <w:sz w:val="28"/>
          <w:szCs w:val="28"/>
          <w:rtl w:val="true"/>
          <w:lang w:bidi="ar-SA"/>
        </w:rPr>
        <w:t>يا فِي الشَّرِيعَةِ</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عَدَمِ الضَّرَرِ</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قاعده الضِّرَارِ</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الضَّرَرِ الْأَسَدِ يَزَالُ بِالْأَخَفِّ</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قَاعِدَةً الضَّرَرِ يَزَالُ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1" w:name="pg9135_79571"/>
    </w:p>
    <w:p>
      <w:pPr>
        <w:pStyle w:val="Heading2"/>
        <w:numPr>
          <w:ilvl w:val="1"/>
          <w:numId w:val="1"/>
        </w:numPr>
        <w:rPr/>
      </w:pPr>
      <w:bookmarkStart w:id="32" w:name="__RefHeading___Toc3219467_2870459653"/>
      <w:bookmarkStart w:id="33" w:name="_Toc11"/>
      <w:bookmarkEnd w:id="31"/>
      <w:bookmarkEnd w:id="32"/>
      <w:r>
        <w:rPr>
          <w:rtl w:val="true"/>
        </w:rPr>
        <w:t>مستند قاعده لاضرر</w:t>
      </w:r>
      <w:bookmarkEnd w:id="33"/>
    </w:p>
    <w:p>
      <w:pPr>
        <w:pStyle w:val="Heading2"/>
        <w:numPr>
          <w:ilvl w:val="1"/>
          <w:numId w:val="1"/>
        </w:numPr>
        <w:rPr/>
      </w:pPr>
      <w:bookmarkStart w:id="34" w:name="__RefHeading___Toc3219469_2870459653"/>
      <w:bookmarkStart w:id="35" w:name="_Toc12"/>
      <w:bookmarkEnd w:id="34"/>
      <w:r>
        <w:rPr>
          <w:rtl w:val="true"/>
        </w:rPr>
        <w:t>اوّل</w:t>
      </w:r>
      <w:r>
        <w:rPr>
          <w:rtl w:val="true"/>
        </w:rPr>
        <w:t xml:space="preserve">: </w:t>
      </w:r>
      <w:r>
        <w:rPr>
          <w:rtl w:val="true"/>
        </w:rPr>
        <w:t>قرآن کریم</w:t>
      </w:r>
      <w:bookmarkEnd w:id="35"/>
    </w:p>
    <w:p>
      <w:pPr>
        <w:pStyle w:val="Heading3"/>
        <w:numPr>
          <w:ilvl w:val="2"/>
          <w:numId w:val="1"/>
        </w:numPr>
        <w:rPr/>
      </w:pPr>
      <w:bookmarkStart w:id="36" w:name="__RefHeading___Toc3219471_287045965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ابتدا به بررسی آیاتی می پردازیم که می توان برای قاعده لاضرر به آن استناد کرد</w:t>
      </w:r>
      <w:r>
        <w:rPr>
          <w:rFonts w:eastAsia="IRNazanin" w:cs="IRNazanin"/>
          <w:color w:val="111111"/>
          <w:sz w:val="28"/>
          <w:szCs w:val="28"/>
          <w:rtl w:val="true"/>
          <w:lang w:bidi="fa-IR"/>
        </w:rPr>
        <w:t>.</w:t>
      </w:r>
    </w:p>
    <w:p>
      <w:pPr>
        <w:pStyle w:val="Heading3"/>
        <w:numPr>
          <w:ilvl w:val="2"/>
          <w:numId w:val="1"/>
        </w:numPr>
        <w:rPr/>
      </w:pPr>
      <w:bookmarkStart w:id="38" w:name="__RefHeading___Toc3219473_2870459653"/>
      <w:bookmarkStart w:id="39" w:name="_Toc14"/>
      <w:bookmarkEnd w:id="38"/>
      <w:r>
        <w:rPr>
          <w:rtl w:val="true"/>
        </w:rPr>
        <w:t>آیه اوّل</w:t>
      </w:r>
      <w:r>
        <w:rPr>
          <w:rtl w:val="true"/>
        </w:rPr>
        <w:t>:</w:t>
      </w:r>
      <w:bookmarkEnd w:id="39"/>
    </w:p>
    <w:p>
      <w:pPr>
        <w:pStyle w:val="Heading4"/>
        <w:numPr>
          <w:ilvl w:val="3"/>
          <w:numId w:val="1"/>
        </w:numPr>
        <w:rPr/>
      </w:pPr>
      <w:bookmarkStart w:id="40" w:name="__RefHeading___Toc3219475_2870459653"/>
      <w:bookmarkStart w:id="41" w:name="_Toc15"/>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صِرَارًا لِتَعْتَدُواْ وَ مَن يَفْعَلْ ذَلِكَ فَقَدْ ظَلَمَ نَفْسَهُ</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زنان را طلاق دادید و به پایان عدّه خود نزدیک شدند،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شایسته و متعارف، نگه دارید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 خوشی رها کنید و آنان را برای آزار رساندن و زیان زدن نگه ندارید تا بر آنان تعدّی و ستم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چنین کند قطعاً به خود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آیه روایاتی را که ذیل این آیه وارد شده است، می آوریم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الْمُفَضَّلِ بْنِ صَالِحٍ عَنْ اَلْحُلْبَى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قَوْلُ اللَّهِ عَزَّ وَ جَلَّ وَ لَا تُمْسِكُوهُنَّ ضِرَارًا لِتَعْتَدُواْ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الرَّجُلُ يُطَلِّقُ حَتَّى إِذَا كَادَتْ أَنْ يَخْلُوَ أَجَلُهَا رَاجَعَهَا ثُمَّ طَلَّقَهَا يَفْعَلُ ذَلِكَ ثَلَاثَ مَرَّاتٍ فَنَهَى اللَّهُ عَنْ ذَلِكَ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در مورد </w:t>
      </w:r>
      <w:bookmarkStart w:id="42" w:name="pg9135_79572"/>
    </w:p>
    <w:p>
      <w:pPr>
        <w:pStyle w:val="BookText"/>
        <w:rPr/>
      </w:pPr>
      <w:bookmarkEnd w:id="42"/>
      <w:r>
        <w:rPr>
          <w:rFonts w:ascii="IRNazanin" w:hAnsi="IRNazanin" w:eastAsia="IRNazanin"/>
          <w:color w:val="111111"/>
          <w:sz w:val="28"/>
          <w:sz w:val="28"/>
          <w:szCs w:val="28"/>
          <w:rtl w:val="true"/>
          <w:lang w:bidi="fa-IR"/>
        </w:rPr>
        <w:t xml:space="preserve">قول خداوند </w:t>
      </w:r>
      <w:r>
        <w:rPr>
          <w:rFonts w:ascii="Amiri" w:hAnsi="Amiri" w:eastAsia="Amiri" w:cs="Amiri"/>
          <w:color w:val="111111"/>
          <w:sz w:val="28"/>
          <w:sz w:val="28"/>
          <w:szCs w:val="28"/>
          <w:rtl w:val="true"/>
          <w:lang w:bidi="ar-SA"/>
        </w:rPr>
        <w:t>وَ لا تُمْسِكُوهُنَّ ضِراراً لِتَعْتَدُوا</w:t>
      </w:r>
      <w:r>
        <w:rPr>
          <w:rFonts w:ascii="IRNazanin" w:hAnsi="IRNazanin" w:eastAsia="IRNazanin"/>
          <w:color w:val="111111"/>
          <w:sz w:val="28"/>
          <w:sz w:val="28"/>
          <w:szCs w:val="28"/>
          <w:rtl w:val="true"/>
          <w:lang w:bidi="fa-IR"/>
        </w:rPr>
        <w:t xml:space="preserve"> فرمودند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اضرار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می دهد زنش را و وقتی روز های آخر عده زن است دوباره رجوع می کند بعد از مدتی دوباره طلاق می دهد دوباره اواخر عده رجوع می کند و دوباره طلاق می دهد تا سه مرتبه و خداوند از این کار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سوّم همین باب </w:t>
      </w:r>
      <w:r>
        <w:rPr>
          <w:rFonts w:ascii="Amiri" w:hAnsi="Amiri" w:eastAsia="Amiri" w:cs="Amiri"/>
          <w:color w:val="111111"/>
          <w:sz w:val="28"/>
          <w:sz w:val="28"/>
          <w:szCs w:val="28"/>
          <w:rtl w:val="true"/>
          <w:lang w:bidi="ar-SA"/>
        </w:rPr>
        <w:t>وَ عَنْ زراره وَ حُمْرَانَ ابْنَيْ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مضمون است</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4"/>
        <w:numPr>
          <w:ilvl w:val="3"/>
          <w:numId w:val="1"/>
        </w:numPr>
        <w:rPr/>
      </w:pPr>
      <w:bookmarkStart w:id="43" w:name="__RefHeading___Toc3219477_2870459653"/>
      <w:bookmarkStart w:id="44" w:name="_Toc16"/>
      <w:bookmarkEnd w:id="43"/>
      <w:r>
        <w:rPr>
          <w:rtl w:val="true"/>
        </w:rPr>
        <w:t>معنای آیه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زنان را طلاق دادید و به پایان عدّه خود نزدیک شدند آنان را با رجوع کردن به طور شایسته نگه دارید یا با ترک رجوع به نیکی و خوشی رها کنید و آنان را برای آزار رساندن و زیان زدن نگه ندارید تا بر آنان تعدّی و ستم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قبل از این که عده زن تمام شود مرد به قصد اذیت و آزار به همسر دوباره به او رجوع می کند و دوباره او را طلاق می دهد و دوباره رجوع می کند خداوند مرد را از این کار نهی کرده است، چون باعث اضرار به همسر می شود</w:t>
      </w:r>
      <w:r>
        <w:rPr>
          <w:rFonts w:eastAsia="IRNazanin" w:cs="IRNazanin"/>
          <w:color w:val="111111"/>
          <w:sz w:val="28"/>
          <w:szCs w:val="28"/>
          <w:rtl w:val="true"/>
          <w:lang w:bidi="fa-IR"/>
        </w:rPr>
        <w:t>.</w:t>
      </w:r>
    </w:p>
    <w:p>
      <w:pPr>
        <w:pStyle w:val="Heading4"/>
        <w:numPr>
          <w:ilvl w:val="3"/>
          <w:numId w:val="1"/>
        </w:numPr>
        <w:rPr/>
      </w:pPr>
      <w:bookmarkStart w:id="45" w:name="__RefHeading___Toc3219479_2870459653"/>
      <w:bookmarkStart w:id="46" w:name="_Toc17"/>
      <w:bookmarkEnd w:id="45"/>
      <w:r>
        <w:rPr>
          <w:rtl w:val="true"/>
        </w:rPr>
        <w:t>استدلال به آیه</w:t>
      </w:r>
      <w:bookmarkEnd w:id="46"/>
    </w:p>
    <w:p>
      <w:pPr>
        <w:pStyle w:val="BookText"/>
        <w:rPr/>
      </w:pPr>
      <w:r>
        <w:rPr>
          <w:rFonts w:ascii="IRNazanin" w:hAnsi="IRNazanin" w:eastAsia="IRNazanin"/>
          <w:color w:val="111111"/>
          <w:sz w:val="28"/>
          <w:sz w:val="28"/>
          <w:szCs w:val="28"/>
          <w:rtl w:val="true"/>
          <w:lang w:bidi="fa-IR"/>
        </w:rPr>
        <w:t>این آیه در مورد خاص وارد شده است که در مورد قضیۀ رجوع در عِدّه نکاح است به قصد اذیت و آزار همسر که اگر بخواهد این رجوع را انجام دهد گرفتار معصیت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شود از این قضیه یک قاعده کلّی در همة ابواب فقه استفاده کنیم؟ فقهاء چنین استفاده ای نکرده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 ضرری که در این آیه نفی شده یکی از مصادیق لاضرر است و در آیه شریفه قاعده لاضرر را تطبیق کرده است به این بیان که سخت گیری بر زوجه برای اضرار به او مصداق است برای عدوانی که حرام است و نهی شده و هر کاری که مصداق اضرار و عدوان قرار گیرد از ناحیه شارع نهی عنه است</w:t>
      </w:r>
      <w:r>
        <w:rPr>
          <w:rFonts w:eastAsia="IRNazanin" w:cs="IRNazanin"/>
          <w:color w:val="111111"/>
          <w:sz w:val="28"/>
          <w:szCs w:val="28"/>
          <w:rtl w:val="true"/>
          <w:lang w:bidi="fa-IR"/>
        </w:rPr>
        <w:t xml:space="preserve">. </w:t>
      </w:r>
      <w:bookmarkStart w:id="47" w:name="pg9135_79573"/>
    </w:p>
    <w:p>
      <w:pPr>
        <w:pStyle w:val="Heading3"/>
        <w:numPr>
          <w:ilvl w:val="2"/>
          <w:numId w:val="1"/>
        </w:numPr>
        <w:rPr/>
      </w:pPr>
      <w:bookmarkStart w:id="48" w:name="__RefHeading___Toc3219481_2870459653"/>
      <w:bookmarkStart w:id="49" w:name="_Toc18"/>
      <w:bookmarkEnd w:id="47"/>
      <w:bookmarkEnd w:id="48"/>
      <w:r>
        <w:rPr>
          <w:rtl w:val="true"/>
        </w:rPr>
        <w:t>آیه دوم</w:t>
      </w:r>
      <w:r>
        <w:rPr>
          <w:rtl w:val="true"/>
        </w:rPr>
        <w:t>:</w:t>
      </w:r>
      <w:bookmarkEnd w:id="49"/>
    </w:p>
    <w:p>
      <w:pPr>
        <w:pStyle w:val="Heading4"/>
        <w:numPr>
          <w:ilvl w:val="3"/>
          <w:numId w:val="1"/>
        </w:numPr>
        <w:rPr/>
      </w:pPr>
      <w:bookmarkStart w:id="50" w:name="__RefHeading___Toc3219483_2870459653"/>
      <w:bookmarkStart w:id="51" w:name="_Toc19"/>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لَا تُضَارَ والِدَةٌ بوَلَدِهَا وَ لَا مَوْلُودٌ لَّهُ بِوَلَدِهِ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مادری به خاطر فرزندش زیان بیند، و نه پدری برای فرزندش دچار ضرر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 است که مخارج مادر و کودک را در حدّ متعارف بپردازد، و بر مادر است که بیش از طاقت مالی شوهر از شوهر طلب خوراک و پوشاک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ذیل این آیه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صَحِيحَةُ أَبِي الصَّبَّاحِ كِنَانِيُّ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 الْمَرَاضِعُ مِمَّنْ يَدْفَعُ إِحْدَاهُنَّ الرَّجُلَ إِذَا أَرَادَ الْجِمَاعَ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اَدَعُكَ إِنِّي أَخَافُ أَنْ أَحْبَلَ فَأَقْتُلَ وَلَدِي هَذَا الَّذِي فِي بَطْنِي وَ كَانَ الرَّجُلُ تَدْعُوهُ إمْرَأَتُهُ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أُجَامِعَكِ فَأَقْتُلَ وَلَدِي فَنَهَى اللَّهُ عَنْ ذَلِكَ أَنْ يُضَارَّ الرَّجُلُ الْمَرْأَةَ وَ الْمَرْأَةُ الرَّجُلَ</w:t>
      </w:r>
      <w:r>
        <w:rPr>
          <w:rStyle w:val="FootnoteAnchor"/>
          <w:rtl w:val="true"/>
        </w:rPr>
        <w:footnoteReference w:id="29"/>
      </w:r>
      <w:r>
        <w:rPr>
          <w:rFonts w:ascii="IRNazanin" w:hAnsi="IRNazanin" w:eastAsia="IRNazanin"/>
          <w:color w:val="111111"/>
          <w:sz w:val="28"/>
          <w:sz w:val="28"/>
          <w:szCs w:val="28"/>
          <w:rtl w:val="true"/>
          <w:lang w:bidi="fa-IR"/>
        </w:rPr>
        <w:t xml:space="preserve"> امام صادق علیه السلام می فرماید زنی که بچه شیر می دهد اگر مرد از او تقاضای جماع کند امّا زن به تقاضای مرد پاسخ ندهد و بگوید می ترسم از تو حامله شوم و یا زن تقاضای جماع می کند و مرد به زن می گوید ترس آن دارم که از من حامله شوی و فرزند خودم را بکشم پس خداوند نهی کرد از این که مرد سبب زیان زن یا زن سبب زیان مرد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دیگر از ابی الصباح کنانی که در همین باب وارد شده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معنای آیه با توجه به روایت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واسطه فرزندش مورد ضرر واقع نمی شود و هم چنین پدر به خاطر فرزندش مورد ضرر واقع نمی شود به بیان دیگر زن می ترسد از جماع با شوهرش به خاطر خشک شدن شیرش و مرگ فرزندش چون احتمال می دهد دوباره بچه دار شود و شوهر می ترسد از جماع با همسرش به جهت این که ممکن است از او حامله شود و به فرزندش ضرر وارد شود پس خداوند نهی کرده است از این ضرری که به واسطه ترک جماع متوجه زن یا مرد شده است</w:t>
      </w:r>
      <w:r>
        <w:rPr>
          <w:rFonts w:eastAsia="IRNazanin" w:cs="IRNazanin"/>
          <w:color w:val="111111"/>
          <w:sz w:val="28"/>
          <w:szCs w:val="28"/>
          <w:rtl w:val="true"/>
          <w:lang w:bidi="fa-IR"/>
        </w:rPr>
        <w:t xml:space="preserve">. </w:t>
      </w:r>
      <w:bookmarkStart w:id="52" w:name="pg9135_79574"/>
    </w:p>
    <w:p>
      <w:pPr>
        <w:pStyle w:val="Heading4"/>
        <w:numPr>
          <w:ilvl w:val="3"/>
          <w:numId w:val="1"/>
        </w:numPr>
        <w:rPr/>
      </w:pPr>
      <w:bookmarkStart w:id="53" w:name="__RefHeading___Toc3219485_2870459653"/>
      <w:bookmarkStart w:id="54" w:name="_Toc20"/>
      <w:bookmarkEnd w:id="52"/>
      <w:bookmarkEnd w:id="53"/>
      <w:r>
        <w:rPr>
          <w:rtl w:val="true"/>
        </w:rPr>
        <w:t>استدلال به آیه</w:t>
      </w:r>
      <w:bookmarkEnd w:id="54"/>
    </w:p>
    <w:p>
      <w:pPr>
        <w:pStyle w:val="Heading4"/>
        <w:numPr>
          <w:ilvl w:val="3"/>
          <w:numId w:val="1"/>
        </w:numPr>
        <w:rPr/>
      </w:pPr>
      <w:bookmarkStart w:id="55" w:name="__RefHeading___Toc3219487_2870459653"/>
      <w:bookmarkStart w:id="56" w:name="_Toc21"/>
      <w:bookmarkEnd w:id="55"/>
      <w:r>
        <w:rPr>
          <w:rtl w:val="true"/>
        </w:rPr>
        <w:t xml:space="preserve">نکته </w:t>
      </w:r>
      <w:r>
        <w:rPr/>
        <w:t>1</w:t>
      </w:r>
      <w:r>
        <w:rPr>
          <w:rtl w:val="true"/>
        </w:rPr>
        <w:t>:</w:t>
      </w:r>
      <w:bookmarkEnd w:id="56"/>
    </w:p>
    <w:p>
      <w:pPr>
        <w:pStyle w:val="BookText"/>
        <w:rPr/>
      </w:pPr>
      <w:r>
        <w:rPr>
          <w:rFonts w:ascii="IRNazanin" w:hAnsi="IRNazanin" w:eastAsia="IRNazanin"/>
          <w:color w:val="111111"/>
          <w:sz w:val="28"/>
          <w:sz w:val="28"/>
          <w:szCs w:val="28"/>
          <w:rtl w:val="true"/>
          <w:lang w:bidi="fa-IR"/>
        </w:rPr>
        <w:t>ضرر و ضرار مترادف نیستند؛</w:t>
      </w:r>
    </w:p>
    <w:p>
      <w:pPr>
        <w:pStyle w:val="BookText"/>
        <w:rPr/>
      </w:pPr>
      <w:r>
        <w:rPr>
          <w:rFonts w:ascii="IRNazanin" w:hAnsi="IRNazanin" w:eastAsia="IRNazanin"/>
          <w:color w:val="111111"/>
          <w:sz w:val="28"/>
          <w:sz w:val="28"/>
          <w:szCs w:val="28"/>
          <w:rtl w:val="true"/>
          <w:lang w:bidi="fa-IR"/>
        </w:rPr>
        <w:t>مرحوم نائینی رحمه اللّه علیه ضرر در آن تعمد و اصرار ،نیست برخلاف اضرار که همراه تعمد و اصرار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که در فصل های بعد به تفصیل بیان خواهد شد</w:t>
      </w:r>
      <w:r>
        <w:rPr>
          <w:rFonts w:eastAsia="IRNazanin" w:cs="IRNazanin"/>
          <w:color w:val="111111"/>
          <w:sz w:val="28"/>
          <w:szCs w:val="28"/>
          <w:rtl w:val="true"/>
          <w:lang w:bidi="fa-IR"/>
        </w:rPr>
        <w:t>.</w:t>
      </w:r>
    </w:p>
    <w:p>
      <w:pPr>
        <w:pStyle w:val="Heading4"/>
        <w:numPr>
          <w:ilvl w:val="3"/>
          <w:numId w:val="1"/>
        </w:numPr>
        <w:rPr/>
      </w:pPr>
      <w:bookmarkStart w:id="57" w:name="__RefHeading___Toc3219489_2870459653"/>
      <w:bookmarkStart w:id="58" w:name="_Toc22"/>
      <w:bookmarkEnd w:id="57"/>
      <w:r>
        <w:rPr>
          <w:rtl w:val="true"/>
        </w:rPr>
        <w:t xml:space="preserve">نکته </w:t>
      </w:r>
      <w:r>
        <w:rPr/>
        <w:t>2</w:t>
      </w:r>
      <w:r>
        <w:rPr>
          <w:rtl w:val="true"/>
        </w:rPr>
        <w:t>:</w:t>
      </w:r>
      <w:bookmarkEnd w:id="58"/>
    </w:p>
    <w:p>
      <w:pPr>
        <w:pStyle w:val="BookText"/>
        <w:rPr/>
      </w:pPr>
      <w:r>
        <w:rPr>
          <w:rFonts w:ascii="IRNazanin" w:hAnsi="IRNazanin" w:eastAsia="IRNazanin"/>
          <w:color w:val="111111"/>
          <w:sz w:val="28"/>
          <w:sz w:val="28"/>
          <w:szCs w:val="28"/>
          <w:rtl w:val="true"/>
          <w:lang w:bidi="fa-IR"/>
        </w:rPr>
        <w:t>اگر آیه را لا تُضَارَّ یعنی مجهول بخوانیم باء در آیه باء سببیت می شود و اگر معلوم بخوانیم باء زائده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هر دو وجه از آیه حرمت ضرر فهمیده می شود چه ضرر از ناحیه پدر مادر به فرزند وارد شود به خاطر منع فرزند از ارتضاع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معلوم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ضرری که پدر و مادر متحمل می شوند به خاطر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مجهول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و روایت ترک جماع هر یک از زوجین با رغبت دیگری، این مصداق است برای ضرر و منهی عنه است و با الغاء خصوصیت می شود قاعده لاضرر را بر این آیه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3"/>
        <w:numPr>
          <w:ilvl w:val="2"/>
          <w:numId w:val="1"/>
        </w:numPr>
        <w:rPr/>
      </w:pPr>
      <w:bookmarkStart w:id="59" w:name="__RefHeading___Toc3219491_2870459653"/>
      <w:bookmarkStart w:id="60" w:name="_Toc23"/>
      <w:bookmarkEnd w:id="59"/>
      <w:r>
        <w:rPr>
          <w:rtl w:val="true"/>
        </w:rPr>
        <w:t>آیه سوم</w:t>
      </w:r>
      <w:r>
        <w:rPr>
          <w:rtl w:val="true"/>
        </w:rPr>
        <w:t>:</w:t>
      </w:r>
      <w:bookmarkEnd w:id="60"/>
    </w:p>
    <w:p>
      <w:pPr>
        <w:pStyle w:val="Heading4"/>
        <w:numPr>
          <w:ilvl w:val="3"/>
          <w:numId w:val="1"/>
        </w:numPr>
        <w:rPr/>
      </w:pPr>
      <w:bookmarkStart w:id="61" w:name="__RefHeading___Toc3219493_2870459653"/>
      <w:bookmarkStart w:id="62" w:name="_Toc24"/>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وَ أَشْهِدُوا إِذَا تَبَايَعْتُمْ وَ لَا يُضَارٌ كَاتِبٌ وَ لَا شَهِيدٌ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داد و ستد کنید،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نویسنده و شاهد زیان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لَا يُضَارٌ در این آیه مانند آیه قبل دارای دو قرائت است؛ اگر معلوم باشد آیه این گونه معنا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کاتبی و هیچ شاهدی ضرر نمی رسانند؛ یعنی کاتب بنویسد غیر آن چه که بر او املا شده است و شاهد هم اگر شهادت بدهد به غیر آن چه که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مجهول باشد آیه این گونه معنا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کاتب و شاهدی مورد اذیت و ضرر 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کاتب را مجبور کنند که غیر واقع را بنویسد یا شاهد را مجبور کنند بر خلاف واقع شهادت بدهد</w:t>
      </w:r>
      <w:r>
        <w:rPr>
          <w:rFonts w:eastAsia="IRNazanin" w:cs="IRNazanin"/>
          <w:color w:val="111111"/>
          <w:sz w:val="28"/>
          <w:szCs w:val="28"/>
          <w:rtl w:val="true"/>
          <w:lang w:bidi="fa-IR"/>
        </w:rPr>
        <w:t>.</w:t>
      </w:r>
    </w:p>
    <w:p>
      <w:pPr>
        <w:pStyle w:val="Heading4"/>
        <w:numPr>
          <w:ilvl w:val="3"/>
          <w:numId w:val="1"/>
        </w:numPr>
        <w:rPr/>
      </w:pPr>
      <w:bookmarkStart w:id="63" w:name="__RefHeading___Toc3219495_2870459653"/>
      <w:bookmarkStart w:id="64" w:name="_Toc25"/>
      <w:bookmarkEnd w:id="63"/>
      <w:r>
        <w:rPr>
          <w:rtl w:val="true"/>
        </w:rPr>
        <w:t>استدلال به آیه</w:t>
      </w:r>
      <w:bookmarkEnd w:id="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چه به صیغه معلوم خوانده شود چه به صیغه مجهول، آیه یکی از </w:t>
      </w:r>
      <w:bookmarkStart w:id="65" w:name="pg9135_79575"/>
    </w:p>
    <w:p>
      <w:pPr>
        <w:pStyle w:val="BookText"/>
        <w:rPr/>
      </w:pPr>
      <w:bookmarkEnd w:id="65"/>
      <w:r>
        <w:rPr>
          <w:rFonts w:ascii="IRNazanin" w:hAnsi="IRNazanin" w:eastAsia="IRNazanin"/>
          <w:color w:val="111111"/>
          <w:sz w:val="28"/>
          <w:sz w:val="28"/>
          <w:szCs w:val="28"/>
          <w:rtl w:val="true"/>
          <w:lang w:bidi="fa-IR"/>
        </w:rPr>
        <w:t>مصادیق ضرر را بیان می کند و می شود از آیه این مطلب را استفاده کرد که هر عملی، عنوان اضرار به غیر را بگیرد، آن عمل از نظر شرعی حرام است و این یک حکم عامی است که مختص به کاتب و شاهد نیست</w:t>
      </w:r>
      <w:r>
        <w:rPr>
          <w:rFonts w:eastAsia="IRNazanin" w:cs="IRNazanin"/>
          <w:color w:val="111111"/>
          <w:sz w:val="28"/>
          <w:szCs w:val="28"/>
          <w:rtl w:val="true"/>
          <w:lang w:bidi="fa-IR"/>
        </w:rPr>
        <w:t>.</w:t>
      </w:r>
    </w:p>
    <w:p>
      <w:pPr>
        <w:pStyle w:val="Heading3"/>
        <w:numPr>
          <w:ilvl w:val="2"/>
          <w:numId w:val="1"/>
        </w:numPr>
        <w:rPr/>
      </w:pPr>
      <w:bookmarkStart w:id="66" w:name="__RefHeading___Toc3219497_2870459653"/>
      <w:bookmarkStart w:id="67" w:name="_Toc26"/>
      <w:bookmarkEnd w:id="66"/>
      <w:r>
        <w:rPr>
          <w:rtl w:val="true"/>
        </w:rPr>
        <w:t>آیه چهارم</w:t>
      </w:r>
      <w:r>
        <w:rPr>
          <w:rtl w:val="true"/>
        </w:rPr>
        <w:t>:</w:t>
      </w:r>
      <w:bookmarkEnd w:id="67"/>
    </w:p>
    <w:p>
      <w:pPr>
        <w:pStyle w:val="Heading4"/>
        <w:numPr>
          <w:ilvl w:val="3"/>
          <w:numId w:val="1"/>
        </w:numPr>
        <w:rPr/>
      </w:pPr>
      <w:bookmarkStart w:id="68" w:name="__RefHeading___Toc3219499_2870459653"/>
      <w:bookmarkStart w:id="69" w:name="_Toc27"/>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مِنْ بَعْدِ وَصِيَّةٍ يُوصَى بِهَا أَوْ دَيْنٍ غَيْرَ مُضَارِ</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یا پس از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اصل مال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ها در صورتی است که با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به وارثان زیان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ارث پس از وصیتی است که نسبت به مال شده یا پس از دینی است که باید از اصل مال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در صورتی است که با وصیت و اقرار به دَین در وصیتش به وارثان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روایتی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مُعْتَبَرَةُ سَكُونِيُّ عَنِ الصَّادِقِ عَلَيْهِ السَّلَامُ عَنْ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مَا أُبَالِي أَضْرَرْتُ بِوُلْدِي أَوْ سَرَقْتُهُمْ ذَلِكَ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فرقی نمی کند که ضرر بزنم به فرزندانم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یک وصیت یا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این که مال را از آن ها سرقت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دوّم از همین باب معتبره دیگر از سكونی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عَلَيْهِ السَّلَامُ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عَلَيْهِ السَّلَامُ مَنْ أَوْصَى وَ لَمْ يَحِفْ وَ لَمْ يُضَارَّ كَانَ كَمَنْ تَصَدَّقَ فِي حَيَاتِهِ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هر کس وصیت بکند و در وصیتش به ورته ضرر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الباقی برسد دست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مالش را در زمان حیاتش صدقه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ورثه را دادن ثواب صدقه دارد</w:t>
      </w:r>
      <w:r>
        <w:rPr>
          <w:rFonts w:eastAsia="IRNazanin" w:cs="IRNazanin"/>
          <w:color w:val="111111"/>
          <w:sz w:val="28"/>
          <w:szCs w:val="28"/>
          <w:rtl w:val="true"/>
          <w:lang w:bidi="fa-IR"/>
        </w:rPr>
        <w:t>).</w:t>
      </w:r>
    </w:p>
    <w:p>
      <w:pPr>
        <w:pStyle w:val="Heading4"/>
        <w:numPr>
          <w:ilvl w:val="3"/>
          <w:numId w:val="1"/>
        </w:numPr>
        <w:rPr/>
      </w:pPr>
      <w:bookmarkStart w:id="70" w:name="__RefHeading___Toc3219501_2870459653"/>
      <w:bookmarkStart w:id="71" w:name="_Toc28"/>
      <w:bookmarkEnd w:id="70"/>
      <w:r>
        <w:rPr>
          <w:rtl w:val="true"/>
        </w:rPr>
        <w:t>استدلال به آیه</w:t>
      </w:r>
      <w:bookmarkEnd w:id="7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فوق استفاده می شود که انسان حق ندارد از طریق وصیّت یا اعتراف </w:t>
      </w:r>
      <w:bookmarkStart w:id="72" w:name="pg9135_79576"/>
    </w:p>
    <w:p>
      <w:pPr>
        <w:pStyle w:val="BookText"/>
        <w:rPr/>
      </w:pPr>
      <w:bookmarkEnd w:id="72"/>
      <w:r>
        <w:rPr>
          <w:rFonts w:ascii="IRNazanin" w:hAnsi="IRNazanin" w:eastAsia="IRNazanin"/>
          <w:color w:val="111111"/>
          <w:sz w:val="28"/>
          <w:sz w:val="28"/>
          <w:szCs w:val="28"/>
          <w:rtl w:val="true"/>
          <w:lang w:bidi="fa-IR"/>
        </w:rPr>
        <w:t>به دین و بدهی ذمه او نیست صحنه سازی کند و بر ضرر وارثان وصیّت کند حقوق آن ها را تضییق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مصداق ضرر است و ضرر منهی عنه است و این آیه یکی از مصادیق ضرر را بیان می کند و قاعده لاضرر را بر این مورد تطبیق کرده است</w:t>
      </w:r>
      <w:r>
        <w:rPr>
          <w:rFonts w:eastAsia="IRNazanin" w:cs="IRNazanin"/>
          <w:color w:val="111111"/>
          <w:sz w:val="28"/>
          <w:szCs w:val="28"/>
          <w:rtl w:val="true"/>
          <w:lang w:bidi="fa-IR"/>
        </w:rPr>
        <w:t>.</w:t>
      </w:r>
    </w:p>
    <w:p>
      <w:pPr>
        <w:pStyle w:val="Heading3"/>
        <w:numPr>
          <w:ilvl w:val="2"/>
          <w:numId w:val="1"/>
        </w:numPr>
        <w:rPr/>
      </w:pPr>
      <w:bookmarkStart w:id="73" w:name="__RefHeading___Toc3219503_2870459653"/>
      <w:bookmarkStart w:id="74" w:name="_Toc29"/>
      <w:bookmarkEnd w:id="73"/>
      <w:r>
        <w:rPr>
          <w:rtl w:val="true"/>
        </w:rPr>
        <w:t>آیه پنجم</w:t>
      </w:r>
      <w:r>
        <w:rPr>
          <w:rtl w:val="true"/>
        </w:rPr>
        <w:t>:</w:t>
      </w:r>
      <w:bookmarkEnd w:id="74"/>
    </w:p>
    <w:p>
      <w:pPr>
        <w:pStyle w:val="BookText"/>
        <w:rPr/>
      </w:pPr>
      <w:r>
        <w:rPr>
          <w:rFonts w:ascii="Amiri" w:hAnsi="Amiri" w:eastAsia="Amiri" w:cs="Amiri"/>
          <w:color w:val="111111"/>
          <w:sz w:val="28"/>
          <w:sz w:val="28"/>
          <w:szCs w:val="28"/>
          <w:rtl w:val="true"/>
          <w:lang w:bidi="ar-SA"/>
        </w:rPr>
        <w:t>أَسْكُنُوهُنَّ مِنْ حَيْثُ سَكَنتُم مِّن وُجَدِكُمْ وَ لَا تُضَارُوهُنَّ لمُضَيَقُوا عَلَيْن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طلاق داده را تا پایان عده به اندازه توان گری خود آن جا سکونت دهید که خود سکونت دارید و به زنان در نفقه و مسکن آسیب و زیان نرسانید تا زندگی را بر آنان سخت و دشوار کنید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روایتی که ذیل این آیه وارد شده است صحيحه 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يُضَارَّ الرَّجُلُ امْرَأَتَهُ إِذَا طَلَّقَهَا فَيُضَيِّقَ عَلَيْهَا قَبْلَ انَّ تَنْتَقِلَ قَبْلَ أَنْ تَنْقَضِيَ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نَهَى عَنْ ذَلِكَ فَقَالَ وَ لا تُضَارُّوهُنَّ لِتُضَيِّقُوا عَلَيْهِنَّ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مرد حق ندارد زمانی که زن را طلاق می دهد به او ضرر بزند به این گونه که بر مطعم و مشرب زن سخت بگیرد قبل از این که عده او تمام شود تا از آن جا برود که به تحقیق خداوند نهی کرده است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در نفقه و مسکن آسیب و زیان نرسانید تا زندگی را بر آنان سخت و دشوار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با توجه به روایت دلالت دارد بر این که زوج حق ندارد بر زن مطلقه اش اثناء عِدّه بر مطعم و مَشرَبٍ او سخت بگیرد تا مجبور به ترک خانه شود چون از مصادیق ضرری است که منهی عنه است و این مورد هم از مواردی است که عنوان ضرر بر آن تطبیق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ما كلمه لَا تُضَارُوهُنَّ</w:t>
      </w:r>
      <w:r>
        <w:rPr>
          <w:rFonts w:ascii="IRNazanin" w:hAnsi="IRNazanin" w:eastAsia="IRNazanin"/>
          <w:color w:val="111111"/>
          <w:sz w:val="28"/>
          <w:sz w:val="28"/>
          <w:szCs w:val="28"/>
          <w:rtl w:val="true"/>
          <w:lang w:bidi="fa-IR"/>
        </w:rPr>
        <w:t xml:space="preserve"> است که اگر اطلاق آیه را بپذیریم و وجوب اطاعت زن از مرد باعث اضرار به زن شود این وجوب برداشته می شود مثلاً قول مشهور این است که زن بدون اجازۀ همسر نمی تواند از منزل بیرون رود امّا اگر اطلاق آیه را بپذیریم با تمکین زن وجوب اطاعت لازم نیست یا مثلاً با توجه به </w:t>
      </w:r>
      <w:bookmarkStart w:id="75" w:name="pg9135_79577"/>
    </w:p>
    <w:p>
      <w:pPr>
        <w:pStyle w:val="BookText"/>
        <w:rPr/>
      </w:pPr>
      <w:bookmarkEnd w:id="75"/>
      <w:r>
        <w:rPr>
          <w:rFonts w:ascii="IRNazanin" w:hAnsi="IRNazanin" w:eastAsia="IRNazanin"/>
          <w:color w:val="111111"/>
          <w:sz w:val="28"/>
          <w:sz w:val="28"/>
          <w:szCs w:val="28"/>
          <w:rtl w:val="true"/>
          <w:lang w:bidi="fa-IR"/>
        </w:rPr>
        <w:t>تمکین زن، این مرد حقِّ ممانعت از ادامه تحصیل همسرش را ندارد زیرا عرف این ممانعت از تحصیل را برای این زن ضرری می داند یا مثلاً اگر زن بیمار شود و باید پیش پزشک برود استیذان از شوهر وجوبی ندارد</w:t>
      </w:r>
      <w:r>
        <w:rPr>
          <w:rFonts w:eastAsia="IRNazanin" w:cs="IRNazanin"/>
          <w:color w:val="111111"/>
          <w:sz w:val="28"/>
          <w:szCs w:val="28"/>
          <w:rtl w:val="true"/>
          <w:lang w:bidi="fa-IR"/>
        </w:rPr>
        <w:t>.</w:t>
      </w:r>
    </w:p>
    <w:p>
      <w:pPr>
        <w:pStyle w:val="Heading3"/>
        <w:numPr>
          <w:ilvl w:val="2"/>
          <w:numId w:val="1"/>
        </w:numPr>
        <w:rPr/>
      </w:pPr>
      <w:bookmarkStart w:id="76" w:name="__RefHeading___Toc3219505_2870459653"/>
      <w:bookmarkStart w:id="77" w:name="_Toc30"/>
      <w:bookmarkEnd w:id="76"/>
      <w:r>
        <w:rPr>
          <w:rtl w:val="true"/>
        </w:rPr>
        <w:t>آیه ششم</w:t>
      </w:r>
      <w:r>
        <w:rPr>
          <w:rtl w:val="true"/>
        </w:rPr>
        <w:t>:</w:t>
      </w:r>
      <w:bookmarkEnd w:id="77"/>
    </w:p>
    <w:p>
      <w:pPr>
        <w:pStyle w:val="BookText"/>
        <w:rPr/>
      </w:pPr>
      <w:r>
        <w:rPr>
          <w:rFonts w:ascii="Amiri" w:hAnsi="Amiri" w:eastAsia="Amiri" w:cs="Amiri"/>
          <w:color w:val="111111"/>
          <w:sz w:val="28"/>
          <w:sz w:val="28"/>
          <w:szCs w:val="28"/>
          <w:rtl w:val="true"/>
          <w:lang w:bidi="ar-SA"/>
        </w:rPr>
        <w:t>فَلَا تَمِيلُوا كُلَّ الْمَيْلِ فَتَذَرُوهَا كَالْمُعَلَّقَةِ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تمایل خود را به طور کامل متوجه یک طرف ننمایید تا دیگری را به صورت زنی سرگردان و بلا تکلیف رها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 باب تعدد زوجات است و می فرماید یک زن را رها نکنید و تمام توجه تان را به زن دیگری متمایل کنید چون طبق آيه </w:t>
      </w:r>
      <w:r>
        <w:rPr>
          <w:rFonts w:ascii="Amiri" w:hAnsi="Amiri" w:eastAsia="Amiri" w:cs="Amiri"/>
          <w:color w:val="111111"/>
          <w:sz w:val="28"/>
          <w:sz w:val="28"/>
          <w:szCs w:val="28"/>
          <w:rtl w:val="true"/>
          <w:lang w:bidi="ar-SA"/>
        </w:rPr>
        <w:t>فَإِمْسَاكُ بِمَعْرُوفِ أَوْ تَسْرِيحُ بإِحْسَن</w:t>
      </w:r>
      <w:r>
        <w:rPr>
          <w:rStyle w:val="FootnoteAnchor"/>
          <w:rtl w:val="true"/>
        </w:rPr>
        <w:footnoteReference w:id="39"/>
      </w:r>
      <w:r>
        <w:rPr>
          <w:rFonts w:ascii="IRNazanin" w:hAnsi="IRNazanin" w:eastAsia="IRNazanin"/>
          <w:color w:val="111111"/>
          <w:sz w:val="28"/>
          <w:sz w:val="28"/>
          <w:szCs w:val="28"/>
          <w:rtl w:val="true"/>
          <w:lang w:bidi="fa-IR"/>
        </w:rPr>
        <w:t>حيات زوجه دائر مدار این دو عنوان است و معلّق گذاشتن و رها کردن زن اضرار به زن و حرام است و این مورد هم از مواردی است که عنوان ضرر بر آن تطبیق شده است</w:t>
      </w:r>
      <w:r>
        <w:rPr>
          <w:rFonts w:eastAsia="IRNazanin" w:cs="IRNazanin"/>
          <w:color w:val="111111"/>
          <w:sz w:val="28"/>
          <w:szCs w:val="28"/>
          <w:rtl w:val="true"/>
          <w:lang w:bidi="fa-IR"/>
        </w:rPr>
        <w:t xml:space="preserve">. </w:t>
      </w:r>
      <w:bookmarkStart w:id="78" w:name="pg9135_79578"/>
    </w:p>
    <w:p>
      <w:pPr>
        <w:pStyle w:val="Heading2"/>
        <w:numPr>
          <w:ilvl w:val="1"/>
          <w:numId w:val="1"/>
        </w:numPr>
        <w:rPr/>
      </w:pPr>
      <w:bookmarkStart w:id="79" w:name="__RefHeading___Toc3219507_2870459653"/>
      <w:bookmarkStart w:id="80" w:name="_Toc31"/>
      <w:bookmarkEnd w:id="78"/>
      <w:bookmarkEnd w:id="79"/>
      <w:r>
        <w:rPr>
          <w:rtl w:val="true"/>
        </w:rPr>
        <w:t>دوم</w:t>
      </w:r>
      <w:r>
        <w:rPr>
          <w:rtl w:val="true"/>
        </w:rPr>
        <w:t xml:space="preserve">: </w:t>
      </w:r>
      <w:r>
        <w:rPr>
          <w:rtl w:val="true"/>
        </w:rPr>
        <w:t>روایات</w:t>
      </w:r>
      <w:bookmarkEnd w:id="80"/>
    </w:p>
    <w:p>
      <w:pPr>
        <w:pStyle w:val="Heading3"/>
        <w:numPr>
          <w:ilvl w:val="2"/>
          <w:numId w:val="1"/>
        </w:numPr>
        <w:rPr/>
      </w:pPr>
      <w:bookmarkStart w:id="81" w:name="__RefHeading___Toc3219509_2870459653"/>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روایاتی که در این زمینه وجود دارد و بر قاعده لاضرر استدلال شده است چند دسته است</w:t>
      </w:r>
      <w:r>
        <w:rPr>
          <w:rFonts w:eastAsia="IRNazanin" w:cs="IRNazanin"/>
          <w:color w:val="111111"/>
          <w:sz w:val="28"/>
          <w:szCs w:val="28"/>
          <w:rtl w:val="true"/>
          <w:lang w:bidi="fa-IR"/>
        </w:rPr>
        <w:t>.</w:t>
      </w:r>
    </w:p>
    <w:p>
      <w:pPr>
        <w:pStyle w:val="Heading3"/>
        <w:numPr>
          <w:ilvl w:val="2"/>
          <w:numId w:val="1"/>
        </w:numPr>
        <w:rPr/>
      </w:pPr>
      <w:bookmarkStart w:id="83" w:name="__RefHeading___Toc3219511_2870459653"/>
      <w:bookmarkStart w:id="84" w:name="_Toc33"/>
      <w:bookmarkEnd w:id="83"/>
      <w:r>
        <w:rPr>
          <w:rtl w:val="true"/>
        </w:rPr>
        <w:t>طائفه اوّل</w:t>
      </w:r>
      <w:r>
        <w:rPr>
          <w:rtl w:val="true"/>
        </w:rPr>
        <w:t xml:space="preserve">: </w:t>
      </w:r>
      <w:r>
        <w:rPr>
          <w:rtl w:val="true"/>
        </w:rPr>
        <w:t>روایاتی که قاعده لاضرر را بر موردش تطبیق کرده است</w:t>
      </w:r>
      <w:bookmarkEnd w:id="84"/>
    </w:p>
    <w:p>
      <w:pPr>
        <w:pStyle w:val="Heading3"/>
        <w:numPr>
          <w:ilvl w:val="2"/>
          <w:numId w:val="1"/>
        </w:numPr>
        <w:rPr/>
      </w:pPr>
      <w:bookmarkStart w:id="85" w:name="__RefHeading___Toc3219513_2870459653"/>
      <w:bookmarkStart w:id="86" w:name="_Toc34"/>
      <w:bookmarkEnd w:id="85"/>
      <w:r>
        <w:rPr>
          <w:rtl w:val="true"/>
        </w:rPr>
        <w:t>مورد اوّل</w:t>
      </w:r>
      <w:r>
        <w:rPr>
          <w:rtl w:val="true"/>
        </w:rPr>
        <w:t xml:space="preserve">: </w:t>
      </w:r>
      <w:r>
        <w:rPr>
          <w:rtl w:val="true"/>
        </w:rPr>
        <w:t>قضيه سَمُرَةِ بن جُنْدَب</w:t>
      </w:r>
      <w:bookmarkEnd w:id="86"/>
    </w:p>
    <w:p>
      <w:pPr>
        <w:pStyle w:val="Heading4"/>
        <w:numPr>
          <w:ilvl w:val="3"/>
          <w:numId w:val="1"/>
        </w:numPr>
        <w:rPr/>
      </w:pPr>
      <w:bookmarkStart w:id="87" w:name="__RefHeading___Toc3219515_2870459653"/>
      <w:bookmarkStart w:id="88" w:name="_Toc35"/>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مهم ترین روایتی که امامیّه و عامه برای قاعده لاضرر به آن استناد می کنند روايت سَمرة بن جندب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شخصيت سَمُرَةِ بن جُنْدَب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علیه او را در رجال از اصحاب رسول خدا صلی اللّه علیه و آله و سلم و ذکر کرده است؛ امّا او دارای خصوصیاتی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زیاد بن ابیه در کوفه و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نقل می کند که در یک واقعه ای هشت هزار نفر را در بصره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سَمُرَه پرسید آیا نترسیدی در این میان بی گناهی را کشته باشی؟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برابر این تعداد را نیز می کشتم باکی نداشتم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و شرطهٔ عبید اللّه بن زیاد بوده است و او از جمله کسانی بود که مردم را بر قتل امام حسین علیه السلام تحریک کرد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است که سالیان درازی در دستگاه حکومت معاویه به توجیه جنایات وی و سران بنی امیّه اشتغال داشت و در یک واقعه ای چهار هزار درهم از معاویه گرفت تا آیاتی را علیه امیر المؤمنین علی علیه السلام تحریف و تأويل </w:t>
      </w:r>
      <w:bookmarkStart w:id="89" w:name="pg9135_79579"/>
    </w:p>
    <w:p>
      <w:pPr>
        <w:pStyle w:val="BookText"/>
        <w:rPr/>
      </w:pPr>
      <w:bookmarkEnd w:id="8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وقتی معاویه او را عزل کرد از روی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وَ مُعَاوِيَهْ اللَّهِ لَوْ أَطَعْتَ اللَّهُ كَمَا أَطَعْتَ مُعَاوِيَةُ مَا عَذَّبَنِي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معاویه را لعنت کند به خدا قسم اگر همان گونه که معاویه را اطاعت کردم خداوند را اطاعت می کردم هیچ وقت خداوند مرا عذاب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حنيفه حال او را بدتر از معاویه و عمرو عاص می داند و از قول او نقل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أَتَبَرَّكْ قَوْلِ الصحابه إِلَّا بِقَوْلِ اَلثَّلاَثُه، أَبُوهَرِيرَةٌ، أَنَسُ بْنِ مَالِكَ، سَمُرَةَ بْنِ جُنْدَبٍ</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همانا ابو حنیفه به قول صحابه تبرک می جُست مگر به قول سه نفر، ابو هریره، انس بن مالک، سمرة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سَمرة بن جندب در کُتُب روایی که قاعده لاضرر را از آن استنباط کرده اند به انحاء مختلف وارد شده است</w:t>
      </w:r>
      <w:r>
        <w:rPr>
          <w:rFonts w:eastAsia="IRNazanin" w:cs="IRNazanin"/>
          <w:color w:val="111111"/>
          <w:sz w:val="28"/>
          <w:szCs w:val="28"/>
          <w:rtl w:val="true"/>
          <w:lang w:bidi="fa-IR"/>
        </w:rPr>
        <w:t>.</w:t>
      </w:r>
    </w:p>
    <w:p>
      <w:pPr>
        <w:pStyle w:val="Heading4"/>
        <w:numPr>
          <w:ilvl w:val="3"/>
          <w:numId w:val="1"/>
        </w:numPr>
        <w:rPr/>
      </w:pPr>
      <w:bookmarkStart w:id="90" w:name="__RefHeading___Toc3219517_2870459653"/>
      <w:bookmarkStart w:id="91" w:name="_Toc36"/>
      <w:bookmarkEnd w:id="90"/>
      <w:r>
        <w:rPr>
          <w:rtl w:val="true"/>
        </w:rPr>
        <w:t>روايت اوّل</w:t>
      </w:r>
      <w:r>
        <w:rPr>
          <w:rtl w:val="true"/>
        </w:rPr>
        <w:t>:</w:t>
      </w:r>
      <w:bookmarkEnd w:id="91"/>
    </w:p>
    <w:p>
      <w:pPr>
        <w:pStyle w:val="BookText"/>
        <w:rPr/>
      </w:pPr>
      <w:r>
        <w:rPr>
          <w:rFonts w:ascii="Amiri" w:hAnsi="Amiri" w:eastAsia="Amiri" w:cs="Amiri"/>
          <w:color w:val="111111"/>
          <w:sz w:val="28"/>
          <w:sz w:val="28"/>
          <w:szCs w:val="28"/>
          <w:rtl w:val="true"/>
          <w:lang w:bidi="ar-SA"/>
        </w:rPr>
        <w:t xml:space="preserve">كُلِينِي عَنْ عِدَّةٍ مِنْ أَصْحَابِنَا مُحَمَّدِ بْنِ خَالِدٍ عَنْ أَبِيهِ عَبْدِ اللَّهِ بْنِ بُكَيْرٍ عَنْ زُرَارَةَ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سَمُرَةَ بْنَ جُنْدَبٍ كَانَ لَهُ عَذْقُ فِي حَائِطِ الرَّجُلُ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مَنْزِلُ الْأَنْصَارِيِّ بِبَابِ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يَمُرُّ بِهِ إِلَى النخلته وَ لَا يَسْتَأْذِنُ فَكَلَّمَهُ الْأَنْصَارِيُّ أَنْ يَسْتَأْذِنَ إِذَا جَاءَ فأَبي سَمُرَةَ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تَأْتِي جَاءَ الْأَنْصَارِيُّ إِلَى رَسُولِ اللَّهِ صُلِّيَ اللَّهِ عَلَيْهِ وَ آلِهِ وَ سَلَّمَ فَشَكَا إِلَيْهِ وَ خَبَّرَهُ الْخَبَرَ فَأَرْسَلَ إِلَيْهِ رَسُولُ اللَّهِ صُلِّيَ اللَّهِ علیه وَ آلِهِ وَ سَلَّمَ وَ خَبَّرَهُ بِقَوْلِ الْأَنْصَارِيِّ و ماشَكا وَ قَالَ إِنْ أَرَدْتَ الدُّخُولَ فَاسْتَأْذِنْ فَأَبَى فَلَمَّا أَبَى سَاوَمَهُ حَتَّى بَلَغَ بِهِ مِنَ الثَّمَنِ مَا شَاءَ اللَّهُ فَأَبَى أَنْ فَقَالَ يَبِيعَ فَقَالَ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عدقٌ يُمَدُّ لَكَ فِي الجنه فَأَبَى أَنْ يَقْبَلَ فَقَالَ رَسُولُ اللَّهِ صُلِّيَ اللَّهِ علیه وَ آلِهِ وَ سَلَّمَ 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فَاقْلَعْهَا وَ ارْمِ بِهَا اليه فَإِنَّهُ لَا ضَرَرَ وَ لَا ضِرَارَ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92" w:name="pg9135_79580"/>
    </w:p>
    <w:p>
      <w:pPr>
        <w:pStyle w:val="BookText"/>
        <w:rPr/>
      </w:pPr>
      <w:bookmarkEnd w:id="92"/>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یک درخت خرمایی داشت که این درخت داخل یک باغی بود که دیوار داشت و در باغ، خانه مسکونی شخص انصاری بود و وقتی می خواست سمره برود سراغ درختش استیذان نمی گرفت انصاری به او گفت اجازه بگیر امّا سمره نپذیرفت پس انصاری شکایتش را پیش رسول خدا صلی اللّه علیه و آله و سلم برد و جریان را محضر رسول خدا صلی اللّه علیه و آله و سلم بیان کرد و حضرت به دنبال سمره فرستاد و به سمره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داخل شوی اجازه بگیر و ایشان نپذیرفت وقتی سر پیچی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می خواهی بفروش تا چندین برابر قیمت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حاضر شد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سمره نپذیرفت رسول خدا صلی اللّه علیه و آله و سلم فرمود به جای این درخت درختی در بهشت برای توست امّا او قبول نکرد رسول خدا صلی اللّه علیه و آله و سلم به انصاری فرمودند درختش را بکن و به روی او بیانداز پس همانا این شخص دارد به تو ضرر می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از نظر سندی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عبد اللّه بن بکیر موثقه است پس می شود موثقه زراره</w:t>
      </w:r>
      <w:r>
        <w:rPr>
          <w:rFonts w:eastAsia="IRNazanin" w:cs="IRNazanin"/>
          <w:color w:val="111111"/>
          <w:sz w:val="28"/>
          <w:szCs w:val="28"/>
          <w:rtl w:val="true"/>
          <w:lang w:bidi="fa-IR"/>
        </w:rPr>
        <w:t>.</w:t>
      </w:r>
    </w:p>
    <w:p>
      <w:pPr>
        <w:pStyle w:val="Heading4"/>
        <w:numPr>
          <w:ilvl w:val="3"/>
          <w:numId w:val="1"/>
        </w:numPr>
        <w:rPr/>
      </w:pPr>
      <w:bookmarkStart w:id="93" w:name="__RefHeading___Toc3219519_2870459653"/>
      <w:bookmarkStart w:id="94" w:name="_Toc37"/>
      <w:bookmarkEnd w:id="93"/>
      <w:r>
        <w:rPr>
          <w:rtl w:val="true"/>
        </w:rPr>
        <w:t>روايت دوّم</w:t>
      </w:r>
      <w:r>
        <w:rPr>
          <w:rtl w:val="true"/>
        </w:rPr>
        <w:t>:</w:t>
      </w:r>
      <w:bookmarkEnd w:id="94"/>
    </w:p>
    <w:p>
      <w:pPr>
        <w:pStyle w:val="BookText"/>
        <w:rPr/>
      </w:pPr>
      <w:r>
        <w:rPr>
          <w:rFonts w:ascii="Amiri" w:hAnsi="Amiri" w:eastAsia="Amiri" w:cs="Amiri"/>
          <w:color w:val="111111"/>
          <w:sz w:val="28"/>
          <w:sz w:val="28"/>
          <w:szCs w:val="28"/>
          <w:rtl w:val="true"/>
          <w:lang w:bidi="ar-SA"/>
        </w:rPr>
        <w:t xml:space="preserve">الْكُلَيْنِيُّ عَنْ عَلِيِّ بْنِ مُحَمَّدِ بْنِ بُنْدَارَ عَنْ أَحْمَدَ بْنِ أَبِي عَبْدُ اللَّهِ عَنْ أَبِيهِ عَنْ بَعْضِ أَصْحَابِنَا عَنْ عَبْدِ اللَّهِ بْنِ مُسْكَانَ عَنْ زُرَارَةَ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بْنَ جُنْدَبٍ كَانَ لَهُ عَذْقُ وَ كَانَ طَرِيقُهُ إِلَيْهِ فِي جَوْفِ مَنْزِلِ رَجُلٍ مِنَ الْأَنْصَارِ وَ كَانَ يجي وَ يَدْخُلُ إِلَى عَذْقِهِ بِغَيْرِ إِذَنْ فِي الْأَنْصَارِيِّ فَقَالَ لَهُ الْأَنْصَارِيُّ يَا سَمُرَةُ لَا تَزَالُ تُفَاجِئُنَا عَلَى حَالٍ لَا نُحِبُّ أَنْ تُفَاجِئَنَا عَلَيْهَا فَإِذَا دَخَلْتَ فَاسْتَأْذِنْ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أَسْتَأْذِنُ فِي طَرِيقِي وَ هُوَ طَرِيقِي إِلَى عَذْقِي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الْأَنْصَارِيُّ إِلَى رَسُولِ اللَّهِ صُلِّيَ اللَّهِ عَلَيْهِ وَ آلِهِ وَ سَلَّمَ فَأَرْسَلَ إِلَيْهِ رَسُولُ اللَّهِ صُلِّيَ اللَّهِ عَلَيْهِ وَ آلِهِ وَ سَلَّمَ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قَدْ شَكَاكَ وَ زَعَمَ أَنَّكَ تَمُرُّ عَلَيْهِ وَ عَلَى أَهْلِهِ بِغَيْرِ إِذْنِهِ فَاسْتَأْذِنْ عَلَيْهِ إِذَا أَرَدْتَ أَنْ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أَسْتَأْذِنُ فِي طَرِيقِي إِلَى عذقى ؟ فَقَالَ لَهُ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 لَكَ مَكَانَهُ عَذْقُ فِي مَكَانِ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 اثْنَانِ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فَلَمْ يَزَلْ يَزِيدُهُ حَتَّى بَلَغَ عُشْرَهُ أَعْذَاقٍ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عُشْرَهُ فِي مَكَانِ كَذَا وَ كَذَا ، فابي فَقَالَ خَلِّ عَنْهُ وَ لَكَ مَكَانَهُ عَذْقُ فِي الجنه قَالَ لَا أُرِيدُ، فَقَالَ </w:t>
      </w:r>
    </w:p>
    <w:p>
      <w:pPr>
        <w:pStyle w:val="BookText"/>
        <w:rPr/>
      </w:pPr>
      <w:r>
        <w:rPr>
          <w:rFonts w:ascii="Amiri" w:hAnsi="Amiri" w:eastAsia="Amiri" w:cs="Amiri"/>
          <w:color w:val="111111"/>
          <w:sz w:val="28"/>
          <w:sz w:val="28"/>
          <w:szCs w:val="28"/>
          <w:rtl w:val="true"/>
          <w:lang w:bidi="ar-SA"/>
        </w:rPr>
        <w:t xml:space="preserve">لَهُ رَسُولُ اللَّهِ صُلِّيَ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رَجُلُ مُضَارُّ وَ لَا ضَرَرَ وَ لَا ضِرَارَ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صُلِّيَ اللَّهِ علیه وَ آلِهِ وَ سَلَّمَ فَقُلِعَتْ ثُمَّ رُمِيَ بِهَا إِلَيْهِ وَ قَالَ لَهُ رَسُولُ اللَّهِ صُلِّيَ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حَيْثُ شِئْتَ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درخت خرمایی داشت و طریق و راه رسیدنِ به این نخل در دل منزلِ مردی از انصار بود و او زمانی که داخل منزل انصاری می شد برای سر زدن به درخت خرمایش اجازه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انصاری به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وارد منزل شدی به گونه ای که ما دوست نداریم در آن حال ما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زمانی که وارد منزل شدی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راهی که برای درخت خرما که متعلّق به من است اجازه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انصاری شکایت پیش رسول خدا صلی اللّه علیه و آله و سلم برد، به رسول خدا به دنبال او فرستاد و او آمد،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شکایت کرده است و بر این گمان است که تو اجازه نمی گیری زمانی که وارد منزل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آیا در طریق و راهی که متعلق به من است اجازه بگیرم؟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راه رها کن و به جای آن درخت، درختی دیگر در فلان مکان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دو درخت به تو خواهم داد گفت خیر،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رسول خدا صلی اللّه علیه و آله و سلم و تعداد درختان را بالا برد تا به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رسید، گفت نه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صرف نظر کن و به جای آن درختی در بهشت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ضرر زننده هستی و ضرر و ضراری بر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دستور دادند که درخت را از زمین جدا کنند و بیاندازند جلوی سمره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درختت را بردار و هر جا خواستی بکار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راویان سند ثقه هستند؛ الّا این که </w:t>
      </w:r>
      <w:r>
        <w:rPr>
          <w:rFonts w:ascii="Amiri" w:hAnsi="Amiri" w:eastAsia="Amiri" w:cs="Amiri"/>
          <w:color w:val="111111"/>
          <w:sz w:val="28"/>
          <w:sz w:val="28"/>
          <w:szCs w:val="28"/>
          <w:rtl w:val="true"/>
          <w:lang w:bidi="ar-SA"/>
        </w:rPr>
        <w:t>بَعْضُ أَصْحَابِنَا</w:t>
      </w:r>
      <w:r>
        <w:rPr>
          <w:rFonts w:ascii="IRNazanin" w:hAnsi="IRNazanin" w:eastAsia="IRNazanin"/>
          <w:color w:val="111111"/>
          <w:sz w:val="28"/>
          <w:sz w:val="28"/>
          <w:szCs w:val="28"/>
          <w:rtl w:val="true"/>
          <w:lang w:bidi="fa-IR"/>
        </w:rPr>
        <w:t xml:space="preserve"> سند را مخدوش می کنند و تعجب از شیخ انصاری رحمه اللّه علیه که در رساله لاضرر خود این روایت را أَصَحُّ </w:t>
      </w:r>
      <w:bookmarkStart w:id="95" w:name="pg9135_79582"/>
    </w:p>
    <w:p>
      <w:pPr>
        <w:pStyle w:val="BookText"/>
        <w:rPr/>
      </w:pPr>
      <w:bookmarkEnd w:id="95"/>
      <w:r>
        <w:rPr>
          <w:rFonts w:ascii="Amiri" w:hAnsi="Amiri" w:eastAsia="Amiri" w:cs="Amiri"/>
          <w:color w:val="111111"/>
          <w:sz w:val="28"/>
          <w:sz w:val="28"/>
          <w:szCs w:val="28"/>
          <w:rtl w:val="true"/>
          <w:lang w:bidi="ar-SA"/>
        </w:rPr>
        <w:t xml:space="preserve">مَا فِي الْبَابِ سَنَداً وَ أَوْضَحَ دَلَالُهُ </w:t>
      </w:r>
      <w:r>
        <w:rPr>
          <w:rStyle w:val="FootnoteAnchor"/>
          <w:rtl w:val="true"/>
        </w:rPr>
        <w:footnoteReference w:id="46"/>
      </w:r>
      <w:r>
        <w:rPr>
          <w:rFonts w:ascii="IRNazanin" w:hAnsi="IRNazanin" w:eastAsia="IRNazanin"/>
          <w:color w:val="111111"/>
          <w:sz w:val="28"/>
          <w:sz w:val="28"/>
          <w:szCs w:val="28"/>
          <w:rtl w:val="true"/>
          <w:lang w:bidi="fa-IR"/>
        </w:rPr>
        <w:t>می داند در حالی که روايت قبل أَصَحُّ مَا فِي الْبَابِ است و نکته دیگر این که حتی احمد بن خالد برقی روی قولی که بگوییم مانند مشايخ ثلاث مثل محمّد بن ابی عمیر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لَا يَرْوَى وَ لَا يُرْسِلُ إِلَّا عَنْ ثِقَهِ نمی شود سند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دیگر این که ایشان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غَيْرِ واحِدٍ عَنْ زَرَّارِهِ</w:t>
      </w:r>
      <w:r>
        <w:rPr>
          <w:rFonts w:ascii="IRNazanin" w:hAnsi="IRNazanin" w:eastAsia="IRNazanin"/>
          <w:color w:val="111111"/>
          <w:sz w:val="28"/>
          <w:sz w:val="28"/>
          <w:szCs w:val="28"/>
          <w:rtl w:val="true"/>
          <w:lang w:bidi="fa-IR"/>
        </w:rPr>
        <w:t xml:space="preserve"> و حال این که جز زراره کسی این روایت را از عبد اللّه بن مسکان نقل نکرده است مثل این که ایشان دو روایت را یکی لحاظ کرده است و به نظر می آید سخنی که در مورد شیخ اعظم رحمه اللّه علیه است که ایشان آن گونه که در اصول متبحر هستند در رجال نیستند درست باشد</w:t>
      </w:r>
      <w:r>
        <w:rPr>
          <w:rFonts w:eastAsia="IRNazanin" w:cs="IRNazanin"/>
          <w:color w:val="111111"/>
          <w:sz w:val="28"/>
          <w:szCs w:val="28"/>
          <w:rtl w:val="true"/>
          <w:lang w:bidi="fa-IR"/>
        </w:rPr>
        <w:t>.</w:t>
      </w:r>
    </w:p>
    <w:p>
      <w:pPr>
        <w:pStyle w:val="Heading4"/>
        <w:numPr>
          <w:ilvl w:val="3"/>
          <w:numId w:val="1"/>
        </w:numPr>
        <w:rPr/>
      </w:pPr>
      <w:bookmarkStart w:id="96" w:name="__RefHeading___Toc3219521_2870459653"/>
      <w:bookmarkStart w:id="97" w:name="_Toc38"/>
      <w:bookmarkEnd w:id="96"/>
      <w:r>
        <w:rPr>
          <w:rtl w:val="true"/>
        </w:rPr>
        <w:t>روایت سوّم</w:t>
      </w:r>
      <w:r>
        <w:rPr>
          <w:rtl w:val="true"/>
        </w:rPr>
        <w:t>:</w:t>
      </w:r>
      <w:bookmarkEnd w:id="97"/>
    </w:p>
    <w:p>
      <w:pPr>
        <w:pStyle w:val="BookText"/>
        <w:rPr/>
      </w:pPr>
      <w:r>
        <w:rPr>
          <w:rFonts w:ascii="Amiri" w:hAnsi="Amiri" w:eastAsia="Amiri" w:cs="Amiri"/>
          <w:color w:val="111111"/>
          <w:sz w:val="28"/>
          <w:sz w:val="28"/>
          <w:szCs w:val="28"/>
          <w:rtl w:val="true"/>
          <w:lang w:bidi="ar-SA"/>
        </w:rPr>
        <w:t>روایت شیخ صدوق رحمه اللّه علیه در كتاب مَنْ لَا يَحْضُرُهُ الْفَقِيهُ به سند خودش</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الْحَسَنُ الصَّيْقَلُ عَنْ أَبِي عُبَيْدَةَ بْنِ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كَانَ السُّمْرَةِ بْنِ جُنْدَبٍ نَخْلَةُ فِي حَائِطِ بَنَى فُلَانٍ فَكَانَ إِذَا جَاءَ إِلَى نَخْلَتِهِ نَظَرَ إِلَى شَيْ‌ءٍ مِنْ أَهْلِ الرَّجُلِ يُكْرَهُ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إِلَى رَسُولِ اللَّهِ صُلِّيَ اللَّهِ علیه وَ آلِهِ وَ سَلَّمَ فَشَكَاهُ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صُلِّيَ اللَّهِ عَلَيْهِ وَ آلِهِ وَ سَلَّمَ إِنَّ سَمُرَةَ يَدْخُلُ عَلَيَّ بِغَيْرِ أُذُنَىَّ فَلَوْ أَرْسَلْتَ إِلَيْهِ فَأَمَرْتَهُ انَّ يَسْتَأْذِنَ حَتَّى تَأْخُذَ أَهْلِي حِذْرَهَا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رَسُولُ اللَّهِ صُلِّيَ اللَّهِ علیه وَ آلِهِ وَ سَلَّمَ فَدَعَاهُ فَقَالَ يَا سمره اسْتَأْذَنَ أَنْتَ إِذَا دَخَلْتَ ثُمَّ قَالَ رَسُولُ اللَّهِ صُلِّيَ اللَّهِ علیه وَ آلِهِ وَ سَلَّمَ يَسْتُرُكَ انَّ يَكُونَ لَكَ عَذْقُ فِي الجنه بِنَخْلَتِكَ ؟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ثلاثه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سَمُرَه إِلَّا مُضَارّاً إذهب يَا فُلَانُ فَاقْطَعْهَا وَ اضْرِبْ بِهَا وَجْهَهُ</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سمرة بن جندب یک درخت نخلی بود در منزل بنى فلان، که ایشان هر زمان که می خواست به سراغ درخت خود برود به گونه ای وارد می شود و نگاه کرد که صاحب خانه اکراه داشت، آن مرد شکایت پیش رسول خدا صلی اللّه علیه و آله و سلم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سمره داخل منزل من می شود </w:t>
      </w:r>
    </w:p>
    <w:p>
      <w:pPr>
        <w:pStyle w:val="BookText"/>
        <w:rPr/>
      </w:pPr>
      <w:r>
        <w:rPr>
          <w:rFonts w:ascii="IRNazanin" w:hAnsi="IRNazanin" w:eastAsia="IRNazanin"/>
          <w:color w:val="111111"/>
          <w:sz w:val="28"/>
          <w:sz w:val="28"/>
          <w:szCs w:val="28"/>
          <w:rtl w:val="true"/>
          <w:lang w:bidi="fa-IR"/>
        </w:rPr>
        <w:t>بدون اجازه و اذن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بفرستی به دنبال او و او را امر کنی که هنگام ورود به خانه اذن بگیرد تا این که اهل من از نگاهِ او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فرستاد به دنبال سمره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سمره هر گاه خواستی داخل منزل این شخص شوی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خوشحال کنم که در عوض این درخت نخلِ یک درخت نخلی در بهشت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این پیشنهاد را فرمودند و در هر سه بار، پیشنهاد حضرت را رد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سمره من تو را شخص ضرر زننده می بینم پس ای فلانی برو درختش را قطع کن و به رویِ او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حدیث فوق حسن بن زیاد صیقل وجود دارد که توثیق خاص ندارد و روایت با وجود ایشان ضعیف می،شود امّا از نظر ما وثاقت ایشان ثابت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 از از هفتاد روایت در کتب اربعه دارد و اجلاء و ثقات، بلکه اصحاب اجماع از ایشان نقل حدیث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در خود سند صدوق رحمه اللّه علیه حماد بن عثمان در کافی باب كذب، فضالة بن ایوب در کافی باب ورع، ابان بن عثمان در کافی باب تفکر و در تهذیب بَابُ لُحُوقِ الْأَوْلَادِ بِالْأَبِ عبد اللّه بن كثير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نقل ثقات و موارد فوق حکایت می کنند که ایشان از معاریف بوده است و از هیچ یک از رجالیون نسبت به ایشان قدحی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وثاقت شان ثابت می شود ولو تصریح به وثاقت ایشان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کاظمی در مشترکاتش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الصَّيْقَلِ الْمَجْهُولِ حَالُهُ بِرِوَايَةِ إِبْرَاهِيمَ بْنِ سُلَيْمَانَ بْنِ حَيَّانَ عَنْهُ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ایشان منحصر به ابراهیم حیّان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قرائنی که ذکر کرديم كلمة مجهول صحيح نیست، همان طور که شيخ الشريعه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Style w:val="FootnoteAnchor"/>
        </w:rPr>
        <w:footnoteReference w:id="49"/>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معتبر می داند که اگر داخل در ثقات ندانيم فَلَا أَقَلَّ مِنِ انَّ يَعِدُهُ مَمْدُوحاً وَ يَعُدُّ حَدِيثِهِ حُسْناً</w:t>
      </w:r>
      <w:r>
        <w:rPr>
          <w:rFonts w:eastAsia="IRNazanin" w:cs="IRNazanin"/>
          <w:color w:val="111111"/>
          <w:sz w:val="28"/>
          <w:szCs w:val="28"/>
          <w:rtl w:val="true"/>
          <w:lang w:bidi="fa-IR"/>
        </w:rPr>
        <w:t xml:space="preserve">. </w:t>
      </w:r>
      <w:bookmarkStart w:id="98" w:name="pg9135_79584"/>
    </w:p>
    <w:p>
      <w:pPr>
        <w:pStyle w:val="Heading3"/>
        <w:numPr>
          <w:ilvl w:val="2"/>
          <w:numId w:val="1"/>
        </w:numPr>
        <w:rPr/>
      </w:pPr>
      <w:bookmarkStart w:id="99" w:name="__RefHeading___Toc3219523_2870459653"/>
      <w:bookmarkStart w:id="100" w:name="_Toc39"/>
      <w:bookmarkEnd w:id="98"/>
      <w:bookmarkEnd w:id="99"/>
      <w:r>
        <w:rPr>
          <w:rtl w:val="true"/>
        </w:rPr>
        <w:t>مورد دوّم</w:t>
      </w:r>
      <w:r>
        <w:rPr>
          <w:rtl w:val="true"/>
        </w:rPr>
        <w:t xml:space="preserve">: </w:t>
      </w:r>
      <w:r>
        <w:rPr>
          <w:rtl w:val="true"/>
        </w:rPr>
        <w:t>حدیث شفعه</w:t>
      </w:r>
      <w:bookmarkEnd w:id="100"/>
    </w:p>
    <w:p>
      <w:pPr>
        <w:pStyle w:val="BookText"/>
        <w:rPr/>
      </w:pPr>
      <w:r>
        <w:rPr>
          <w:rFonts w:ascii="Amiri" w:hAnsi="Amiri" w:eastAsia="Amiri" w:cs="Amiri"/>
          <w:color w:val="111111"/>
          <w:sz w:val="28"/>
          <w:sz w:val="28"/>
          <w:szCs w:val="28"/>
          <w:rtl w:val="true"/>
          <w:lang w:bidi="ar-SA"/>
        </w:rPr>
        <w:t xml:space="preserve">الْكُلَيْنِيُّ عَنْ مُحَمَّدِ بْنِ يَحْيَى عَنْ مُحَمَّدِ بْنِ الْحُسَيْنِ عَنْ مُحَمَّدِ بْنِ عَبْدِ اللَّهِ بْنِ هِلَالٍ عَنْ عُقْبَةَ بْنِ خَالِدٍ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صُلِّيَ اللَّهِ علیه وَ آلِهِ وَ سَلَّمَ لَا بِالشُّفْعَةِ بَيْنَا للَّهُ الشُّرَكَاءِ فِي الْأَرَضِينَ وَ الْمَسَاكِنِ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رُفَّتِ الْأُرَفُ وَحْدَةَ الْحُدُودُ فَلَا شُفْعَةَ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محمّد بن عبد اللّه بن هلال مهمل است و یادی از ایشان در کتب رِجالُ لَا بمدح وَ لَا بِقَدَحٍ نشده است در نتیجه روایت ضعیف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خالد اسدى كوفی که مرحوم مامقانی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مَرَاتِبَ الْحَسَنِ انَّ لَمْ يَكُنْ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را شیخ در تهذیب با سند </w:t>
      </w:r>
      <w:r>
        <w:rPr>
          <w:rStyle w:val="FootnoteAnchor"/>
          <w:rtl w:val="true"/>
        </w:rPr>
        <w:footnoteReference w:id="51"/>
      </w:r>
      <w:r>
        <w:rPr>
          <w:rFonts w:ascii="IRNazanin" w:hAnsi="IRNazanin" w:eastAsia="IRNazanin"/>
          <w:color w:val="111111"/>
          <w:sz w:val="28"/>
          <w:sz w:val="28"/>
          <w:szCs w:val="28"/>
          <w:rtl w:val="true"/>
          <w:lang w:bidi="fa-IR"/>
        </w:rPr>
        <w:t>خود تا محمّد بن یحیی نقل می کند و تتمه سند را با کلینی مشترک است پس سند شیخ هم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شیخ صدوق رحمه اللّه علیه با اسناد </w:t>
      </w:r>
      <w:r>
        <w:rPr>
          <w:rStyle w:val="FootnoteAnchor"/>
          <w:rtl w:val="true"/>
        </w:rPr>
        <w:footnoteReference w:id="52"/>
      </w:r>
      <w:r>
        <w:rPr>
          <w:rFonts w:ascii="IRNazanin" w:hAnsi="IRNazanin" w:eastAsia="IRNazanin"/>
          <w:color w:val="111111"/>
          <w:sz w:val="28"/>
          <w:sz w:val="28"/>
          <w:szCs w:val="28"/>
          <w:rtl w:val="true"/>
          <w:lang w:bidi="fa-IR"/>
        </w:rPr>
        <w:t>خودش به عُقبة بن خالد روایت را نقل می کند، اگر سند صدوق تا عقبة بن خالد تمام باشد سند صدوق صحیح است و الّا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حکم به شفعه کردند بین شرکاء در زمین و زمین های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ضرری وجود دارد و نه اضراری وقتی زمین حدود و مرز آن مشخص شد و سهم هر کدام مشخص شد دیگر شراکتی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أُرف جَمَعَ أُرِّفَتِ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و مرز و حد فاصل بین دو زمین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ما جمله لاضرر و لاضرار است زیرا شرکا برای این که به شریک ضرر بزند مال را به گونه ای به غیر می فروشند تا شریک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 شریک می تواند با اعمالِ حقِّ شفعه جلو ضرر به خود را بگیرد</w:t>
      </w:r>
      <w:r>
        <w:rPr>
          <w:rFonts w:eastAsia="IRNazanin" w:cs="IRNazanin"/>
          <w:color w:val="111111"/>
          <w:sz w:val="28"/>
          <w:szCs w:val="28"/>
          <w:rtl w:val="true"/>
          <w:lang w:bidi="fa-IR"/>
        </w:rPr>
        <w:t xml:space="preserve">. </w:t>
      </w:r>
      <w:bookmarkStart w:id="101" w:name="pg9135_79585"/>
    </w:p>
    <w:p>
      <w:pPr>
        <w:pStyle w:val="Heading3"/>
        <w:numPr>
          <w:ilvl w:val="2"/>
          <w:numId w:val="1"/>
        </w:numPr>
        <w:rPr/>
      </w:pPr>
      <w:bookmarkStart w:id="102" w:name="__RefHeading___Toc3219525_2870459653"/>
      <w:bookmarkStart w:id="103" w:name="_Toc40"/>
      <w:bookmarkEnd w:id="101"/>
      <w:bookmarkEnd w:id="102"/>
      <w:r>
        <w:rPr>
          <w:rtl w:val="true"/>
        </w:rPr>
        <w:t>مورد سوّم</w:t>
      </w:r>
      <w:r>
        <w:rPr>
          <w:rtl w:val="true"/>
        </w:rPr>
        <w:t xml:space="preserve">: </w:t>
      </w:r>
      <w:r>
        <w:rPr>
          <w:rtl w:val="true"/>
        </w:rPr>
        <w:t>حدیث مَنَعَ فَضْلَ الْمَاءِ</w:t>
      </w:r>
      <w:bookmarkEnd w:id="103"/>
    </w:p>
    <w:p>
      <w:pPr>
        <w:pStyle w:val="BookText"/>
        <w:rPr/>
      </w:pPr>
      <w:r>
        <w:rPr>
          <w:rFonts w:ascii="Amiri" w:hAnsi="Amiri" w:eastAsia="Amiri" w:cs="Amiri"/>
          <w:color w:val="111111"/>
          <w:sz w:val="28"/>
          <w:sz w:val="28"/>
          <w:szCs w:val="28"/>
          <w:rtl w:val="true"/>
          <w:lang w:bidi="ar-SA"/>
        </w:rPr>
        <w:t xml:space="preserve">كليني عَنْ مُحَمَّدِ بْنِ يَحْيَى عَنْ مُحَمَّدِ بْنِ الْحُسَيْنِ عَنْ مُحَمَّدِ بْنِ عَبْدِ اللَّهِ بْنِ هِلَالٍ عَنْ عُقْبَةَ بْنِ خَالِدٍ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صُلِّيَ اللَّهِ عَلَيْهِ وَ آلِهِ وَ سَلَّمَ بَيْنَ أَهْلِ المدينه فِي مَشَارِبِ النَّخْلِ أَنَّهُ لَا يُمْنَعُ نَفْعُ شَيْ‌ءُ وَ قَضَى بَيْنَ أَهْلِ الْبَادِيَةِ أَنَّهُ لَا يُمْنَعُ فَضْلُ مَاءٍ لِيُمْنَعَ بِهِ فَضْلُ کلاء وَ قَالَ لَا ضَرَرَ وَ لَا ضِرَارَ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حکم فرمودند بین اهل مدینه که یک دیگر را از محل شرب نخل منع نکنید یعنی درخت خود را آب بده و جلو سیراب شدن درختان دیگر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وافی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يُمْنَعُ نَفْعُ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چادر نشینان و کوچ نشینان حکم کردند که کسی حق ندارد مانع از زیادی آب برای مرتع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آب منع می کردند تا کسی نتواند احشام خود را بچراند تا چرا گاه منحصر به خود شود و فرمودند که نه ضرری وجود دارد نه ضراری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همان سند حدیث شفعه است که گفتیم به محمّد بن عبد اللّه بن هلال ضعیف است</w:t>
      </w:r>
      <w:r>
        <w:rPr>
          <w:rFonts w:eastAsia="IRNazanin" w:cs="IRNazanin"/>
          <w:color w:val="111111"/>
          <w:sz w:val="28"/>
          <w:szCs w:val="28"/>
          <w:rtl w:val="true"/>
          <w:lang w:bidi="fa-IR"/>
        </w:rPr>
        <w:t>.</w:t>
      </w:r>
    </w:p>
    <w:p>
      <w:pPr>
        <w:pStyle w:val="Heading3"/>
        <w:numPr>
          <w:ilvl w:val="2"/>
          <w:numId w:val="1"/>
        </w:numPr>
        <w:rPr/>
      </w:pPr>
      <w:bookmarkStart w:id="104" w:name="__RefHeading___Toc3219527_2870459653"/>
      <w:bookmarkStart w:id="105" w:name="_Toc41"/>
      <w:bookmarkEnd w:id="104"/>
      <w:r>
        <w:rPr>
          <w:rtl w:val="true"/>
        </w:rPr>
        <w:t>مورد چهارم</w:t>
      </w:r>
      <w:r>
        <w:rPr>
          <w:rtl w:val="true"/>
        </w:rPr>
        <w:t xml:space="preserve">: </w:t>
      </w:r>
      <w:r>
        <w:rPr>
          <w:rtl w:val="true"/>
        </w:rPr>
        <w:t>حديث هَدَمَ الْحَائِطِ</w:t>
      </w:r>
      <w:bookmarkEnd w:id="105"/>
    </w:p>
    <w:p>
      <w:pPr>
        <w:pStyle w:val="Heading4"/>
        <w:numPr>
          <w:ilvl w:val="3"/>
          <w:numId w:val="1"/>
        </w:numPr>
        <w:rPr/>
      </w:pPr>
      <w:bookmarkStart w:id="106" w:name="__RefHeading___Toc3219529_2870459653"/>
      <w:bookmarkStart w:id="107" w:name="_Toc42"/>
      <w:bookmarkEnd w:id="106"/>
      <w:r>
        <w:rPr>
          <w:rtl w:val="true"/>
        </w:rPr>
        <w:t>اشاره</w:t>
      </w:r>
      <w:bookmarkEnd w:id="10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نُعْمَانُ الْمِصْرِيُّ فِي دَعَائِمِ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سُئِلَ عَنْ جِدَارٍ لِرَجُلٍ وَ هُوَ سُتْرَةُ فِيمَا بَيْنَهُ وَ بَيْنَ جَارِهِ سَقَطَ فَامْتَنَعَ مِنْ بِنَائِهِ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يُجْبَرُ عَلَى ذَلِكَ إِلَّا انَّ يَكُونَ وَجَبَ ذَلِكَ لِصَاحِبِ الدَّارِ الآخرى بِحَقٍّ أَوْ بِشَرْطٍ فِي أَصْلِ الْمِلْكِ وَ لَكِنْ يُقَالُ لِصَاحِبِ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عَلَى نَفْسِكَ فِي حَقِّكَ انَّ شِئْتَ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الْجِدَارُ لَمْ يَسْقُطْ وَ لَكِنَّهُ هَدَمَهُ أَوْ أَرَادَ هَدْمَهُ اضرارا بِجَارِهِ لِغَيْرِ حَاجَةٍ مِنْهُ إِلَى هَدْمِهِ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ذَلِكَ انَّ رَسُولُ 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فَإِنْ هَدَمَهُ كُلِّفَ أَنْ يَبْنِيَهُ</w:t>
      </w:r>
      <w:r>
        <w:rPr>
          <w:rFonts w:eastAsia="Amiri" w:cs="Amiri" w:ascii="Amiri" w:hAnsi="Amiri"/>
          <w:color w:val="111111"/>
          <w:sz w:val="28"/>
          <w:szCs w:val="28"/>
          <w:rtl w:val="true"/>
          <w:lang w:bidi="ar-SA"/>
        </w:rPr>
        <w:t xml:space="preserve">. </w:t>
      </w:r>
      <w:r>
        <w:rPr>
          <w:rStyle w:val="FootnoteAnchor"/>
          <w:rtl w:val="true"/>
        </w:rPr>
        <w:footnoteReference w:id="54"/>
      </w:r>
      <w:bookmarkStart w:id="108" w:name="pg9135_79586"/>
    </w:p>
    <w:p>
      <w:pPr>
        <w:pStyle w:val="Heading4"/>
        <w:numPr>
          <w:ilvl w:val="3"/>
          <w:numId w:val="1"/>
        </w:numPr>
        <w:rPr/>
      </w:pPr>
      <w:bookmarkStart w:id="109" w:name="__RefHeading___Toc3219531_2870459653"/>
      <w:bookmarkStart w:id="110" w:name="_Toc43"/>
      <w:bookmarkEnd w:id="108"/>
      <w:bookmarkEnd w:id="109"/>
      <w:r>
        <w:rPr>
          <w:rtl w:val="true"/>
        </w:rPr>
        <w:t>شخصیت قاضی نعمان و كتاب دعائم الإسلام</w:t>
      </w:r>
      <w:bookmarkEnd w:id="110"/>
    </w:p>
    <w:p>
      <w:pPr>
        <w:pStyle w:val="BookText"/>
        <w:rPr/>
      </w:pPr>
      <w:r>
        <w:rPr>
          <w:rFonts w:ascii="IRNazanin" w:hAnsi="IRNazanin" w:eastAsia="IRNazanin"/>
          <w:color w:val="111111"/>
          <w:sz w:val="28"/>
          <w:sz w:val="28"/>
          <w:szCs w:val="28"/>
          <w:rtl w:val="true"/>
          <w:lang w:bidi="fa-IR"/>
        </w:rPr>
        <w:t xml:space="preserve">قاضی نعمان بن محمّد بن منصور بن حيّون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تَشَيُّع او تردیدی نیست، اختلاف در این است که آیا ایشان اسماعیلی هستند یا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رحمه اللّه علیه در خاتمه کتاب مستدرک الوسائل ادله ای می آورد بر امامی بودن ایشان و استناد می کند به کتاب دعائم الإسلام ایشان و شواهدی را ذکر می 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قول حاجی نوری تمام است در صورتی که تألیفات قاضی نعمان منحصر به كتاب دعائم الإسلام باشد و حال آن که کتاب هایی دیگر از ایشان در اثبات خلافت فاطمیون مصر و اثبات امامت خلفایی که جزء فاطمیون مصر هستند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اهمیت كتاب 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کتاب روایاتش مرسل است؛ امّا متن روایاتش نسبت به کتاب مرحوم کلینی که هم عصر بوده اند از قوت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 قاضی نعمان به علّت سِمَت قاضی القضاتی که در حکومت فاطمیون مصر داشت و این کتاب را به عنوان قانون اساسی فاطمیّون مصر نوشته است از نظر نیرو و ثروت نسبت به مرحوم کلینی رحمه اللّه علیه برتری داشته است و این توانایی را داشته است که بتواند نسخه های محکم اصول اربعة مأة را تهیه کند به همین جهت است که گاهی اوقات با یک روایت از کتاب دعائم الإسلام بين دو روایت رفع تعارض می شود</w:t>
      </w:r>
      <w:r>
        <w:rPr>
          <w:rFonts w:eastAsia="IRNazanin" w:cs="IRNazanin"/>
          <w:color w:val="111111"/>
          <w:sz w:val="28"/>
          <w:szCs w:val="28"/>
          <w:rtl w:val="true"/>
          <w:lang w:bidi="fa-IR"/>
        </w:rPr>
        <w:t>.</w:t>
      </w:r>
    </w:p>
    <w:p>
      <w:pPr>
        <w:pStyle w:val="Heading4"/>
        <w:numPr>
          <w:ilvl w:val="3"/>
          <w:numId w:val="1"/>
        </w:numPr>
        <w:rPr/>
      </w:pPr>
      <w:bookmarkStart w:id="111" w:name="__RefHeading___Toc3219533_2870459653"/>
      <w:bookmarkStart w:id="112" w:name="_Toc44"/>
      <w:bookmarkEnd w:id="111"/>
      <w:r>
        <w:rPr>
          <w:rtl w:val="true"/>
        </w:rPr>
        <w:t>معنای روایت</w:t>
      </w:r>
      <w:r>
        <w:rPr>
          <w:rtl w:val="true"/>
        </w:rPr>
        <w:t>:</w:t>
      </w:r>
      <w:bookmarkEnd w:id="1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سوال شد از مردی که خانه او دیواری دارد و آن دیوار ستر و حائل بین خانه او و خانه دیگری است و این دیوار فرو می ریزد و این شخص دیوار را نمی سازد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او را مجبور به ساخت دیوار کرد الّا این که واجب باشد بر او دیوار را بنا کند به جهت این که خانه همسایه حقّ در دیوار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خانه ای ملک او نیست امّا در آن حقّ دارد مثل حقّ مرور برای دو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ملک او شرط شده که این دیوار باید باشد ولو در ملک دیگری باشد و به صاحب منزل گفته می شود اگر مایلی بین خود و همسایه یک ستری ایجاد کن حال اگر دیوار را خود می خواهد خراب کند به خاطر اضرار به </w:t>
      </w:r>
      <w:bookmarkStart w:id="113" w:name="pg9135_79587"/>
    </w:p>
    <w:p>
      <w:pPr>
        <w:pStyle w:val="BookText"/>
        <w:rPr/>
      </w:pPr>
      <w:bookmarkEnd w:id="113"/>
      <w:r>
        <w:rPr>
          <w:rFonts w:ascii="IRNazanin" w:hAnsi="IRNazanin" w:eastAsia="IRNazanin"/>
          <w:color w:val="111111"/>
          <w:sz w:val="28"/>
          <w:sz w:val="28"/>
          <w:szCs w:val="28"/>
          <w:rtl w:val="true"/>
          <w:lang w:bidi="fa-IR"/>
        </w:rPr>
        <w:t>همسایه بدون این که حاجت و دلیلی بر خراب کردن داشته باشد حضرت می فرمایند حق تخریب دیوار را ندارد زیرا رسول خدا صلی اللّه علیه و آله و سلم فرمودند حق ضرر و اضرار ندارد و اگر تخریب کرد تکلیف می شود دوباره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در کتب اهل سنّت نسبت به این قاعده آورده شده است</w:t>
      </w:r>
      <w:r>
        <w:rPr>
          <w:rFonts w:eastAsia="IRNazanin" w:cs="IRNazanin"/>
          <w:color w:val="111111"/>
          <w:sz w:val="28"/>
          <w:szCs w:val="28"/>
          <w:rtl w:val="true"/>
          <w:lang w:bidi="fa-IR"/>
        </w:rPr>
        <w:t>:</w:t>
      </w:r>
    </w:p>
    <w:p>
      <w:pPr>
        <w:pStyle w:val="Heading3"/>
        <w:numPr>
          <w:ilvl w:val="2"/>
          <w:numId w:val="1"/>
        </w:numPr>
        <w:rPr/>
      </w:pPr>
      <w:bookmarkStart w:id="114" w:name="__RefHeading___Toc3219535_2870459653"/>
      <w:bookmarkStart w:id="115" w:name="_Toc45"/>
      <w:bookmarkEnd w:id="114"/>
      <w:r>
        <w:rPr>
          <w:rtl w:val="true"/>
        </w:rPr>
        <w:t>مورد پنجم</w:t>
      </w:r>
      <w:r>
        <w:rPr>
          <w:rtl w:val="true"/>
        </w:rPr>
        <w:t xml:space="preserve">: </w:t>
      </w:r>
      <w:r>
        <w:rPr>
          <w:rtl w:val="true"/>
        </w:rPr>
        <w:t>حدیث قِسْمَةُ الْعَيْنِ الْمُشْتَرَكَةَ</w:t>
      </w:r>
      <w:bookmarkEnd w:id="115"/>
    </w:p>
    <w:p>
      <w:pPr>
        <w:pStyle w:val="BookText"/>
        <w:rPr/>
      </w:pPr>
      <w:r>
        <w:rPr>
          <w:rFonts w:ascii="Amiri" w:hAnsi="Amiri" w:eastAsia="Amiri" w:cs="Amiri"/>
          <w:color w:val="111111"/>
          <w:sz w:val="28"/>
          <w:sz w:val="28"/>
          <w:szCs w:val="28"/>
          <w:rtl w:val="true"/>
          <w:lang w:bidi="ar-SA"/>
        </w:rPr>
        <w:t xml:space="preserve">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ابْنِ الْيَمَنِيِّ عَنِ الْحَجَّاجِ بْنِ أَرْطَاةَ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عَلَيْهِ السَّلَامُ أَنَّ نَخْلَةٍ كَانَتْ بَيْنَ رَجُلَيْنِ فَاخْتَصَمَا فِيهَا إِلَى النَّبِيِّ صُلِّيَ اللَّهِ علیه وَ آلِهِ وَ سَلَّمَ فَقَالَ أَحَدُهُمَا اشققها نِصْفَيْنِ بَيْنِي وَ بَيْنَهُ فَقَالَ النَّبِيُّ صُلِّيَ اللَّهِ عَلَيْهِ وَ آلِهِ وَ سَلَّمَ ضَرَرُ فِي الْإِسْلَامِ يتقاوَمان فِيهَا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امام باقر علیه السلام روایت کرده اند که بر سر یک درخت نخل بین دو نفر اختلاف شد و پیش رسول خدا صلی اللّه علیه و آله و سلم رفتند و از حضرت خواستند که درخت را بین آن دو نفر نصف کند امّا حضرت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ضرری نیست و باید قیمت گذاری شود و قیمت بین دو نفر تقسیم شود</w:t>
      </w:r>
      <w:r>
        <w:rPr>
          <w:rFonts w:eastAsia="IRNazanin" w:cs="IRNazanin"/>
          <w:color w:val="111111"/>
          <w:sz w:val="28"/>
          <w:szCs w:val="28"/>
          <w:rtl w:val="true"/>
          <w:lang w:bidi="fa-IR"/>
        </w:rPr>
        <w:t>.</w:t>
      </w:r>
    </w:p>
    <w:p>
      <w:pPr>
        <w:pStyle w:val="Heading3"/>
        <w:numPr>
          <w:ilvl w:val="2"/>
          <w:numId w:val="1"/>
        </w:numPr>
        <w:rPr/>
      </w:pPr>
      <w:bookmarkStart w:id="116" w:name="__RefHeading___Toc3219537_2870459653"/>
      <w:bookmarkStart w:id="117" w:name="_Toc46"/>
      <w:bookmarkEnd w:id="116"/>
      <w:r>
        <w:rPr>
          <w:rtl w:val="true"/>
        </w:rPr>
        <w:t>مورد ششم</w:t>
      </w:r>
      <w:r>
        <w:rPr>
          <w:rtl w:val="true"/>
        </w:rPr>
        <w:t xml:space="preserve">: </w:t>
      </w:r>
      <w:r>
        <w:rPr>
          <w:rtl w:val="true"/>
        </w:rPr>
        <w:t>حديث عَذْقُ أَبِي لُبَابَةَ</w:t>
      </w:r>
      <w:bookmarkEnd w:id="117"/>
    </w:p>
    <w:p>
      <w:pPr>
        <w:pStyle w:val="BookText"/>
        <w:rPr/>
      </w:pPr>
      <w:r>
        <w:rPr>
          <w:rFonts w:ascii="Amiri" w:hAnsi="Amiri" w:eastAsia="Amiri" w:cs="Amiri"/>
          <w:color w:val="111111"/>
          <w:sz w:val="28"/>
          <w:sz w:val="28"/>
          <w:szCs w:val="28"/>
          <w:rtl w:val="true"/>
          <w:lang w:bidi="ar-SA"/>
        </w:rPr>
        <w:t xml:space="preserve">أَبُو دَاوُدَ عَنِ واسِعُ 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لُبَابِهِ عَذْقُ فِي حَائِطِ رَجُلٍ فَكَلِّمْهُ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تَطَأُ حَائِطِي إِلَى عذقك فَأَنَا أُعْطِيكَ مِثْلَهُ فِي حَائِطِي وَ أَخْرَجَهُ عَنِّي فَأَبَى عَلَيْهِ فكلم النَّبِيِّ صُلِّيَ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لُبَابَةَ خُذْ مِثْلَ عذقك فَضُمَّهَا إِلَى مَالِكٍ وَ اكْفُفْ عَنْ صَاحِبُكَ مایَکرَهُ فَقَالَ مَا أَنَا بِفَاعِلٍ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 وَ سَلَّمَ إذهب فَاخْرُجْ لَهُ عَذْقاً مِثْلَ عَذْقِهِ إِلَى حَائِطِهِ ثُمَّ اضْرِبْ فَوْقَ ذَلِكَ بِجِدَارٍ فَإِنَّهُ لَا ضَرَرَ فِي الْإِسْلَامِ وَ لَا ضِرَارَ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لبابه در خانه شخصی درختِ نخلی داشت، پس آن شخص با آبی لبابه بحث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وارد منزلِ من می شوی برای درخت خرمایت و من مثل آن به تو خواهم داد و آن را از خانه من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آبی لبابه امتناع کرد و قبول نکرد، رسول خدا صلی اللّه عله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لبابه مثلِ درختِ نخلت را از این </w:t>
      </w:r>
      <w:bookmarkStart w:id="118" w:name="pg9135_79588"/>
    </w:p>
    <w:p>
      <w:pPr>
        <w:pStyle w:val="BookText"/>
        <w:rPr/>
      </w:pPr>
      <w:bookmarkEnd w:id="118"/>
      <w:r>
        <w:rPr>
          <w:rFonts w:ascii="IRNazanin" w:hAnsi="IRNazanin" w:eastAsia="IRNazanin"/>
          <w:color w:val="111111"/>
          <w:sz w:val="28"/>
          <w:sz w:val="28"/>
          <w:szCs w:val="28"/>
          <w:rtl w:val="true"/>
          <w:lang w:bidi="fa-IR"/>
        </w:rPr>
        <w:t>شخص بگیر و ضمیمه کن آن را به مال و سرمایه ات و از آن درختی که در خانه این شخصی است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یک درخت مانند درختِ او را از منزلت بیرون بیاور و روی دیوار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ضرر و ضراری در اسلام نیست</w:t>
      </w:r>
      <w:r>
        <w:rPr>
          <w:rFonts w:eastAsia="IRNazanin" w:cs="IRNazanin"/>
          <w:color w:val="111111"/>
          <w:sz w:val="28"/>
          <w:szCs w:val="28"/>
          <w:rtl w:val="true"/>
          <w:lang w:bidi="fa-IR"/>
        </w:rPr>
        <w:t>.</w:t>
      </w:r>
    </w:p>
    <w:p>
      <w:pPr>
        <w:pStyle w:val="Heading3"/>
        <w:numPr>
          <w:ilvl w:val="2"/>
          <w:numId w:val="1"/>
        </w:numPr>
        <w:rPr/>
      </w:pPr>
      <w:bookmarkStart w:id="119" w:name="__RefHeading___Toc3219539_2870459653"/>
      <w:bookmarkStart w:id="120" w:name="_Toc47"/>
      <w:bookmarkEnd w:id="119"/>
      <w:r>
        <w:rPr>
          <w:rtl w:val="true"/>
        </w:rPr>
        <w:t>مورد هفتم</w:t>
      </w:r>
      <w:r>
        <w:rPr>
          <w:rtl w:val="true"/>
        </w:rPr>
        <w:t xml:space="preserve">: </w:t>
      </w:r>
      <w:r>
        <w:rPr>
          <w:rtl w:val="true"/>
        </w:rPr>
        <w:t>حديث مَشَارِبِ النَّخْلِ</w:t>
      </w:r>
      <w:bookmarkEnd w:id="120"/>
    </w:p>
    <w:p>
      <w:pPr>
        <w:pStyle w:val="BookText"/>
        <w:rPr/>
      </w:pPr>
      <w:r>
        <w:rPr>
          <w:rFonts w:ascii="Amiri" w:hAnsi="Amiri" w:eastAsia="Amiri" w:cs="Amiri"/>
          <w:color w:val="111111"/>
          <w:sz w:val="28"/>
          <w:sz w:val="28"/>
          <w:szCs w:val="28"/>
          <w:rtl w:val="true"/>
          <w:lang w:bidi="ar-SA"/>
        </w:rPr>
        <w:t xml:space="preserve">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صَفْوَانَ بْنِ سُلَيْمٍ عَنْ ثَعْلَبَةَ بْنِ أَبِي مَالِكٍ انَّ رَسُولُ اللَّهِ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انَّ رَسُولُ اللَّهِ صُلِّيَ اللَّهُ عَلَيْهِ وَ آلِهِ وَ سَلَّمَ لَا لَا لَا قَضَى فِي شَارِبِ النَّخْلُ بِالسَّيْلِ لِلْأَعْلَى عَلَى الْأَسْفَلِ حَتَّى يُشْرَبَ الْأَعْلَى وَ يَرْوِي الْمَاءِ إِلَى الْكَعْبَيْنِ ثُمَّ يُسَرَّحُ الْمَاءُ إِلَى الْأَسْفَلِ وَ كَذَلِكَ حَتَّى تَنْقَضِيَ الْحَوَائِطُ أَوْ يَفْنَى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رسول خدا صلی اللّه علیه و آله و سلم فرمودند ضرر وضراری نیست و همانا رسول خدا صلی اللّه علیه و آله و سلم حکم کردند در مشارب نخل، آب که جاری شد آن هایی که بالا ترند آب را استفاده کنند و به سمت پایین رها کنند و بر آب دادن به اندازه کعب پا آب بالا بیاید کافی است سپس آب را به سمت پایین هدایت کنند تا این که همه باغ ها سیراب شوند یا تا زمانی که آب تمام شود</w:t>
      </w:r>
      <w:r>
        <w:rPr>
          <w:rFonts w:eastAsia="IRNazanin" w:cs="IRNazanin"/>
          <w:color w:val="111111"/>
          <w:sz w:val="28"/>
          <w:szCs w:val="28"/>
          <w:rtl w:val="true"/>
          <w:lang w:bidi="fa-IR"/>
        </w:rPr>
        <w:t>.</w:t>
      </w:r>
    </w:p>
    <w:p>
      <w:pPr>
        <w:pStyle w:val="Heading3"/>
        <w:numPr>
          <w:ilvl w:val="2"/>
          <w:numId w:val="1"/>
        </w:numPr>
        <w:rPr/>
      </w:pPr>
      <w:bookmarkStart w:id="121" w:name="__RefHeading___Toc3219541_2870459653"/>
      <w:bookmarkStart w:id="122" w:name="_Toc48"/>
      <w:bookmarkEnd w:id="121"/>
      <w:r>
        <w:rPr>
          <w:rtl w:val="true"/>
        </w:rPr>
        <w:t>مورد هشتم</w:t>
      </w:r>
      <w:r>
        <w:rPr>
          <w:rtl w:val="true"/>
        </w:rPr>
        <w:t xml:space="preserve">: </w:t>
      </w:r>
      <w:r>
        <w:rPr>
          <w:rtl w:val="true"/>
        </w:rPr>
        <w:t>حدیث جَعَلَ اَلْخَشَبُهُ فِي حَائِطِ الْجَارِ</w:t>
      </w:r>
      <w:bookmarkEnd w:id="122"/>
    </w:p>
    <w:p>
      <w:pPr>
        <w:pStyle w:val="BookText"/>
        <w:rPr/>
      </w:pPr>
      <w:r>
        <w:rPr>
          <w:rFonts w:ascii="Amiri" w:hAnsi="Amiri" w:eastAsia="Amiri" w:cs="Amiri"/>
          <w:color w:val="111111"/>
          <w:sz w:val="28"/>
          <w:sz w:val="28"/>
          <w:szCs w:val="28"/>
          <w:rtl w:val="true"/>
          <w:lang w:bidi="ar-SA"/>
        </w:rPr>
        <w:t xml:space="preserve">أَحْمَدُ بْنِ حَنْبَلٍ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لِلرَّجُلِ انَّ يَجْعَلُ خَشَبَةُ فِي حَائِطٍ جَارَهُ وَ الطَّرِيقُ اَلْمَيْتَاءُ سَبْعَةَ اذْرَعْ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مَيْتَاءُ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راه و شاه راه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و لاضرار و شخص می تواند چوب را در دیوار همسایه قرار بدهد و تکیه بدهد و در طریق و مسیر شاه راه هفت زراع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الطَّبَرَانِيُّ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لِلرَّجُلِ أَنْ يَجْعَلَ خَشَبَةُ عَلَى حَائِطِ جَارَهُ وَ إِذَا شَكَكْتُمْ فِي الطَّرِيقِ فَاجْعَلُوهَا سَبْعَةُ أَذْرُعٍ</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زمین را خریداری کرده باشد و شک داشته باشد در محدوده زمینش نسبت به بزرگ راه می فرمایند که بزرگ راه بیشتر از هفت زراع نمی شود یعنی از وسط زمین سه متر و نیم باید شخص عقب نشینی و حریم قائل شود</w:t>
      </w:r>
      <w:r>
        <w:rPr>
          <w:rFonts w:eastAsia="IRNazanin" w:cs="IRNazanin"/>
          <w:color w:val="111111"/>
          <w:sz w:val="28"/>
          <w:szCs w:val="28"/>
          <w:rtl w:val="true"/>
          <w:lang w:bidi="fa-IR"/>
        </w:rPr>
        <w:t xml:space="preserve">. </w:t>
      </w:r>
      <w:bookmarkStart w:id="123" w:name="pg9135_79590"/>
    </w:p>
    <w:p>
      <w:pPr>
        <w:pStyle w:val="Heading2"/>
        <w:numPr>
          <w:ilvl w:val="1"/>
          <w:numId w:val="1"/>
        </w:numPr>
        <w:rPr/>
      </w:pPr>
      <w:bookmarkStart w:id="124" w:name="__RefHeading___Toc3219543_2870459653"/>
      <w:bookmarkStart w:id="125" w:name="_Toc49"/>
      <w:bookmarkEnd w:id="123"/>
      <w:bookmarkEnd w:id="124"/>
      <w:r>
        <w:rPr>
          <w:rtl w:val="true"/>
        </w:rPr>
        <w:t>طائفه دوّم</w:t>
      </w:r>
      <w:r>
        <w:rPr>
          <w:rtl w:val="true"/>
        </w:rPr>
        <w:t xml:space="preserve">: </w:t>
      </w:r>
      <w:r>
        <w:rPr>
          <w:rtl w:val="true"/>
        </w:rPr>
        <w:t>روایاتی که فقط نص قاعده لاضرر را در بردارد</w:t>
      </w:r>
      <w:bookmarkEnd w:id="125"/>
    </w:p>
    <w:p>
      <w:pPr>
        <w:pStyle w:val="Heading3"/>
        <w:numPr>
          <w:ilvl w:val="2"/>
          <w:numId w:val="1"/>
        </w:numPr>
        <w:rPr/>
      </w:pPr>
      <w:bookmarkStart w:id="126" w:name="__RefHeading___Toc3219545_2870459653"/>
      <w:bookmarkStart w:id="127" w:name="_Toc50"/>
      <w:bookmarkEnd w:id="126"/>
      <w:r>
        <w:rPr>
          <w:rtl w:val="true"/>
        </w:rPr>
        <w:t>روايت اوّل</w:t>
      </w:r>
      <w:r>
        <w:rPr>
          <w:rtl w:val="true"/>
        </w:rPr>
        <w:t>:</w:t>
      </w:r>
      <w:bookmarkEnd w:id="127"/>
    </w:p>
    <w:p>
      <w:pPr>
        <w:pStyle w:val="BookText"/>
        <w:rPr/>
      </w:pPr>
      <w:r>
        <w:rPr>
          <w:rFonts w:ascii="Amiri" w:hAnsi="Amiri" w:eastAsia="Amiri" w:cs="Amiri"/>
          <w:color w:val="111111"/>
          <w:sz w:val="28"/>
          <w:sz w:val="28"/>
          <w:szCs w:val="28"/>
          <w:rtl w:val="true"/>
          <w:lang w:bidi="ar-SA"/>
        </w:rPr>
        <w:t>مَا عَنْ أَبِي عَبْدِ اللَّهِ عَنْ أَبِيهِ عَنْ آبَائِهِ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ضَرَرَ وَ لَا ضِرَارَ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Heading3"/>
        <w:numPr>
          <w:ilvl w:val="2"/>
          <w:numId w:val="1"/>
        </w:numPr>
        <w:rPr/>
      </w:pPr>
      <w:bookmarkStart w:id="128" w:name="__RefHeading___Toc3219547_2870459653"/>
      <w:bookmarkStart w:id="129" w:name="_Toc51"/>
      <w:bookmarkEnd w:id="128"/>
      <w:r>
        <w:rPr>
          <w:rtl w:val="true"/>
        </w:rPr>
        <w:t>روايت دوّم</w:t>
      </w:r>
      <w:r>
        <w:rPr>
          <w:rtl w:val="true"/>
        </w:rPr>
        <w:t>:</w:t>
      </w:r>
      <w:bookmarkEnd w:id="129"/>
    </w:p>
    <w:p>
      <w:pPr>
        <w:pStyle w:val="BookText"/>
        <w:rPr/>
      </w:pPr>
      <w:r>
        <w:rPr>
          <w:rFonts w:ascii="Amiri" w:hAnsi="Amiri" w:eastAsia="Amiri" w:cs="Amiri"/>
          <w:color w:val="111111"/>
          <w:sz w:val="28"/>
          <w:sz w:val="28"/>
          <w:szCs w:val="28"/>
          <w:rtl w:val="true"/>
          <w:lang w:bidi="ar-SA"/>
        </w:rPr>
        <w:t xml:space="preserve">مَا فِي عَوَالِي اللآَّلِي قَالَ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روایت مرسل است به همين جهت قيد في الإسلام آن ثابت نمی شود</w:t>
      </w:r>
      <w:r>
        <w:rPr>
          <w:rFonts w:eastAsia="IRNazanin" w:cs="IRNazanin"/>
          <w:color w:val="111111"/>
          <w:sz w:val="28"/>
          <w:szCs w:val="28"/>
          <w:rtl w:val="true"/>
          <w:lang w:bidi="fa-IR"/>
        </w:rPr>
        <w:t>.</w:t>
      </w:r>
    </w:p>
    <w:p>
      <w:pPr>
        <w:pStyle w:val="Heading3"/>
        <w:numPr>
          <w:ilvl w:val="2"/>
          <w:numId w:val="1"/>
        </w:numPr>
        <w:rPr/>
      </w:pPr>
      <w:bookmarkStart w:id="130" w:name="__RefHeading___Toc3219549_2870459653"/>
      <w:bookmarkStart w:id="131" w:name="_Toc52"/>
      <w:bookmarkEnd w:id="130"/>
      <w:r>
        <w:rPr>
          <w:rtl w:val="true"/>
        </w:rPr>
        <w:t>روایت سوّم</w:t>
      </w:r>
      <w:r>
        <w:rPr>
          <w:rtl w:val="true"/>
        </w:rPr>
        <w:t>:</w:t>
      </w:r>
      <w:bookmarkEnd w:id="131"/>
    </w:p>
    <w:p>
      <w:pPr>
        <w:pStyle w:val="BookText"/>
        <w:rPr/>
      </w:pPr>
      <w:r>
        <w:rPr>
          <w:rFonts w:ascii="Amiri" w:hAnsi="Amiri" w:eastAsia="Amiri" w:cs="Amiri"/>
          <w:color w:val="111111"/>
          <w:sz w:val="28"/>
          <w:sz w:val="28"/>
          <w:szCs w:val="28"/>
          <w:rtl w:val="true"/>
          <w:lang w:bidi="ar-SA"/>
        </w:rPr>
        <w:t xml:space="preserve">مَا رَوَاهُ ابْنُ ماجه عَنْ عُبَادَةَ بْنِ الصَّامِتِ انَّ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أَنْ لَا ضَرَرَ وَ لَا ضِرَارَ</w:t>
      </w:r>
      <w:r>
        <w:rPr>
          <w:rStyle w:val="FootnoteAnchor"/>
          <w:rtl w:val="true"/>
        </w:rPr>
        <w:footnoteReference w:id="64"/>
      </w:r>
    </w:p>
    <w:p>
      <w:pPr>
        <w:pStyle w:val="Heading3"/>
        <w:numPr>
          <w:ilvl w:val="2"/>
          <w:numId w:val="1"/>
        </w:numPr>
        <w:rPr/>
      </w:pPr>
      <w:bookmarkStart w:id="132" w:name="__RefHeading___Toc3219551_2870459653"/>
      <w:bookmarkStart w:id="133" w:name="_Toc53"/>
      <w:bookmarkEnd w:id="132"/>
      <w:r>
        <w:rPr>
          <w:rtl w:val="true"/>
        </w:rPr>
        <w:t>روایت چهارم</w:t>
      </w:r>
      <w:r>
        <w:rPr>
          <w:rtl w:val="true"/>
        </w:rPr>
        <w:t>:</w:t>
      </w:r>
      <w:bookmarkEnd w:id="133"/>
    </w:p>
    <w:p>
      <w:pPr>
        <w:pStyle w:val="BookText"/>
        <w:rPr/>
      </w:pPr>
      <w:r>
        <w:rPr>
          <w:rFonts w:ascii="Amiri" w:hAnsi="Amiri" w:eastAsia="Amiri" w:cs="Amiri"/>
          <w:color w:val="111111"/>
          <w:sz w:val="28"/>
          <w:sz w:val="28"/>
          <w:szCs w:val="28"/>
          <w:rtl w:val="true"/>
          <w:lang w:bidi="ar-SA"/>
        </w:rPr>
        <w:t xml:space="preserve">ابْنُ ماجه عَنِ ابْنِ عَبَّاسٍ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Heading3"/>
        <w:numPr>
          <w:ilvl w:val="2"/>
          <w:numId w:val="1"/>
        </w:numPr>
        <w:rPr/>
      </w:pPr>
      <w:bookmarkStart w:id="134" w:name="__RefHeading___Toc3219553_2870459653"/>
      <w:bookmarkStart w:id="135" w:name="_Toc54"/>
      <w:bookmarkEnd w:id="134"/>
      <w:r>
        <w:rPr>
          <w:rtl w:val="true"/>
        </w:rPr>
        <w:t>روایت پنجم</w:t>
      </w:r>
      <w:r>
        <w:rPr>
          <w:rtl w:val="true"/>
        </w:rPr>
        <w:t>:</w:t>
      </w:r>
      <w:bookmarkEnd w:id="135"/>
    </w:p>
    <w:p>
      <w:pPr>
        <w:pStyle w:val="BookText"/>
        <w:rPr/>
      </w:pPr>
      <w:r>
        <w:rPr>
          <w:rFonts w:ascii="Amiri" w:hAnsi="Amiri" w:eastAsia="Amiri" w:cs="Amiri"/>
          <w:color w:val="111111"/>
          <w:sz w:val="28"/>
          <w:sz w:val="28"/>
          <w:szCs w:val="28"/>
          <w:rtl w:val="true"/>
          <w:lang w:bidi="ar-SA"/>
        </w:rPr>
        <w:t xml:space="preserve">اَلْحَاكِمُ نَيْشَابُورِيٌ فِي مُسْتَدْرَكِ الصَّحِيحَيْنِ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مَنْ ضَارَّ ضارّه اللَّهُ وَ مَنْ شَاقَّ شَاقَّ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Heading3"/>
        <w:numPr>
          <w:ilvl w:val="2"/>
          <w:numId w:val="1"/>
        </w:numPr>
        <w:rPr/>
      </w:pPr>
      <w:bookmarkStart w:id="136" w:name="__RefHeading___Toc3219555_2870459653"/>
      <w:bookmarkStart w:id="137" w:name="_Toc55"/>
      <w:bookmarkEnd w:id="136"/>
      <w:r>
        <w:rPr>
          <w:rtl w:val="true"/>
        </w:rPr>
        <w:t>روایت ششم</w:t>
      </w:r>
      <w:r>
        <w:rPr>
          <w:rtl w:val="true"/>
        </w:rPr>
        <w:t>:</w:t>
      </w:r>
      <w:bookmarkEnd w:id="137"/>
    </w:p>
    <w:p>
      <w:pPr>
        <w:pStyle w:val="BookText"/>
        <w:rPr/>
      </w:pPr>
      <w:r>
        <w:rPr>
          <w:rFonts w:ascii="Amiri" w:hAnsi="Amiri" w:eastAsia="Amiri" w:cs="Amiri"/>
          <w:color w:val="111111"/>
          <w:sz w:val="28"/>
          <w:sz w:val="28"/>
          <w:szCs w:val="28"/>
          <w:rtl w:val="true"/>
          <w:lang w:bidi="ar-SA"/>
        </w:rPr>
        <w:t xml:space="preserve">مَا رَوَاهُ عُمَرَ بْنِ يَحْيَى الْمَازِنِيِّ عَنْ أَبِيهِ انَّ رَسُولُ اللَّهِ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Heading3"/>
        <w:numPr>
          <w:ilvl w:val="2"/>
          <w:numId w:val="1"/>
        </w:numPr>
        <w:rPr/>
      </w:pPr>
      <w:bookmarkStart w:id="138" w:name="__RefHeading___Toc3219557_2870459653"/>
      <w:bookmarkStart w:id="139" w:name="_Toc56"/>
      <w:bookmarkEnd w:id="138"/>
      <w:r>
        <w:rPr>
          <w:rtl w:val="true"/>
        </w:rPr>
        <w:t>روایت هفتم</w:t>
      </w:r>
      <w:r>
        <w:rPr>
          <w:rtl w:val="true"/>
        </w:rPr>
        <w:t>:</w:t>
      </w:r>
      <w:bookmarkEnd w:id="1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جَابِرِ بْنِ عبد اللّه عَنْ رَسُولِ اللَّهِ صُلِّيَ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فِي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bookmarkStart w:id="140" w:name="pg9135_79591"/>
    </w:p>
    <w:p>
      <w:pPr>
        <w:pStyle w:val="Heading3"/>
        <w:numPr>
          <w:ilvl w:val="2"/>
          <w:numId w:val="1"/>
        </w:numPr>
        <w:rPr/>
      </w:pPr>
      <w:bookmarkStart w:id="141" w:name="__RefHeading___Toc3219559_2870459653"/>
      <w:bookmarkStart w:id="142" w:name="_Toc57"/>
      <w:bookmarkEnd w:id="140"/>
      <w:bookmarkEnd w:id="141"/>
      <w:r>
        <w:rPr>
          <w:rtl w:val="true"/>
        </w:rPr>
        <w:t>روایت هشتم</w:t>
      </w:r>
      <w:r>
        <w:rPr>
          <w:rtl w:val="true"/>
        </w:rPr>
        <w:t>:</w:t>
      </w:r>
      <w:bookmarkEnd w:id="142"/>
    </w:p>
    <w:p>
      <w:pPr>
        <w:pStyle w:val="BookText"/>
        <w:rPr/>
      </w:pPr>
      <w:r>
        <w:rPr>
          <w:rFonts w:ascii="Amiri" w:hAnsi="Amiri" w:eastAsia="Amiri" w:cs="Amiri"/>
          <w:color w:val="111111"/>
          <w:sz w:val="28"/>
          <w:sz w:val="28"/>
          <w:szCs w:val="28"/>
          <w:rtl w:val="true"/>
          <w:lang w:bidi="ar-SA"/>
        </w:rPr>
        <w:t xml:space="preserve">رِوَايَةُ عَائِشَةُ عَنْ رَسُولِ اللَّهِ صُلِّيَ اللَّهُ عَلَيْهِ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Heading3"/>
        <w:numPr>
          <w:ilvl w:val="2"/>
          <w:numId w:val="1"/>
        </w:numPr>
        <w:rPr/>
      </w:pPr>
      <w:bookmarkStart w:id="143" w:name="__RefHeading___Toc3219561_2870459653"/>
      <w:bookmarkStart w:id="144" w:name="_Toc58"/>
      <w:bookmarkEnd w:id="143"/>
      <w:r>
        <w:rPr>
          <w:rtl w:val="true"/>
        </w:rPr>
        <w:t>روايت نهم</w:t>
      </w:r>
      <w:r>
        <w:rPr>
          <w:rtl w:val="true"/>
        </w:rPr>
        <w:t>:</w:t>
      </w:r>
      <w:bookmarkEnd w:id="144"/>
    </w:p>
    <w:p>
      <w:pPr>
        <w:pStyle w:val="BookText"/>
        <w:rPr/>
      </w:pPr>
      <w:r>
        <w:rPr>
          <w:rFonts w:ascii="Amiri" w:hAnsi="Amiri" w:eastAsia="Amiri" w:cs="Amiri"/>
          <w:color w:val="111111"/>
          <w:sz w:val="28"/>
          <w:sz w:val="28"/>
          <w:szCs w:val="28"/>
          <w:rtl w:val="true"/>
          <w:lang w:bidi="ar-SA"/>
        </w:rPr>
        <w:t xml:space="preserve">مُرْسَلَةً الصَّدُوقِ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النَّبِيُّ صُلِّيَ اللَّهُ عَلَيْهِ وَ آلِهِ وَ سَلَّمَ لَا ضَرَرَ وَ لَا ضِرَارَ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Heading3"/>
        <w:numPr>
          <w:ilvl w:val="2"/>
          <w:numId w:val="1"/>
        </w:numPr>
        <w:rPr/>
      </w:pPr>
      <w:bookmarkStart w:id="145" w:name="__RefHeading___Toc3219563_2870459653"/>
      <w:bookmarkStart w:id="146" w:name="_Toc59"/>
      <w:bookmarkEnd w:id="145"/>
      <w:r>
        <w:rPr>
          <w:rtl w:val="true"/>
        </w:rPr>
        <w:t>روایت دهم</w:t>
      </w:r>
      <w:r>
        <w:rPr>
          <w:rtl w:val="true"/>
        </w:rPr>
        <w:t>:</w:t>
      </w:r>
      <w:bookmarkEnd w:id="1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مُرْسَلَهُ الصَّدُوقِ عَنِ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الاضرر وَ لَا ضِرَارَ فِي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bookmarkStart w:id="147" w:name="pg9135_79592"/>
    </w:p>
    <w:p>
      <w:pPr>
        <w:pStyle w:val="Heading2"/>
        <w:numPr>
          <w:ilvl w:val="1"/>
          <w:numId w:val="1"/>
        </w:numPr>
        <w:rPr/>
      </w:pPr>
      <w:bookmarkStart w:id="148" w:name="__RefHeading___Toc3219565_2870459653"/>
      <w:bookmarkStart w:id="149" w:name="_Toc60"/>
      <w:bookmarkEnd w:id="147"/>
      <w:bookmarkEnd w:id="148"/>
      <w:r>
        <w:rPr>
          <w:rtl w:val="true"/>
        </w:rPr>
        <w:t>طائفه سوّم</w:t>
      </w:r>
      <w:r>
        <w:rPr>
          <w:rtl w:val="true"/>
        </w:rPr>
        <w:t xml:space="preserve">: </w:t>
      </w:r>
      <w:r>
        <w:rPr>
          <w:rtl w:val="true"/>
        </w:rPr>
        <w:t>روایات تطبیقی</w:t>
      </w:r>
      <w:r>
        <w:rPr>
          <w:rtl w:val="true"/>
        </w:rPr>
        <w:t xml:space="preserve">: </w:t>
      </w:r>
      <w:r>
        <w:rPr>
          <w:rtl w:val="true"/>
        </w:rPr>
        <w:t>قاعده لاضرر</w:t>
      </w:r>
      <w:bookmarkEnd w:id="149"/>
    </w:p>
    <w:p>
      <w:pPr>
        <w:pStyle w:val="Heading3"/>
        <w:numPr>
          <w:ilvl w:val="2"/>
          <w:numId w:val="1"/>
        </w:numPr>
        <w:rPr/>
      </w:pPr>
      <w:bookmarkStart w:id="150" w:name="__RefHeading___Toc3219567_2870459653"/>
      <w:bookmarkStart w:id="151" w:name="_Toc61"/>
      <w:bookmarkEnd w:id="150"/>
      <w:r>
        <w:rPr>
          <w:rtl w:val="true"/>
        </w:rPr>
        <w:t>روایت اوّل</w:t>
      </w:r>
      <w:bookmarkEnd w:id="151"/>
    </w:p>
    <w:p>
      <w:pPr>
        <w:pStyle w:val="BookText"/>
        <w:rPr/>
      </w:pPr>
      <w:r>
        <w:rPr>
          <w:rFonts w:ascii="Amiri" w:hAnsi="Amiri" w:eastAsia="Amiri" w:cs="Amiri"/>
          <w:color w:val="111111"/>
          <w:sz w:val="28"/>
          <w:sz w:val="28"/>
          <w:szCs w:val="28"/>
          <w:rtl w:val="true"/>
          <w:lang w:bidi="ar-SA"/>
        </w:rPr>
        <w:t xml:space="preserve">رَوَى الشَّيْخُ عَنْ هَارُونَ بْنِ حَمْزَةَ الْغَنَوِيِّ عَنْ أَبِي عَبْدِ اللَّهِ عَلَيْهِ السَّلَامُ فِي رَجُلٍ شَهِدَ بَعِيراً مَرِيضاً وَ هُوَ يُبَاعُ فَاشْتَرَاهُ رَجُلُ بِعَشَرَةِ دَرَاهِمَ فَأَشْرَكَ فِيهِ رَجُلًا بِدِرْهَمَيْنِ بِالرَّأْسِ وَ الْجِلْدِ فَقَضَى أَنَّ الْبَعِيرَ بَرِى‌ءٍ فَبَلَغَ ثَمَانِيَةَ دَنَانِيرَ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لِصَاحِبِ الدِّرْهَمَيْنِ خُمُسُ مَا بَلَغَ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 الْجِلْدَ فَلَيْسَ لَهُ ذَلِكَ ، هَذَا الضَّرَرِ ، وَقَدْ أُعْطِيَ حَقَّهُ إِذَا أُعْطِيَ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سند روایت را تا هارون در مشیخه ذکر نکرده است سند آن را در فهرست به صورت مرسل آورده است، پس روایت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مشاهده کرد که شتر مریضی را می فروشند و او این شتر را به ده درهم خرید شخص دیگر با او شریک شد به دو در هم در سر و پوست شتر وقتی شتر را کشتند دیدند شتر سالم است و قیمت شتر به هشت دینار رسید پس به شریکی که دو درهم داده بود فرمود سهم تو خُمسِ هشت دینار است و اگر به او گفته شود چون تو گفتی سر و پوست پس کم تر می بری این ضرر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به این جهت گفت که شتر مریض است گوشت او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حقش داده شده در صورتی که خُمس به او داده شود</w:t>
      </w:r>
      <w:r>
        <w:rPr>
          <w:rFonts w:eastAsia="IRNazanin" w:cs="IRNazanin"/>
          <w:color w:val="111111"/>
          <w:sz w:val="28"/>
          <w:szCs w:val="28"/>
          <w:rtl w:val="true"/>
          <w:lang w:bidi="fa-IR"/>
        </w:rPr>
        <w:t>.</w:t>
      </w:r>
    </w:p>
    <w:p>
      <w:pPr>
        <w:pStyle w:val="Heading3"/>
        <w:numPr>
          <w:ilvl w:val="2"/>
          <w:numId w:val="1"/>
        </w:numPr>
        <w:rPr/>
      </w:pPr>
      <w:bookmarkStart w:id="152" w:name="__RefHeading___Toc3219569_2870459653"/>
      <w:bookmarkStart w:id="153" w:name="_Toc62"/>
      <w:bookmarkEnd w:id="152"/>
      <w:r>
        <w:rPr>
          <w:rtl w:val="true"/>
        </w:rPr>
        <w:t>روایت دوّم</w:t>
      </w:r>
      <w:bookmarkEnd w:id="1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عَلَيْهِ السَّلَامُ قَالَ سَأَلْتُهُ حَدِّ مَا يَجِبُ عَلَى الْمَرِيضِ تَرْكُ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الْمَرِيضِ أَضَرَّ بِهِ الصَّوْمُ فَهُوَ يَسَعُهُ تَرْكُ الصَّوْمِ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موسی بن جعفر علیه السلام از امام سؤال کردم که مریض </w:t>
      </w:r>
      <w:bookmarkStart w:id="154" w:name="pg9135_79593"/>
    </w:p>
    <w:p>
      <w:pPr>
        <w:pStyle w:val="BookText"/>
        <w:rPr/>
      </w:pPr>
      <w:bookmarkEnd w:id="154"/>
      <w:r>
        <w:rPr>
          <w:rFonts w:ascii="IRNazanin" w:hAnsi="IRNazanin" w:eastAsia="IRNazanin"/>
          <w:color w:val="111111"/>
          <w:sz w:val="28"/>
          <w:sz w:val="28"/>
          <w:szCs w:val="28"/>
          <w:rtl w:val="true"/>
          <w:lang w:bidi="fa-IR"/>
        </w:rPr>
        <w:t>چه زمانی می تواند روزه نگیرد فرمودند هر بیماری که صوم برایش ضرر دارد می تواند روزه اش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كتاب على بن جعفر را ما صحیح می دانیم به خاطر این که جناب صاحب وسائل در خاتمه کتاب وسائل الشیعه سند صحیح به این کتاب دارد پس با آن سندِ صاحب وسائل سند تا علی بن جعفر صحیح است و علی بن جعفر هم ثقة است</w:t>
      </w:r>
      <w:r>
        <w:rPr>
          <w:rFonts w:eastAsia="IRNazanin" w:cs="IRNazanin"/>
          <w:color w:val="111111"/>
          <w:sz w:val="28"/>
          <w:szCs w:val="28"/>
          <w:rtl w:val="true"/>
          <w:lang w:bidi="fa-IR"/>
        </w:rPr>
        <w:t>.</w:t>
      </w:r>
    </w:p>
    <w:p>
      <w:pPr>
        <w:pStyle w:val="Heading3"/>
        <w:numPr>
          <w:ilvl w:val="2"/>
          <w:numId w:val="1"/>
        </w:numPr>
        <w:rPr/>
      </w:pPr>
      <w:bookmarkStart w:id="155" w:name="__RefHeading___Toc3219571_2870459653"/>
      <w:bookmarkStart w:id="156" w:name="_Toc63"/>
      <w:bookmarkEnd w:id="155"/>
      <w:r>
        <w:rPr>
          <w:rtl w:val="true"/>
        </w:rPr>
        <w:t>روایت سوّم</w:t>
      </w:r>
      <w:bookmarkEnd w:id="156"/>
    </w:p>
    <w:p>
      <w:pPr>
        <w:pStyle w:val="BookText"/>
        <w:rPr/>
      </w:pPr>
      <w:r>
        <w:rPr>
          <w:rFonts w:ascii="Amiri" w:hAnsi="Amiri" w:eastAsia="Amiri" w:cs="Amiri"/>
          <w:color w:val="111111"/>
          <w:sz w:val="28"/>
          <w:sz w:val="28"/>
          <w:szCs w:val="28"/>
          <w:rtl w:val="true"/>
          <w:lang w:bidi="ar-SA"/>
        </w:rPr>
        <w:t xml:space="preserve">رَوَى الطَّبْرِسِيُّ فِي مَجْمَعِ الْبَيَانِ فِي تَفْسِيرِ قَوْلِهِ تَعَالَى مِنْ بَعْدِ وَصِيَّةٍ يُوصى بِها أَوْ دَيْنٍ غَيْرَ مُضَارٍّ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الْحَدِيثِ انَّ الضِّرَارِ فِي اَلْوَصِيُّهُ مِنَ الْكَبَائِرِ</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به وسیله وصیت کردن قصد دارد به ورثه خود ضرر بزند این وصیت از گناهان کبیره است</w:t>
      </w:r>
    </w:p>
    <w:p>
      <w:pPr>
        <w:pStyle w:val="Heading3"/>
        <w:numPr>
          <w:ilvl w:val="2"/>
          <w:numId w:val="1"/>
        </w:numPr>
        <w:rPr/>
      </w:pPr>
      <w:bookmarkStart w:id="157" w:name="__RefHeading___Toc3219573_2870459653"/>
      <w:bookmarkStart w:id="158" w:name="_Toc64"/>
      <w:bookmarkEnd w:id="157"/>
      <w:r>
        <w:rPr>
          <w:rtl w:val="true"/>
        </w:rPr>
        <w:t>روایت چهارم</w:t>
      </w:r>
      <w:bookmarkEnd w:id="158"/>
    </w:p>
    <w:p>
      <w:pPr>
        <w:pStyle w:val="BookText"/>
        <w:rPr/>
      </w:pPr>
      <w:r>
        <w:rPr>
          <w:rFonts w:ascii="Amiri" w:hAnsi="Amiri" w:eastAsia="Amiri" w:cs="Amiri"/>
          <w:color w:val="111111"/>
          <w:sz w:val="28"/>
          <w:sz w:val="28"/>
          <w:szCs w:val="28"/>
          <w:rtl w:val="true"/>
          <w:lang w:bidi="ar-SA"/>
        </w:rPr>
        <w:t xml:space="preserve">رَوَى الشَّيْخُ الْكُلَيْنِيُّ عَنْ مُحَمَّدِ بْنِ يَحْيَى عَنْ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قَنَاةُ فِي قَرْيَةٍ فَأَرَادَ رَجُلُ أَنْ يَحْفِرَ قَنَاةً أُخْرَى إِلَى قَرْيَةٍ لَهُ كَمْ يَكُونُ بَيْنَهُمَا فِي الْبُعْدِ حَتَّى لَا يُضِرَّ بِالْأُخْرَى فِي الْأَرْضِ إِذَا كَانَتْ صُلْبَةً أَوْ رِخْوَةً ؟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أَنْ لَا يُضِرَّ إِحْدَاهُمَا بِالْأُخْرَى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 رَجُلُ كَانَتْ لَهُ رَحًى عَلَى نَهَرِ قَرْيَةٍ وَ الْقَرْيَةُ لِرَجُلٍ ، فَأَرَادَ صَاحِبُ الْقَرْيَةِ أَنْ يَسُوقَ إِلَى قَرْيَتِهِ الْمَاءَ فِي غَيْرِ هَذَا النَّهَرِ وَ يُعَطِّلَ هَذِهِ الرَّحَى أَلَهُ ذَلِكَ أَمْ لَا؟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وَ يَعْمَلُ فِي ذَلِكَ بِالْمَعْرُوفِ وَ لَا يَضُرُّ أَخَاهُ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به امام عسگری علیه السلام نوشتم مردی برای روستایش یک قنات دارد شخص دیگر نیز می خواهد برای روستایش قنات بزند چه اندازه باید بین دو قنات فاصله باشد که قنات دوم به قنات اول ضرر نزند در زمین سخت چه مقدار </w:t>
      </w:r>
      <w:bookmarkStart w:id="159" w:name="pg9135_79594"/>
    </w:p>
    <w:p>
      <w:pPr>
        <w:pStyle w:val="BookText"/>
        <w:rPr/>
      </w:pPr>
      <w:bookmarkEnd w:id="159"/>
      <w:r>
        <w:rPr>
          <w:rFonts w:ascii="IRNazanin" w:hAnsi="IRNazanin" w:eastAsia="IRNazanin"/>
          <w:color w:val="111111"/>
          <w:sz w:val="28"/>
          <w:sz w:val="28"/>
          <w:szCs w:val="28"/>
          <w:rtl w:val="true"/>
          <w:lang w:bidi="fa-IR"/>
        </w:rPr>
        <w:t>فاصله باشد در زمین نرم چه مقدار فاصله باشد؟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فاصله باشد که قنات دوم ضرر نزند برای او نوشتم شخصی بر نهری که به سمت روستایی می رود آسیابی دارد و روستا مال شخصی است و آن شخص می خواهد مسیر نهر را عوض کند در نتیجه آسیاب این شخص تعطیل می شود حضرت نوشتند تقوای الهی داشته باشد و به معروف رفتار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برادرش نسبت به این نهر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برادر دینیش ضرر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واضحش جاده های بین راهی که وقتی این مسیر و جاده عوض شود همه آن مغازها از رونق می افتد</w:t>
      </w:r>
      <w:r>
        <w:rPr>
          <w:rFonts w:eastAsia="IRNazanin" w:cs="IRNazanin"/>
          <w:color w:val="111111"/>
          <w:sz w:val="28"/>
          <w:szCs w:val="28"/>
          <w:rtl w:val="true"/>
          <w:lang w:bidi="fa-IR"/>
        </w:rPr>
        <w:t>).</w:t>
      </w:r>
    </w:p>
    <w:p>
      <w:pPr>
        <w:pStyle w:val="Heading3"/>
        <w:numPr>
          <w:ilvl w:val="2"/>
          <w:numId w:val="1"/>
        </w:numPr>
        <w:rPr/>
      </w:pPr>
      <w:bookmarkStart w:id="160" w:name="__RefHeading___Toc3219575_2870459653"/>
      <w:bookmarkStart w:id="161" w:name="_Toc65"/>
      <w:bookmarkEnd w:id="160"/>
      <w:r>
        <w:rPr>
          <w:rtl w:val="true"/>
        </w:rPr>
        <w:t>روایت پنجم</w:t>
      </w:r>
      <w:bookmarkEnd w:id="161"/>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السَّابِقِ  عَنْ عُقْبَةَ بْنِ خَالِدٍ عَنْ أَبِي عَبْدِ اللَّهِ عَلَيْهِ السَّلَامُ فِي رَجُلٍ أَتَى جَبَلًا فَشَقَّ فِيهِ قَنَاةً فَذَهَبَتْ قَنَاةُ الْآخَرِ بِمَاءِ قَنَاةِ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يَتَقَاسَمَانِ بِحَقَائِبِ الْبِئْرُ لَيْلَةً لَيْلَةً فَيُنْظَرُ أَيُّهُمَا أَضَرَّتْ بِصَاحِبَتِهَا فَإِنْ رُئِيَتِ الْأَخِيرَةُ أَضَرَّتْ بِالْأُولَى فَلْتُعَوَّرْ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حقيبة به معنای خورجین و کوله پشتی و حَقِيبَةَ الْبِئْرِ به معنای مادر چاهی که در هر قناتی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تَعْوِيرُ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 در مورد مردی که در دامنه کوه قناتی حفر کرد و آب قنات اول وارد قنات دومی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چاهی که در قنات وجود دارد را یک شب از یک قنات و شب دیگر از قنات دیگر ببندند تا معلوم شود کدام یک از قنات ها ضرر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مادر چاهی را بستند و آب به این یک قنات اضافه شد معلوم می شود آن قنات دیگر ضرر می زند اگر دیدند دومی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 شود</w:t>
      </w:r>
      <w:r>
        <w:rPr>
          <w:rFonts w:eastAsia="IRNazanin" w:cs="IRNazanin"/>
          <w:color w:val="111111"/>
          <w:sz w:val="28"/>
          <w:szCs w:val="28"/>
          <w:rtl w:val="true"/>
          <w:lang w:bidi="fa-IR"/>
        </w:rPr>
        <w:t>.</w:t>
      </w:r>
    </w:p>
    <w:p>
      <w:pPr>
        <w:pStyle w:val="Heading3"/>
        <w:numPr>
          <w:ilvl w:val="2"/>
          <w:numId w:val="1"/>
        </w:numPr>
        <w:rPr/>
      </w:pPr>
      <w:bookmarkStart w:id="162" w:name="__RefHeading___Toc3219577_2870459653"/>
      <w:bookmarkStart w:id="163" w:name="_Toc66"/>
      <w:bookmarkEnd w:id="162"/>
      <w:r>
        <w:rPr>
          <w:rtl w:val="true"/>
        </w:rPr>
        <w:t>روایت ششم</w:t>
      </w:r>
      <w:bookmarkEnd w:id="1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عَنِ الْحَسَنِ بْنِ زِيَادٍ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يُطَلِّقَ إمرأته ثُمَّ يُرَاجِعَهَا وَ لَيْسَ لَهُ فِيهَا حَاجَةُ ثُمَّ يُطَلِّقَهَا فَهَذَا الضَّرَرِ الَّذِي نَهَى</w:t>
      </w:r>
      <w:bookmarkStart w:id="164" w:name="pg9135_79595"/>
    </w:p>
    <w:p>
      <w:pPr>
        <w:pStyle w:val="BookText"/>
        <w:rPr/>
      </w:pPr>
      <w:bookmarkEnd w:id="164"/>
      <w:r>
        <w:rPr>
          <w:rFonts w:ascii="Amiri" w:hAnsi="Amiri" w:eastAsia="Amiri" w:cs="Amiri"/>
          <w:color w:val="111111"/>
          <w:sz w:val="28"/>
          <w:sz w:val="28"/>
          <w:szCs w:val="28"/>
          <w:rtl w:val="true"/>
          <w:lang w:bidi="ar-SA"/>
        </w:rPr>
        <w:t>اللَّهُ عَزَّ وَ جَلَّ عَنْهُ إِلَّا انَّ يُطَلِّقَ ثُمَّ يُرَاجِعَ وَ هُوَ ينوى الْإِمْسَاكِ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همان داستان مردی است که به جهت اذیت کردن همسرش او را طلاق می دهد و دوباره رجوع می کند تا عده طولانی شود که این ضرر است و او از آن نهی شده است مگر این که با رجوع قصد امساک و زندگی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معتبره است</w:t>
      </w:r>
    </w:p>
    <w:p>
      <w:pPr>
        <w:pStyle w:val="Heading3"/>
        <w:numPr>
          <w:ilvl w:val="2"/>
          <w:numId w:val="1"/>
        </w:numPr>
        <w:rPr/>
      </w:pPr>
      <w:bookmarkStart w:id="165" w:name="__RefHeading___Toc3219579_2870459653"/>
      <w:bookmarkStart w:id="166" w:name="_Toc67"/>
      <w:bookmarkEnd w:id="165"/>
      <w:r>
        <w:rPr>
          <w:rtl w:val="true"/>
        </w:rPr>
        <w:t>روایت هفتم</w:t>
      </w:r>
      <w:bookmarkEnd w:id="166"/>
    </w:p>
    <w:p>
      <w:pPr>
        <w:pStyle w:val="BookText"/>
        <w:rPr/>
      </w:pPr>
      <w:r>
        <w:rPr>
          <w:rFonts w:ascii="Amiri" w:hAnsi="Amiri" w:eastAsia="Amiri" w:cs="Amiri"/>
          <w:color w:val="111111"/>
          <w:sz w:val="28"/>
          <w:sz w:val="28"/>
          <w:szCs w:val="28"/>
          <w:rtl w:val="true"/>
          <w:lang w:bidi="ar-SA"/>
        </w:rPr>
        <w:t xml:space="preserve">الْكُلَيْنِيُّ عَنْ طَلْحَةَ بْنِ زَيْدٍ عَنْ أَبِي عَبْدِ اللَّهِ عَنْ أَبِيهِ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اللَّهِ الْعَالِي عَلَيْهِ السَّلَامُ أَنَّ نُورَ رَسُولُ اللَّهِ صُلِّيَ اللَّهُ عَلَيْهِ وَ آلِهِ وَ سَلَّمَ كَتَبَ لِي كِتَاباً بَيْنَ الْمُهَاجِرِينَ وَ الْأَنْصَارِ وَ مَنْ لَحِقَ بِهِمْ مِنْ أَهْلِ يَثْرِبَ أَنَّ كُلَّ غَازِيَةٍ غَزَتْ بِمَا يُعَقِّبُ بَعْضُهَا بَعْضاً بِالْمَعْرُوفِ وَ الْقِسْطِ بَيْنَ الْمُسْلِمِينَ فَأَنَّهُ لَا يَجُوزُ حَرْبِ الَّا بِإِذْنِ أَهْلِهَا وَ إِنَّ الْجَارَ كانفس غَيْرَ مُضَارٍّ وَ لَا آثِمٍ وَ حُرْمَةَ الْجَارِ عَلَى الْجَارِ كَحُرْمَةِ أُمِّهِ وَ أَبِيهِ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مدینه بین مهاجرین و انصار قانونی را وضع کردند که هر گروهی که به جهاد می روند به این گونه باشد که یک گروه به جنگ روند و یک گروه استراحت کنند به طوری که همه شرکت در جنگ داشته باشند و هیچ جنگی جایز نیست مگر با اجازه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گروه که به جنگ رفته اند همه در جریان باشند و کسی سر خود عمل نکند و قانون جنگ با اتحاد و هماهنگی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همسایه مثل خودت است و حق ضرر زدن به همسایه را نداری و حرمت همسایه مثل حرمت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معتبره است و طلحة بن زید عامی است امّا ثقه می باشد</w:t>
      </w:r>
      <w:r>
        <w:rPr>
          <w:rFonts w:eastAsia="IRNazanin" w:cs="IRNazanin"/>
          <w:color w:val="111111"/>
          <w:sz w:val="28"/>
          <w:szCs w:val="28"/>
          <w:rtl w:val="true"/>
          <w:lang w:bidi="fa-IR"/>
        </w:rPr>
        <w:t>.</w:t>
      </w:r>
    </w:p>
    <w:p>
      <w:pPr>
        <w:pStyle w:val="Heading3"/>
        <w:numPr>
          <w:ilvl w:val="2"/>
          <w:numId w:val="1"/>
        </w:numPr>
        <w:rPr/>
      </w:pPr>
      <w:bookmarkStart w:id="167" w:name="__RefHeading___Toc3219581_2870459653"/>
      <w:bookmarkStart w:id="168" w:name="_Toc68"/>
      <w:bookmarkEnd w:id="167"/>
      <w:r>
        <w:rPr>
          <w:rtl w:val="true"/>
        </w:rPr>
        <w:t>روایت هشتم</w:t>
      </w:r>
      <w:bookmarkEnd w:id="1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عَنِ الْحُسَيْنِ بْنِ مُحَمَّدٍ عَنْ مُعَلَّى بْنِ مُحَمَّدٍ عَنِ الْحَسَنِ بْنِ عَلِيِّ الْوَشَّاءِ عَنْ أَحْمَدَ بْنِ عَائِذٍ عَنْ أَبِي سَلَمَةَ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مَمْلُوكَيْنِ مُفَوَّضٍ إِلَيْهِمَا</w:t>
      </w:r>
      <w:bookmarkStart w:id="169" w:name="pg9135_79596"/>
    </w:p>
    <w:p>
      <w:pPr>
        <w:pStyle w:val="BookText"/>
        <w:rPr/>
      </w:pPr>
      <w:bookmarkEnd w:id="169"/>
      <w:r>
        <w:rPr>
          <w:rFonts w:ascii="Amiri" w:hAnsi="Amiri" w:eastAsia="Amiri" w:cs="Amiri"/>
          <w:color w:val="111111"/>
          <w:sz w:val="28"/>
          <w:sz w:val="28"/>
          <w:szCs w:val="28"/>
          <w:rtl w:val="true"/>
          <w:lang w:bidi="ar-SA"/>
        </w:rPr>
        <w:t xml:space="preserve">يَشْتَرِيَانِ وَ يَبِيعَانِ بِأَمْوَالِهِمَا فَكَانَ بَيْنَهُمَا كَلَامُ فَخَرَجَ هَذَا يَعْدُو إِلَى مَوْلَى هَذَا وَ هَذَا إِلَى مَوْلَى هُنَا وَهْماً فِي الْقُوَّةِ سَوَاءُ فَاشْتَرَى هَذَا مِنْ مَوْلَى هَذَا الْعَبْدَ وَ ذَهَبَ هَذَا فَاشْتَرَى مِنْ مَوْلَى هَذَا الْعَبْدِ الْآخَرَ وَ انْصَرَفَا إِلَى مَكَانِهِمَا وَ تَشَبَّثَ كُلُّ وَاحِدٍ مِنْهُمَا بِصَاحِبِهِ وَ قَالَ لَهُ أَنْتَ عَبْدِي قَدِ اشْتَرَيْتُكَ مِنْ سَيِّدِكَ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بَيْنَهُمَا مِنْ حَيْثُ افْتَرَقَا بِذَرْعِ الطَّرِيقِ فَأَيُّهُمَا كَانَ أَقْرَبَ فَهُوَ الَّذِي سَبَقَ الَّذِي هُوَ أَبْعَدُ وَ إِنْ كَانَا سَوَاءً فَهُوَ رَدُّ عَلَى إِلَيْهِمَا جَاءَا سَوَاءً وَ افْتَرَقَا سَوَاءً إِلَّا انَّ يَكُونَ أَحَدُهُمَا سَبَقَ صَاحِبَهُ فَالسَّابِقُ هُوَ لَهُ إِنْ شَاءَ بَاعَ وَ إِنْ شَاءَ أَمْسَكَ وَ لَيْسَ لَهُ أَنْ يُضِرَّ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عبدی بودند که مولا های آن ها به آن ها اجازه داده بودند که در بازار با اموال شان تجارت کنند این دو در بازار مشاجره کردند هر کدام پیش مولای طرف مقابل رفتند تا آن عبد طرف مقابل را از مولایش بخرد و این دو ازحیث قوت بدنی و راه رفتن مساوی بودند هر کدام آن عبد را از مولایش خریدند و سر جای شان برگشتند و هر کدام به دیگری گفتند تو عبد من هستی و تو را از مولایت خریدم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از هم جدا شدند هر کدام مسیر شان نزدیک تر است او زود تر خریده و معامله اش صحیح است امّا اگر هر دو خانه مساوی باشد هر دو معامله باطل و هر کدام به مولای خود برمی گردد مشروط به این که یک لحظه از هم جدا شده باشند و یک لحظه به هم رسیده باشند الا این که در جدایی یا رسیدن آن یکی که سابق است مقدم می شود خواست بفروشد و خواست نگهدارد امّا حق اضرار به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معلی بن محمّد، حسن می شود چون معلی بن محمّد توثيق ندارد</w:t>
      </w:r>
      <w:r>
        <w:rPr>
          <w:rFonts w:eastAsia="IRNazanin" w:cs="IRNazanin"/>
          <w:color w:val="111111"/>
          <w:sz w:val="28"/>
          <w:szCs w:val="28"/>
          <w:rtl w:val="true"/>
          <w:lang w:bidi="fa-IR"/>
        </w:rPr>
        <w:t>.</w:t>
      </w:r>
    </w:p>
    <w:p>
      <w:pPr>
        <w:pStyle w:val="Heading3"/>
        <w:numPr>
          <w:ilvl w:val="2"/>
          <w:numId w:val="1"/>
        </w:numPr>
        <w:rPr/>
      </w:pPr>
      <w:bookmarkStart w:id="170" w:name="__RefHeading___Toc3219583_2870459653"/>
      <w:bookmarkStart w:id="171" w:name="_Toc69"/>
      <w:bookmarkEnd w:id="170"/>
      <w:r>
        <w:rPr>
          <w:rtl w:val="true"/>
        </w:rPr>
        <w:t>روایت نهم</w:t>
      </w:r>
      <w:bookmarkEnd w:id="1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عَنِ عَلَى عَنْ أَبِيهِ عَنِ ابْنِ أَبِي عُمَيْرٍ عَنْ حَمَّادٍ عَنِ 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رَجُلَيْنِ كَانَ بَيْنَهُمَا عَبْدُ فاعتق أَحَدُهُمَا نَصِيبِهِ ؟ فَقالَ إِنْ كَانَ</w:t>
      </w:r>
      <w:bookmarkStart w:id="172" w:name="pg9135_79597"/>
    </w:p>
    <w:p>
      <w:pPr>
        <w:pStyle w:val="BookText"/>
        <w:rPr/>
      </w:pPr>
      <w:bookmarkEnd w:id="172"/>
      <w:r>
        <w:rPr>
          <w:rFonts w:ascii="Amiri" w:hAnsi="Amiri" w:eastAsia="Amiri" w:cs="Amiri"/>
          <w:color w:val="111111"/>
          <w:sz w:val="28"/>
          <w:sz w:val="28"/>
          <w:szCs w:val="28"/>
          <w:rtl w:val="true"/>
          <w:lang w:bidi="ar-SA"/>
        </w:rPr>
        <w:t>مُضَارّاً كُلِّفَ انَّ يُعْتِقَهُ كُلَّهُ وَ إِلَّا اُسْتُسْعَى الْعَبْدُ فِي النِّصْفِ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هستند که مشترکاً دارای عبدی هستند یکی از آن ها در سهم خودش عبد را آزاد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آزاد کرده قصدش اضرار به شریکش باشد تکلیفش می کنند که همه را آزاد کند و اگر قصد اضرار نداشته باشد خود عبد کار می کند و نصف دیگرش را می خرد</w:t>
      </w:r>
      <w:r>
        <w:rPr>
          <w:rFonts w:eastAsia="IRNazanin" w:cs="IRNazanin"/>
          <w:color w:val="111111"/>
          <w:sz w:val="28"/>
          <w:szCs w:val="28"/>
          <w:rtl w:val="true"/>
          <w:lang w:bidi="fa-IR"/>
        </w:rPr>
        <w:t>.</w:t>
      </w:r>
    </w:p>
    <w:p>
      <w:pPr>
        <w:pStyle w:val="Heading3"/>
        <w:numPr>
          <w:ilvl w:val="2"/>
          <w:numId w:val="1"/>
        </w:numPr>
        <w:rPr/>
      </w:pPr>
      <w:bookmarkStart w:id="173" w:name="__RefHeading___Toc3219585_2870459653"/>
      <w:bookmarkStart w:id="174" w:name="_Toc70"/>
      <w:bookmarkEnd w:id="173"/>
      <w:r>
        <w:rPr>
          <w:rtl w:val="true"/>
        </w:rPr>
        <w:t>روایت دهم</w:t>
      </w:r>
      <w:bookmarkEnd w:id="174"/>
    </w:p>
    <w:p>
      <w:pPr>
        <w:pStyle w:val="BookText"/>
        <w:rPr/>
      </w:pPr>
      <w:r>
        <w:rPr>
          <w:rFonts w:ascii="Amiri" w:hAnsi="Amiri" w:eastAsia="Amiri" w:cs="Amiri"/>
          <w:color w:val="111111"/>
          <w:sz w:val="28"/>
          <w:sz w:val="28"/>
          <w:szCs w:val="28"/>
          <w:rtl w:val="true"/>
          <w:lang w:bidi="ar-SA"/>
        </w:rPr>
        <w:t xml:space="preserve">رَوَى الصَّدُوقُ فِي ثَوَابِ الْأَعْمَالِ عَنِ النَّبِيِّ صُلِّيَ اللَّهُ عَلَيْهِ وَ آلِهِ وَ سَلَّمَ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أَضَرَّ بِامْرَأَةٍ حَتَّى تفتدى مِنْهُ نَفْسَهَا لَمْ يَرْضَ اللَّهُ لَهُ بِعُقُوبَةٍ دُونَ النَّارِ وَ مَنْ ضَارَّ مُسْلِماً فَلَيْسَ مِنَّا وَ لَسْنَا مِنْهُ فِي الدُّنْيَا وَ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وَأَنَّ اللَّهَ وَ رَسُولَهُ بَرِيئَانِ مِمَّنْ أَضَرَّ بإمْرَأته حَتَّى تَخْتَلِعَ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 کس ضرر بزند به همسرش تا این که مهرش را ببخشد خداوند به عقوبتی کم تر از آتش برای او راضی نمی شود و هر کس به مسلمانی ضرر بزند از ما نیست و ما هم از او نیستم نه در دنیا و نه در آخرت آگاه باشید همانا خداوند و رسولش برئ هستند از کسی که ضرر بزند به همسرش تا این که همرش را ببخشد</w:t>
      </w:r>
      <w:r>
        <w:rPr>
          <w:rFonts w:eastAsia="IRNazanin" w:cs="IRNazanin"/>
          <w:color w:val="111111"/>
          <w:sz w:val="28"/>
          <w:szCs w:val="28"/>
          <w:rtl w:val="true"/>
          <w:lang w:bidi="fa-IR"/>
        </w:rPr>
        <w:t>.</w:t>
      </w:r>
    </w:p>
    <w:p>
      <w:pPr>
        <w:pStyle w:val="Heading3"/>
        <w:numPr>
          <w:ilvl w:val="2"/>
          <w:numId w:val="1"/>
        </w:numPr>
        <w:rPr/>
      </w:pPr>
      <w:bookmarkStart w:id="175" w:name="__RefHeading___Toc3219587_2870459653"/>
      <w:bookmarkStart w:id="176" w:name="_Toc71"/>
      <w:bookmarkEnd w:id="175"/>
      <w:r>
        <w:rPr>
          <w:rtl w:val="true"/>
        </w:rPr>
        <w:t>روایت یازدهم</w:t>
      </w:r>
      <w:bookmarkEnd w:id="176"/>
    </w:p>
    <w:p>
      <w:pPr>
        <w:pStyle w:val="BookText"/>
        <w:rPr/>
      </w:pPr>
      <w:r>
        <w:rPr>
          <w:rFonts w:ascii="Amiri" w:hAnsi="Amiri" w:eastAsia="Amiri" w:cs="Amiri"/>
          <w:color w:val="111111"/>
          <w:sz w:val="28"/>
          <w:sz w:val="28"/>
          <w:szCs w:val="28"/>
          <w:rtl w:val="true"/>
          <w:lang w:bidi="ar-SA"/>
        </w:rPr>
        <w:t xml:space="preserve">الْكُلَيْنِيُّ عَنْ مُحَمَّدِ بْنِ يَحْيَى عَنْ أَحْمَدَ بْنِ مُحَمَّدٍ عَنِ ابْنِ فَضَّالٍ عَنِ ابْنِ بُكَيْرٍ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 يُرِيدُ جَدُّهَا أَنْ يُزَوِّجَهَا مِنْ رَجُلٍ آخَرَ فَقَالَ الْجَدُّ أَوْلَى بِذَلِكَ مَا لَمْ يَكُنْ مُضَارّاً إِنْ لَمْ يَكُنِ الْأَبُ زَوَّجَهَا 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می خواهد پدرش او را برای مردی تزویج کند وجد دختر می خواهد او را به مردی دیگر تزویج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bookmarkStart w:id="177" w:name="pg9135_79598"/>
    </w:p>
    <w:p>
      <w:pPr>
        <w:pStyle w:val="BookText"/>
        <w:rPr/>
      </w:pPr>
      <w:bookmarkEnd w:id="177"/>
      <w:r>
        <w:rPr>
          <w:rFonts w:ascii="IRNazanin" w:hAnsi="IRNazanin" w:eastAsia="IRNazanin"/>
          <w:color w:val="111111"/>
          <w:sz w:val="28"/>
          <w:sz w:val="28"/>
          <w:szCs w:val="28"/>
          <w:rtl w:val="true"/>
          <w:lang w:bidi="fa-IR"/>
        </w:rPr>
        <w:t>مقدم است در صورتی که مورد جد باعث ضرر به دختر نباشد و به شرطی که پدر دخترش را زود تر شوهر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موثقه است</w:t>
      </w:r>
      <w:r>
        <w:rPr>
          <w:rFonts w:eastAsia="IRNazanin" w:cs="IRNazanin"/>
          <w:color w:val="111111"/>
          <w:sz w:val="28"/>
          <w:szCs w:val="28"/>
          <w:rtl w:val="true"/>
          <w:lang w:bidi="fa-IR"/>
        </w:rPr>
        <w:t>.</w:t>
      </w:r>
    </w:p>
    <w:p>
      <w:pPr>
        <w:pStyle w:val="Heading3"/>
        <w:numPr>
          <w:ilvl w:val="2"/>
          <w:numId w:val="1"/>
        </w:numPr>
        <w:rPr/>
      </w:pPr>
      <w:bookmarkStart w:id="178" w:name="__RefHeading___Toc3219589_2870459653"/>
      <w:bookmarkStart w:id="179" w:name="_Toc72"/>
      <w:bookmarkEnd w:id="178"/>
      <w:r>
        <w:rPr>
          <w:rtl w:val="true"/>
        </w:rPr>
        <w:t>روایت دوازدهم</w:t>
      </w:r>
      <w:bookmarkEnd w:id="179"/>
    </w:p>
    <w:p>
      <w:pPr>
        <w:pStyle w:val="BookText"/>
        <w:rPr/>
      </w:pPr>
      <w:r>
        <w:rPr>
          <w:rFonts w:ascii="Amiri" w:hAnsi="Amiri" w:eastAsia="Amiri" w:cs="Amiri"/>
          <w:color w:val="111111"/>
          <w:sz w:val="28"/>
          <w:sz w:val="28"/>
          <w:szCs w:val="28"/>
          <w:rtl w:val="true"/>
          <w:lang w:bidi="ar-SA"/>
        </w:rPr>
        <w:t xml:space="preserve">رَوَى الْكُلَيْنِيُّ عَنْ عَلِيٍّ عَنْ أَبِيهِ عَنِ ابْنِ أَبِي عُمَيْرٍ عَنْ حَمَّادٍ عَنِ عَنِ الْحَلَبِيِّ عَنْ أَبِي عَبْدِ اللَّهِ عَلَيْهِ 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أَنْ يُضَارَّ بِالصَّبِيِّ أَوْ تُضَارَّ أُمُّهُ فِي رَضَاعِهِ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حضرت نهی کردند از این که به بچه ضرری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رفتار و کردار مادر به گونه ای باشد که فرزند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مادری متضرر شود در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رضاع نه مادر متضرر شود نه فرزند</w:t>
      </w:r>
      <w:r>
        <w:rPr>
          <w:rFonts w:eastAsia="IRNazanin" w:cs="IRNazanin"/>
          <w:color w:val="111111"/>
          <w:sz w:val="28"/>
          <w:szCs w:val="28"/>
          <w:rtl w:val="true"/>
          <w:lang w:bidi="fa-IR"/>
        </w:rPr>
        <w:t>).</w:t>
      </w:r>
    </w:p>
    <w:p>
      <w:pPr>
        <w:pStyle w:val="Heading3"/>
        <w:numPr>
          <w:ilvl w:val="2"/>
          <w:numId w:val="1"/>
        </w:numPr>
        <w:rPr/>
      </w:pPr>
      <w:bookmarkStart w:id="180" w:name="__RefHeading___Toc3219591_2870459653"/>
      <w:bookmarkStart w:id="181" w:name="_Toc73"/>
      <w:bookmarkEnd w:id="180"/>
      <w:r>
        <w:rPr>
          <w:rtl w:val="true"/>
        </w:rPr>
        <w:t>روایت سیزدهم</w:t>
      </w:r>
      <w:bookmarkEnd w:id="181"/>
    </w:p>
    <w:p>
      <w:pPr>
        <w:pStyle w:val="BookText"/>
        <w:rPr/>
      </w:pPr>
      <w:r>
        <w:rPr>
          <w:rFonts w:ascii="Amiri" w:hAnsi="Amiri" w:eastAsia="Amiri" w:cs="Amiri"/>
          <w:color w:val="111111"/>
          <w:sz w:val="28"/>
          <w:sz w:val="28"/>
          <w:szCs w:val="28"/>
          <w:rtl w:val="true"/>
          <w:lang w:bidi="ar-SA"/>
        </w:rPr>
        <w:t xml:space="preserve">رَوَى الْكُلَيْنِيُّ عَنْ مُحَمَّدِ بْنِ يَحْيَى عَنْ أَحْمَدَ بْنِ مُحَمَّدٍ عَنْ مُحَمَّدِ بْنِ إِسْمَاعِيلَ وَ الْحُسَيْنِ بْنِ سَعِيدٍ جَمِيعاً عَنْ مُحَمَّدِ بْنِ الْفُضَيْلِ عَنْ أَبِي الصَّبَّاحِ الْكِنَانِيِّ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الْمَرَاضِعُ مِمَّا تَدْفَعُ إِحْدَاهُنَّ الرَّجُلَ إِذَا أَرَادَ الْجِمَاعَ تَقُولُ ؛ لَا أَدَعُكَ أَنِّي أَخَافُ عَنْ أَحْبَلَ فَأَقْتُلَ وَلَدِي هَذَا الَّذِي أُرْضِعُهُ وَ كَانَ الرَّجُلُ تَدْعُوهُ الْمَرْأَةُ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أُجَامِعَكِ فَأَقْتُلَ وَلَدِي فَيَدْفَعُهَا وَ لَا يُجَامِعُهَا فَنَهَى اللَّهُ عَزَّ وَ جَلَّ عَنْ ذَلِكَ أَنْ يُضَارَّ الرَّجُلُ الْمَرْأَةَ وَ الْمَرْأَةُ الرَّجُلَ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 زنی که بچه شیر می دهد اگر مرد از او تقاضای جماع کند امّا زن به تقاضای مرد پاسخ ندهد و بگوید می ترسم از تو حامله شوم و یا زن تقاضای جماع کند و مرد به زن می گوید ترس آن دارم که از من حامله شوی و فرزندم را بکشم پس خداوند نهی کرده است از این که مرد سبب زیان و ضرر زن یا زن سبب زیان و ضرر مرد شود</w:t>
      </w:r>
      <w:r>
        <w:rPr>
          <w:rFonts w:eastAsia="IRNazanin" w:cs="IRNazanin"/>
          <w:color w:val="111111"/>
          <w:sz w:val="28"/>
          <w:szCs w:val="28"/>
          <w:rtl w:val="true"/>
          <w:lang w:bidi="fa-IR"/>
        </w:rPr>
        <w:t xml:space="preserve">. </w:t>
      </w:r>
      <w:bookmarkStart w:id="182" w:name="pg9135_79599"/>
    </w:p>
    <w:p>
      <w:pPr>
        <w:pStyle w:val="Heading3"/>
        <w:numPr>
          <w:ilvl w:val="2"/>
          <w:numId w:val="1"/>
        </w:numPr>
        <w:rPr/>
      </w:pPr>
      <w:bookmarkStart w:id="183" w:name="__RefHeading___Toc3219593_2870459653"/>
      <w:bookmarkStart w:id="184" w:name="_Toc74"/>
      <w:bookmarkEnd w:id="182"/>
      <w:bookmarkEnd w:id="183"/>
      <w:r>
        <w:rPr>
          <w:rtl w:val="true"/>
        </w:rPr>
        <w:t>روایت چهاردهم</w:t>
      </w:r>
      <w:bookmarkEnd w:id="184"/>
    </w:p>
    <w:p>
      <w:pPr>
        <w:pStyle w:val="BookText"/>
        <w:rPr/>
      </w:pPr>
      <w:r>
        <w:rPr>
          <w:rFonts w:ascii="Amiri" w:hAnsi="Amiri" w:eastAsia="Amiri" w:cs="Amiri"/>
          <w:color w:val="111111"/>
          <w:sz w:val="28"/>
          <w:sz w:val="28"/>
          <w:szCs w:val="28"/>
          <w:rtl w:val="true"/>
          <w:lang w:bidi="ar-SA"/>
        </w:rPr>
        <w:t xml:space="preserve">الْكُلَيْنِيُّ عَنْ عَلِيٍّ عَنْ أَبِيهِ عَنِ ابْنِ مَحْبُوبٍ عَنْ أَبِي وَلَّادِ الْحَنَّاطِ عَنْ حُمْرَانَ 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جَعْفَرٍ عَلَيْهِ السَّلَامُ أَنَّهُ قَالَ وَ لَا يَكُونُ ظِهَارُ فِي يَمِينٍ وَ لَا فِي إِضْرَارٍ وَ لَا فِي غَضَبٍ وَ لَا يَكُونُ ظِهَارُ إِلَّا عَلَى طُهْرٍ بِغَيْرِ جِمَاعٍ بِشَهَادَةِ شَاهِدَيْنِ 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ظهار با یمین منعقد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شرط قسم این است که متعلقش رجحان</w:t>
      </w:r>
    </w:p>
    <w:p>
      <w:pPr>
        <w:pStyle w:val="BookText"/>
        <w:rPr/>
      </w:pPr>
      <w:r>
        <w:rPr>
          <w:rFonts w:ascii="IRNazanin" w:hAnsi="IRNazanin" w:eastAsia="IRNazanin"/>
          <w:color w:val="111111"/>
          <w:sz w:val="28"/>
          <w:sz w:val="28"/>
          <w:szCs w:val="28"/>
          <w:rtl w:val="true"/>
          <w:lang w:bidi="fa-IR"/>
        </w:rPr>
        <w:t>شرعی داشته باشد و ترک جماع با زوجه رجحان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با صیغه ظهار ضرر به زن بزند این ظهار منعقد نمی شود و در حال خشم اگر صیغه ظهار را جاری کرد صحیح نیست و از شرائط ظهار این است که در طهر غیر مواقعه باشد با شهادت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شرائط طلاق</w:t>
      </w:r>
      <w:r>
        <w:rPr>
          <w:rFonts w:eastAsia="IRNazanin" w:cs="IRNazanin"/>
          <w:color w:val="111111"/>
          <w:sz w:val="28"/>
          <w:szCs w:val="28"/>
          <w:rtl w:val="true"/>
          <w:lang w:bidi="fa-IR"/>
        </w:rPr>
        <w:t>).</w:t>
      </w:r>
    </w:p>
    <w:p>
      <w:pPr>
        <w:pStyle w:val="Heading3"/>
        <w:numPr>
          <w:ilvl w:val="2"/>
          <w:numId w:val="1"/>
        </w:numPr>
        <w:rPr/>
      </w:pPr>
      <w:bookmarkStart w:id="185" w:name="__RefHeading___Toc3219595_2870459653"/>
      <w:bookmarkStart w:id="186" w:name="_Toc75"/>
      <w:bookmarkEnd w:id="185"/>
      <w:r>
        <w:rPr>
          <w:rtl w:val="true"/>
        </w:rPr>
        <w:t>روایت پانزدهم</w:t>
      </w:r>
      <w:bookmarkEnd w:id="186"/>
    </w:p>
    <w:p>
      <w:pPr>
        <w:pStyle w:val="BookText"/>
        <w:rPr/>
      </w:pPr>
      <w:r>
        <w:rPr>
          <w:rFonts w:ascii="Amiri" w:hAnsi="Amiri" w:eastAsia="Amiri" w:cs="Amiri"/>
          <w:color w:val="111111"/>
          <w:sz w:val="28"/>
          <w:sz w:val="28"/>
          <w:szCs w:val="28"/>
          <w:rtl w:val="true"/>
          <w:lang w:bidi="ar-SA"/>
        </w:rPr>
        <w:t xml:space="preserve">عَنْ مُحَمَّدِ بْنِ يَحْيَى عَنْ أَحْمَدَ بْنِ مُحَمَّدِ بْنِ سِنَانٍ عَنِ الْعَلَاءِ ابْنِ الْفُضَيْلِ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أَصْحَابَكُمْ وَ وَقِّرُوهُمْ وَ لَا يَتَهَجَّمْ بَعْضُكُمْ عَلَى بَعْضٍ وَ لَا تَضَارُّوا وَ لَا تَحَاسَدُوا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باقر علیه السلام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خود را تعظیم و تکریم کنید و بعضی از شما با هم درگیری نداشته باشید و به یک دیگر اضرار وارد نکنید و به یک دیگر حسد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محمّد بن سنان را قبول داریم و روایت نزد ما معتبره است</w:t>
      </w:r>
      <w:r>
        <w:rPr>
          <w:rFonts w:eastAsia="IRNazanin" w:cs="IRNazanin"/>
          <w:color w:val="111111"/>
          <w:sz w:val="28"/>
          <w:szCs w:val="28"/>
          <w:rtl w:val="true"/>
          <w:lang w:bidi="fa-IR"/>
        </w:rPr>
        <w:t>.</w:t>
      </w:r>
    </w:p>
    <w:p>
      <w:pPr>
        <w:pStyle w:val="Heading3"/>
        <w:numPr>
          <w:ilvl w:val="2"/>
          <w:numId w:val="1"/>
        </w:numPr>
        <w:rPr/>
      </w:pPr>
      <w:bookmarkStart w:id="187" w:name="__RefHeading___Toc3219597_2870459653"/>
      <w:bookmarkStart w:id="188" w:name="_Toc76"/>
      <w:bookmarkEnd w:id="187"/>
      <w:r>
        <w:rPr>
          <w:rtl w:val="true"/>
        </w:rPr>
        <w:t>روایت شانزدهم</w:t>
      </w:r>
      <w:bookmarkEnd w:id="1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الْحَسَنِ بْنِ مُحَمَّدِ سَمَاعَةَ عَنْ غَيْرِ وَاحِدٍ عَنْ أَبَانِ بْنِ عُثْمَانَ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اكْتَرَى أَرْضاً مِنْ أَرْضِ أَهْلِ الذِّمَّةِ مِنَ الْخَرَاجُ وَ أَهْلُهَا كَارِهُونَ وَ إِنَّمَا يَقْبَلُهَا السُّلْطَانُ لِعَجْزِ أَهْلِهَا عَنْهَا أَوْ</w:t>
      </w:r>
      <w:bookmarkStart w:id="189" w:name="pg9135_79600"/>
    </w:p>
    <w:p>
      <w:pPr>
        <w:pStyle w:val="BookText"/>
        <w:rPr/>
      </w:pPr>
      <w:bookmarkEnd w:id="189"/>
      <w:r>
        <w:rPr>
          <w:rFonts w:ascii="Amiri" w:hAnsi="Amiri" w:eastAsia="Amiri" w:cs="Amiri"/>
          <w:color w:val="111111"/>
          <w:sz w:val="28"/>
          <w:sz w:val="28"/>
          <w:szCs w:val="28"/>
          <w:rtl w:val="true"/>
          <w:lang w:bidi="ar-SA"/>
        </w:rPr>
        <w:t>غَيْرُ عَجَزَ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أَرْبَابُهَا عَنْهَا فَلَكَ أَنْ تَأْخُذَهَا إِلَّا أَنْ يُضَارُّوا وَ إِنْ أَعْطَيْتَهُمْ شَيْئاً فَسَخَتْ أَنْفُسُ أَهْلِهَا لَكُمْ بِهَا فَخُذُوهَا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کليني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عَبْدِ اللَّهِ بْنِ مُحَمَّدٍ عَنْ عَلِىُّ بْنِ حُكْمُ وَ حُمَيْدُ مُحَمَّدِ بْنُ زِيَادٍ عَنْ حَسَنِ بْنِ عَنْ غَيْرِ وَاحِدٍ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امام سؤال کردم که شخصی کرایه می کند یک زمین خراجی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از امام المسلمین کرایه می کردند که کرایه آن یا پول بود که خراج می گفتند یا خراج آن على نحو تقسیم محصول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ذمه و اهل ذمه اکراه دارند که این شخص روی آن زمین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می بیند که اهل آن نمی توانند روی آن زمین کار کنند یا به خاطر عجز یا علت دیگر و زمین را از آن ها می گیرد حضرت می فرماید اگر آن هایی که روی زمین هستند نمی توانند از زمین خوب استفاده کنند می تواند از آن ها بگیرد و به کس دیگر بدهد مگر این که این کار موجب ضرر به اهل ذمه شود و اگر چیزی به اهل ذمه بدهند و راضی شوند مشکلی نیست در اخذ زمین از آن ها</w:t>
      </w:r>
      <w:r>
        <w:rPr>
          <w:rFonts w:eastAsia="IRNazanin" w:cs="IRNazanin"/>
          <w:color w:val="111111"/>
          <w:sz w:val="28"/>
          <w:szCs w:val="28"/>
          <w:rtl w:val="true"/>
          <w:lang w:bidi="fa-IR"/>
        </w:rPr>
        <w:t>.</w:t>
      </w:r>
    </w:p>
    <w:p>
      <w:pPr>
        <w:pStyle w:val="Heading3"/>
        <w:numPr>
          <w:ilvl w:val="2"/>
          <w:numId w:val="1"/>
        </w:numPr>
        <w:rPr/>
      </w:pPr>
      <w:bookmarkStart w:id="190" w:name="__RefHeading___Toc3219599_2870459653"/>
      <w:bookmarkStart w:id="191" w:name="_Toc77"/>
      <w:bookmarkEnd w:id="190"/>
      <w:r>
        <w:rPr>
          <w:rtl w:val="true"/>
        </w:rPr>
        <w:t>روایت هفدهم</w:t>
      </w:r>
      <w:bookmarkEnd w:id="191"/>
    </w:p>
    <w:p>
      <w:pPr>
        <w:pStyle w:val="BookText"/>
        <w:rPr/>
      </w:pPr>
      <w:r>
        <w:rPr>
          <w:rFonts w:ascii="Amiri" w:hAnsi="Amiri" w:eastAsia="Amiri" w:cs="Amiri"/>
          <w:color w:val="111111"/>
          <w:sz w:val="28"/>
          <w:sz w:val="28"/>
          <w:szCs w:val="28"/>
          <w:rtl w:val="true"/>
          <w:lang w:bidi="ar-SA"/>
        </w:rPr>
        <w:t>رَوَى الْكُلَيْنِيُّ بِإِسْنَادِهِ عَنْ عَبْدِ اللَّهِ بْنِ يَحْيَى كاهلي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 إِذَا أَحْرَمْتَ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لَمْ تَكْتَحِلُ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ضَرِيرُ الْبَصَرُ فَإِذَا أَنَا اكْتَحَلْتُ نَفَعَنِي وَ إِذَا لَمْ تَكْتَحِلُ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مَعَ الْكُحْلِ غَيْرَهُ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آخُذُ خِرْقَتَيْنِ فأربعها فَأَجْعَلُ عَلَى كُلِّ عَيْنٍ خِرْقَةً وَ اِعْصِبْهُمَا بِعِصَابَةٍ إِلَى قَفَايَ فَإِذَا فَعَلْتُ ذَلِكَ نَفَعَنِي وَ إِذَا تَرَكْتُهُ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چشم او ضعیف بوده یا نابینا بوده از امام می پرسد وقتی مُحرم شوم می توانم سُرمه استعمال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چه می خواهی سرمه به چشمت بزنی؟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چشمم ضعیف است و زمانی که سرمه می زنم </w:t>
      </w:r>
      <w:bookmarkStart w:id="192" w:name="pg9135_79601"/>
    </w:p>
    <w:p>
      <w:pPr>
        <w:pStyle w:val="BookText"/>
        <w:rPr/>
      </w:pPr>
      <w:bookmarkEnd w:id="192"/>
      <w:r>
        <w:rPr>
          <w:rFonts w:ascii="IRNazanin" w:hAnsi="IRNazanin" w:eastAsia="IRNazanin"/>
          <w:color w:val="111111"/>
          <w:sz w:val="28"/>
          <w:sz w:val="28"/>
          <w:szCs w:val="28"/>
          <w:rtl w:val="true"/>
          <w:lang w:bidi="fa-IR"/>
        </w:rPr>
        <w:t>برایم مفید است و اگر سرمه نزنم برایم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سرمه چیز دیگری نیز بر روی چشمم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سرمه روی هر چشمم یک پارچه ای را چهار لا کرده قرار می دهم بعد با پارچه ای می بندم و در این صورت برایم مفید است و الا ضرر می بینم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پارچه روی چشم برای مرد در احرام اشکالی ندارد بحث روی سرمه کشیدن است که برای مرد حرام است که به إضطرار حرمتش برداشته می شود</w:t>
      </w:r>
      <w:r>
        <w:rPr>
          <w:rFonts w:eastAsia="IRNazanin" w:cs="IRNazanin"/>
          <w:color w:val="111111"/>
          <w:sz w:val="28"/>
          <w:szCs w:val="28"/>
          <w:rtl w:val="true"/>
          <w:lang w:bidi="fa-IR"/>
        </w:rPr>
        <w:t>).</w:t>
      </w:r>
    </w:p>
    <w:p>
      <w:pPr>
        <w:pStyle w:val="Heading3"/>
        <w:numPr>
          <w:ilvl w:val="2"/>
          <w:numId w:val="1"/>
        </w:numPr>
        <w:rPr/>
      </w:pPr>
      <w:bookmarkStart w:id="193" w:name="__RefHeading___Toc3219601_2870459653"/>
      <w:bookmarkStart w:id="194" w:name="_Toc78"/>
      <w:bookmarkEnd w:id="193"/>
      <w:r>
        <w:rPr>
          <w:rtl w:val="true"/>
        </w:rPr>
        <w:t>روایت هجدهم</w:t>
      </w:r>
      <w:bookmarkEnd w:id="194"/>
    </w:p>
    <w:p>
      <w:pPr>
        <w:pStyle w:val="BookText"/>
        <w:rPr/>
      </w:pPr>
      <w:r>
        <w:rPr>
          <w:rFonts w:ascii="Amiri" w:hAnsi="Amiri" w:eastAsia="Amiri" w:cs="Amiri"/>
          <w:color w:val="111111"/>
          <w:sz w:val="28"/>
          <w:sz w:val="28"/>
          <w:szCs w:val="28"/>
          <w:rtl w:val="true"/>
          <w:lang w:bidi="ar-SA"/>
        </w:rPr>
        <w:t xml:space="preserve">الْكُلَيْنِيُّ عَنْ مُحَمَّدِ بْنِ يَحْيَى عَنْ أَحْمَدَ بْنِ مُحَمَّدٍ عَنْ مُحَمَّدِ بْنِ سَهْلٍ عَنْ مُحَمَّدِ بْنِ سِنَانٍ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الْيَمِينُ فَيُحْلِفُهُ غَرِيمُهُ بِالْأَيْمَانِ الْمُغَلَّظَةِ أَنْ لَا يَخْرُجَ مِنَ الْبَلَدِ إِلَّا بِعِلْمِهِ؟فَقَالَ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حَتَّى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أَعْلَمَهُ لَمْ يَدَعْهُ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ضَرَراً عَلَيْهِ وَ عَلَى عِيَالِهِ فَلْيَخْرُجْ وَ لَا شَيْ‌ءَ عَلَيْهِ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بدهکار است و طلب کار او را قسم می دهد که حق نداری از این شهر خارج شوی مگر با اطلاع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نشود مگر این که او را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دهد نمی گذارد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خروج ضرر برای او یا اهلش باشد لزومی بر اطلاع دادن نیست و کفاره هم به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سهل مهمل است و روایت ضعیف است</w:t>
      </w:r>
      <w:r>
        <w:rPr>
          <w:rFonts w:eastAsia="IRNazanin" w:cs="IRNazanin"/>
          <w:color w:val="111111"/>
          <w:sz w:val="28"/>
          <w:szCs w:val="28"/>
          <w:rtl w:val="true"/>
          <w:lang w:bidi="fa-IR"/>
        </w:rPr>
        <w:t>.</w:t>
      </w:r>
    </w:p>
    <w:p>
      <w:pPr>
        <w:pStyle w:val="Heading3"/>
        <w:numPr>
          <w:ilvl w:val="2"/>
          <w:numId w:val="1"/>
        </w:numPr>
        <w:rPr/>
      </w:pPr>
      <w:bookmarkStart w:id="195" w:name="__RefHeading___Toc3219603_2870459653"/>
      <w:bookmarkStart w:id="196" w:name="_Toc79"/>
      <w:bookmarkEnd w:id="195"/>
      <w:r>
        <w:rPr>
          <w:rtl w:val="true"/>
        </w:rPr>
        <w:t>روایت نوزدهم</w:t>
      </w:r>
      <w:bookmarkEnd w:id="1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فِي الْخِصَالِ عَنْ جَعْفَرِ بْنِ مُحَمَّدٍ عَلَيْهِ السَّلَامُ انْهَ ذَكَرَ عَنْ آبَائِهِ أَنَّ أَمِيرَ الْمُؤْمِنِينَ عَلَيْهِ السَّلَامُ كِتَابِ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أَدِقُّوا أَقْلَامَكُمْ وَ قَارِبُوا بَيْنَ سُطُورِكُمْ وَ احْذِفُوا عَنِّي فُضُولَكُمْ وَ اقْصِدُوا قَصْدَ الْمَعَانِي وَ إِيَّاكُمْ وَ الْإِكْثَارَ فَإِنَّ أَمْوَالَ الْمُسْلِمِينَ لَا تَحْتَمِلُ</w:t>
      </w:r>
      <w:bookmarkStart w:id="197" w:name="pg9135_79602"/>
    </w:p>
    <w:p>
      <w:pPr>
        <w:pStyle w:val="BookText"/>
        <w:rPr/>
      </w:pPr>
      <w:bookmarkEnd w:id="197"/>
      <w:r>
        <w:rPr>
          <w:rFonts w:ascii="Amiri" w:hAnsi="Amiri" w:eastAsia="Amiri" w:cs="Amiri"/>
          <w:color w:val="111111"/>
          <w:sz w:val="28"/>
          <w:sz w:val="28"/>
          <w:szCs w:val="28"/>
          <w:rtl w:val="true"/>
          <w:lang w:bidi="ar-SA"/>
        </w:rPr>
        <w:t>الْإِضْرَارُ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کار گزارانش نوشتند قلم های خود را تیز و باریک کنید و بین سطور فاصله نیاندازید حرف های اضافه را حذف کنید و لُب کلام را بگویید و از پر گویی بپرهیزید همانا اموال مسلمین تحمل این ضرر ها را ندارد</w:t>
      </w:r>
      <w:r>
        <w:rPr>
          <w:rFonts w:eastAsia="IRNazanin" w:cs="IRNazanin"/>
          <w:color w:val="111111"/>
          <w:sz w:val="28"/>
          <w:szCs w:val="28"/>
          <w:rtl w:val="true"/>
          <w:lang w:bidi="fa-IR"/>
        </w:rPr>
        <w:t>.</w:t>
      </w:r>
    </w:p>
    <w:p>
      <w:pPr>
        <w:pStyle w:val="Heading3"/>
        <w:numPr>
          <w:ilvl w:val="2"/>
          <w:numId w:val="1"/>
        </w:numPr>
        <w:rPr/>
      </w:pPr>
      <w:bookmarkStart w:id="198" w:name="__RefHeading___Toc3219605_2870459653"/>
      <w:bookmarkStart w:id="199" w:name="_Toc80"/>
      <w:bookmarkEnd w:id="198"/>
      <w:r>
        <w:rPr>
          <w:rtl w:val="true"/>
        </w:rPr>
        <w:t>روایت بیستم</w:t>
      </w:r>
      <w:bookmarkEnd w:id="199"/>
    </w:p>
    <w:p>
      <w:pPr>
        <w:pStyle w:val="BookText"/>
        <w:rPr/>
      </w:pPr>
      <w:r>
        <w:rPr>
          <w:rFonts w:ascii="Amiri" w:hAnsi="Amiri" w:eastAsia="Amiri" w:cs="Amiri"/>
          <w:color w:val="111111"/>
          <w:sz w:val="28"/>
          <w:sz w:val="28"/>
          <w:szCs w:val="28"/>
          <w:rtl w:val="true"/>
          <w:lang w:bidi="ar-SA"/>
        </w:rPr>
        <w:t xml:space="preserve">ابْنُ شُعَبُهُ حرّاني فِي تُحَفِ الْعُقُولِ عَنْ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لَيْسَ فَوْقَهُمَا مِنَ الْبِرِّ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النَّفْعُ لِعِبَادِ اللَّهِ وَ خَصْلَتَانِ لَيْسَ فَوْقَهُمَا مِنَ الشَّرِّ شَيْ‌ءُ الشِّرْكُ بِاللَّهِ وَ الضَّرِّ لِعِبَادِ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فوق آن دو 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ایمان به خدا و نفع به بندگان خداود و دو خصلت است که بالا تر از آن بدی نیست یکی شرک به خدا و دیگری ضرر به بندگان خدا</w:t>
      </w:r>
      <w:r>
        <w:rPr>
          <w:rFonts w:eastAsia="IRNazanin" w:cs="IRNazanin"/>
          <w:color w:val="111111"/>
          <w:sz w:val="28"/>
          <w:szCs w:val="28"/>
          <w:rtl w:val="true"/>
          <w:lang w:bidi="fa-IR"/>
        </w:rPr>
        <w:t>.</w:t>
      </w:r>
    </w:p>
    <w:p>
      <w:pPr>
        <w:pStyle w:val="Heading3"/>
        <w:numPr>
          <w:ilvl w:val="2"/>
          <w:numId w:val="1"/>
        </w:numPr>
        <w:rPr/>
      </w:pPr>
      <w:bookmarkStart w:id="200" w:name="__RefHeading___Toc3219607_2870459653"/>
      <w:bookmarkStart w:id="201" w:name="_Toc81"/>
      <w:bookmarkEnd w:id="200"/>
      <w:r>
        <w:rPr>
          <w:rtl w:val="true"/>
        </w:rPr>
        <w:t>روایت بیست و یکم</w:t>
      </w:r>
      <w:bookmarkEnd w:id="201"/>
    </w:p>
    <w:p>
      <w:pPr>
        <w:pStyle w:val="BookText"/>
        <w:rPr/>
      </w:pPr>
      <w:r>
        <w:rPr>
          <w:rFonts w:ascii="Amiri" w:hAnsi="Amiri" w:eastAsia="Amiri" w:cs="Amiri"/>
          <w:color w:val="111111"/>
          <w:sz w:val="28"/>
          <w:sz w:val="28"/>
          <w:szCs w:val="28"/>
          <w:rtl w:val="true"/>
          <w:lang w:bidi="ar-SA"/>
        </w:rPr>
        <w:t xml:space="preserve">رَوَى الشَّيْخُ الْحُرُّ الْعَامِلِيِّ عَنْ عُيُونِ الْأَخْبَارِ عَنِ الرِّضَا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 مُسْلِماً أَوْ ضَرَّهُ أَوْ مَاكَرَهُ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نسبت به برادر مسلمانش غش داشته باشد و ضرر به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سند این روایت اعتبار داشته باشد و جزء آن دسته از روایاتی است که شیخ صدوق چندبار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سند برای این روایت ذکر می کند و یکی از این روایات سندش صحیح است</w:t>
      </w:r>
    </w:p>
    <w:p>
      <w:pPr>
        <w:pStyle w:val="Heading3"/>
        <w:numPr>
          <w:ilvl w:val="2"/>
          <w:numId w:val="1"/>
        </w:numPr>
        <w:rPr/>
      </w:pPr>
      <w:bookmarkStart w:id="202" w:name="__RefHeading___Toc3219609_2870459653"/>
      <w:bookmarkStart w:id="203" w:name="_Toc82"/>
      <w:bookmarkEnd w:id="202"/>
      <w:r>
        <w:rPr>
          <w:rtl w:val="true"/>
        </w:rPr>
        <w:t>روایت بیست و دوم</w:t>
      </w:r>
      <w:bookmarkEnd w:id="2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الْحُرُّ الْعَامِلِيِّ عَنِ الْحَسَنِ بْنُ شُعْبَةَ عَنِ الصَّادِقِ عَلَيْهِ السَّلَامُ ، فِي حَدِيثِ،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يَحِلُّ لِلْإِنْسَانِ أَكْلُهُ مِمَّا أَخْرَجَتِ الْأَرْضُ فَثَلَاثَةُ صُنُوفٍ مِنَ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مِنْهَا جَمِيعُ الْحَبِّ كُلِّهِ مِنَ الْحِنْطَةِ وَ الشَّعِيرِ وَ الْأَرُزِّ وَ الْحِمَّصِ وَ غَيْرِ ذَلِكَ مِنْ صُنُوفِ الْحَبِّ وَ صُنُوفِ السَّمَاسِمِ </w:t>
      </w:r>
      <w:r>
        <w:rPr>
          <w:rStyle w:val="FootnoteAnchor"/>
          <w:rtl w:val="true"/>
        </w:rPr>
        <w:footnoteReference w:id="93"/>
      </w:r>
      <w:r>
        <w:rPr>
          <w:rFonts w:ascii="Amiri" w:hAnsi="Amiri" w:eastAsia="Amiri" w:cs="Amiri"/>
          <w:color w:val="111111"/>
          <w:sz w:val="28"/>
          <w:sz w:val="28"/>
          <w:szCs w:val="28"/>
          <w:rtl w:val="true"/>
          <w:lang w:bidi="ar-SA"/>
        </w:rPr>
        <w:t xml:space="preserve">وَ غَيْرِهِمَا كُلُّ شَيْ‌ءٍ مِنَ الْحَبِّ مِمَّا يَكُونُ فِيهِ غِذَاءُ الْإِنْسَانِ فِي بَدَنِهِ وَ قُوَّتُهُ فَحَلَالُ أَكْلُهُ وَ كَّلَ شَيْ‌ءٍ يَكُونُ فِيهِ الْمَضَرَّةُ عَلَى الْإِنْسَانِ فِي بَدَنِهِ وَ قُوَّتُهُ فَحَرَامُ أَكْلُهُ إِلَّا فِي حَالِ الضَّرُورَةِ وَ الصِّنْفُ الثَّانِي مَا أَخْرَجَتِ الْأَرْضُ مِنْ جَمْعٍ صُنُوفِ الثِّمَارِ كُلِّهَا مِمَّا يَكُونُ فِيهِ غِذَاءُ الأنسان وَ مَنْفَعَةُ لَهُ وَ قُوَّةُ بِهِ فَحَلَالُ أَكْلُهُ ، وَ مَا كَانَ فِيهِ الْمَضَرَّةُ عَلَى الْإِنْسَانِ فِي أَكْلِهِ فَحَرَامُ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صُنُوفِ الْبُقُولِ وَ النَّبَاتِ وَ كُلُّ شَيْ‌ءٍ تَنْبُتُ مِنَ الْبُقُولِ كُلِّهَا مِمَّا فِيهِ مَنَافِعُ الْإِنْسَانِ وغذا لَهُ فَحَلَالُ أَكْلُهُ وَ مَا كَانَ مِنْ صُنُوفِ الْبُقُولِ مِمَّا فِيهِ الْمَضَرَّةُ عَلَى الْإِنْسَانِ فِي أَكْلِهِ ، نَظِيرُ بُقُولِ السُّمُومُ الْقَاتِلَةِ وَ تَطِيرُ الدفلي وَ غَيْرِ ذَلِكَ مِنْ صُنُوفِ السَّمِّ الْقَاتِلِ ، فَحَرَامُ أَكْلُهُ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 آن چیز هایی که برای انسان خوردن آن حلال است از چیز هایی که از زمین می روید سه صنف آن اغذیه هستند یک صنف از آن همه حبوبات از گندم، جو، برنج و نخود و غیر آن از حبوبات و آن چه از آن روغن می گیرند و غیر این دو هر دانه ای که برای انسان غذا باشد خوردن آن حلال است و هر چه موجب ضرر بدن می شود و قدرت بدنت را تحلیل می برد خوردنش حرام است الّا در حال</w:t>
      </w:r>
    </w:p>
    <w:p>
      <w:pPr>
        <w:pStyle w:val="BookText"/>
        <w:rPr/>
      </w:pPr>
      <w:r>
        <w:rPr>
          <w:rFonts w:ascii="IRNazanin" w:hAnsi="IRNazanin" w:eastAsia="IRNazanin"/>
          <w:color w:val="111111"/>
          <w:sz w:val="28"/>
          <w:sz w:val="28"/>
          <w:szCs w:val="28"/>
          <w:rtl w:val="true"/>
          <w:lang w:bidi="fa-IR"/>
        </w:rPr>
        <w:t>ضرورت امّا صنف دوم تمام میوه ها که موجب منفعت و قوت بدن است خوردنش حلال است امّا اگر موجب ضرر باشد خوردن آن حرام است امّا صنف سوم همه حبوبات و سبزیجات و هر چه از حبوبات می روید و منافعی دارد برای انسان اکل آن حلال است و آن چه از حبوبات باعث ضرر به بدن شود مثل حبوباتی که در آن سم کشنده است مانند خر زهره و غیر این موارد اکل آن حرام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مكاسب مفصل بحث کردیم </w:t>
      </w:r>
      <w:r>
        <w:rPr>
          <w:rStyle w:val="FootnoteAnchor"/>
          <w:rtl w:val="true"/>
        </w:rPr>
        <w:footnoteReference w:id="95"/>
      </w:r>
      <w:r>
        <w:rPr>
          <w:rFonts w:ascii="IRNazanin" w:hAnsi="IRNazanin" w:eastAsia="IRNazanin"/>
          <w:color w:val="111111"/>
          <w:sz w:val="28"/>
          <w:sz w:val="28"/>
          <w:szCs w:val="28"/>
          <w:rtl w:val="true"/>
          <w:lang w:bidi="fa-IR"/>
        </w:rPr>
        <w:t>و ما قبول نکردیم متن فوق اصلاً روایت باشد</w:t>
      </w:r>
      <w:r>
        <w:rPr>
          <w:rFonts w:eastAsia="IRNazanin" w:cs="IRNazanin"/>
          <w:color w:val="111111"/>
          <w:sz w:val="28"/>
          <w:szCs w:val="28"/>
          <w:rtl w:val="true"/>
          <w:lang w:bidi="fa-IR"/>
        </w:rPr>
        <w:t xml:space="preserve">. </w:t>
      </w:r>
      <w:bookmarkStart w:id="204" w:name="pg9135_79604"/>
    </w:p>
    <w:p>
      <w:pPr>
        <w:pStyle w:val="Heading3"/>
        <w:numPr>
          <w:ilvl w:val="2"/>
          <w:numId w:val="1"/>
        </w:numPr>
        <w:rPr/>
      </w:pPr>
      <w:bookmarkStart w:id="205" w:name="__RefHeading___Toc3219611_2870459653"/>
      <w:bookmarkStart w:id="206" w:name="_Toc83"/>
      <w:bookmarkEnd w:id="204"/>
      <w:bookmarkEnd w:id="205"/>
      <w:r>
        <w:rPr>
          <w:rtl w:val="true"/>
        </w:rPr>
        <w:t>روایت بیست و سوم</w:t>
      </w:r>
      <w:bookmarkEnd w:id="206"/>
    </w:p>
    <w:p>
      <w:pPr>
        <w:pStyle w:val="BookText"/>
        <w:rPr/>
      </w:pPr>
      <w:r>
        <w:rPr>
          <w:rFonts w:ascii="Amiri" w:hAnsi="Amiri" w:eastAsia="Amiri" w:cs="Amiri"/>
          <w:color w:val="111111"/>
          <w:sz w:val="28"/>
          <w:sz w:val="28"/>
          <w:szCs w:val="28"/>
          <w:rtl w:val="true"/>
          <w:lang w:bidi="ar-SA"/>
        </w:rPr>
        <w:t xml:space="preserve">رَوَى التِّرْمِذِيِّ عَنْ رَسُولِ اللَّهِ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ضَارَّ مُؤْمِناً أَوْ مُكِرَ بِهِ﴾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به دور است کسی که به مؤمنی ضرر بزند یا او را بفریبد</w:t>
      </w:r>
      <w:r>
        <w:rPr>
          <w:rFonts w:eastAsia="IRNazanin" w:cs="IRNazanin"/>
          <w:color w:val="111111"/>
          <w:sz w:val="28"/>
          <w:szCs w:val="28"/>
          <w:rtl w:val="true"/>
          <w:lang w:bidi="fa-IR"/>
        </w:rPr>
        <w:t>.</w:t>
      </w:r>
    </w:p>
    <w:p>
      <w:pPr>
        <w:pStyle w:val="Heading3"/>
        <w:numPr>
          <w:ilvl w:val="2"/>
          <w:numId w:val="1"/>
        </w:numPr>
        <w:rPr/>
      </w:pPr>
      <w:bookmarkStart w:id="207" w:name="__RefHeading___Toc3219613_2870459653"/>
      <w:bookmarkStart w:id="208" w:name="_Toc84"/>
      <w:bookmarkEnd w:id="207"/>
      <w:r>
        <w:rPr>
          <w:rtl w:val="true"/>
        </w:rPr>
        <w:t>روایت بیست و چهارم</w:t>
      </w:r>
      <w:bookmarkEnd w:id="208"/>
    </w:p>
    <w:p>
      <w:pPr>
        <w:pStyle w:val="BookText"/>
        <w:rPr/>
      </w:pPr>
      <w:r>
        <w:rPr>
          <w:rFonts w:ascii="Amiri" w:hAnsi="Amiri" w:eastAsia="Amiri" w:cs="Amiri"/>
          <w:color w:val="111111"/>
          <w:sz w:val="28"/>
          <w:sz w:val="28"/>
          <w:szCs w:val="28"/>
          <w:rtl w:val="true"/>
          <w:lang w:bidi="ar-SA"/>
        </w:rPr>
        <w:t xml:space="preserve">رَوَى ابْنُ ماجه وَ أَبِي دَاوُدَ عَنْ أَبِي صَرْمَةَ صَاحِبُ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ضَارَّ أَخَّرَ اللَّهُ بِهِ وَ مَنَّ شَاقَّ شَاقَّ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کس به دیگران ضرر بزند خدا به او ضرر می زند و هر کس بر دیگران سخت بگیرد خداوند بر او سخت می گیرد</w:t>
      </w:r>
      <w:r>
        <w:rPr>
          <w:rFonts w:eastAsia="IRNazanin" w:cs="IRNazanin"/>
          <w:color w:val="111111"/>
          <w:sz w:val="28"/>
          <w:szCs w:val="28"/>
          <w:rtl w:val="true"/>
          <w:lang w:bidi="fa-IR"/>
        </w:rPr>
        <w:t>.</w:t>
      </w:r>
    </w:p>
    <w:p>
      <w:pPr>
        <w:pStyle w:val="Heading3"/>
        <w:numPr>
          <w:ilvl w:val="2"/>
          <w:numId w:val="1"/>
        </w:numPr>
        <w:rPr/>
      </w:pPr>
      <w:bookmarkStart w:id="209" w:name="__RefHeading___Toc3219615_2870459653"/>
      <w:bookmarkStart w:id="210" w:name="_Toc85"/>
      <w:bookmarkEnd w:id="209"/>
      <w:r>
        <w:rPr>
          <w:rtl w:val="true"/>
        </w:rPr>
        <w:t>روایت بیست و پنجم</w:t>
      </w:r>
      <w:bookmarkEnd w:id="210"/>
    </w:p>
    <w:p>
      <w:pPr>
        <w:pStyle w:val="BookText"/>
        <w:rPr/>
      </w:pPr>
      <w:r>
        <w:rPr>
          <w:rFonts w:ascii="Amiri" w:hAnsi="Amiri" w:eastAsia="Amiri" w:cs="Amiri"/>
          <w:color w:val="111111"/>
          <w:sz w:val="28"/>
          <w:sz w:val="28"/>
          <w:szCs w:val="28"/>
          <w:rtl w:val="true"/>
          <w:lang w:bidi="ar-SA"/>
        </w:rPr>
        <w:t xml:space="preserve">الصَّدُوقُ فِي عِقَابِ الْأَعْمَالِ عَنِ النَّبِيِّ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أَضَرَّ بإمرأة حَتَّى تفتدى مِنْهُ نَفْسَهَا لَمْ يَرْضَ اللَّهُ لَهُ بِعُقُوبَةٍ دُونَ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ضَارَّ مُسْلِماً فَلَيْسَ مِنَّا وَ لَسنامِنُهُ فِي الدُّنْيَا والآخره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وَ إِنَّ اللَّهَ وَ رَسُولَهُ بَرِيئَانِ مِمَّنْ أَضَرَّ بإمرأته حَتَّى تَخْتَلِعَ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هر کس همسرش را اذیت کند تا فدیه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اعم از این که مهر باشد یا پول دیگر اضافه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زن ضرر بزند خداوند به چیزی کم تر از آتش برای او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برادر مسلمانش ضرر بزند از ما نیست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رسولش بری هستند از کسی که به زنش ضرر بزند تا مهرش را ببخشد</w:t>
      </w:r>
      <w:r>
        <w:rPr>
          <w:rFonts w:eastAsia="IRNazanin" w:cs="IRNazanin"/>
          <w:color w:val="111111"/>
          <w:sz w:val="28"/>
          <w:szCs w:val="28"/>
          <w:rtl w:val="true"/>
          <w:lang w:bidi="fa-IR"/>
        </w:rPr>
        <w:t>.</w:t>
      </w:r>
    </w:p>
    <w:p>
      <w:pPr>
        <w:pStyle w:val="Heading3"/>
        <w:numPr>
          <w:ilvl w:val="2"/>
          <w:numId w:val="1"/>
        </w:numPr>
        <w:rPr/>
      </w:pPr>
      <w:bookmarkStart w:id="211" w:name="__RefHeading___Toc3219617_2870459653"/>
      <w:bookmarkStart w:id="212" w:name="_Toc86"/>
      <w:bookmarkEnd w:id="211"/>
      <w:r>
        <w:rPr>
          <w:rtl w:val="true"/>
        </w:rPr>
        <w:t>روایت بیست و ششم</w:t>
      </w:r>
      <w:bookmarkEnd w:id="2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نُعْمَانُ الْمِصْرِيُّ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اسْتَحَبَّ تِجَارَةَ الْبَزَّازِ وَ كْرِهِ تِجَارَةُ</w:t>
      </w:r>
      <w:bookmarkStart w:id="213" w:name="pg9135_79605"/>
    </w:p>
    <w:p>
      <w:pPr>
        <w:pStyle w:val="BookText"/>
        <w:rPr/>
      </w:pPr>
      <w:bookmarkEnd w:id="213"/>
      <w:r>
        <w:rPr>
          <w:rFonts w:ascii="Amiri" w:hAnsi="Amiri" w:eastAsia="Amiri" w:cs="Amiri"/>
          <w:color w:val="111111"/>
          <w:sz w:val="28"/>
          <w:sz w:val="28"/>
          <w:szCs w:val="28"/>
          <w:rtl w:val="true"/>
          <w:lang w:bidi="ar-SA"/>
        </w:rPr>
        <w:t>الْحِنْطَةُ وَ ذَلِكَ لِمَا فِيهِ مِنَ الْحُكْرَةِ وَ الْمَضَرَّةِ بِالْمُسْلِمِينَ فَإِنْ لَمْ يَكُنْ ذَلِكَ فَلَيْسَتْ تِجَارَةٍ بِهَا مُحَرَّمَةً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پارچه خوب است امّا تجارت گندم خوب نیست به جهت این که در آن احتمال احتکار و ضرر به مسلمین وجود دارد و اگر این احتکار و ضرر به مسلمین وجود نداشت تجارت گندم دیگر حرمتی نداشت</w:t>
      </w:r>
      <w:r>
        <w:rPr>
          <w:rFonts w:eastAsia="IRNazanin" w:cs="IRNazanin"/>
          <w:color w:val="111111"/>
          <w:sz w:val="28"/>
          <w:szCs w:val="28"/>
          <w:rtl w:val="true"/>
          <w:lang w:bidi="fa-IR"/>
        </w:rPr>
        <w:t>.</w:t>
      </w:r>
    </w:p>
    <w:p>
      <w:pPr>
        <w:pStyle w:val="Heading3"/>
        <w:numPr>
          <w:ilvl w:val="2"/>
          <w:numId w:val="1"/>
        </w:numPr>
        <w:rPr/>
      </w:pPr>
      <w:bookmarkStart w:id="214" w:name="__RefHeading___Toc3219619_2870459653"/>
      <w:bookmarkStart w:id="215" w:name="_Toc87"/>
      <w:bookmarkEnd w:id="214"/>
      <w:r>
        <w:rPr>
          <w:rtl w:val="true"/>
        </w:rPr>
        <w:t>روایت بیست و هفتم</w:t>
      </w:r>
      <w:bookmarkEnd w:id="215"/>
    </w:p>
    <w:p>
      <w:pPr>
        <w:pStyle w:val="BookText"/>
        <w:rPr/>
      </w:pPr>
      <w:r>
        <w:rPr>
          <w:rFonts w:ascii="Amiri" w:hAnsi="Amiri" w:eastAsia="Amiri" w:cs="Amiri"/>
          <w:color w:val="111111"/>
          <w:sz w:val="28"/>
          <w:sz w:val="28"/>
          <w:szCs w:val="28"/>
          <w:rtl w:val="true"/>
          <w:lang w:bidi="ar-SA"/>
        </w:rPr>
        <w:t xml:space="preserve">التِّرْمِذِيِّ فِي سُنَنِهِ عَنِ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ضَارَّ مُؤْمِناً أَوْ مُكِرَ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رحمت خداوند به دور است کسی که به مؤمنی ضرر بزند یا او را بفریبد</w:t>
      </w:r>
      <w:r>
        <w:rPr>
          <w:rFonts w:eastAsia="IRNazanin" w:cs="IRNazanin"/>
          <w:color w:val="111111"/>
          <w:sz w:val="28"/>
          <w:szCs w:val="28"/>
          <w:rtl w:val="true"/>
          <w:lang w:bidi="fa-IR"/>
        </w:rPr>
        <w:t>.</w:t>
      </w:r>
    </w:p>
    <w:p>
      <w:pPr>
        <w:pStyle w:val="Heading2"/>
        <w:numPr>
          <w:ilvl w:val="1"/>
          <w:numId w:val="1"/>
        </w:numPr>
        <w:rPr/>
      </w:pPr>
      <w:bookmarkStart w:id="216" w:name="__RefHeading___Toc3219621_2870459653"/>
      <w:bookmarkStart w:id="217" w:name="_Toc88"/>
      <w:bookmarkEnd w:id="216"/>
      <w:r>
        <w:rPr>
          <w:rtl w:val="true"/>
        </w:rPr>
        <w:t>استدلال به روایات</w:t>
      </w:r>
      <w:bookmarkEnd w:id="217"/>
    </w:p>
    <w:p>
      <w:pPr>
        <w:pStyle w:val="Heading3"/>
        <w:numPr>
          <w:ilvl w:val="2"/>
          <w:numId w:val="1"/>
        </w:numPr>
        <w:rPr/>
      </w:pPr>
      <w:bookmarkStart w:id="218" w:name="__RefHeading___Toc3219623_2870459653"/>
      <w:bookmarkStart w:id="219" w:name="_Toc8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روایات را از دو نظر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متن</w:t>
      </w:r>
    </w:p>
    <w:p>
      <w:pPr>
        <w:pStyle w:val="Heading3"/>
        <w:numPr>
          <w:ilvl w:val="2"/>
          <w:numId w:val="1"/>
        </w:numPr>
        <w:rPr/>
      </w:pPr>
      <w:bookmarkStart w:id="220" w:name="__RefHeading___Toc3219625_2870459653"/>
      <w:bookmarkStart w:id="221" w:name="_Toc90"/>
      <w:bookmarkEnd w:id="220"/>
      <w:r>
        <w:rPr>
          <w:rtl w:val="true"/>
        </w:rPr>
        <w:t>از نظر سند</w:t>
      </w:r>
      <w:bookmarkEnd w:id="221"/>
    </w:p>
    <w:p>
      <w:pPr>
        <w:pStyle w:val="BookText"/>
        <w:rPr/>
      </w:pPr>
      <w:r>
        <w:rPr>
          <w:rFonts w:ascii="IRNazanin" w:hAnsi="IRNazanin" w:eastAsia="IRNazanin"/>
          <w:color w:val="111111"/>
          <w:sz w:val="28"/>
          <w:sz w:val="28"/>
          <w:szCs w:val="28"/>
          <w:rtl w:val="true"/>
          <w:lang w:bidi="fa-IR"/>
        </w:rPr>
        <w:t xml:space="preserve">روایاتی که در بحث قاعده لاضرر ذکر شد از نظر سند بررسی شدند و به این نتیجه رسیدیم که بعضی از این روایات از نظر سند صحیح هستند، علاوه بر این ما در بحث قاعده لاضرر لزومی ندارد که به بررسی سند بپردازیم؛ چون از مجموع روایاتی که از عامّه و خاصّه ذکر شد علم و وثوق حاصل می شود که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صادر شده است</w:t>
      </w:r>
      <w:r>
        <w:rPr>
          <w:rFonts w:eastAsia="IRNazanin" w:cs="IRNazanin"/>
          <w:color w:val="111111"/>
          <w:sz w:val="28"/>
          <w:szCs w:val="28"/>
          <w:rtl w:val="true"/>
          <w:lang w:bidi="fa-IR"/>
        </w:rPr>
        <w:t>.</w:t>
      </w:r>
    </w:p>
    <w:p>
      <w:pPr>
        <w:pStyle w:val="Heading3"/>
        <w:numPr>
          <w:ilvl w:val="2"/>
          <w:numId w:val="1"/>
        </w:numPr>
        <w:rPr/>
      </w:pPr>
      <w:bookmarkStart w:id="222" w:name="__RefHeading___Toc3219627_2870459653"/>
      <w:bookmarkStart w:id="223" w:name="_Toc91"/>
      <w:bookmarkEnd w:id="222"/>
      <w:r>
        <w:rPr>
          <w:rtl w:val="true"/>
        </w:rPr>
        <w:t>از نظر متن</w:t>
      </w:r>
      <w:bookmarkEnd w:id="223"/>
    </w:p>
    <w:p>
      <w:pPr>
        <w:pStyle w:val="Heading4"/>
        <w:numPr>
          <w:ilvl w:val="3"/>
          <w:numId w:val="1"/>
        </w:numPr>
        <w:rPr/>
      </w:pPr>
      <w:bookmarkStart w:id="224" w:name="__RefHeading___Toc3219629_2870459653"/>
      <w:bookmarkStart w:id="225" w:name="_Toc9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سخن در این است که آیا لاضرر و لاضرار که در روایات آمده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یا خیر و آیا این تقیید ثابت می شود یا خیر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این تقیید یا عدم آن ثمره دارد؛ برای مثال شیخ اعظم انصاری </w:t>
      </w:r>
      <w:r>
        <w:rPr>
          <w:rStyle w:val="FootnoteAnchor"/>
          <w:rtl w:val="true"/>
        </w:rPr>
        <w:footnoteReference w:id="101"/>
      </w:r>
      <w:r>
        <w:rPr>
          <w:rFonts w:ascii="IRNazanin" w:hAnsi="IRNazanin" w:eastAsia="IRNazanin"/>
          <w:color w:val="111111"/>
          <w:sz w:val="28"/>
          <w:sz w:val="28"/>
          <w:szCs w:val="28"/>
          <w:rtl w:val="true"/>
          <w:lang w:bidi="fa-IR"/>
        </w:rPr>
        <w:t xml:space="preserve">رحمه اللّه علیه؛ </w:t>
      </w:r>
      <w:bookmarkStart w:id="226" w:name="pg9135_79606"/>
    </w:p>
    <w:p>
      <w:pPr>
        <w:pStyle w:val="BookText"/>
        <w:rPr/>
      </w:pPr>
      <w:bookmarkEnd w:id="226"/>
      <w:r>
        <w:rPr>
          <w:rFonts w:ascii="IRNazanin" w:hAnsi="IRNazanin" w:eastAsia="IRNazanin"/>
          <w:color w:val="111111"/>
          <w:sz w:val="28"/>
          <w:sz w:val="28"/>
          <w:szCs w:val="28"/>
          <w:rtl w:val="true"/>
          <w:lang w:bidi="fa-IR"/>
        </w:rPr>
        <w:t>از این تقیید استفاده می کند و آن را از جمله قرائنی برای اثبات نظریه خود در بحث قاعده لاضرر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لاضرر نفی حکم است از باب نفی سبب به لسان نفی مسبب و به خاطر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توانیم لاضرر و لاضرار را نهی بگیریم چون نهی احتیاج به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منظور شارع از لاضرر و لاضرار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ضرري وَ لاضراري فِي الْإِسْلَامِ</w:t>
      </w:r>
      <w:r>
        <w:rPr>
          <w:rFonts w:eastAsia="IRNazanin" w:cs="IRNazanin"/>
          <w:color w:val="111111"/>
          <w:sz w:val="28"/>
          <w:szCs w:val="28"/>
          <w:rtl w:val="true"/>
          <w:lang w:bidi="fa-IR"/>
        </w:rPr>
        <w:t>.</w:t>
      </w:r>
    </w:p>
    <w:p>
      <w:pPr>
        <w:pStyle w:val="Heading4"/>
        <w:numPr>
          <w:ilvl w:val="3"/>
          <w:numId w:val="1"/>
        </w:numPr>
        <w:rPr/>
      </w:pPr>
      <w:bookmarkStart w:id="227" w:name="__RefHeading___Toc3219631_2870459653"/>
      <w:bookmarkStart w:id="228" w:name="_Toc93"/>
      <w:bookmarkEnd w:id="227"/>
      <w:r>
        <w:rPr>
          <w:rtl w:val="true"/>
        </w:rPr>
        <w:t>بحث اول</w:t>
      </w:r>
      <w:r>
        <w:rPr>
          <w:rtl w:val="true"/>
        </w:rPr>
        <w:t xml:space="preserve">: </w:t>
      </w:r>
      <w:r>
        <w:rPr>
          <w:rtl w:val="true"/>
        </w:rPr>
        <w:t>قيد فِي الْإِسْلَامِ</w:t>
      </w:r>
      <w:bookmarkEnd w:id="228"/>
    </w:p>
    <w:p>
      <w:pPr>
        <w:pStyle w:val="Heading5"/>
        <w:numPr>
          <w:ilvl w:val="4"/>
          <w:numId w:val="1"/>
        </w:numPr>
        <w:rPr/>
      </w:pPr>
      <w:bookmarkStart w:id="229" w:name="__RefHeading___Toc3219633_2870459653"/>
      <w:bookmarkStart w:id="230" w:name="_Toc94"/>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 xml:space="preserve">عَلتَة شیخ صدوق رحمه اللّه علیه در یک روایت مرسل روایت را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فِي الْإِسْلَامِ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هم چنین این روایت در کتاب عَوَالِي اللآَّلِي </w:t>
      </w:r>
      <w:r>
        <w:rPr>
          <w:rStyle w:val="FootnoteAnchor"/>
          <w:rtl w:val="true"/>
        </w:rPr>
        <w:footnoteReference w:id="10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عامه نیز این روایت آمده است مجمع الزوائد </w:t>
      </w:r>
      <w:r>
        <w:rPr>
          <w:rStyle w:val="FootnoteAnchor"/>
          <w:rtl w:val="true"/>
        </w:rPr>
        <w:footnoteReference w:id="104"/>
      </w:r>
      <w:r>
        <w:rPr>
          <w:rFonts w:ascii="Amiri" w:hAnsi="Amiri" w:eastAsia="Amiri" w:cs="Amiri"/>
          <w:color w:val="111111"/>
          <w:sz w:val="28"/>
          <w:sz w:val="28"/>
          <w:szCs w:val="28"/>
          <w:rtl w:val="true"/>
          <w:lang w:bidi="ar-SA"/>
        </w:rPr>
        <w:t xml:space="preserve">، نصب الراية </w:t>
      </w:r>
      <w:r>
        <w:rPr>
          <w:rStyle w:val="FootnoteAnchor"/>
          <w:rtl w:val="true"/>
        </w:rPr>
        <w:footnoteReference w:id="105"/>
      </w:r>
      <w:r>
        <w:rPr>
          <w:rFonts w:ascii="IRNazanin" w:hAnsi="IRNazanin" w:eastAsia="IRNazanin"/>
          <w:color w:val="111111"/>
          <w:sz w:val="28"/>
          <w:sz w:val="28"/>
          <w:szCs w:val="28"/>
          <w:rtl w:val="true"/>
          <w:lang w:bidi="fa-IR"/>
        </w:rPr>
        <w:t xml:space="preserve">، طبرانی در معجم الأوسط </w:t>
      </w:r>
      <w:r>
        <w:rPr>
          <w:rStyle w:val="FootnoteAnchor"/>
          <w:rtl w:val="true"/>
        </w:rPr>
        <w:footnoteReference w:id="106"/>
      </w:r>
      <w:r>
        <w:rPr>
          <w:rFonts w:ascii="Amiri" w:hAnsi="Amiri" w:eastAsia="Amiri" w:cs="Amiri"/>
          <w:color w:val="111111"/>
          <w:sz w:val="28"/>
          <w:sz w:val="28"/>
          <w:szCs w:val="28"/>
          <w:rtl w:val="true"/>
          <w:lang w:bidi="ar-SA"/>
        </w:rPr>
        <w:t xml:space="preserve">، و سیوطی در کتاب اللمع فِى أَسْبَابِ وُرُودِ الْحَدِيثَ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روایاتی که در این کُتُب آمده است معلوم می شود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عامه موجود است و فرمایش شيخ الشريعة اصفهانی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ایشان در بحث قاعده لاضرر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های صحاح اهل سنت و مسانید شان وارد نشده است</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منظور ایشان صحاح و مسانید معتبر در نظر اهل سنّت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که منظور ایشان این نیست؛ ایشان می فرمایند که سیوطی هم که علّامه متبحر در حدیث است این روایت را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نكرده </w:t>
      </w:r>
    </w:p>
    <w:p>
      <w:pPr>
        <w:pStyle w:val="BookText"/>
        <w:rPr/>
      </w:pPr>
      <w:r>
        <w:rPr>
          <w:rFonts w:ascii="IRNazanin" w:hAnsi="IRNazanin" w:eastAsia="IRNazanin"/>
          <w:color w:val="111111"/>
          <w:sz w:val="28"/>
          <w:sz w:val="28"/>
          <w:szCs w:val="28"/>
          <w:rtl w:val="true"/>
          <w:lang w:bidi="fa-IR"/>
        </w:rPr>
        <w:t xml:space="preserve">است در حالی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او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کتب فقهی استدلالی شیعی این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 </w:t>
      </w:r>
      <w:r>
        <w:rPr>
          <w:rStyle w:val="FootnoteAnchor"/>
          <w:rtl w:val="true"/>
        </w:rPr>
        <w:footnoteReference w:id="110"/>
      </w:r>
      <w:r>
        <w:rPr>
          <w:rFonts w:ascii="IRNazanin" w:hAnsi="IRNazanin" w:eastAsia="IRNazanin"/>
          <w:color w:val="111111"/>
          <w:sz w:val="28"/>
          <w:sz w:val="28"/>
          <w:szCs w:val="28"/>
          <w:rtl w:val="true"/>
          <w:lang w:bidi="fa-IR"/>
        </w:rPr>
        <w:t xml:space="preserve">شیخ طوسی، مختلف </w:t>
      </w:r>
      <w:r>
        <w:rPr>
          <w:rStyle w:val="FootnoteAnchor"/>
          <w:rtl w:val="true"/>
        </w:rPr>
        <w:footnoteReference w:id="111"/>
      </w:r>
      <w:r>
        <w:rPr>
          <w:rFonts w:ascii="IRNazanin" w:hAnsi="IRNazanin" w:eastAsia="IRNazanin"/>
          <w:color w:val="111111"/>
          <w:sz w:val="28"/>
          <w:sz w:val="28"/>
          <w:szCs w:val="28"/>
          <w:rtl w:val="true"/>
          <w:lang w:bidi="fa-IR"/>
        </w:rPr>
        <w:t xml:space="preserve">علّامه، المهذب البارع </w:t>
      </w:r>
      <w:r>
        <w:rPr>
          <w:rStyle w:val="FootnoteAnchor"/>
          <w:rtl w:val="true"/>
        </w:rPr>
        <w:footnoteReference w:id="112"/>
      </w:r>
      <w:r>
        <w:rPr>
          <w:rFonts w:ascii="IRNazanin" w:hAnsi="IRNazanin" w:eastAsia="IRNazanin"/>
          <w:color w:val="111111"/>
          <w:sz w:val="28"/>
          <w:sz w:val="28"/>
          <w:szCs w:val="28"/>
          <w:rtl w:val="true"/>
          <w:lang w:bidi="fa-IR"/>
        </w:rPr>
        <w:t xml:space="preserve">ابن فهد حلّی، جامع المقاصد </w:t>
      </w:r>
      <w:r>
        <w:rPr>
          <w:rStyle w:val="FootnoteAnchor"/>
          <w:rtl w:val="true"/>
        </w:rPr>
        <w:footnoteReference w:id="113"/>
      </w:r>
      <w:r>
        <w:rPr>
          <w:rFonts w:ascii="IRNazanin" w:hAnsi="IRNazanin" w:eastAsia="IRNazanin"/>
          <w:color w:val="111111"/>
          <w:sz w:val="28"/>
          <w:sz w:val="28"/>
          <w:szCs w:val="28"/>
          <w:rtl w:val="true"/>
          <w:lang w:bidi="fa-IR"/>
        </w:rPr>
        <w:t xml:space="preserve">محقق کرکی، مجمع الفائدة </w:t>
      </w:r>
      <w:r>
        <w:rPr>
          <w:rStyle w:val="FootnoteAnchor"/>
          <w:rtl w:val="true"/>
        </w:rPr>
        <w:footnoteReference w:id="114"/>
      </w:r>
      <w:r>
        <w:rPr>
          <w:rFonts w:ascii="IRNazanin" w:hAnsi="IRNazanin" w:eastAsia="IRNazanin"/>
          <w:color w:val="111111"/>
          <w:sz w:val="28"/>
          <w:sz w:val="28"/>
          <w:szCs w:val="28"/>
          <w:rtl w:val="true"/>
          <w:lang w:bidi="fa-IR"/>
        </w:rPr>
        <w:t xml:space="preserve">مقدس اردبیلی، حدائق </w:t>
      </w:r>
      <w:r>
        <w:rPr>
          <w:rStyle w:val="FootnoteAnchor"/>
          <w:rtl w:val="true"/>
        </w:rPr>
        <w:footnoteReference w:id="115"/>
      </w:r>
      <w:r>
        <w:rPr>
          <w:rFonts w:ascii="IRNazanin" w:hAnsi="IRNazanin" w:eastAsia="IRNazanin"/>
          <w:color w:val="111111"/>
          <w:sz w:val="28"/>
          <w:sz w:val="28"/>
          <w:szCs w:val="28"/>
          <w:rtl w:val="true"/>
          <w:lang w:bidi="fa-IR"/>
        </w:rPr>
        <w:t xml:space="preserve">شیخ یوسف، و مکاسب </w:t>
      </w:r>
      <w:r>
        <w:rPr>
          <w:rStyle w:val="FootnoteAnchor"/>
          <w:rtl w:val="true"/>
        </w:rPr>
        <w:footnoteReference w:id="116"/>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استدلالی عامه هم این قید ذکر شده است الإقناع </w:t>
      </w:r>
      <w:r>
        <w:rPr>
          <w:rStyle w:val="FootnoteAnchor"/>
          <w:rtl w:val="true"/>
        </w:rPr>
        <w:footnoteReference w:id="117"/>
      </w:r>
      <w:r>
        <w:rPr>
          <w:rFonts w:ascii="IRNazanin" w:hAnsi="IRNazanin" w:eastAsia="IRNazanin"/>
          <w:color w:val="111111"/>
          <w:sz w:val="28"/>
          <w:sz w:val="28"/>
          <w:szCs w:val="28"/>
          <w:rtl w:val="true"/>
          <w:lang w:bidi="fa-IR"/>
        </w:rPr>
        <w:t xml:space="preserve">و مغنی المحتاج </w:t>
      </w:r>
      <w:r>
        <w:rPr>
          <w:rStyle w:val="FootnoteAnchor"/>
          <w:rtl w:val="true"/>
        </w:rPr>
        <w:footnoteReference w:id="118"/>
      </w:r>
      <w:r>
        <w:rPr>
          <w:rFonts w:ascii="IRNazanin" w:hAnsi="IRNazanin" w:eastAsia="IRNazanin"/>
          <w:color w:val="111111"/>
          <w:sz w:val="28"/>
          <w:sz w:val="28"/>
          <w:szCs w:val="28"/>
          <w:rtl w:val="true"/>
          <w:lang w:bidi="fa-IR"/>
        </w:rPr>
        <w:t xml:space="preserve">و مبسوط </w:t>
      </w:r>
      <w:r>
        <w:rPr>
          <w:rStyle w:val="FootnoteAnchor"/>
          <w:rtl w:val="true"/>
        </w:rPr>
        <w:footnoteReference w:id="119"/>
      </w:r>
      <w:r>
        <w:rPr>
          <w:rFonts w:ascii="IRNazanin" w:hAnsi="IRNazanin" w:eastAsia="IRNazanin"/>
          <w:color w:val="111111"/>
          <w:sz w:val="28"/>
          <w:sz w:val="28"/>
          <w:szCs w:val="28"/>
          <w:rtl w:val="true"/>
          <w:lang w:bidi="fa-IR"/>
        </w:rPr>
        <w:t xml:space="preserve">،سرخسی، بدائع الصنایع </w:t>
      </w:r>
      <w:r>
        <w:rPr>
          <w:rStyle w:val="FootnoteAnchor"/>
          <w:rtl w:val="true"/>
        </w:rPr>
        <w:footnoteReference w:id="120"/>
      </w:r>
      <w:r>
        <w:rPr>
          <w:rFonts w:ascii="IRNazanin" w:hAnsi="IRNazanin" w:eastAsia="IRNazanin"/>
          <w:color w:val="111111"/>
          <w:sz w:val="28"/>
          <w:sz w:val="28"/>
          <w:szCs w:val="28"/>
          <w:rtl w:val="true"/>
          <w:lang w:bidi="fa-IR"/>
        </w:rPr>
        <w:t xml:space="preserve">ابو بکر کاشانی، بحر الرائق </w:t>
      </w:r>
      <w:r>
        <w:rPr>
          <w:rStyle w:val="FootnoteAnchor"/>
          <w:rtl w:val="true"/>
        </w:rPr>
        <w:footnoteReference w:id="121"/>
      </w:r>
      <w:r>
        <w:rPr>
          <w:rFonts w:ascii="Amiri" w:hAnsi="Amiri" w:eastAsia="Amiri" w:cs="Amiri"/>
          <w:color w:val="111111"/>
          <w:sz w:val="28"/>
          <w:sz w:val="28"/>
          <w:szCs w:val="28"/>
          <w:rtl w:val="true"/>
          <w:lang w:bidi="ar-SA"/>
        </w:rPr>
        <w:t xml:space="preserve">ابن نجيم، الدر المختار </w:t>
      </w:r>
      <w:r>
        <w:rPr>
          <w:rStyle w:val="FootnoteAnchor"/>
          <w:rtl w:val="true"/>
        </w:rPr>
        <w:footnoteReference w:id="122"/>
      </w:r>
      <w:r>
        <w:rPr>
          <w:rFonts w:ascii="Amiri" w:hAnsi="Amiri" w:eastAsia="Amiri" w:cs="Amiri"/>
          <w:color w:val="111111"/>
          <w:sz w:val="28"/>
          <w:sz w:val="28"/>
          <w:szCs w:val="28"/>
          <w:rtl w:val="true"/>
          <w:lang w:bidi="ar-SA"/>
        </w:rPr>
        <w:t xml:space="preserve">وفقه السنّه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لغت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w:t>
      </w:r>
      <w:r>
        <w:rPr>
          <w:rStyle w:val="FootnoteAnchor"/>
          <w:rtl w:val="true"/>
        </w:rPr>
        <w:footnoteReference w:id="124"/>
      </w:r>
      <w:r>
        <w:rPr>
          <w:rFonts w:ascii="Amiri" w:hAnsi="Amiri" w:eastAsia="Amiri" w:cs="Amiri"/>
          <w:color w:val="111111"/>
          <w:sz w:val="28"/>
          <w:sz w:val="28"/>
          <w:szCs w:val="28"/>
          <w:rtl w:val="true"/>
          <w:lang w:bidi="ar-SA"/>
        </w:rPr>
        <w:t xml:space="preserve">ابن سلام، فروق اللّغوية </w:t>
      </w:r>
      <w:r>
        <w:rPr>
          <w:rStyle w:val="FootnoteAnchor"/>
          <w:rtl w:val="true"/>
        </w:rPr>
        <w:footnoteReference w:id="125"/>
      </w:r>
      <w:r>
        <w:rPr>
          <w:rFonts w:ascii="Amiri" w:hAnsi="Amiri" w:eastAsia="Amiri" w:cs="Amiri"/>
          <w:color w:val="111111"/>
          <w:sz w:val="28"/>
          <w:sz w:val="28"/>
          <w:szCs w:val="28"/>
          <w:rtl w:val="true"/>
          <w:lang w:bidi="ar-SA"/>
        </w:rPr>
        <w:t xml:space="preserve">ابن هلال، نهاية </w:t>
      </w:r>
      <w:r>
        <w:rPr>
          <w:rStyle w:val="FootnoteAnchor"/>
          <w:rtl w:val="true"/>
        </w:rPr>
        <w:footnoteReference w:id="126"/>
      </w:r>
      <w:r>
        <w:rPr>
          <w:rFonts w:ascii="IRNazanin" w:hAnsi="IRNazanin" w:eastAsia="IRNazanin"/>
          <w:color w:val="111111"/>
          <w:sz w:val="28"/>
          <w:sz w:val="28"/>
          <w:szCs w:val="28"/>
          <w:rtl w:val="true"/>
          <w:lang w:bidi="fa-IR"/>
        </w:rPr>
        <w:t xml:space="preserve">ابن اثیر، لسان العرب </w:t>
      </w:r>
      <w:r>
        <w:rPr>
          <w:rStyle w:val="FootnoteAnchor"/>
          <w:rtl w:val="true"/>
        </w:rPr>
        <w:footnoteReference w:id="127"/>
      </w:r>
      <w:r>
        <w:rPr>
          <w:rFonts w:ascii="Amiri" w:hAnsi="Amiri" w:eastAsia="Amiri" w:cs="Amiri"/>
          <w:color w:val="111111"/>
          <w:sz w:val="28"/>
          <w:sz w:val="28"/>
          <w:szCs w:val="28"/>
          <w:rtl w:val="true"/>
          <w:lang w:bidi="ar-SA"/>
        </w:rPr>
        <w:t xml:space="preserve">ابى منصور، مجمع البحرين </w:t>
      </w:r>
      <w:r>
        <w:rPr>
          <w:rStyle w:val="FootnoteAnchor"/>
          <w:rtl w:val="true"/>
        </w:rPr>
        <w:footnoteReference w:id="128"/>
      </w:r>
      <w:bookmarkStart w:id="231" w:name="pg9135_79608"/>
    </w:p>
    <w:p>
      <w:pPr>
        <w:pStyle w:val="BookText"/>
        <w:rPr/>
      </w:pPr>
      <w:bookmarkEnd w:id="231"/>
      <w:r>
        <w:rPr>
          <w:rFonts w:ascii="Amiri" w:hAnsi="Amiri" w:eastAsia="Amiri" w:cs="Amiri"/>
          <w:color w:val="111111"/>
          <w:sz w:val="28"/>
          <w:sz w:val="28"/>
          <w:szCs w:val="28"/>
          <w:rtl w:val="true"/>
          <w:lang w:bidi="ar-SA"/>
        </w:rPr>
        <w:t>طريحي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مطالبی که ذکر شد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شود؛ به دلیل این که كتب لغت و هم چنین کتب فقهی استدلالی چه امامی و چه عامه نمی شود به این کتب استدلال کرد؛ زیرا کتب روایی نیستند تا ما بتوانیم روایت از آن ها أخذ کنیم و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عامى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الۀ این که چون این روایات برای ما ثابت نیست نمی شود به آن ها استدلال کرد امّا روایاتی که در کتب شیعی و امامی آمده است دو روایت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کتاب عوالي اللآلي </w:t>
      </w:r>
      <w:r>
        <w:rPr>
          <w:rStyle w:val="FootnoteAnchor"/>
          <w:rtl w:val="true"/>
        </w:rPr>
        <w:footnoteReference w:id="129"/>
      </w:r>
      <w:r>
        <w:rPr>
          <w:rFonts w:ascii="IRNazanin" w:hAnsi="IRNazanin" w:eastAsia="IRNazanin"/>
          <w:color w:val="111111"/>
          <w:sz w:val="28"/>
          <w:sz w:val="28"/>
          <w:szCs w:val="28"/>
          <w:rtl w:val="true"/>
          <w:lang w:bidi="fa-IR"/>
        </w:rPr>
        <w:t>از ابن ابی جمهور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یوسف بحرانی که دأب او رد کتب روایی نیست، هم نویسنده را و هم کتاب ایشان را رد کرده است</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232" w:name="__RefHeading___Toc3219635_2870459653"/>
      <w:bookmarkStart w:id="233" w:name="_Toc95"/>
      <w:bookmarkEnd w:id="232"/>
      <w:r>
        <w:rPr>
          <w:rtl w:val="true"/>
        </w:rPr>
        <w:t>دوم</w:t>
      </w:r>
      <w:r>
        <w:rPr>
          <w:rtl w:val="true"/>
        </w:rPr>
        <w:t xml:space="preserve">: </w:t>
      </w:r>
      <w:r>
        <w:rPr>
          <w:rtl w:val="true"/>
        </w:rPr>
        <w:t>روایت صدوق در کتاب من لا يحضره الفقيه</w:t>
      </w:r>
      <w:r>
        <w:rPr>
          <w:rtl w:val="true"/>
        </w:rPr>
        <w:t>:</w:t>
      </w:r>
      <w:bookmarkEnd w:id="233"/>
    </w:p>
    <w:p>
      <w:pPr>
        <w:pStyle w:val="BookText"/>
        <w:rPr/>
      </w:pP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آیا با این یک روایيت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می شود یا خیر؟</w:t>
      </w:r>
    </w:p>
    <w:p>
      <w:pPr>
        <w:pStyle w:val="BookText"/>
        <w:rPr/>
      </w:pPr>
      <w:r>
        <w:rPr>
          <w:rFonts w:ascii="IRNazanin" w:hAnsi="IRNazanin" w:eastAsia="IRNazanin"/>
          <w:color w:val="111111"/>
          <w:sz w:val="28"/>
          <w:sz w:val="28"/>
          <w:szCs w:val="28"/>
          <w:rtl w:val="true"/>
          <w:lang w:bidi="fa-IR"/>
        </w:rPr>
        <w:t>امّا 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فقهاء فرق می گذارند در مرسلات صدوق رحمه اللّه علیه بین جایی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اعتبار ندارد و آن جایی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انتساب قطعی می دهد حکم صحیحه را دارد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 این دو نقل با هم متفاوت باشند پیش ما ثابت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این که شیخ صدوق رحمه اللّه علیه با قرائنی که داشته اند اطمینان به صدور </w:t>
      </w:r>
      <w:bookmarkStart w:id="234" w:name="pg9135_79609"/>
    </w:p>
    <w:p>
      <w:pPr>
        <w:pStyle w:val="BookText"/>
        <w:rPr/>
      </w:pPr>
      <w:bookmarkEnd w:id="234"/>
      <w:r>
        <w:rPr>
          <w:rFonts w:ascii="IRNazanin" w:hAnsi="IRNazanin" w:eastAsia="IRNazanin"/>
          <w:color w:val="111111"/>
          <w:sz w:val="28"/>
          <w:sz w:val="28"/>
          <w:szCs w:val="28"/>
          <w:rtl w:val="true"/>
          <w:lang w:bidi="fa-IR"/>
        </w:rPr>
        <w:t>این روایت پیدا کرده اند؛ امّا از کجا معلوم که اگر آن قرائن به ما می رسید ما هم به صدور روایت اطمینان پیدا می کردیم، شاید این قرائن را قبول نمی کردیم، پس روایت نزد ما مرسل می شود</w:t>
      </w:r>
      <w:r>
        <w:rPr>
          <w:rFonts w:eastAsia="IRNazanin" w:cs="IRNazanin"/>
          <w:color w:val="111111"/>
          <w:sz w:val="28"/>
          <w:szCs w:val="28"/>
          <w:rtl w:val="true"/>
          <w:lang w:bidi="fa-IR"/>
        </w:rPr>
        <w:t>.</w:t>
      </w:r>
    </w:p>
    <w:p>
      <w:pPr>
        <w:pStyle w:val="Heading5"/>
        <w:numPr>
          <w:ilvl w:val="4"/>
          <w:numId w:val="1"/>
        </w:numPr>
        <w:rPr/>
      </w:pPr>
      <w:bookmarkStart w:id="235" w:name="__RefHeading___Toc3219637_2870459653"/>
      <w:bookmarkStart w:id="236" w:name="_Toc96"/>
      <w:bookmarkEnd w:id="235"/>
      <w:r>
        <w:rPr>
          <w:rtl w:val="true"/>
        </w:rPr>
        <w:t xml:space="preserve">نظر ما در مورد قيد </w:t>
      </w:r>
      <w:r>
        <w:rPr>
          <w:rtl w:val="true"/>
        </w:rPr>
        <w:t>«</w:t>
      </w:r>
      <w:r>
        <w:rPr>
          <w:rtl w:val="true"/>
        </w:rPr>
        <w:t>فِي الْإِسْلَامِ</w:t>
      </w:r>
      <w:r>
        <w:rPr>
          <w:rtl w:val="true"/>
        </w:rPr>
        <w:t xml:space="preserve">» </w:t>
      </w:r>
      <w:r>
        <w:rPr>
          <w:rtl w:val="true"/>
        </w:rPr>
        <w:t>و دفع يک اتهام از شیخ صدوق رحمه اللّه علیه</w:t>
      </w:r>
      <w:bookmarkEnd w:id="236"/>
    </w:p>
    <w:p>
      <w:pPr>
        <w:pStyle w:val="BookText"/>
        <w:rPr/>
      </w:pPr>
      <w:r>
        <w:rPr>
          <w:rFonts w:ascii="IRNazanin" w:hAnsi="IRNazanin" w:eastAsia="IRNazanin"/>
          <w:color w:val="111111"/>
          <w:sz w:val="28"/>
          <w:sz w:val="28"/>
          <w:szCs w:val="28"/>
          <w:rtl w:val="true"/>
          <w:lang w:bidi="fa-IR"/>
        </w:rPr>
        <w:t>جماعتی به شدّت معترض شیخ صدوق رحمه اللّه علیه هستند که ایشان روایات را از روی ذوق و سلیقه خود تصحیح می کند، تا آن جا که می توان گفت ایشان تصرف در روایت می کند شاهد بر این مدعا، زیارت جامعه صدوق رحمه اللّه علیه این مدعا زیارت جامعه صدوق است که وقتی با زیارات دیگر مقایسه می کنیم، می بینیم که شیخ صدوق رحمه اللّه علیه بسیاری از کلمات را انداخته است و نمی شود حمل بر سهو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جهت ثابت نمی شود که متن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نقل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لفظی که همان الفاظی را که راوی شنیده بعینه نقل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به معنا و مضمون روایت است در این نقل، راوی مقید نیست که عین الفاظی را که از معصوم شنیده نقل کند؛ بلکه مضمون و معنا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راوی سؤال کرده است که ما الفاظ شما را فراموش می کنیم آیا می توانیم نقل به مضمون و معنا کنیم و اهل بیت علیهم السلام اجازه داده اند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شاید شیخ صدوق رحمه اللّه علیه حمل الفاظ را بعینه ذکر نکرده اند و روایت را نقل به مضمون و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صدوق رحمه اللّه علیه دیده است کسی که صاحب قانون و تشریع است و را حکمی را تشریع می کند، صحیح است که شما بگویید این حکم در قانون و شرع وجود دارد و چون شارع این قاعده را در شریعت اخذ کرده، شیخ صدوق رحمه اللّه علیه یک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 یعنی شارع جعل ضرر و ضرار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 تصرفات شیخ صدوق نقل به معنا باشد، اشکالی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روایات اشباه و نظائری داریم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Style w:val="FootnoteAnchor"/>
          <w:rtl w:val="true"/>
        </w:rPr>
        <w:footnoteReference w:id="132"/>
      </w:r>
      <w:r>
        <w:rPr>
          <w:rFonts w:ascii="Amiri" w:hAnsi="Amiri" w:eastAsia="Amiri" w:cs="Amiri"/>
          <w:color w:val="111111"/>
          <w:sz w:val="28"/>
          <w:sz w:val="28"/>
          <w:szCs w:val="28"/>
          <w:rtl w:val="true"/>
          <w:lang w:bidi="ar-SA"/>
        </w:rPr>
        <w:t xml:space="preserve">، لَا </w:t>
      </w:r>
    </w:p>
    <w:p>
      <w:pPr>
        <w:pStyle w:val="BookText"/>
        <w:rPr/>
      </w:pPr>
      <w:r>
        <w:rPr>
          <w:rFonts w:ascii="Amiri" w:hAnsi="Amiri" w:eastAsia="Amiri" w:cs="Amiri"/>
          <w:color w:val="111111"/>
          <w:sz w:val="28"/>
          <w:sz w:val="28"/>
          <w:szCs w:val="28"/>
          <w:rtl w:val="true"/>
          <w:lang w:bidi="ar-SA"/>
        </w:rPr>
        <w:t xml:space="preserve">مُناجَشة فِي الْإِسْلَامِ </w:t>
      </w:r>
      <w:r>
        <w:rPr>
          <w:rStyle w:val="FootnoteAnchor"/>
          <w:rtl w:val="true"/>
        </w:rPr>
        <w:footnoteReference w:id="133"/>
      </w:r>
      <w:r>
        <w:rPr>
          <w:rFonts w:ascii="Amiri" w:hAnsi="Amiri" w:eastAsia="Amiri" w:cs="Amiri"/>
          <w:color w:val="111111"/>
          <w:sz w:val="28"/>
          <w:sz w:val="28"/>
          <w:szCs w:val="28"/>
          <w:rtl w:val="true"/>
          <w:lang w:bidi="ar-SA"/>
        </w:rPr>
        <w:t>، لا إِخْصَاءِ فِي الْإِسْلَامِ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قیمت جنسی که قصد فروش آن را ندارد به منظور آن که آن جنس در بازار 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اخته کردن</w:t>
      </w:r>
    </w:p>
    <w:p>
      <w:pPr>
        <w:pStyle w:val="BookText"/>
        <w:rPr/>
      </w:pPr>
      <w:r>
        <w:rPr>
          <w:rFonts w:ascii="IRNazanin" w:hAnsi="IRNazanin" w:eastAsia="IRNazanin"/>
          <w:color w:val="111111"/>
          <w:sz w:val="28"/>
          <w:sz w:val="28"/>
          <w:szCs w:val="28"/>
          <w:rtl w:val="true"/>
          <w:lang w:bidi="fa-IR"/>
        </w:rPr>
        <w:t xml:space="preserve">شاید شیخ صدوق رحمه اللّه علیه به خاطر این روایات مشابه در ذهن ایشان، از روی سهو گمان کرده اند این روایت هم مانند روایات فوق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نگوییم که اصل عدم غفلت راوی است؛ اصل عدم غفلت جایی جاری می شود که اشباه و نظائری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ظرف و قید قرار بگیرد برای ضرر و ضرار صحیح نیست، مگر این که ما تقدیری در نظر بگیریم تا معنا صحیح شود؛ زیرا می بینیم این همه ضرر ظاهراً در اسلام وجود دارد؛ مثلاً به قول شیخ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ضرري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ما اصلی داریم به نام اصل عدم تقدیر و زمانی که این اصل را در این جا جاری کنیم، نتیجه می گیریم که 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روایات به این مطلب پی می بریم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روایت مستقل نیامده است و ذیل یک واقعه و جریانی است مانند داستان شفعه سمرة بن جندب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اصلاً لاضرر و لاضرار مستقل نداریم چه برسد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در آن ها لاضرر و لاضرار به تنهایی آمده و ذیل یک داستانی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مُستَلّ است؛ یعنی یک تکّه انتخاب شده از روایات است</w:t>
      </w:r>
      <w:r>
        <w:rPr>
          <w:rFonts w:eastAsia="IRNazanin" w:cs="IRNazanin"/>
          <w:color w:val="111111"/>
          <w:sz w:val="28"/>
          <w:szCs w:val="28"/>
          <w:rtl w:val="true"/>
          <w:lang w:bidi="fa-IR"/>
        </w:rPr>
        <w:t xml:space="preserve">. </w:t>
      </w:r>
      <w:bookmarkStart w:id="237" w:name="pg9135_79611"/>
    </w:p>
    <w:p>
      <w:pPr>
        <w:pStyle w:val="BookText"/>
        <w:rPr/>
      </w:pPr>
      <w:bookmarkEnd w:id="237"/>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صدوق رحمه اللّه علیه را اگر در مَنْ لَا يَحْضُرُ ببینیم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 أَنَّمَا حَرَّمَ عَلَى الْكُفَّارِ الْمِيرَاثَ عُقُوبَةً لَهُمْ بِكُفْرِهِمْ كَمَا حَرَّمَ عَلَى الْقَاتِلِ عُقُوبَةً لِقَتْلِهِ فَأَمَّا الْمُسْلِمُ فَلِأَيِّ جُرْمٍ وَ عُقُوبَةٍ يُحْرَمُ الْمِيرَاثَ وَ كَيْفَ صَارَ الْإِسْلَامُ يَزِيدُ شَرّاً مَعَ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يَزِيدُ وَ لَا يَنْقُصُ وَ مَعَ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فِي الْإِسْلَامِ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همانا خداوند عَزَّ وَ جَلَّ و حرام کرده است بر کفّار میراث را به جهت عقوبت بر آن ها به سبب کفر شان همان طور که حرام کرده است میراث را بر قاتل به جهت عقوبت بر او به سبب قتلش امّا اگر مورث کافر باشد و وارث مسلمان شود او فقط ارث می برد و به چه جرمی و عقوبتی مسلمان محروم از میراث شود و چگونه اسلام به زیان مسلمان باشد با وجود این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اضافه می شود و باعث نقصان نمی شود و با وجود قول رسول خدا صلی اللّه علیه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ضراری در اسلام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عبارت فوق می فهمیم که این جا شیخ صدوق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به معنا می کنند و دنباله عبارت قبل می آورند؛ بنا بر اين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نمی شود و این اتهام هم از ایشان دفع می شود</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3219639_2870459653"/>
      <w:bookmarkStart w:id="239" w:name="_Toc97"/>
      <w:bookmarkEnd w:id="238"/>
      <w:r>
        <w:rPr>
          <w:rtl w:val="true"/>
        </w:rPr>
        <w:t>بحث دوّم قيد عَلِيِّ مُؤْمِنُ</w:t>
      </w:r>
      <w:bookmarkEnd w:id="239"/>
    </w:p>
    <w:p>
      <w:pPr>
        <w:pStyle w:val="BookText"/>
        <w:rPr/>
      </w:pPr>
      <w:r>
        <w:rPr>
          <w:rFonts w:ascii="Amiri" w:hAnsi="Amiri" w:eastAsia="Amiri" w:cs="Amiri"/>
          <w:color w:val="111111"/>
          <w:sz w:val="28"/>
          <w:sz w:val="28"/>
          <w:szCs w:val="28"/>
          <w:rtl w:val="true"/>
          <w:lang w:bidi="ar-SA"/>
        </w:rPr>
        <w:t xml:space="preserve">آیا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روایات استفاده می شود؟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روایتی که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روایتی است که مرحوم کلینی در کافی شریف </w:t>
      </w:r>
      <w:r>
        <w:rPr>
          <w:rStyle w:val="FootnoteAnchor"/>
          <w:rtl w:val="true"/>
        </w:rPr>
        <w:footnoteReference w:id="136"/>
      </w:r>
      <w:r>
        <w:rPr>
          <w:rFonts w:ascii="Amiri" w:hAnsi="Amiri" w:eastAsia="Amiri" w:cs="Amiri"/>
          <w:color w:val="111111"/>
          <w:sz w:val="28"/>
          <w:sz w:val="28"/>
          <w:szCs w:val="28"/>
          <w:rtl w:val="true"/>
          <w:lang w:bidi="ar-SA"/>
        </w:rPr>
        <w:t xml:space="preserve">در داستان سمرة بن جندب نقل می کند که ما در بحث بررسی سند آن را برخلاف شیخ انصاری رحمه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دانستيم؛ زیرا روایت ضعیف می شود به بَعْضُ أَصْحَابِنَا</w:t>
      </w:r>
      <w:r>
        <w:rPr>
          <w:rFonts w:eastAsia="Amiri" w:cs="Amiri" w:ascii="Amiri" w:hAnsi="Amiri"/>
          <w:color w:val="111111"/>
          <w:sz w:val="28"/>
          <w:szCs w:val="28"/>
          <w:rtl w:val="true"/>
          <w:lang w:bidi="ar-SA"/>
        </w:rPr>
        <w:t xml:space="preserve">. </w:t>
      </w:r>
      <w:bookmarkStart w:id="240" w:name="pg9135_79612"/>
    </w:p>
    <w:p>
      <w:pPr>
        <w:pStyle w:val="BookText"/>
        <w:rPr/>
      </w:pPr>
      <w:bookmarkEnd w:id="240"/>
      <w:r>
        <w:rPr>
          <w:rFonts w:ascii="Amiri" w:hAnsi="Amiri" w:eastAsia="Amiri" w:cs="Amiri"/>
          <w:color w:val="111111"/>
          <w:sz w:val="28"/>
          <w:sz w:val="28"/>
          <w:szCs w:val="28"/>
          <w:rtl w:val="true"/>
          <w:lang w:bidi="ar-SA"/>
        </w:rPr>
        <w:t xml:space="preserve">در آخر این روایت دارد؛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 لَا ضَرَرَ وَ لَا ضِرَارَ عَلَى مُؤْمِنٍ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می کنیم به اصل عدم زیاده به این معنا که اگر زیادتی در روایتی بود که در روایات دیگر آن زیادتی نبود اصل آن است که آن کلمه و زیادتی اضافه نشده است؛ زیرا در غالب موارد راویان چیزی را به روایت اضافه نمی کنند، بلکه امکان دارد کلمه ای بیافتد نه این که اضافه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جا بگوییم اصل این است که این جا به روایت اضافه نشده، بلکه از روایات دیگر ساقط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آن چه که در مورد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بعینه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وقتی جاری می شود که احتمال غفلت وجود نداشته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غفلت وجود دارد</w:t>
      </w:r>
      <w:r>
        <w:rPr>
          <w:rFonts w:eastAsia="IRNazanin" w:cs="IRNazanin"/>
          <w:color w:val="111111"/>
          <w:sz w:val="28"/>
          <w:szCs w:val="28"/>
          <w:rtl w:val="true"/>
          <w:lang w:bidi="fa-IR"/>
        </w:rPr>
        <w:t>.</w:t>
      </w:r>
    </w:p>
    <w:p>
      <w:pPr>
        <w:pStyle w:val="Heading4"/>
        <w:numPr>
          <w:ilvl w:val="3"/>
          <w:numId w:val="1"/>
        </w:numPr>
        <w:rPr/>
      </w:pPr>
      <w:bookmarkStart w:id="241" w:name="__RefHeading___Toc3219641_2870459653"/>
      <w:bookmarkStart w:id="242" w:name="_Toc98"/>
      <w:bookmarkEnd w:id="241"/>
      <w:r>
        <w:rPr>
          <w:rtl w:val="true"/>
        </w:rPr>
        <w:t>بحث سوّم</w:t>
      </w:r>
      <w:r>
        <w:rPr>
          <w:rtl w:val="true"/>
        </w:rPr>
        <w:t xml:space="preserve">: </w:t>
      </w:r>
      <w:r>
        <w:rPr>
          <w:rtl w:val="true"/>
        </w:rPr>
        <w:t>آیا لاضرر و لاضرار یک جملهٔ مستقل است؟</w:t>
      </w:r>
      <w:bookmarkEnd w:id="242"/>
    </w:p>
    <w:p>
      <w:pPr>
        <w:pStyle w:val="Heading5"/>
        <w:numPr>
          <w:ilvl w:val="4"/>
          <w:numId w:val="1"/>
        </w:numPr>
        <w:rPr/>
      </w:pPr>
      <w:bookmarkStart w:id="243" w:name="__RefHeading___Toc3219643_2870459653"/>
      <w:bookmarkStart w:id="244" w:name="_Toc9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آیا از بررسی روایات لاضرر می توان نتیجه گرفت که لاضرر و لاضرار به عنوان یک جمله مستقل در روایات ذکر شده است، یا این که در ضمن و مزیلاً به احادیث دیگر ذکر شده است، یعنی ذیل بعضی احادیث مانند حديث سمرة و 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ذکر شده است و پیامبر صلی اللّه علیه و آله و سلم و حکمی را فرموده اند، سپس حكم خود را تعلیل فرموده اند به لاضرر و لاضرار</w:t>
      </w:r>
      <w:r>
        <w:rPr>
          <w:rFonts w:eastAsia="IRNazanin" w:cs="IRNazanin"/>
          <w:color w:val="111111"/>
          <w:sz w:val="28"/>
          <w:szCs w:val="28"/>
          <w:rtl w:val="true"/>
          <w:lang w:bidi="fa-IR"/>
        </w:rPr>
        <w:t>.</w:t>
      </w:r>
    </w:p>
    <w:p>
      <w:pPr>
        <w:pStyle w:val="Heading5"/>
        <w:numPr>
          <w:ilvl w:val="4"/>
          <w:numId w:val="1"/>
        </w:numPr>
        <w:rPr/>
      </w:pPr>
      <w:bookmarkStart w:id="245" w:name="__RefHeading___Toc3219645_2870459653"/>
      <w:bookmarkStart w:id="246" w:name="_Toc100"/>
      <w:bookmarkEnd w:id="245"/>
      <w:r>
        <w:rPr>
          <w:rtl w:val="true"/>
        </w:rPr>
        <w:t>روایات عامه</w:t>
      </w:r>
      <w:bookmarkEnd w:id="2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طایفه ثانیه که نصّ قاعده بودند بدون تطبیق بر مورد خاص که بیشتر از روایات عامه بودند مانند سنن ابن ماجه </w:t>
      </w:r>
      <w:r>
        <w:rPr>
          <w:rStyle w:val="FootnoteAnchor"/>
          <w:rtl w:val="true"/>
        </w:rPr>
        <w:footnoteReference w:id="137"/>
      </w:r>
      <w:r>
        <w:rPr>
          <w:rFonts w:ascii="IRNazanin" w:hAnsi="IRNazanin" w:eastAsia="IRNazanin"/>
          <w:color w:val="111111"/>
          <w:sz w:val="28"/>
          <w:sz w:val="28"/>
          <w:szCs w:val="28"/>
          <w:rtl w:val="true"/>
          <w:lang w:bidi="fa-IR"/>
        </w:rPr>
        <w:t xml:space="preserve">، حاکم نیشابوری در مستدرک </w:t>
      </w:r>
      <w:r>
        <w:rPr>
          <w:rStyle w:val="FootnoteAnchor"/>
          <w:rtl w:val="true"/>
        </w:rPr>
        <w:footnoteReference w:id="138"/>
      </w:r>
      <w:r>
        <w:rPr>
          <w:rFonts w:ascii="IRNazanin" w:hAnsi="IRNazanin" w:eastAsia="IRNazanin"/>
          <w:color w:val="111111"/>
          <w:sz w:val="28"/>
          <w:sz w:val="28"/>
          <w:szCs w:val="28"/>
          <w:rtl w:val="true"/>
          <w:lang w:bidi="fa-IR"/>
        </w:rPr>
        <w:t xml:space="preserve">، </w:t>
      </w:r>
      <w:bookmarkStart w:id="247" w:name="pg9135_79613"/>
    </w:p>
    <w:p>
      <w:pPr>
        <w:pStyle w:val="BookText"/>
        <w:rPr/>
      </w:pPr>
      <w:bookmarkEnd w:id="247"/>
      <w:r>
        <w:rPr>
          <w:rFonts w:ascii="IRNazanin" w:hAnsi="IRNazanin" w:eastAsia="IRNazanin"/>
          <w:color w:val="111111"/>
          <w:sz w:val="28"/>
          <w:sz w:val="28"/>
          <w:szCs w:val="28"/>
          <w:rtl w:val="true"/>
          <w:lang w:bidi="fa-IR"/>
        </w:rPr>
        <w:t xml:space="preserve">بیهقی در سنن کبری </w:t>
      </w:r>
      <w:r>
        <w:rPr>
          <w:rStyle w:val="FootnoteAnchor"/>
          <w:rtl w:val="true"/>
        </w:rPr>
        <w:footnoteReference w:id="139"/>
      </w:r>
      <w:r>
        <w:rPr>
          <w:rFonts w:ascii="IRNazanin" w:hAnsi="IRNazanin" w:eastAsia="IRNazanin"/>
          <w:color w:val="111111"/>
          <w:sz w:val="28"/>
          <w:sz w:val="28"/>
          <w:szCs w:val="28"/>
          <w:rtl w:val="true"/>
          <w:lang w:bidi="fa-IR"/>
        </w:rPr>
        <w:t xml:space="preserve">، طبرانی در معجم اوسط </w:t>
      </w:r>
      <w:r>
        <w:rPr>
          <w:rStyle w:val="FootnoteAnchor"/>
          <w:rtl w:val="true"/>
        </w:rPr>
        <w:footnoteReference w:id="140"/>
      </w:r>
      <w:r>
        <w:rPr>
          <w:rFonts w:ascii="IRNazanin" w:hAnsi="IRNazanin" w:eastAsia="IRNazanin"/>
          <w:color w:val="111111"/>
          <w:sz w:val="28"/>
          <w:sz w:val="28"/>
          <w:szCs w:val="28"/>
          <w:rtl w:val="true"/>
          <w:lang w:bidi="fa-IR"/>
        </w:rPr>
        <w:t xml:space="preserve">هیثمی در مجمع الزوائد </w:t>
      </w:r>
      <w:r>
        <w:rPr>
          <w:rStyle w:val="FootnoteAnchor"/>
          <w:rtl w:val="true"/>
        </w:rPr>
        <w:footnoteReference w:id="141"/>
      </w:r>
      <w:r>
        <w:rPr>
          <w:rFonts w:ascii="IRNazanin" w:hAnsi="IRNazanin" w:eastAsia="IRNazanin"/>
          <w:color w:val="111111"/>
          <w:sz w:val="28"/>
          <w:sz w:val="28"/>
          <w:szCs w:val="28"/>
          <w:rtl w:val="true"/>
          <w:lang w:bidi="fa-IR"/>
        </w:rPr>
        <w:t>، این قاعده مستقل وارد شده است</w:t>
      </w:r>
    </w:p>
    <w:p>
      <w:pPr>
        <w:pStyle w:val="BookText"/>
        <w:rPr/>
      </w:pPr>
      <w:r>
        <w:rPr>
          <w:rFonts w:ascii="IRNazanin" w:hAnsi="IRNazanin" w:eastAsia="IRNazanin"/>
          <w:color w:val="111111"/>
          <w:sz w:val="28"/>
          <w:sz w:val="28"/>
          <w:szCs w:val="28"/>
          <w:rtl w:val="true"/>
          <w:lang w:bidi="fa-IR"/>
        </w:rPr>
        <w:t>در جواب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اهل سنت اعتبار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 واقعه را حذف کرده باشند مانند قضیه سمرة بن جندب چون این شخص جانشین ابن زیاد است و برای موجّه جلوه دادن چهره وی قضیه را حذف کردند و اصل قاعده را آورده اند</w:t>
      </w:r>
      <w:r>
        <w:rPr>
          <w:rFonts w:eastAsia="IRNazanin" w:cs="IRNazanin"/>
          <w:color w:val="111111"/>
          <w:sz w:val="28"/>
          <w:szCs w:val="28"/>
          <w:rtl w:val="true"/>
          <w:lang w:bidi="fa-IR"/>
        </w:rPr>
        <w:t>.</w:t>
      </w:r>
    </w:p>
    <w:p>
      <w:pPr>
        <w:pStyle w:val="Heading5"/>
        <w:numPr>
          <w:ilvl w:val="4"/>
          <w:numId w:val="1"/>
        </w:numPr>
        <w:rPr/>
      </w:pPr>
      <w:bookmarkStart w:id="248" w:name="__RefHeading___Toc3219647_2870459653"/>
      <w:bookmarkStart w:id="249" w:name="_Toc101"/>
      <w:bookmarkEnd w:id="248"/>
      <w:r>
        <w:rPr>
          <w:rtl w:val="true"/>
        </w:rPr>
        <w:t>روایات شیعه</w:t>
      </w:r>
      <w:bookmarkEnd w:id="249"/>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دعائم الإسلام </w:t>
      </w:r>
      <w:r>
        <w:rPr>
          <w:rStyle w:val="FootnoteAnchor"/>
          <w:rtl w:val="true"/>
        </w:rPr>
        <w:footnoteReference w:id="142"/>
      </w:r>
      <w:r>
        <w:rPr>
          <w:rFonts w:ascii="IRNazanin" w:hAnsi="IRNazanin" w:eastAsia="IRNazanin"/>
          <w:color w:val="111111"/>
          <w:sz w:val="28"/>
          <w:sz w:val="28"/>
          <w:szCs w:val="28"/>
          <w:rtl w:val="true"/>
          <w:lang w:bidi="fa-IR"/>
        </w:rPr>
        <w:t xml:space="preserve">قاضی نعمان که به نقل از کتاب مستدرك الوسائل </w:t>
      </w:r>
      <w:r>
        <w:rPr>
          <w:rStyle w:val="FootnoteAnchor"/>
          <w:rtl w:val="true"/>
        </w:rPr>
        <w:footnoteReference w:id="143"/>
      </w:r>
      <w:r>
        <w:rPr>
          <w:rFonts w:ascii="Amiri" w:hAnsi="Amiri" w:eastAsia="Amiri" w:cs="Amiri"/>
          <w:color w:val="111111"/>
          <w:sz w:val="28"/>
          <w:sz w:val="28"/>
          <w:szCs w:val="28"/>
          <w:rtl w:val="true"/>
          <w:lang w:bidi="ar-SA"/>
        </w:rPr>
        <w:t>ذكر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کتاب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بیان شد، دعائم الإسلام یک کتاب قانون است برای فاطمیون مصر و احکام را بیان می کند و دلیل آن را از روایات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در کتاب دعائم الإسلام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عَنْ آبَائِهِ عَنْ أَمِيرِ الْمُؤْمِنِينَ عَلَيْهِ السَّلَامُ قَالَ انَّ رَسُولُ اللَّهِ صُلِّيَ اللَّهُ عَلَيْهِ وَ آلِهِ وَ سَلَّمَ وَ قَالَ لَا ضَرَرَ وَ لَا ضِرَارَ</w:t>
      </w:r>
      <w:r>
        <w:rPr>
          <w:rFonts w:ascii="IRNazanin" w:hAnsi="IRNazanin" w:eastAsia="IRNazanin"/>
          <w:color w:val="111111"/>
          <w:sz w:val="28"/>
          <w:sz w:val="28"/>
          <w:szCs w:val="28"/>
          <w:rtl w:val="true"/>
          <w:lang w:bidi="fa-IR"/>
        </w:rPr>
        <w:t xml:space="preserve"> ایشان استدلال می کند که علّت این حکم لاضرر و لاضرار است و این استقلال در روایت را اثبات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صدوق در کتاب المُقنع </w:t>
      </w:r>
      <w:r>
        <w:rPr>
          <w:rStyle w:val="FootnoteAnchor"/>
          <w:rtl w:val="true"/>
        </w:rPr>
        <w:footnoteReference w:id="144"/>
      </w:r>
      <w:r>
        <w:rPr>
          <w:rFonts w:ascii="IRNazanin" w:hAnsi="IRNazanin" w:eastAsia="IRNazanin"/>
          <w:color w:val="111111"/>
          <w:sz w:val="28"/>
          <w:sz w:val="28"/>
          <w:szCs w:val="28"/>
          <w:rtl w:val="true"/>
          <w:lang w:bidi="fa-IR"/>
        </w:rPr>
        <w:t>که یک کتاب فقهی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مُرْسَلًا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النَّبِيِّ صُلِّيَ اللَّهُ عَلَيْهِ وَ آلِهِ وَ سَلَّمَ ضَرَرَ وَ لَا ضِرَارَ</w:t>
      </w:r>
      <w:r>
        <w:rPr>
          <w:rFonts w:eastAsia="Times New Roman" w:cs="Times New Roman" w:ascii="Times New Roman" w:hAnsi="Times New Roman"/>
          <w:color w:val="111111"/>
          <w:sz w:val="28"/>
          <w:szCs w:val="28"/>
          <w:rtl w:val="true"/>
          <w:lang w:val="en-US" w:bidi="en-US"/>
        </w:rPr>
        <w:t xml:space="preserve">. </w:t>
      </w:r>
      <w:bookmarkStart w:id="250" w:name="pg9135_79614"/>
    </w:p>
    <w:p>
      <w:pPr>
        <w:pStyle w:val="BookText"/>
        <w:rPr/>
      </w:pPr>
      <w:bookmarkEnd w:id="250"/>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یک کتاب فقهی است و این روایت را به عنوان دلیل حکمی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دیگر از شیخ صدوق </w:t>
      </w:r>
      <w:r>
        <w:rPr>
          <w:rStyle w:val="FootnoteAnchor"/>
          <w:rtl w:val="true"/>
        </w:rPr>
        <w:footnoteReference w:id="145"/>
      </w:r>
      <w:r>
        <w:rPr>
          <w:rFonts w:ascii="Amiri" w:hAnsi="Amiri" w:eastAsia="Amiri" w:cs="Amiri"/>
          <w:color w:val="111111"/>
          <w:sz w:val="28"/>
          <w:sz w:val="28"/>
          <w:szCs w:val="28"/>
          <w:rtl w:val="true"/>
          <w:lang w:bidi="ar-SA"/>
        </w:rPr>
        <w:t xml:space="preserve">که در داستان ارث مسلمان از کافر نقل شده است و در بحث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كردیم این روایت ثابت نمی 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روایت مستقل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عَوَالِي اللآَّلِي از ابی جمهور احسائی </w:t>
      </w:r>
      <w:r>
        <w:rPr>
          <w:rStyle w:val="FootnoteAnchor"/>
          <w:rtl w:val="true"/>
        </w:rPr>
        <w:footnoteReference w:id="146"/>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فِي الْإِسْلَامِ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کردیم روایات این کتاب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نویسنده هر دو مناقشه کرده اند</w:t>
      </w:r>
      <w:r>
        <w:rPr>
          <w:rFonts w:eastAsia="IRNazanin" w:cs="IRNazanin"/>
          <w:color w:val="111111"/>
          <w:sz w:val="28"/>
          <w:szCs w:val="28"/>
          <w:rtl w:val="true"/>
          <w:lang w:bidi="fa-IR"/>
        </w:rPr>
        <w:t>.</w:t>
      </w:r>
    </w:p>
    <w:p>
      <w:pPr>
        <w:pStyle w:val="Heading5"/>
        <w:numPr>
          <w:ilvl w:val="4"/>
          <w:numId w:val="1"/>
        </w:numPr>
        <w:rPr/>
      </w:pPr>
      <w:bookmarkStart w:id="251" w:name="__RefHeading___Toc3219649_2870459653"/>
      <w:bookmarkStart w:id="252" w:name="_Toc102"/>
      <w:bookmarkEnd w:id="251"/>
      <w:r>
        <w:rPr>
          <w:rtl w:val="true"/>
        </w:rPr>
        <w:t>نتیجه بررسی روایات</w:t>
      </w:r>
      <w:bookmarkEnd w:id="252"/>
    </w:p>
    <w:p>
      <w:pPr>
        <w:pStyle w:val="BookText"/>
        <w:rPr/>
      </w:pPr>
      <w:r>
        <w:rPr>
          <w:rFonts w:ascii="IRNazanin" w:hAnsi="IRNazanin" w:eastAsia="IRNazanin"/>
          <w:color w:val="111111"/>
          <w:sz w:val="28"/>
          <w:sz w:val="28"/>
          <w:szCs w:val="28"/>
          <w:rtl w:val="true"/>
          <w:lang w:bidi="fa-IR"/>
        </w:rPr>
        <w:t>لاضرر و لاضرار مستقلاً در روایات نیامده است؛ بلکه در ذیل احکام صادره آمده است و حکم را تعلیل کرده اند به 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لَاضَرَرَ وَ لَاضِرَارَ بِالْإِسْتِقْلَالِ مفهوم ندارد؛ مگر این که مذیل به حکایتی و حکمی باشد تا این که فهمیده شود که ضرر زدن به دیگران نهی شده است</w:t>
      </w:r>
      <w:r>
        <w:rPr>
          <w:rFonts w:eastAsia="IRNazanin" w:cs="IRNazanin"/>
          <w:color w:val="111111"/>
          <w:sz w:val="28"/>
          <w:szCs w:val="28"/>
          <w:rtl w:val="true"/>
          <w:lang w:bidi="fa-IR"/>
        </w:rPr>
        <w:t>.</w:t>
      </w:r>
    </w:p>
    <w:p>
      <w:pPr>
        <w:pStyle w:val="Heading4"/>
        <w:numPr>
          <w:ilvl w:val="3"/>
          <w:numId w:val="1"/>
        </w:numPr>
        <w:rPr/>
      </w:pPr>
      <w:bookmarkStart w:id="253" w:name="__RefHeading___Toc3219651_2870459653"/>
      <w:bookmarkStart w:id="254" w:name="_Toc103"/>
      <w:bookmarkEnd w:id="253"/>
      <w:r>
        <w:rPr>
          <w:rtl w:val="true"/>
        </w:rPr>
        <w:t>بحث چهارم</w:t>
      </w:r>
      <w:r>
        <w:rPr>
          <w:rtl w:val="true"/>
        </w:rPr>
        <w:t xml:space="preserve">: </w:t>
      </w:r>
      <w:r>
        <w:rPr>
          <w:rtl w:val="true"/>
        </w:rPr>
        <w:t>اشکال به دو روایت عقبة بن خالد</w:t>
      </w:r>
      <w:bookmarkEnd w:id="254"/>
    </w:p>
    <w:p>
      <w:pPr>
        <w:pStyle w:val="Heading5"/>
        <w:numPr>
          <w:ilvl w:val="4"/>
          <w:numId w:val="1"/>
        </w:numPr>
        <w:rPr/>
      </w:pPr>
      <w:bookmarkStart w:id="255" w:name="__RefHeading___Toc3219653_2870459653"/>
      <w:bookmarkStart w:id="256" w:name="_Toc10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یکی در باب شفعه و دیگری در باب نهی از فضل ماء و کلاء بود</w:t>
      </w:r>
      <w:r>
        <w:rPr>
          <w:rFonts w:eastAsia="IRNazanin" w:cs="IRNazanin"/>
          <w:color w:val="111111"/>
          <w:sz w:val="28"/>
          <w:szCs w:val="28"/>
          <w:rtl w:val="true"/>
          <w:lang w:bidi="fa-IR"/>
        </w:rPr>
        <w:t>.</w:t>
      </w:r>
    </w:p>
    <w:p>
      <w:pPr>
        <w:pStyle w:val="Heading5"/>
        <w:numPr>
          <w:ilvl w:val="4"/>
          <w:numId w:val="1"/>
        </w:numPr>
        <w:rPr/>
      </w:pPr>
      <w:bookmarkStart w:id="257" w:name="__RefHeading___Toc3219655_2870459653"/>
      <w:bookmarkStart w:id="258" w:name="_Toc105"/>
      <w:bookmarkEnd w:id="257"/>
      <w:r>
        <w:rPr>
          <w:rtl w:val="true"/>
        </w:rPr>
        <w:t>روایت اوّل</w:t>
      </w:r>
      <w:r>
        <w:rPr>
          <w:rtl w:val="true"/>
        </w:rPr>
        <w:t xml:space="preserve">: </w:t>
      </w:r>
      <w:r>
        <w:rPr>
          <w:rtl w:val="true"/>
        </w:rPr>
        <w:t>از عقبة بن خالد</w:t>
      </w:r>
      <w:bookmarkEnd w:id="25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شفعه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مُحَمَّدِ بْنِ الْحُسَيْنِ عَنْ مُحَمَّدِ بْنِ عبد اللّه عُقْبَةَ بْنِ هِلَالٍ عَنْ عُقْبَةَ بْنِ خَالِدٍ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صُلِّيَ اللَّهُ عَلَيْهِ وَ آلِهِ وَ سَلَّمَ بِالشُّفْعَةِ بَيْنَ الشُّرَكَاءِ فِي الْأَرَضِينَ وَ الْمَسَاكِنِ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رُفَّتِ</w:t>
      </w:r>
    </w:p>
    <w:p>
      <w:pPr>
        <w:pStyle w:val="BookText"/>
        <w:rPr/>
      </w:pPr>
      <w:r>
        <w:rPr>
          <w:rFonts w:ascii="Amiri" w:hAnsi="Amiri" w:eastAsia="Amiri" w:cs="Amiri"/>
          <w:color w:val="111111"/>
          <w:sz w:val="28"/>
          <w:sz w:val="28"/>
          <w:szCs w:val="28"/>
          <w:rtl w:val="true"/>
          <w:lang w:bidi="ar-SA"/>
        </w:rPr>
        <w:t>الْأُرَفُ وَحْدَةَ الْحُدُودِ فَلاَشُفْعَةَ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حکم کردند به شفعه بین شرکاء در زمین و زمین های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نه ضرری وجود دارد و نه اضراری وقتی زمین حدود و مرز آن مشخص شد و سهم هر کدام مشخص شد دیگر شراکتی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این روایت وارد شده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شریک همیشه موجب ضرر نیست و ممکن است شریک جدید به مراتب بهتر از شریک قبلی باشد و به صرف یک احتمال که ممکن است شریک جدید خوب نباشد، صدق ضرر نمی کند؛ بلکه بيع مقدمه اعدادیه ضرر می شود و نمی شود آن را تطبیق بر قاعده لاضرر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از اشکال اوّل صرف نظر کنیم و بگوییم وقتی شریک حصه خود را می فروشد این مورد مصداق ضرر است، قاعده لاضرر نفی لزوم می کند و بیع لازم را جائز می کند امّا نمی تواند اثبات حقی بکند برای شریک که حق شفعه داشته باشد به بیان دیگر لاضرر نفی حکم می کند؛ ولی قدرت اثبات حکمی را ندارد و فقط حکم ضرری را بر می دارد و بیع لازم را تبدیل به بیع جائز می کند؛ امّا اثبات حق شفعه برای شریک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رحمه اللّه علیه ذیل همین بحث به نوعی تسلیم اشکال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در این روایت علّت حکم نیست؛ امّا می تواند حکمت حکم باشد که حکمت حکم در بعضی جا ها می تواند باشد و در بعضی جا ها نمی 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داستان عده نسبت به زن مدخولّ بها که می فرمایند باید عدّه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اخْتِلَاطٍ 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جایی که می دانیم اختلاط میاه نیست می توانیم بگوییم عدّه لازم نیست، خیر زیرا عدم اختلاط مياه حکمت حکم است نه علّت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جا می گوییم که لاضرر حکمت حکم برای بحث شفعه شده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رحمه اللّه علیه ایشان هم به نوعی تسلیم اشکال شده اند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اعتراض وارد است و این جا جمع بین روایت است یعنی دو روایت در نقل با </w:t>
      </w:r>
      <w:bookmarkStart w:id="259" w:name="pg9135_79616"/>
    </w:p>
    <w:p>
      <w:pPr>
        <w:pStyle w:val="BookText"/>
        <w:rPr/>
      </w:pPr>
      <w:bookmarkEnd w:id="259"/>
      <w:r>
        <w:rPr>
          <w:rFonts w:ascii="IRNazanin" w:hAnsi="IRNazanin" w:eastAsia="IRNazanin"/>
          <w:color w:val="111111"/>
          <w:sz w:val="28"/>
          <w:sz w:val="28"/>
          <w:szCs w:val="28"/>
          <w:rtl w:val="true"/>
          <w:lang w:bidi="fa-IR"/>
        </w:rPr>
        <w:t>هم جمع شده است و تشکیل یک روایت را داده است تشکیل یک روایت را داده است و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قضی رَسُولُ اللَّهِ صُلِّيَ اللَّهُ عَلَيْهِ وَ آلِهِ وَ سَلَّمَ بِالشُّفْعَةِ بَيْنَ الشُّرَكَاءِ فِي الْأَرَضِينَ وَ المَساكِنُ</w:t>
      </w:r>
      <w:r>
        <w:rPr>
          <w:rFonts w:ascii="IRNazanin" w:hAnsi="IRNazanin" w:eastAsia="IRNazanin"/>
          <w:color w:val="111111"/>
          <w:sz w:val="28"/>
          <w:sz w:val="28"/>
          <w:szCs w:val="28"/>
          <w:rtl w:val="true"/>
          <w:lang w:bidi="fa-IR"/>
        </w:rPr>
        <w:t xml:space="preserve"> و در روایت دیگر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ضَرَرَ وَ لَا ضِرَارَ</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احتمال خیلی بعید است؛ زیرا اگر به تتمه روایت نگاه کنیم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رُفَّتِ الْأُرَفُ وَحْدَةَ الْحُدُودِ فَلاَشُفْعَةَ</w:t>
      </w:r>
      <w:r>
        <w:rPr>
          <w:rFonts w:ascii="IRNazanin" w:hAnsi="IRNazanin" w:eastAsia="IRNazanin"/>
          <w:color w:val="111111"/>
          <w:sz w:val="28"/>
          <w:sz w:val="28"/>
          <w:szCs w:val="28"/>
          <w:rtl w:val="true"/>
          <w:lang w:bidi="fa-IR"/>
        </w:rPr>
        <w:t xml:space="preserve"> و بگوییم این فراز آخر روایت شفعه است و لاضرر در این بین ربطی به ما قبل و ما بعد روایت ندارد این احتمال خیلی بعید است زیرا دأب و شیوه و روش روایات ائمه علیهم السلام این طور نیست که به این کیفیت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مرحوم نائینی رحمه اللّه علیه که لاضرر را حکمت حکم گرفته اند مردود است؛ زیرا ظاهر روایت علّت بودن لاضرر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دو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نیست که شریک دوّم بهتر باشد یا خیر، بلکه بحث در مورد شفعه است و شفعه یعنی مال غیر منقولی که متعلق به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چیزی که ضرری است نفس شراکت است چون تا شریک نداشته باشی اختیار مال در دست خود توست امّا با شراکت این اختیار تام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لاضرر نمی تواند اثبات حق شفعه بکند و ما هم نمی خواهیم به وسیله لاضرر اثبات حق شفعه بکنیم؛ زیرا اثبات حق شفعه به ادله دیگری است امّا این مطلب که شراکت نفس آن ضرری است و برای اثبات آن به لاضرر تمسک کنیم، این مطلب صحیحی است</w:t>
      </w:r>
      <w:r>
        <w:rPr>
          <w:rFonts w:eastAsia="IRNazanin" w:cs="IRNazanin"/>
          <w:color w:val="111111"/>
          <w:sz w:val="28"/>
          <w:szCs w:val="28"/>
          <w:rtl w:val="true"/>
          <w:lang w:bidi="fa-IR"/>
        </w:rPr>
        <w:t>.</w:t>
      </w:r>
    </w:p>
    <w:p>
      <w:pPr>
        <w:pStyle w:val="Heading5"/>
        <w:numPr>
          <w:ilvl w:val="4"/>
          <w:numId w:val="1"/>
        </w:numPr>
        <w:rPr/>
      </w:pPr>
      <w:bookmarkStart w:id="260" w:name="__RefHeading___Toc3219657_2870459653"/>
      <w:bookmarkStart w:id="261" w:name="_Toc106"/>
      <w:bookmarkEnd w:id="260"/>
      <w:r>
        <w:rPr>
          <w:rtl w:val="true"/>
        </w:rPr>
        <w:t>روایت دوّم از عقبة بن خالد</w:t>
      </w:r>
      <w:bookmarkEnd w:id="2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عَنْ مُحَمَّدِ بْنِ يَحْيَى عَنْ مُحَمَّدِ بْنِ الْحُسَيْنِ عَنْ مُحَمَّدِ بْنِ عَبْدِ اللَّهِ هِلَالِ بْنِ عَنْ عُقْبَةَ بْنِ خَالِدٍ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صُلِّيَ اللَّهُ عَلَيْهِ وَ آلِهِ وَ سَلَّمَ بَيْنَ أَهْلِ الْمَدِينَةِ فِي مَشَارِبِ النَّخْلِ أَنَّهُ لَا يُمْنَعُ نَفْعُ الشَّيْ‌ءِ </w:t>
      </w:r>
      <w:r>
        <w:rPr>
          <w:rStyle w:val="FootnoteAnchor"/>
          <w:rtl w:val="true"/>
        </w:rPr>
        <w:footnoteReference w:id="150"/>
      </w:r>
      <w:r>
        <w:rPr>
          <w:rFonts w:ascii="Amiri" w:hAnsi="Amiri" w:eastAsia="Amiri" w:cs="Amiri"/>
          <w:color w:val="111111"/>
          <w:sz w:val="28"/>
          <w:sz w:val="28"/>
          <w:szCs w:val="28"/>
          <w:rtl w:val="true"/>
          <w:lang w:bidi="ar-SA"/>
        </w:rPr>
        <w:t>وَ قَضَى بَيْنَ أَهْلِ الْبَادِيَةِ أَنَّهُ لَا يُمْنَعُ فَضْلُ مَاءٍ</w:t>
      </w:r>
      <w:r>
        <w:rPr>
          <w:rFonts w:eastAsia="Amiri" w:cs="Amiri" w:ascii="Amiri" w:hAnsi="Amiri"/>
          <w:color w:val="111111"/>
          <w:sz w:val="28"/>
          <w:szCs w:val="28"/>
          <w:rtl w:val="true"/>
          <w:lang w:bidi="ar-SA"/>
        </w:rPr>
        <w:t xml:space="preserve">) </w:t>
      </w:r>
      <w:bookmarkStart w:id="262" w:name="pg9135_79617"/>
    </w:p>
    <w:p>
      <w:pPr>
        <w:pStyle w:val="BookText"/>
        <w:rPr/>
      </w:pPr>
      <w:bookmarkEnd w:id="262"/>
      <w:r>
        <w:rPr>
          <w:rFonts w:ascii="Amiri" w:hAnsi="Amiri" w:eastAsia="Amiri" w:cs="Amiri"/>
          <w:color w:val="111111"/>
          <w:sz w:val="28"/>
          <w:sz w:val="28"/>
          <w:szCs w:val="28"/>
          <w:rtl w:val="true"/>
          <w:lang w:bidi="ar-SA"/>
        </w:rPr>
        <w:t xml:space="preserve">لِيُمْنَعَ بِهِ فَضْلُ كَلَّاءَ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مدینه که یک دیگر را از محل شرب نخل منع نکنید یعنی درخت خود را آب بده و جلو سیراب شدن درختان دیگر نشو و در بین چادر نشینان و کوچ نشینان حکم کردند که کسی حق ندارد مانع از زیادی آب برای مرتع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آب منع می کردند تا کسی نتواند احشام خود را بچراند تا چرا گاه منحصر به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 نه ضرری وجود دارد نه ضراری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سند به محمّد بن عبد اللّه بن هلال ضعیف می شود و ما گفتیم که بعید نیست که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سند اشکالاتی بر متن روایت وارد شده است به این که قاعده لاضرر بر حديث منع فضل الماء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آب وقتی زیادتی آب خود را از دیگران دریغ می کند این اضرار به غیر نیست؛ بلکه عدم ایصال نفع به غیر است آیا در این فرض می شود گفت ایشان ضرر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آقایان و بزرگانی که مستلزم به این روایت و لاضرر هستند بر این عقیده هستند که صاحب آب اگر بخواهد دیگران را از آب کند کراهت دارد در حالی که با حکم به کراهت و به خاطر فرار از بحث کراهت کسی مستلزم به این قاعده لاضرر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باید ابتدا حکم بشود به این که آب ندادن به دیگران اضرار به غیر و حرام است تا مصداق قاعده لاضرر قرار بگیرد و با جواز بالمعنى الأعم که شامل اباحه و کراهت و استحباب می،شود ضرر مرتفع نمی شود</w:t>
      </w:r>
      <w:r>
        <w:rPr>
          <w:rFonts w:eastAsia="IRNazanin" w:cs="IRNazanin"/>
          <w:color w:val="111111"/>
          <w:sz w:val="28"/>
          <w:szCs w:val="28"/>
          <w:rtl w:val="true"/>
          <w:lang w:bidi="fa-IR"/>
        </w:rPr>
        <w:t>.</w:t>
      </w:r>
    </w:p>
    <w:p>
      <w:pPr>
        <w:pStyle w:val="Heading5"/>
        <w:numPr>
          <w:ilvl w:val="4"/>
          <w:numId w:val="1"/>
        </w:numPr>
        <w:rPr/>
      </w:pPr>
      <w:bookmarkStart w:id="263" w:name="__RefHeading___Toc3219659_2870459653"/>
      <w:bookmarkStart w:id="264" w:name="_Toc107"/>
      <w:bookmarkEnd w:id="263"/>
      <w:r>
        <w:rPr>
          <w:rtl w:val="true"/>
        </w:rPr>
        <w:t>جواب اشکال اوّل</w:t>
      </w:r>
      <w:bookmarkEnd w:id="264"/>
    </w:p>
    <w:p>
      <w:pPr>
        <w:pStyle w:val="BookText"/>
        <w:rPr/>
      </w:pPr>
      <w:r>
        <w:rPr>
          <w:rFonts w:ascii="IRNazanin" w:hAnsi="IRNazanin" w:eastAsia="IRNazanin"/>
          <w:color w:val="111111"/>
          <w:sz w:val="28"/>
          <w:sz w:val="28"/>
          <w:szCs w:val="28"/>
          <w:rtl w:val="true"/>
          <w:lang w:bidi="fa-IR"/>
        </w:rPr>
        <w:t>علت ایجاد اشکال این است که روایت را به این شکل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آب ملک شخصی است؛ امّا چرا گاه عمومی است و وقتی شخصی از آب منع می کند به ناچار نمی توانند حیوانات شان را برای چرا به آن جا بیاورند و مجبور می شوند به جای دور تری ببرند و عرفاً این مورد مصداق ضرر قرار می 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ما به ظاهر روایت نگاه کنیم </w:t>
      </w:r>
      <w:r>
        <w:rPr>
          <w:rFonts w:ascii="Amiri" w:hAnsi="Amiri" w:eastAsia="Amiri" w:cs="Amiri"/>
          <w:color w:val="111111"/>
          <w:sz w:val="28"/>
          <w:sz w:val="28"/>
          <w:szCs w:val="28"/>
          <w:rtl w:val="true"/>
          <w:lang w:bidi="ar-SA"/>
        </w:rPr>
        <w:t>قَضَى رَسُولُ اللَّهِ صُلِّيَ اللَّهُ عَلَيْهِ وَ آلِهِ وَ سَلَّمَ بَيْنَ أَهْلِ الْمَدِينَةِ فِي</w:t>
      </w:r>
      <w:bookmarkStart w:id="265" w:name="pg9135_79618"/>
    </w:p>
    <w:p>
      <w:pPr>
        <w:pStyle w:val="BookText"/>
        <w:rPr/>
      </w:pPr>
      <w:bookmarkEnd w:id="265"/>
      <w:r>
        <w:rPr>
          <w:rFonts w:ascii="Amiri" w:hAnsi="Amiri" w:eastAsia="Amiri" w:cs="Amiri"/>
          <w:color w:val="111111"/>
          <w:sz w:val="28"/>
          <w:sz w:val="28"/>
          <w:szCs w:val="28"/>
          <w:rtl w:val="true"/>
          <w:lang w:bidi="ar-SA"/>
        </w:rPr>
        <w:t>مَشَارِبِ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بَیْنَ أَهْلِ اَلْبَادِیَهِ أَنَّهُ لاَ یُمْنَعُ فَضْلُ کَلَإٍ</w:t>
      </w:r>
      <w:r>
        <w:rPr>
          <w:rFonts w:ascii="IRNazanin" w:hAnsi="IRNazanin" w:eastAsia="IRNazanin"/>
          <w:color w:val="111111"/>
          <w:sz w:val="28"/>
          <w:sz w:val="28"/>
          <w:szCs w:val="28"/>
          <w:rtl w:val="true"/>
          <w:lang w:bidi="fa-IR"/>
        </w:rPr>
        <w:t xml:space="preserve"> این معنا به ذهن نمی رسد در زمان رسول خدا صلی اللّه علیه و آله و سلم نوع مراتع و علف زار ها از یک چشمه یا برکه تغذیه می کردند که عمومی بوده است، حال اگر کسی زود تر از بقیه بر آن آب تسلط پیدا کند و دور آن حصار را بکشد و مانع از استفاده دیگران شود تا مالک کل چرا گاه شود این کار اضرار به غیر است و مصداق قاعده لاضرر قرار می گیرد</w:t>
      </w:r>
      <w:r>
        <w:rPr>
          <w:rFonts w:eastAsia="IRNazanin" w:cs="IRNazanin"/>
          <w:color w:val="111111"/>
          <w:sz w:val="28"/>
          <w:szCs w:val="28"/>
          <w:rtl w:val="true"/>
          <w:lang w:bidi="fa-IR"/>
        </w:rPr>
        <w:t>.</w:t>
      </w:r>
    </w:p>
    <w:p>
      <w:pPr>
        <w:pStyle w:val="Heading5"/>
        <w:numPr>
          <w:ilvl w:val="4"/>
          <w:numId w:val="1"/>
        </w:numPr>
        <w:rPr/>
      </w:pPr>
      <w:bookmarkStart w:id="266" w:name="__RefHeading___Toc3219661_2870459653"/>
      <w:bookmarkStart w:id="267" w:name="_Toc108"/>
      <w:bookmarkEnd w:id="266"/>
      <w:r>
        <w:rPr>
          <w:rtl w:val="true"/>
        </w:rPr>
        <w:t>جواب اشکال دوّم</w:t>
      </w:r>
      <w:bookmarkEnd w:id="26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جریان منع فضل ماء قائل به حرمت شود، منعی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محققین فتوای به حرمت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فتوی به حرمت هم وجود داشته باشد این اشکال هم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ما روایت را معنا کردیم و آب را ملک شخصی نگرفتیم؛ بلکه آب را عمومی و جزء انفال گرفتیم اشکال کلاً منتفی می شود؛ چون منع فضل ماء اضرار به غیر و حرام است</w:t>
      </w:r>
      <w:r>
        <w:rPr>
          <w:rFonts w:eastAsia="IRNazanin" w:cs="IRNazanin"/>
          <w:color w:val="111111"/>
          <w:sz w:val="28"/>
          <w:szCs w:val="28"/>
          <w:rtl w:val="true"/>
          <w:lang w:bidi="fa-IR"/>
        </w:rPr>
        <w:t>.</w:t>
      </w:r>
    </w:p>
    <w:p>
      <w:pPr>
        <w:pStyle w:val="Heading5"/>
        <w:numPr>
          <w:ilvl w:val="4"/>
          <w:numId w:val="1"/>
        </w:numPr>
        <w:rPr/>
      </w:pPr>
      <w:bookmarkStart w:id="268" w:name="__RefHeading___Toc3219663_2870459653"/>
      <w:bookmarkStart w:id="269" w:name="_Toc109"/>
      <w:bookmarkEnd w:id="268"/>
      <w:r>
        <w:rPr>
          <w:rtl w:val="true"/>
        </w:rPr>
        <w:t>نقد دو نظریهٔ محقق نائینی رحمه اللّه علیه و آیة اللّه خوئی رحمه اللّه علیه</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نائینی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نتوانسته اند بین دو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شُفْعَةُ وَ مَنَعَ فَضْلَ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علیّت درست کنند و قائلند به این که لاضرر در این دو روایت حکمت است نه علّت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نقد ما به محقق نائینی رحمه اللّه علیه این است که اشکالی ندارد لاضرر را در این دو روایت حکمت بگیریم و در قضیه سمرة بن جندب لاضرر را علّت حکم بدانیم؛ یعنی در یک جا لاضرر حکمت باشد و در جایی دیگر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اشکالی که وجود دارد این است که تمام تعبیراتی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همه به یک شکل است و در واقع بین این روایات وحدتِ تعبیر وجود دارد به این شکل که ابتدا حکم را می گوید، بعد لاضرر را مستند به آن حکم می آورد و حال آن که آن جایی که حکمت است با آن جایی که علت است نمی تواند یک تعبیر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خوئی رحمه اللّه علیه این دو روایت از عقبة بن خالد جمع در روایت است </w:t>
      </w:r>
    </w:p>
    <w:p>
      <w:pPr>
        <w:pStyle w:val="BookText"/>
        <w:rPr/>
      </w:pPr>
      <w:r>
        <w:rPr>
          <w:rFonts w:ascii="IRNazanin" w:hAnsi="IRNazanin" w:eastAsia="IRNazanin"/>
          <w:color w:val="111111"/>
          <w:sz w:val="28"/>
          <w:sz w:val="28"/>
          <w:szCs w:val="28"/>
          <w:rtl w:val="true"/>
          <w:lang w:bidi="fa-IR"/>
        </w:rPr>
        <w:t>نه جمع در مروی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جمع در روایت یعنی خود رسول خدا صلی اللّه علیه و آله و سلم چند مطلب را که به هم ربطی ندارند را با هم جمع کرده اند؛ یعنی یکی داستان شفعه دیگری داستان منع فضل ماء و 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در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و دو کلام از جد شان را کنار هم جمع می کنند و برای ما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دوّمِ دیگر در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جمع را راوی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راوی جمع در روایت کرده باشد، بعید است؛ چون لاضرر وسط حدیث شفعه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راوی جمع کرده باشند، باید قال را تکرار می کرد و حال آن که کلمه قال تکرار نشده است، پس جمع از طرف راوی نیست</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روایت واضح است که قال تکرار شده است پس نظر ایشان مشکل را حل نمی کند</w:t>
      </w:r>
    </w:p>
    <w:p>
      <w:pPr>
        <w:pStyle w:val="BookText"/>
        <w:rPr/>
      </w:pPr>
      <w:r>
        <w:rPr>
          <w:rFonts w:ascii="IRNazanin" w:hAnsi="IRNazanin" w:eastAsia="IRNazanin"/>
          <w:color w:val="111111"/>
          <w:sz w:val="28"/>
          <w:sz w:val="28"/>
          <w:szCs w:val="28"/>
          <w:rtl w:val="true"/>
          <w:lang w:bidi="fa-IR"/>
        </w:rPr>
        <w:t>در بین این سه احتمال، احتمال اخیر اضعف احتمالات است؛ زیرا روات ما هر چند جمع در مروی داشتند؛ امّا وقتی جمع می کردند که قرینه ای باشد و معلوم باشد جمع در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پیامبر صلی اللّه علیه و آله و سلم جمع بین روایات کرده باشند، اقوی احتمالات است از ناحية المعصومين علیهم السلام اوسط احتمالات است این احتمالات وقتی است که ما نتوانیم بین لاضرر و شفعه و منعِ فضل الماء نسبت برقرار کنیم و حال آن که جمع لاضرر را با دو حدیث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لاضرر وسط حدیث شفعه آمده است و بعید است که رسول خدا صلی اللّه علیه و آله و سلم مطلبی را بیان کنند که ربطی به قبل نداشته باشد هر چند محتمل است، امّا قرینه ای بر آن نیست و بعید است؛ زیرا شیوه و روش اهل بیت علیهم السلام این گونه نبوده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علیهم السلام مستند سخنان شان را به آیه قرآن یا به کلام رسول خدا صلی اللّه علیه و آله و سلم قرار می دادند که به این روایات، روایات استشهادیه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دو روایت از نوع روایات استشهادیه است، حکم را بیان کرده اند و مستند حکم شان که لاضرر است را استشهاد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الشریعة رحمه اللّه علیه </w:t>
      </w:r>
      <w:r>
        <w:rPr>
          <w:rStyle w:val="FootnoteAnchor"/>
          <w:rtl w:val="true"/>
        </w:rPr>
        <w:footnoteReference w:id="155"/>
      </w:r>
      <w:r>
        <w:rPr>
          <w:rFonts w:ascii="IRNazanin" w:hAnsi="IRNazanin" w:eastAsia="IRNazanin"/>
          <w:color w:val="111111"/>
          <w:sz w:val="28"/>
          <w:sz w:val="28"/>
          <w:szCs w:val="28"/>
          <w:rtl w:val="true"/>
          <w:lang w:bidi="fa-IR"/>
        </w:rPr>
        <w:t>این مطلب را قبول ندارند و می فرمایند این جا جمع بین مروی است توسط راوی یعنی عقبة بن خالد که اضعف احتمالات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نظريه شيخ الشريعه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اثبات کردیم که لاضرر در دو روایت عقبة بن خالد علت حكم است؛ امّا جماعتی این علیت را قبول ندارند و می گویند که لاضرر تناسبی با حکم ندارد و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سوّم که مؤسس آن شیخ الشریعه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عقیده اند که علی فرض این که لاضرر تناسب با حکم داشته باشد؛ امّا ما قرائنی داریم که این قرائن به ما می گوید که لاضرر نقل آن در این جا از باب جمع در مروى است توسط راوی که أنتاجی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قرائن مانع از ظهور علیّت لاضرر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رسالة لاضرر </w:t>
      </w:r>
      <w:r>
        <w:rPr>
          <w:rStyle w:val="FootnoteAnchor"/>
          <w:rtl w:val="true"/>
        </w:rPr>
        <w:footnoteReference w:id="156"/>
      </w:r>
      <w:r>
        <w:rPr>
          <w:rFonts w:ascii="IRNazanin" w:hAnsi="IRNazanin" w:eastAsia="IRNazanin"/>
          <w:color w:val="111111"/>
          <w:sz w:val="28"/>
          <w:sz w:val="28"/>
          <w:szCs w:val="28"/>
          <w:rtl w:val="true"/>
          <w:lang w:bidi="fa-IR"/>
        </w:rPr>
        <w:t>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عقبة بن خالد اخذ شده از روایتی است که در مسند احمد بن حنبل </w:t>
      </w:r>
      <w:r>
        <w:rPr>
          <w:rStyle w:val="FootnoteAnchor"/>
          <w:rtl w:val="true"/>
        </w:rPr>
        <w:footnoteReference w:id="157"/>
      </w:r>
      <w:r>
        <w:rPr>
          <w:rFonts w:ascii="Amiri" w:hAnsi="Amiri" w:eastAsia="Amiri" w:cs="Amiri"/>
          <w:color w:val="111111"/>
          <w:sz w:val="28"/>
          <w:sz w:val="28"/>
          <w:szCs w:val="28"/>
          <w:rtl w:val="true"/>
          <w:lang w:bidi="ar-SA"/>
        </w:rPr>
        <w:t>از شخصی به نام عبادة بن صامت نقل شده است به این 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وصی أَحْمَدُ بْنُ حَنْبَلٍ فِي مُسْنَدِهِ الْكَبِيرِ الْجَامِعِ ثَلَاثِينَ أَلْفَ عَنْ عُبَادَةَ بْنِ 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قَضَاءِ رَسُولِ اللَّهِ انَّ الْمَعْدِنَ جُبَارُ وَ الْبِئْرَ جُبَارُ وَ الْعَجْمَاءَ جُرْحِهَا جُبَارُ وَ قُضِيَ فِي الرِّكَازِ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الْعَجْمَاءُ الْبَهِيمَةُ مِنَ اَلاِنْعَامُ جَبَّارِ الْهَدَرِ الَّذِي لَا يُغَرَّمُ ؛ 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w:t>
      </w:r>
    </w:p>
    <w:p>
      <w:pPr>
        <w:pStyle w:val="BookText"/>
        <w:rPr/>
      </w:pPr>
      <w:r>
        <w:rPr>
          <w:rFonts w:ascii="IRNazanin" w:hAnsi="IRNazanin" w:eastAsia="IRNazanin"/>
          <w:color w:val="111111"/>
          <w:sz w:val="28"/>
          <w:sz w:val="28"/>
          <w:szCs w:val="28"/>
          <w:rtl w:val="true"/>
          <w:lang w:bidi="fa-IR"/>
        </w:rPr>
        <w:t>در این روایت بیست مورد از احکام صادره از رسول خدا صلی اللّه علیه و آله و سلم جمع شده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ظاهرش جمع در مروی است و توسط عبادة بن صامت که مورد شانزدهم آن داستان شفعه است که در خبر عقبة بن خالد آمده است و پانزدهم آن لاضرر و لاضرار است و هفدهم و هجدهم آن داستان منع از زیادتی ماء و کلاء است</w:t>
      </w:r>
      <w:r>
        <w:rPr>
          <w:rFonts w:eastAsia="IRNazanin" w:cs="IRNazanin"/>
          <w:color w:val="111111"/>
          <w:sz w:val="28"/>
          <w:szCs w:val="28"/>
          <w:rtl w:val="true"/>
          <w:lang w:bidi="fa-IR"/>
        </w:rPr>
        <w:t xml:space="preserve">. </w:t>
      </w:r>
      <w:bookmarkStart w:id="270" w:name="pg9135_79621"/>
    </w:p>
    <w:p>
      <w:pPr>
        <w:pStyle w:val="BookText"/>
        <w:rPr/>
      </w:pPr>
      <w:bookmarkEnd w:id="270"/>
      <w:r>
        <w:rPr>
          <w:rFonts w:ascii="Amiri" w:hAnsi="Amiri" w:eastAsia="Amiri" w:cs="Amiri"/>
          <w:color w:val="111111"/>
          <w:sz w:val="28"/>
          <w:sz w:val="28"/>
          <w:szCs w:val="28"/>
          <w:rtl w:val="true"/>
          <w:lang w:bidi="ar-SA"/>
        </w:rPr>
        <w:t xml:space="preserve">در این روایت لاضرر مقدم بر این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شُفْعَةُ وَ مَنَعَ فَضْلَ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علت قاعدتاً باید مؤخر بیاید نه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الشريعة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روایت عقبة بن خالد نسخه شيعى روايت عبادة بن صامت است که بین احکام را جمع کرده است و روات چون می خواستند هر حکمی را به باب خود ببرند روایت عبادة بن صامت را تقطیع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شروع می کند به استخراج بیست مورد حکم از کتب شیعی که در روایت عبادة بن صامت است و دوازده مورد را بیشتر نتوانسته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می گیرد عقبة بن خالد آن چه از قضا های پیامبر صلی اللّه علیه و آله و سلم نقل می کند همان نسخه عبادة بن صامت است و چون در روایت عبادة جمع بین مروی است و این احکام ربطی به هم ندارد در فرع آن که روایت عقبة است نیز همین حکم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شیخ الشريعة روايت عبادة بن صامت را قرینه می گیرد برای نقل شیعی و نتیجه می گیرد که لاضرر هیچ ربطی به منع فضل ماء و شفعه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58"/>
      </w:r>
      <w:r>
        <w:rPr>
          <w:rFonts w:ascii="IRNazanin" w:hAnsi="IRNazanin" w:eastAsia="IRNazanin"/>
          <w:color w:val="111111"/>
          <w:sz w:val="28"/>
          <w:sz w:val="28"/>
          <w:szCs w:val="28"/>
          <w:rtl w:val="true"/>
          <w:lang w:bidi="fa-IR"/>
        </w:rPr>
        <w:t xml:space="preserve">رحمه اللّه علیه این فرمایش شیخ الشریعه را قبول کرده است در تقریری که آقای شیخ موسی خوانساری در قاعده لاضرر ایشان می نویسد و هم چنین محقق اصفهانی در نهاية الدراية </w:t>
      </w:r>
      <w:r>
        <w:rPr>
          <w:rStyle w:val="FootnoteAnchor"/>
          <w:rtl w:val="true"/>
        </w:rPr>
        <w:footnoteReference w:id="159"/>
      </w:r>
      <w:r>
        <w:rPr>
          <w:rFonts w:ascii="IRNazanin" w:hAnsi="IRNazanin" w:eastAsia="IRNazanin"/>
          <w:color w:val="111111"/>
          <w:sz w:val="28"/>
          <w:sz w:val="28"/>
          <w:szCs w:val="28"/>
          <w:rtl w:val="true"/>
          <w:lang w:bidi="fa-IR"/>
        </w:rPr>
        <w:t>نیز این قول را پذیرفته است</w:t>
      </w:r>
      <w:r>
        <w:rPr>
          <w:rFonts w:eastAsia="IRNazanin" w:cs="IRNazanin"/>
          <w:color w:val="111111"/>
          <w:sz w:val="28"/>
          <w:szCs w:val="28"/>
          <w:rtl w:val="true"/>
          <w:lang w:bidi="fa-IR"/>
        </w:rPr>
        <w:t>.</w:t>
      </w:r>
    </w:p>
    <w:p>
      <w:pPr>
        <w:pStyle w:val="Heading5"/>
        <w:numPr>
          <w:ilvl w:val="4"/>
          <w:numId w:val="1"/>
        </w:numPr>
        <w:rPr/>
      </w:pPr>
      <w:bookmarkStart w:id="271" w:name="__RefHeading___Toc3219665_2870459653"/>
      <w:bookmarkStart w:id="272" w:name="_Toc110"/>
      <w:bookmarkEnd w:id="271"/>
      <w:r>
        <w:rPr>
          <w:rtl w:val="true"/>
        </w:rPr>
        <w:t>بررسی قول شيخ الشريعة</w:t>
      </w:r>
      <w:bookmarkEnd w:id="272"/>
    </w:p>
    <w:p>
      <w:pPr>
        <w:pStyle w:val="BookText"/>
        <w:rPr/>
      </w:pPr>
      <w:r>
        <w:rPr>
          <w:rFonts w:ascii="IRNazanin" w:hAnsi="IRNazanin" w:eastAsia="IRNazanin"/>
          <w:color w:val="111111"/>
          <w:sz w:val="28"/>
          <w:sz w:val="28"/>
          <w:szCs w:val="28"/>
          <w:rtl w:val="true"/>
          <w:lang w:bidi="fa-IR"/>
        </w:rPr>
        <w:t>ظاهر این است که قول ایشان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ظاهر دو روایت نگاه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شفعه در وسط روایت آمده است در حالی که در روایت عبادة بن صامت که بیست حکم جداست کلمه لاضرر در وسط حکمِ شفعه نیامده است، این مورد قرینه است که روایت عقبة بن خالد از روایت عباده أخذ نشده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این که عبادة بن صامت از ثقات باشد؛ امّا روایت به طریق رجال اهل سنّت آمده است و آن طریقی که ذکر شده و به عبادة بن صامت </w:t>
      </w:r>
      <w:bookmarkStart w:id="273" w:name="pg9135_79622"/>
    </w:p>
    <w:p>
      <w:pPr>
        <w:pStyle w:val="BookText"/>
        <w:rPr/>
      </w:pPr>
      <w:bookmarkEnd w:id="273"/>
      <w:r>
        <w:rPr>
          <w:rFonts w:ascii="IRNazanin" w:hAnsi="IRNazanin" w:eastAsia="IRNazanin"/>
          <w:color w:val="111111"/>
          <w:sz w:val="28"/>
          <w:sz w:val="28"/>
          <w:szCs w:val="28"/>
          <w:rtl w:val="true"/>
          <w:lang w:bidi="fa-IR"/>
        </w:rPr>
        <w:t>می رسد برای ما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مرسل است و طريق معتبری تا عبادة بن صامت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على مسلکِ رجال اهل سنت این سند عبادة را مرسل می دانند؛ زیرا کسی که از عبادة بن صامت روایت نقل کرده است، اسحاق بن یحیی است و این شخص عبادة را اصلاً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الشريعة می فرمایند روایت عبادة بن صامت جزء روايات مشهور عامه است در حالی که راوی از عبادة، اسحاق بن بحیی است و راوی از اسحاق، موسى بن عقبة است و این دو نفر متفرّد در نقل هستند و شهرتی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ایشان این است که در مصادر حدیثی عامّه مشهور است در هیچ یک از صحاح ستّه عامه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مسند </w:t>
      </w:r>
      <w:r>
        <w:rPr>
          <w:rStyle w:val="FootnoteAnchor"/>
          <w:rtl w:val="true"/>
        </w:rPr>
        <w:footnoteReference w:id="160"/>
      </w:r>
      <w:r>
        <w:rPr>
          <w:rFonts w:ascii="IRNazanin" w:hAnsi="IRNazanin" w:eastAsia="IRNazanin"/>
          <w:color w:val="111111"/>
          <w:sz w:val="28"/>
          <w:sz w:val="28"/>
          <w:szCs w:val="28"/>
          <w:rtl w:val="true"/>
          <w:lang w:bidi="fa-IR"/>
        </w:rPr>
        <w:t xml:space="preserve">احمد بن حنبل و در سنن </w:t>
      </w:r>
      <w:r>
        <w:rPr>
          <w:rStyle w:val="FootnoteAnchor"/>
          <w:rtl w:val="true"/>
        </w:rPr>
        <w:footnoteReference w:id="161"/>
      </w:r>
      <w:r>
        <w:rPr>
          <w:rFonts w:ascii="IRNazanin" w:hAnsi="IRNazanin" w:eastAsia="IRNazanin"/>
          <w:color w:val="111111"/>
          <w:sz w:val="28"/>
          <w:sz w:val="28"/>
          <w:szCs w:val="28"/>
          <w:rtl w:val="true"/>
          <w:lang w:bidi="fa-IR"/>
        </w:rPr>
        <w:t>ابن ماجه بعضی فقراتش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ابی عوانه و معجم الکبیر </w:t>
      </w:r>
      <w:r>
        <w:rPr>
          <w:rStyle w:val="FootnoteAnchor"/>
          <w:rtl w:val="true"/>
        </w:rPr>
        <w:footnoteReference w:id="162"/>
      </w:r>
      <w:r>
        <w:rPr>
          <w:rFonts w:ascii="IRNazanin" w:hAnsi="IRNazanin" w:eastAsia="IRNazanin"/>
          <w:color w:val="111111"/>
          <w:sz w:val="28"/>
          <w:sz w:val="28"/>
          <w:szCs w:val="28"/>
          <w:rtl w:val="true"/>
          <w:lang w:bidi="fa-IR"/>
        </w:rPr>
        <w:t>طبرانی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مصدر اولش همان مسند احمد بن حنبل است</w:t>
      </w:r>
      <w:r>
        <w:rPr>
          <w:rFonts w:eastAsia="IRNazanin" w:cs="IRNazanin"/>
          <w:color w:val="111111"/>
          <w:sz w:val="28"/>
          <w:szCs w:val="28"/>
          <w:rtl w:val="true"/>
          <w:lang w:bidi="fa-IR"/>
        </w:rPr>
        <w:t>.</w:t>
      </w:r>
    </w:p>
    <w:p>
      <w:pPr>
        <w:pStyle w:val="Heading5"/>
        <w:numPr>
          <w:ilvl w:val="4"/>
          <w:numId w:val="1"/>
        </w:numPr>
        <w:rPr/>
      </w:pPr>
      <w:bookmarkStart w:id="274" w:name="__RefHeading___Toc3219667_2870459653"/>
      <w:bookmarkStart w:id="275" w:name="_Toc111"/>
      <w:bookmarkEnd w:id="274"/>
      <w:r>
        <w:rPr>
          <w:rtl w:val="true"/>
        </w:rPr>
        <w:t>بررسی کتاب مسند احمد بن حنبل</w:t>
      </w:r>
      <w:bookmarkEnd w:id="275"/>
    </w:p>
    <w:p>
      <w:pPr>
        <w:pStyle w:val="BookText"/>
        <w:rPr/>
      </w:pPr>
      <w:r>
        <w:rPr>
          <w:rFonts w:ascii="IRNazanin" w:hAnsi="IRNazanin" w:eastAsia="IRNazanin"/>
          <w:color w:val="111111"/>
          <w:sz w:val="28"/>
          <w:sz w:val="28"/>
          <w:szCs w:val="28"/>
          <w:rtl w:val="true"/>
          <w:lang w:bidi="fa-IR"/>
        </w:rPr>
        <w:t>این کتاب به تمامه تألیف احمد بن حنبل نیست؛ قسمتی از کتاب تألیف احمد است و بعضی دیگر آن اضافات فرزندش عبد اللّه است و بعضی از آن اضافات احمد بن جعفر قطیعی است که راوی از عبد اللّه بن احمد بن حنبل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وقتی شروع به تألیف مسند کرد این مسند اوراق پراکنده و یاد داشت هایی بود وقتی آن ها را جمع و مرتب می کرد به جایی رسید که احتمال می داد نتواند مسند را تمام کند؛ لذا شروع کرد برای اهل بیتش روایات را گفتن و قبل از نوشتن و جمع آوری روایات از دنیا رفت سپس پسرش روایات منقول از پدرش را نوشت و در مسند گذاشت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این روایات اقضیه نبی صلی اللّه علیه و آله و سلم که از عبادة بن صامت </w:t>
      </w:r>
      <w:bookmarkStart w:id="276" w:name="pg9135_79623"/>
    </w:p>
    <w:p>
      <w:pPr>
        <w:pStyle w:val="BookText"/>
        <w:rPr/>
      </w:pPr>
      <w:bookmarkEnd w:id="276"/>
      <w:r>
        <w:rPr>
          <w:rFonts w:ascii="IRNazanin" w:hAnsi="IRNazanin" w:eastAsia="IRNazanin"/>
          <w:color w:val="111111"/>
          <w:sz w:val="28"/>
          <w:sz w:val="28"/>
          <w:szCs w:val="28"/>
          <w:rtl w:val="true"/>
          <w:lang w:bidi="fa-IR"/>
        </w:rPr>
        <w:t>است از اضافات فرزند احمد بن حنبل یعنی عبد اللّه است به جهت این که این روایت به دو سند ذکر شده است و در یک سند آن از طریق پدرش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ابو كامل جَحدري عن فضيل بن سليمان عن موسى بن عقبة عن اسحاق بن يحيى عن عبادة بن صامت در این روایت اصلاً از احمد بن حنبل نامی برده نشده است همین روایت را از پدرش از سلّه بن مسعود از فضیل بن سلیمان به همان سند قبل نقل می کند، پس آن روایت از روایات فرزندش است نه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از کتب دسته سوّم اهل سنّت است و در این کتاب از زیادات فرزند مؤلف است و سند آن هم مرسل است، اگر چنین روایتی را قرینه بیاوریم برای روایت شیعه قابل قبول نیست؛ زیرا قرینه باید ظهورش از ذو القرینه بیشتر باشد</w:t>
      </w:r>
      <w:r>
        <w:rPr>
          <w:rFonts w:eastAsia="IRNazanin" w:cs="IRNazanin"/>
          <w:color w:val="111111"/>
          <w:sz w:val="28"/>
          <w:szCs w:val="28"/>
          <w:rtl w:val="true"/>
          <w:lang w:bidi="fa-IR"/>
        </w:rPr>
        <w:t>.</w:t>
      </w:r>
    </w:p>
    <w:p>
      <w:pPr>
        <w:pStyle w:val="Heading5"/>
        <w:numPr>
          <w:ilvl w:val="4"/>
          <w:numId w:val="1"/>
        </w:numPr>
        <w:rPr/>
      </w:pPr>
      <w:bookmarkStart w:id="277" w:name="__RefHeading___Toc3219669_2870459653"/>
      <w:bookmarkStart w:id="278" w:name="_Toc112"/>
      <w:bookmarkEnd w:id="277"/>
      <w:r>
        <w:rPr>
          <w:rtl w:val="true"/>
        </w:rPr>
        <w:t>اشکالاتی دیگر بر جناب شيخ الشريعة رحمه اللّه علیه</w:t>
      </w:r>
      <w:bookmarkEnd w:id="278"/>
    </w:p>
    <w:p>
      <w:pPr>
        <w:pStyle w:val="BookText"/>
        <w:rPr/>
      </w:pPr>
      <w:r>
        <w:rPr>
          <w:rFonts w:ascii="IRNazanin" w:hAnsi="IRNazanin" w:eastAsia="IRNazanin"/>
          <w:color w:val="111111"/>
          <w:sz w:val="28"/>
          <w:sz w:val="28"/>
          <w:szCs w:val="28"/>
          <w:rtl w:val="true"/>
          <w:lang w:bidi="fa-IR"/>
        </w:rPr>
        <w:t>طبق فرمایش جناب شيخ الشريعة بايد روايت عقبة بن خالد که یک روایت شیعی است را ارجاع دهیم به روایت عبادة بن صامت که یک روایت عامی است؛ و این کلام مردود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این که بپذیریم روايت عقبة بن خالد جمع در مروی است و به قرینه روایت عبادة بن صامت دو روایت شفعه و منع فضل ماء در واقع یک روایت هستند که اصحاب تقطیع کرده اند و هر حکم را به باب خود برده اند، امّا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روایت عبادة بن صامت یک لاضرر داریم؛ امّا در دو روایت شفعه منع فضل ماء هر کدام یک لاضرر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شاهد است بر این که روایت عقبة بن خالد ارتباطی با روایت عبادة بن صامت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عبادة بن صامت لاضرر جزء احکام مستقل پیامبر صلی اللّه علیه و آله و سلم نقل شده است در حالی که در روایت عقبة بن خالد لاضرر در ذیل داستان شفعه و منع فضل ماء آمده است و في ما سبق گفته شد که استقلال لاضرر و لاضرار مفهوم ندارد مگر این که در ذیل حکمی بیاید و در روایت شَفَّعَهُ وَ مَنَعَ فَضْلَ مَاءٍ می بینیم که لاضرر ذیل حکمی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چگونه یک روایتی را که مفهوم دارد به روایتی که معنی و مفهوم ندارد، ارجاع دهیم و علی </w:t>
      </w:r>
    </w:p>
    <w:p>
      <w:pPr>
        <w:pStyle w:val="BookText"/>
        <w:rPr/>
      </w:pPr>
      <w:r>
        <w:rPr>
          <w:rFonts w:ascii="IRNazanin" w:hAnsi="IRNazanin" w:eastAsia="IRNazanin"/>
          <w:color w:val="111111"/>
          <w:sz w:val="28"/>
          <w:sz w:val="28"/>
          <w:szCs w:val="28"/>
          <w:rtl w:val="true"/>
          <w:lang w:bidi="fa-IR"/>
        </w:rPr>
        <w:t>القاعده باید مجمل ارجاع به محکم داده شود نه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این که خبر عقبة بن خالد نسخه شيعي خبر عبادة بن صامت است، قابل قبول نیست؛ زیرا در خبر عبادة بن صامت همان طور که شیخ الشريعة فرمودند بیست مورد از قضاهای رسول خدا صلی اللّه علیه و آله و سلم نقل شده است در حالی که در خبر عقبة بن خالد هفت مورد ذکر شده و اگر این روایت نسخه بدل روایت عبادة باشد باید بیشتر آن موارد را ذکر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همان طور که گفتیم قول به شهرت روایت عبادة بن صامت که مروی در کتب عامه است برای ما ثابت نشد، حتی در صحاح دست اول و دوم و سوم هم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عقبة بن خالد نیز نزد شیعه شهرت ندارد به خاطر محمّد بن عبد اللّه بن هلال حال ما این دو روایت را که على الفرض مشتركاتی دارند و به ادعای این که این دو روایت مشهور است عند الشيعة و العامّة، بياییم یکی را اصل و دیگری را فرع بگیریم،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الشريعة استبعاد کرده اند که لاضرر در روایت عقبة بن خالد دو بار تکرار شده باشد در حالی که در روایت عبادة بن صامت یک بار لاضرر ذکر شده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علت استعباد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از یاران علی علیه السلام است و به خاطر جو خفقان آن زمان بعضی از سخنان را نمی 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سخنانی را که در مورد امامت و ولایت بود، جلوگیری می کردند و بحث لاضرر به نفی دستگاه خلافت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لاضرر دو بار تکرار شده بود عبادة هم باید لاضرر را تکرار می کرد و این شاهد بر این است که یک لاضرر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اضافه شدن یا نشدن قسمتی از روایت به خاطر ضرر</w:t>
      </w:r>
    </w:p>
    <w:p>
      <w:pPr>
        <w:pStyle w:val="BookText"/>
        <w:rPr/>
      </w:pPr>
      <w:r>
        <w:rPr>
          <w:rFonts w:ascii="IRNazanin" w:hAnsi="IRNazanin" w:eastAsia="IRNazanin"/>
          <w:color w:val="111111"/>
          <w:sz w:val="28"/>
          <w:sz w:val="28"/>
          <w:szCs w:val="28"/>
          <w:rtl w:val="true"/>
          <w:lang w:bidi="fa-IR"/>
        </w:rPr>
        <w:t>و نفع شخصی است این سخن درستی نیست؛ زیرا اشتباه در گزارش روایات فقط نفع و ضرر شخصی نیست، ممکن است به خاطر سهو یا نسیان یا عدم ضبط از ناحیه راوی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جناب شیخ الشريعه متبحر و فحل در بحث </w:t>
      </w:r>
    </w:p>
    <w:p>
      <w:pPr>
        <w:pStyle w:val="BookText"/>
        <w:rPr/>
      </w:pPr>
      <w:r>
        <w:rPr>
          <w:rFonts w:ascii="IRNazanin" w:hAnsi="IRNazanin" w:eastAsia="IRNazanin"/>
          <w:color w:val="111111"/>
          <w:sz w:val="28"/>
          <w:sz w:val="28"/>
          <w:szCs w:val="28"/>
          <w:rtl w:val="true"/>
          <w:lang w:bidi="fa-IR"/>
        </w:rPr>
        <w:t>رجال هستند؛ امّا ما باشیم و یک روایت عامی و یک روایت شیعی علی القاعده باید روایت شیعی را اصل قرار دهیم و ابهامات را با روایت شیعی برطرف کنیم؛ زیرا روایات علمی حداقل صد سال بعد از رسول خدا صلی اللّه علیه و آله و سلم جمع آوری شد و همۀ راویان طبقه که از رسول خدا صلی اللّه علیه و آله و سلم شنیده بودند از دنیا رفته بودند و هر چه نقل قول با یک یا دو یا سه واسطه تا رسول خدا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 شیعی تدوین آن از عصر رسالت شروع شده تا آخرین امامی که بین مردم بوده است به خصوص در عصر صادقین علیهما السلام که به اوج خود رسید، تا جایی که کتب حدیثی ما به چهارصد اصل رسید علاوه بر این، کتب حدیثی دیگری هم تدوین شد که اصل نبودند چون در اصل اموری معتبر است که در کتب حدیثی دیگر لزوم ندارد؛ مثلاً در اصل سماع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داستان حدیث با اهل سنّت فرق دارد؛ لذا وثوق و اطمینان در احادیث شیعه زیاد است برخلاف روایات اهل سنّت که اصح صحاح آن ها بخاری است که در عصر امام هادی علیه السلام تدوین شده است، پس آنی که قرائن صحت در آن بیشتر است باید اصل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روايت عبادة بن صامت را بپذیریم در حدیث عبادة یک لاضرر آمده است و در حدیث عقبة دو لاضرر آمده است، ما قاعده ای داریم به نام عدم زیادتی و آن این است که اگر در روایتی اضافه ای باشد که در دیگری نیست اصل این است که این اضافه را راوی اضافه نکرده است؛ بلکه در خود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می گیریم که دو لا ضرری که در حدیث عقبة بن خالد ذيل حکم شفعه و منع فضل ماء آمده است علّت حکم است و صحیح است و قول شیخ الشريعة و من تبع ایشان، محقق نائینی رحمه اللّه علیه و محقّق اصفهانی </w:t>
      </w:r>
      <w:r>
        <w:rPr>
          <w:rStyle w:val="FootnoteAnchor"/>
          <w:rtl w:val="true"/>
        </w:rPr>
        <w:footnoteReference w:id="165"/>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bookmarkStart w:id="279" w:name="pg9135_79626"/>
    </w:p>
    <w:p>
      <w:pPr>
        <w:pStyle w:val="Heading2"/>
        <w:numPr>
          <w:ilvl w:val="1"/>
          <w:numId w:val="1"/>
        </w:numPr>
        <w:rPr/>
      </w:pPr>
      <w:bookmarkStart w:id="280" w:name="__RefHeading___Toc3219671_2870459653"/>
      <w:bookmarkStart w:id="281" w:name="_Toc113"/>
      <w:bookmarkEnd w:id="279"/>
      <w:bookmarkEnd w:id="280"/>
      <w:r>
        <w:rPr>
          <w:rtl w:val="true"/>
        </w:rPr>
        <w:t>مفردات قاعده لاضرر</w:t>
      </w:r>
      <w:bookmarkEnd w:id="281"/>
    </w:p>
    <w:p>
      <w:pPr>
        <w:pStyle w:val="Heading3"/>
        <w:numPr>
          <w:ilvl w:val="2"/>
          <w:numId w:val="1"/>
        </w:numPr>
        <w:rPr/>
      </w:pPr>
      <w:bookmarkStart w:id="282" w:name="__RefHeading___Toc3219673_2870459653"/>
      <w:bookmarkStart w:id="283" w:name="_Toc114"/>
      <w:bookmarkEnd w:id="282"/>
      <w:r>
        <w:rPr/>
        <w:t>1</w:t>
      </w:r>
      <w:r>
        <w:rPr>
          <w:rtl w:val="true"/>
        </w:rPr>
        <w:t>-</w:t>
      </w:r>
      <w:r>
        <w:rPr>
          <w:rtl w:val="true"/>
        </w:rPr>
        <w:t>لا</w:t>
      </w:r>
      <w:bookmarkEnd w:id="283"/>
    </w:p>
    <w:p>
      <w:pPr>
        <w:pStyle w:val="BookText"/>
        <w:rPr/>
      </w:pPr>
      <w:r>
        <w:rPr>
          <w:rFonts w:ascii="IRNazanin" w:hAnsi="IRNazanin" w:eastAsia="IRNazanin"/>
          <w:color w:val="111111"/>
          <w:sz w:val="28"/>
          <w:sz w:val="28"/>
          <w:szCs w:val="28"/>
          <w:rtl w:val="true"/>
          <w:lang w:bidi="fa-IR"/>
        </w:rPr>
        <w:t xml:space="preserve">شکی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نفی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ناهية باشد بر اسم وارد نمی شود</w:t>
      </w:r>
      <w:r>
        <w:rPr>
          <w:rFonts w:eastAsia="IRNazanin" w:cs="IRNazanin"/>
          <w:color w:val="111111"/>
          <w:sz w:val="28"/>
          <w:szCs w:val="28"/>
          <w:rtl w:val="true"/>
          <w:lang w:bidi="fa-IR"/>
        </w:rPr>
        <w:t>.</w:t>
      </w:r>
    </w:p>
    <w:p>
      <w:pPr>
        <w:pStyle w:val="Heading3"/>
        <w:numPr>
          <w:ilvl w:val="2"/>
          <w:numId w:val="1"/>
        </w:numPr>
        <w:rPr/>
      </w:pPr>
      <w:bookmarkStart w:id="284" w:name="__RefHeading___Toc3219675_2870459653"/>
      <w:bookmarkStart w:id="285" w:name="_Toc115"/>
      <w:bookmarkEnd w:id="284"/>
      <w:r>
        <w:rPr/>
        <w:t>2</w:t>
      </w:r>
      <w:r>
        <w:rPr>
          <w:rtl w:val="true"/>
        </w:rPr>
        <w:t>-</w:t>
      </w:r>
      <w:r>
        <w:rPr>
          <w:rtl w:val="true"/>
        </w:rPr>
        <w:t>ضرر</w:t>
      </w:r>
      <w:bookmarkEnd w:id="285"/>
    </w:p>
    <w:p>
      <w:pPr>
        <w:pStyle w:val="Heading4"/>
        <w:numPr>
          <w:ilvl w:val="3"/>
          <w:numId w:val="1"/>
        </w:numPr>
        <w:rPr/>
      </w:pPr>
      <w:bookmarkStart w:id="286" w:name="__RefHeading___Toc3219677_2870459653"/>
      <w:bookmarkStart w:id="287" w:name="_Toc11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ظاهر این است که کلمه الضرر اسم مصدر است برای الضَرّ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أزهری در کتاب 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وَ الضَّرِّ لغتان ، فَإِذَا جَمَعْتَ بَيْنَ الضَّرِّ وَ النَّفْعِ فُتِحَتْ الضاء وَ إِذَا أَفْرَدْتُ الضُّرُّ ضَمَمْتَ الضاء إِذَا لَمْ تَجْعَلْهُ مصدراً كَقَوْلِكَ ضَرَرْتُ ضَرّاً هَكَذَا يَسْتَعْمِلُهُ الْعَرَبِ وَ قَالَ أَبُو اَلدَّقِيسُ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 ضِدَّ النَّفْعِ وَ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 وَ سُوءِ الْحَالِ ، وَ الضَّرَرِ، النُّقْصَانُ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جوهرى الضُّرُّ خِلَافَ النَّفْعِ وَ قَدْ ضَرَّهُ و ضارّه بِمَعْنَى و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عَلَيْهِ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يَزِيدُكَ وَ لَا يَضُرُّكَ عَلَيْهِ 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رَجُلًا يَزِيدُكَ عَلَى مَا عِنْدَ هَذَا الرَّجُلَ مِنْ الكفايه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الْعَيْنِ ؛ الضُّرَّ وَ الضَّرِّ لغتان فاذا جَمَعْتَ بَيْنَ الضَّرِّ وَ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يَدْخُلُ فِي الشَّيْ‌ءَ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ضَرَرُ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الزمانه وَ مِنْهُ </w:t>
      </w:r>
      <w:bookmarkStart w:id="288" w:name="pg9135_79627"/>
    </w:p>
    <w:p>
      <w:pPr>
        <w:pStyle w:val="BookText"/>
        <w:rPr/>
      </w:pPr>
      <w:bookmarkEnd w:id="288"/>
      <w:r>
        <w:rPr>
          <w:rFonts w:ascii="Amiri" w:hAnsi="Amiri" w:eastAsia="Amiri" w:cs="Amiri"/>
          <w:color w:val="111111"/>
          <w:sz w:val="28"/>
          <w:sz w:val="28"/>
          <w:szCs w:val="28"/>
          <w:rtl w:val="true"/>
          <w:lang w:bidi="ar-SA"/>
        </w:rPr>
        <w:t>قَوْلُهُ تَعَالَى غَيْرَ أَوْلَى الضَّرَرِ</w:t>
      </w:r>
      <w:r>
        <w:rPr>
          <w:rStyle w:val="FootnoteAnchor"/>
          <w:rtl w:val="true"/>
        </w:rPr>
        <w:footnoteReference w:id="168"/>
      </w:r>
      <w:r>
        <w:rPr>
          <w:rFonts w:ascii="Amiri" w:hAnsi="Amiri" w:eastAsia="Amiri" w:cs="Amiri"/>
          <w:color w:val="111111"/>
          <w:sz w:val="28"/>
          <w:sz w:val="28"/>
          <w:szCs w:val="28"/>
          <w:rtl w:val="true"/>
          <w:lang w:bidi="ar-SA"/>
        </w:rPr>
        <w:t xml:space="preserve">وَ أَخَّرَ الطَّرِيقِ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بِهِمْ وَ دَنَا مِنْهُمْ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فِي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الضَّارُّ وَ هُوَ الَّذِي يَنْفَعُ مَنْ يَشَاءُ مِنْ خَلْقِهِ وَ يَضُرُّهُ حَيْثُ هُوَ خَالِقِ الْأَشْيَاءُ كُلُّهَا خَيْرُهَا وَ شَرَهاً وَ نَفَعَهَا وَ 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ضَرَّهُ يَضُرُّهُ ضَرّاً وَ ضَرٍ بِهِ وَ أَضَرَّ بِهِ وَ ضارّه مُضَارَّةً وَ ضِراراً بِمَعْنَى وَ اَلْإِسْمُ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الْحَالِ وَ الضَّرَرِ النُّقْصَانِ يَدْخُلُ فِي الشَّيْ‌ءِ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الضَّرَرِ الضِّيقُ، وَ مَكَانَ ذُو ضَرَرٍ،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الفاقه وَ الْفَقْرِ بِضَمِّ الضاء اسْمُ وَ بِفَتْحِهَا مُصْدِرٍ ضَرَّهُ يَضُرُّهُ مِنْ بَابُ قُتِلَ ، إِذَا فُعِلَ بِهِ مَكْرُوهاً وَ أَضَرَّ بِهِ يَتَعَدَّى بِنَفْسِهِ ثلاثياً ، وَ بِالْبَاءِ رُبَاعِيّاً وَ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وَقَدْ أَطْلَقَ عَلَى نَقْصِ يَدْخُلُ الْأَعْيَانِ و ضارّه مُضَارَّةً وَ ضِراراً بِمَعْنَى ضُرِّهِ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3219679_2870459653"/>
      <w:bookmarkStart w:id="290" w:name="_Toc117"/>
      <w:bookmarkEnd w:id="289"/>
      <w:r>
        <w:rPr>
          <w:rtl w:val="true"/>
        </w:rPr>
        <w:t xml:space="preserve">نظر بزرگان در مورد کلمهٔ </w:t>
      </w:r>
      <w:r>
        <w:rPr>
          <w:rtl w:val="true"/>
        </w:rPr>
        <w:t>«</w:t>
      </w:r>
      <w:r>
        <w:rPr>
          <w:rtl w:val="true"/>
        </w:rPr>
        <w:t>ضرر</w:t>
      </w:r>
      <w:r>
        <w:rPr>
          <w:rtl w:val="true"/>
        </w:rPr>
        <w:t>»</w:t>
      </w:r>
      <w:bookmarkEnd w:id="290"/>
    </w:p>
    <w:p>
      <w:pPr>
        <w:pStyle w:val="BookText"/>
        <w:rPr/>
      </w:pPr>
      <w:r>
        <w:rPr>
          <w:rFonts w:ascii="IRNazanin" w:hAnsi="IRNazanin" w:eastAsia="IRNazanin"/>
          <w:color w:val="111111"/>
          <w:sz w:val="28"/>
          <w:sz w:val="28"/>
          <w:szCs w:val="28"/>
          <w:rtl w:val="true"/>
          <w:lang w:bidi="fa-IR"/>
        </w:rPr>
        <w:t>مرحوم آخوند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در مقابل نفع است؛ ضرر در شیء، نقص در آن شیء است به بیان دیگر اگر شیء ناقص شود در واقع ضرر پیدا کرده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 اقسامی دارد؛ نقص در نفس، نقص در عضو، نقص در عرض، نقص در مال، نفع به معنای زیادتی در نفس یا طرف، یا عرض یا مال كه كثيراً ما استعمال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رحمه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در مقابل نفع است به تقابل عدم و ملکه یعنی ضرر نقصان است در جایی که قابلیت زیادتی داشته باشد، اگر جایی قابلیت </w:t>
      </w:r>
      <w:bookmarkStart w:id="291" w:name="pg9135_79628"/>
    </w:p>
    <w:p>
      <w:pPr>
        <w:pStyle w:val="BookText"/>
        <w:rPr/>
      </w:pPr>
      <w:bookmarkEnd w:id="291"/>
      <w:r>
        <w:rPr>
          <w:rFonts w:ascii="IRNazanin" w:hAnsi="IRNazanin" w:eastAsia="IRNazanin"/>
          <w:color w:val="111111"/>
          <w:sz w:val="28"/>
          <w:sz w:val="28"/>
          <w:szCs w:val="28"/>
          <w:rtl w:val="true"/>
          <w:lang w:bidi="fa-IR"/>
        </w:rPr>
        <w:t>زیادتی داشته باشد و رشد نکند تعبیر به ضرر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کلام مرحوم آخوند رحمه اللّه علیه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به معنای نفع و این که تقابل این دو عدم و ملکه باشد صحیح نمی باشد؛ زیرا تقابل عدم و ملکه جایی است که یکی وجودی باشد و دیگری عدمی باشد که قابلیت وجود داشته باشد امّا در بحث ضرر و نفع ما سه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و شق سوّم جایی که نه ضرر باشد نه نفع برای مثال در ضرر مالی یا نفع می کند یا متضرر می شود و شق سوم آن که نه نفع می برد و نه متضرر می شود چون ضرر و نفع ضدینی هستند که لهما ثالث؛ بنا بر این می شود هر دو مرتفع شود، آن جا که اصل مال برگردد، نمی شود بین آن ها تقابل عدم و ملکه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نقص بعد از معدوم شدن وجود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ناقص شده نه زیادتی پیدا کرده است این شقّ ثالثی است که واسطه بین نقص و ضرر است</w:t>
      </w:r>
      <w:r>
        <w:rPr>
          <w:rFonts w:eastAsia="IRNazanin" w:cs="IRNazanin"/>
          <w:color w:val="111111"/>
          <w:sz w:val="28"/>
          <w:szCs w:val="28"/>
          <w:rtl w:val="true"/>
          <w:lang w:bidi="fa-IR"/>
        </w:rPr>
        <w:t>.</w:t>
      </w:r>
    </w:p>
    <w:p>
      <w:pPr>
        <w:pStyle w:val="Heading4"/>
        <w:numPr>
          <w:ilvl w:val="3"/>
          <w:numId w:val="1"/>
        </w:numPr>
        <w:rPr/>
      </w:pPr>
      <w:bookmarkStart w:id="292" w:name="__RefHeading___Toc3219681_2870459653"/>
      <w:bookmarkStart w:id="293" w:name="_Toc118"/>
      <w:bookmarkEnd w:id="292"/>
      <w:r>
        <w:rPr>
          <w:rtl w:val="true"/>
        </w:rPr>
        <w:t>سؤال آیا به عدم النفع ضرر گفته می شود یا خیر؟</w:t>
      </w:r>
      <w:bookmarkEnd w:id="293"/>
    </w:p>
    <w:p>
      <w:pPr>
        <w:pStyle w:val="BookText"/>
        <w:rPr/>
      </w:pPr>
      <w:r>
        <w:rPr>
          <w:rFonts w:ascii="IRNazanin" w:hAnsi="IRNazanin" w:eastAsia="IRNazanin"/>
          <w:color w:val="111111"/>
          <w:sz w:val="28"/>
          <w:sz w:val="28"/>
          <w:szCs w:val="28"/>
          <w:rtl w:val="true"/>
          <w:lang w:bidi="fa-IR"/>
        </w:rPr>
        <w:t xml:space="preserve">بله گاهی از مواقع ضرر به معنای عدم النفع استعمال شده است مانند این سخن آقا امیر المؤمنين علیه السلام </w:t>
      </w:r>
      <w:r>
        <w:rPr>
          <w:rFonts w:ascii="Amiri" w:hAnsi="Amiri" w:eastAsia="Amiri" w:cs="Amiri"/>
          <w:color w:val="111111"/>
          <w:sz w:val="28"/>
          <w:sz w:val="28"/>
          <w:szCs w:val="28"/>
          <w:rtl w:val="true"/>
          <w:lang w:bidi="ar-SA"/>
        </w:rPr>
        <w:t>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الْإِيمَانِ أَنْ تُؤْثِرَ الصِّدْقَ حَيْثُ يَضُرُّكَ عَلَى الْكَذِبِ حَيْثُ يَنْفَعُكَ وَ انَّ لَا يَكُونَ فِي حَدِيثِكَ فَضْلُ عَنْ عَمَلِكَ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ایمان گزینش راست گویی بر دروغ گویی است آن جا که راستی به نفعت نباشد و دروغ به سودت باشد دیگر آن که بیش از داناییت سخن مگو و سوم این که درباره دیگران با احتیاط و خدا ترسی سخن گو</w:t>
      </w:r>
    </w:p>
    <w:p>
      <w:pPr>
        <w:pStyle w:val="BookText"/>
        <w:rPr/>
      </w:pPr>
      <w:r>
        <w:rPr>
          <w:rFonts w:ascii="IRNazanin" w:hAnsi="IRNazanin" w:eastAsia="IRNazanin"/>
          <w:color w:val="111111"/>
          <w:sz w:val="28"/>
          <w:sz w:val="28"/>
          <w:szCs w:val="28"/>
          <w:rtl w:val="true"/>
          <w:lang w:bidi="fa-IR"/>
        </w:rPr>
        <w:t>امّا ظاهر این است که ضرر به معنای نقص و زیان است و عدم النفع را نمی گیرد ولو گاهی از مواقع در عدم النفع هم استعمال شود</w:t>
      </w:r>
      <w:r>
        <w:rPr>
          <w:rFonts w:eastAsia="IRNazanin" w:cs="IRNazanin"/>
          <w:color w:val="111111"/>
          <w:sz w:val="28"/>
          <w:szCs w:val="28"/>
          <w:rtl w:val="true"/>
          <w:lang w:bidi="fa-IR"/>
        </w:rPr>
        <w:t>.</w:t>
      </w:r>
    </w:p>
    <w:p>
      <w:pPr>
        <w:pStyle w:val="Heading4"/>
        <w:numPr>
          <w:ilvl w:val="3"/>
          <w:numId w:val="1"/>
        </w:numPr>
        <w:rPr/>
      </w:pPr>
      <w:bookmarkStart w:id="294" w:name="__RefHeading___Toc3219683_2870459653"/>
      <w:bookmarkStart w:id="295" w:name="_Toc119"/>
      <w:bookmarkEnd w:id="294"/>
      <w:r>
        <w:rPr>
          <w:rtl w:val="true"/>
        </w:rPr>
        <w:t>آیا ضرر در عِرض هم ثابت است؟</w:t>
      </w:r>
      <w:bookmarkEnd w:id="2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 استعمال ضرر در عِرض صحیح است و هم به این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داستان سمرة بن جندب است که در یک روایت رسول خدا صلی اللّه علیه و آله و سلم به </w:t>
      </w:r>
    </w:p>
    <w:p>
      <w:pPr>
        <w:pStyle w:val="BookText"/>
        <w:rPr/>
      </w:pPr>
      <w:r>
        <w:rPr>
          <w:rFonts w:ascii="IRNazanin" w:hAnsi="IRNazanin" w:eastAsia="IRNazanin"/>
          <w:color w:val="111111"/>
          <w:sz w:val="28"/>
          <w:sz w:val="28"/>
          <w:szCs w:val="28"/>
          <w:rtl w:val="true"/>
          <w:lang w:bidi="fa-IR"/>
        </w:rPr>
        <w:t>سمره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أَرَاكَ يَا سَمُرَةُ إِلَّا مُضَارّاً</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سمره نقص نسبت به غیر خود در عرض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سند این روایت ضعیف است؛ امّا مشکلی برای استدلال ما نیست چون بحث ما استشهاد لغوی است نه استشهاد در حکم حتی اگر روایت جعل هم باشد راوی بر خلاف لغت عرب تکلم نمی کند و جعل روایت نمی کند؛ بلکه باید مطابق لغت عرب جعل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عدم النفع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نُقْصَانُ وَ بِلَا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به معنای این که کسی در معرض نفعی است، و دیگری می آید نفعی را که این شخص در معرض وصول آن است مانع می شود آیا به این عدم النفع ضرر اطلاق می شود؟</w:t>
      </w:r>
    </w:p>
    <w:p>
      <w:pPr>
        <w:pStyle w:val="BookText"/>
        <w:rPr/>
      </w:pP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ضرر متوجه شما شده است نه به عنوان شخص شما بلکه به عنوان یک کلّی که شما یکی از مصادیق آن کلّی هستید یا در آن منطقه تنها مصداق آن کلّی شما هستید؛ مثلاً کسی بیاید در جایی که فقط یک طبیب دارد او هم مطب احداث کند برای 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كلّى طبابت تنها مصداقش این شخص طبیب بود که الآن با احداث این مطب او تنها مصداق کلّی نیست و در ظاهر به او ضرر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به عنوان این که شما مصداق یک کلّی هستید به شما توجّه پیدا نکرده؛ بلکه نفع به شخص شما توجه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ممکن است احداث مطب دیگر کنار این مطب باعث رونق بیشتر و جذب مشتری بیشتر شود و همیشه مصداق ضرر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که نفع متوجه شخص شده و کسی می آید جلوی نفع را می گیرد عرف آن را ضرر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عرف این مورد را با مسامحه ضرر حساب می کند یا واقعاً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ممکن است عدم النفع ضرر نباشد؛ بلکه منکشف شود که نفع بوده و ما تصور می کردیم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اطلاق ضرر بر عدم النفع به مسامحه است نه حقيقتاً، و الّا اگر واقعاً ضرر بود تبدّل به نفع پیدا نمی کرد، به عنوان مثال مثلاً کسی جلوی معامله ای را گرفت و بعداً قیمت آن افزایش پیدا کرد، عرف این را </w:t>
      </w:r>
      <w:bookmarkStart w:id="296" w:name="pg9135_79630"/>
    </w:p>
    <w:p>
      <w:pPr>
        <w:pStyle w:val="BookText"/>
        <w:rPr/>
      </w:pPr>
      <w:bookmarkEnd w:id="296"/>
      <w:r>
        <w:rPr>
          <w:rFonts w:ascii="IRNazanin" w:hAnsi="IRNazanin" w:eastAsia="IRNazanin"/>
          <w:color w:val="111111"/>
          <w:sz w:val="28"/>
          <w:sz w:val="28"/>
          <w:szCs w:val="28"/>
          <w:rtl w:val="true"/>
          <w:lang w:bidi="fa-IR"/>
        </w:rPr>
        <w:t>ضرر نمی داند؛ بلکه نفع می داند</w:t>
      </w:r>
      <w:r>
        <w:rPr>
          <w:rFonts w:eastAsia="IRNazanin" w:cs="IRNazanin"/>
          <w:color w:val="111111"/>
          <w:sz w:val="28"/>
          <w:szCs w:val="28"/>
          <w:rtl w:val="true"/>
          <w:lang w:bidi="fa-IR"/>
        </w:rPr>
        <w:t>.</w:t>
      </w:r>
    </w:p>
    <w:p>
      <w:pPr>
        <w:pStyle w:val="Heading3"/>
        <w:numPr>
          <w:ilvl w:val="2"/>
          <w:numId w:val="1"/>
        </w:numPr>
        <w:rPr/>
      </w:pPr>
      <w:bookmarkStart w:id="297" w:name="__RefHeading___Toc3219685_2870459653"/>
      <w:bookmarkStart w:id="298" w:name="_Toc120"/>
      <w:bookmarkEnd w:id="297"/>
      <w:r>
        <w:rPr/>
        <w:t>3</w:t>
      </w:r>
      <w:r>
        <w:rPr>
          <w:rtl w:val="true"/>
        </w:rPr>
        <w:t>-</w:t>
      </w:r>
      <w:r>
        <w:rPr>
          <w:rtl w:val="true"/>
        </w:rPr>
        <w:t>ضرار</w:t>
      </w:r>
      <w:bookmarkEnd w:id="298"/>
    </w:p>
    <w:p>
      <w:pPr>
        <w:pStyle w:val="Heading4"/>
        <w:numPr>
          <w:ilvl w:val="3"/>
          <w:numId w:val="1"/>
        </w:numPr>
        <w:rPr/>
      </w:pPr>
      <w:bookmarkStart w:id="299" w:name="__RefHeading___Toc3219687_2870459653"/>
      <w:bookmarkStart w:id="300" w:name="_Toc121"/>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ضرار مصدر است و دلالت می کند بر حدث نقص، یعنی اگر نقصی در چیزی ایجاد شد می توانید به ضرار از آن یاد کنید</w:t>
      </w:r>
      <w:r>
        <w:rPr>
          <w:rFonts w:eastAsia="IRNazanin" w:cs="IRNazanin"/>
          <w:color w:val="111111"/>
          <w:sz w:val="28"/>
          <w:szCs w:val="28"/>
          <w:rtl w:val="true"/>
          <w:lang w:bidi="fa-IR"/>
        </w:rPr>
        <w:t>.</w:t>
      </w:r>
    </w:p>
    <w:p>
      <w:pPr>
        <w:pStyle w:val="Heading4"/>
        <w:numPr>
          <w:ilvl w:val="3"/>
          <w:numId w:val="1"/>
        </w:numPr>
        <w:rPr/>
      </w:pPr>
      <w:bookmarkStart w:id="301" w:name="__RefHeading___Toc3219689_2870459653"/>
      <w:bookmarkStart w:id="302" w:name="_Toc122"/>
      <w:bookmarkEnd w:id="301"/>
      <w:r>
        <w:rPr>
          <w:rtl w:val="true"/>
        </w:rPr>
        <w:t>هیئت ضرار</w:t>
      </w:r>
      <w:bookmarkEnd w:id="302"/>
    </w:p>
    <w:p>
      <w:pPr>
        <w:pStyle w:val="BookText"/>
        <w:rPr/>
      </w:pPr>
      <w:r>
        <w:rPr>
          <w:rFonts w:ascii="Amiri" w:hAnsi="Amiri" w:eastAsia="Amiri" w:cs="Amiri"/>
          <w:color w:val="111111"/>
          <w:sz w:val="28"/>
          <w:sz w:val="28"/>
          <w:szCs w:val="28"/>
          <w:rtl w:val="true"/>
          <w:lang w:bidi="ar-SA"/>
        </w:rPr>
        <w:t>ظاهراً مصدر از باب مفاعله و ثلاثی مزید است؛ ضارّ، يضارُّ، مضارَّه، ضراراً</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219691_2870459653"/>
      <w:bookmarkStart w:id="304" w:name="_Toc123"/>
      <w:bookmarkEnd w:id="303"/>
      <w:r>
        <w:rPr>
          <w:rtl w:val="true"/>
        </w:rPr>
        <w:t>معنای ضرار</w:t>
      </w:r>
      <w:bookmarkEnd w:id="304"/>
    </w:p>
    <w:p>
      <w:pPr>
        <w:pStyle w:val="BookText"/>
        <w:rPr/>
      </w:pPr>
      <w:r>
        <w:rPr>
          <w:rFonts w:ascii="IRNazanin" w:hAnsi="IRNazanin" w:eastAsia="IRNazanin"/>
          <w:color w:val="111111"/>
          <w:sz w:val="28"/>
          <w:sz w:val="28"/>
          <w:szCs w:val="28"/>
          <w:rtl w:val="true"/>
          <w:lang w:bidi="fa-IR"/>
        </w:rPr>
        <w:t>برای معنای ضرار معانی مختلفی گفته شده است و بر آن معانی ادله ای ذکر شده و بر آن ادله نقد هایی وارد شده است؛ باید ببینیم آیا برای آن معانی و ادله و نقد هایی که وارد شده ثمره عملی هست یا خیر و اگر ثمره نداشته باشد وارد تفصیل آن نمی شویم</w:t>
      </w:r>
      <w:r>
        <w:rPr>
          <w:rFonts w:eastAsia="IRNazanin" w:cs="IRNazanin"/>
          <w:color w:val="111111"/>
          <w:sz w:val="28"/>
          <w:szCs w:val="28"/>
          <w:rtl w:val="true"/>
          <w:lang w:bidi="fa-IR"/>
        </w:rPr>
        <w:t>.</w:t>
      </w:r>
    </w:p>
    <w:p>
      <w:pPr>
        <w:pStyle w:val="Heading2"/>
        <w:numPr>
          <w:ilvl w:val="1"/>
          <w:numId w:val="1"/>
        </w:numPr>
        <w:rPr/>
      </w:pPr>
      <w:bookmarkStart w:id="305" w:name="__RefHeading___Toc3219693_2870459653"/>
      <w:bookmarkStart w:id="306" w:name="_Toc124"/>
      <w:bookmarkEnd w:id="305"/>
      <w:r>
        <w:rPr>
          <w:rtl w:val="true"/>
        </w:rPr>
        <w:t>مفاد هیئت ترکیبیه لاضرر ولاضرار</w:t>
      </w:r>
      <w:bookmarkEnd w:id="306"/>
    </w:p>
    <w:p>
      <w:pPr>
        <w:pStyle w:val="Heading3"/>
        <w:numPr>
          <w:ilvl w:val="2"/>
          <w:numId w:val="1"/>
        </w:numPr>
        <w:rPr/>
      </w:pPr>
      <w:bookmarkStart w:id="307" w:name="__RefHeading___Toc3219695_2870459653"/>
      <w:bookmarkStart w:id="308" w:name="_Toc125"/>
      <w:bookmarkEnd w:id="307"/>
      <w:r>
        <w:rPr>
          <w:rtl w:val="true"/>
        </w:rPr>
        <w:t>وجه اوّل</w:t>
      </w:r>
      <w:r>
        <w:rPr>
          <w:rtl w:val="true"/>
        </w:rPr>
        <w:t xml:space="preserve">: </w:t>
      </w:r>
      <w:r>
        <w:rPr>
          <w:rtl w:val="true"/>
        </w:rPr>
        <w:t>معنای مفاعله و بین اثنینی</w:t>
      </w:r>
      <w:bookmarkEnd w:id="308"/>
    </w:p>
    <w:p>
      <w:pPr>
        <w:pStyle w:val="BookText"/>
        <w:rPr/>
      </w:pPr>
      <w:r>
        <w:rPr>
          <w:rFonts w:ascii="IRNazanin" w:hAnsi="IRNazanin" w:eastAsia="IRNazanin"/>
          <w:color w:val="111111"/>
          <w:sz w:val="28"/>
          <w:sz w:val="28"/>
          <w:szCs w:val="28"/>
          <w:rtl w:val="true"/>
          <w:lang w:bidi="fa-IR"/>
        </w:rPr>
        <w:t>یعنی کسی به دیگری ضرر وارد کند و دیگری هم به طرف مقابل ضرر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صحیح نیست؛ زیرا در بسیاری از موارد استعمال لاضرر در قضایای ذکر شده، بین اثنینی نیست مانند قضیه سمرة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معنا را قبول کنیم؛ آیا می توانیم بگوییم همان طور که ضرر از یک طرف حرام است ضرر در مقابل ضرر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بر شما تعدّی کرد، شما هم به مثل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بگوییم آیه اطلاق دارد و اطلاق آیه حرمت ضرر در مقابل ضرر را نفی می کند پس این بحث نتیجه عملی به ما نمی دهد و اگر بگوییم اطلاق آیه شامل این مورد نمی شود همان دلیلی که بر حرمت ضرر اوّلی هست برای ضرر در </w:t>
      </w:r>
      <w:bookmarkStart w:id="309" w:name="pg9135_79631"/>
    </w:p>
    <w:p>
      <w:pPr>
        <w:pStyle w:val="BookText"/>
        <w:rPr/>
      </w:pPr>
      <w:bookmarkEnd w:id="309"/>
      <w:r>
        <w:rPr>
          <w:rFonts w:ascii="IRNazanin" w:hAnsi="IRNazanin" w:eastAsia="IRNazanin"/>
          <w:color w:val="111111"/>
          <w:sz w:val="28"/>
          <w:sz w:val="28"/>
          <w:szCs w:val="28"/>
          <w:rtl w:val="true"/>
          <w:lang w:bidi="fa-IR"/>
        </w:rPr>
        <w:t>مقابل ضرر نیز وجود دارد</w:t>
      </w:r>
      <w:r>
        <w:rPr>
          <w:rFonts w:eastAsia="IRNazanin" w:cs="IRNazanin"/>
          <w:color w:val="111111"/>
          <w:sz w:val="28"/>
          <w:szCs w:val="28"/>
          <w:rtl w:val="true"/>
          <w:lang w:bidi="fa-IR"/>
        </w:rPr>
        <w:t>.</w:t>
      </w:r>
    </w:p>
    <w:p>
      <w:pPr>
        <w:pStyle w:val="Heading3"/>
        <w:numPr>
          <w:ilvl w:val="2"/>
          <w:numId w:val="1"/>
        </w:numPr>
        <w:rPr/>
      </w:pPr>
      <w:bookmarkStart w:id="310" w:name="__RefHeading___Toc3219697_2870459653"/>
      <w:bookmarkStart w:id="311" w:name="_Toc126"/>
      <w:bookmarkEnd w:id="310"/>
      <w:r>
        <w:rPr>
          <w:rtl w:val="true"/>
        </w:rPr>
        <w:t xml:space="preserve">وجه دوّم </w:t>
      </w:r>
      <w:r>
        <w:rPr>
          <w:rtl w:val="true"/>
        </w:rPr>
        <w:t xml:space="preserve">: </w:t>
      </w:r>
      <w:r>
        <w:rPr>
          <w:rtl w:val="true"/>
        </w:rPr>
        <w:t>حرمت ضرر و ضرار به نهی مولوی</w:t>
      </w:r>
      <w:bookmarkEnd w:id="311"/>
    </w:p>
    <w:p>
      <w:pPr>
        <w:pStyle w:val="BookText"/>
        <w:rPr/>
      </w:pPr>
      <w:r>
        <w:rPr>
          <w:rFonts w:ascii="IRNazanin" w:hAnsi="IRNazanin" w:eastAsia="IRNazanin"/>
          <w:color w:val="111111"/>
          <w:sz w:val="28"/>
          <w:sz w:val="28"/>
          <w:szCs w:val="28"/>
          <w:rtl w:val="true"/>
          <w:lang w:bidi="fa-IR"/>
        </w:rPr>
        <w:t>بعضی از علماء بر این عقیده هستند که فرقی بین ضرر و ضرار نیست؛ بلکه این دو به یک معنی هستند و لاضرار تأکید لاضرر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آخوند در کفایة، قائل به این وجه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انَّ يَكُونُ الضِّرَارُ بِمَعني الضَّرَرِ ، جِي‌ءَ بِهِ تَأْكِيداً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 مرحوم مشکینی </w:t>
      </w:r>
      <w:r>
        <w:rPr>
          <w:rStyle w:val="FootnoteAnchor"/>
          <w:rtl w:val="true"/>
        </w:rPr>
        <w:footnoteReference w:id="177"/>
      </w:r>
      <w:r>
        <w:rPr>
          <w:rFonts w:ascii="IRNazanin" w:hAnsi="IRNazanin" w:eastAsia="IRNazanin"/>
          <w:color w:val="111111"/>
          <w:sz w:val="28"/>
          <w:sz w:val="28"/>
          <w:szCs w:val="28"/>
          <w:rtl w:val="true"/>
          <w:lang w:bidi="fa-IR"/>
        </w:rPr>
        <w:t xml:space="preserve">و فیروز آبادی </w:t>
      </w:r>
      <w:r>
        <w:rPr>
          <w:rStyle w:val="FootnoteAnchor"/>
          <w:rtl w:val="true"/>
        </w:rPr>
        <w:footnoteReference w:id="178"/>
      </w:r>
      <w:r>
        <w:rPr>
          <w:rFonts w:ascii="IRNazanin" w:hAnsi="IRNazanin" w:eastAsia="IRNazanin"/>
          <w:color w:val="111111"/>
          <w:sz w:val="28"/>
          <w:sz w:val="28"/>
          <w:szCs w:val="28"/>
          <w:rtl w:val="true"/>
          <w:lang w:bidi="fa-IR"/>
        </w:rPr>
        <w:t>در حاشیه بر كفاية الأصول از ایشان تبعیت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مانند وجه قبل انتاج عملی ندارد زیرا ضرار به معنای ضرر است و همان دلیلی که بر حرمت ضرر وجود دارد بر حرمت ضرار نیز وجود دارد</w:t>
      </w:r>
      <w:r>
        <w:rPr>
          <w:rFonts w:eastAsia="IRNazanin" w:cs="IRNazanin"/>
          <w:color w:val="111111"/>
          <w:sz w:val="28"/>
          <w:szCs w:val="28"/>
          <w:rtl w:val="true"/>
          <w:lang w:bidi="fa-IR"/>
        </w:rPr>
        <w:t>.</w:t>
      </w:r>
    </w:p>
    <w:p>
      <w:pPr>
        <w:pStyle w:val="Heading3"/>
        <w:numPr>
          <w:ilvl w:val="2"/>
          <w:numId w:val="1"/>
        </w:numPr>
        <w:rPr/>
      </w:pPr>
      <w:bookmarkStart w:id="312" w:name="__RefHeading___Toc3219699_2870459653"/>
      <w:bookmarkStart w:id="313" w:name="_Toc127"/>
      <w:bookmarkEnd w:id="312"/>
      <w:r>
        <w:rPr>
          <w:rtl w:val="true"/>
        </w:rPr>
        <w:t>وجه سوّم</w:t>
      </w:r>
      <w:r>
        <w:rPr>
          <w:rtl w:val="true"/>
        </w:rPr>
        <w:t xml:space="preserve">: </w:t>
      </w:r>
      <w:r>
        <w:rPr>
          <w:rtl w:val="true"/>
        </w:rPr>
        <w:t>ضرار به معنای جزای به ضرر</w:t>
      </w:r>
      <w:bookmarkEnd w:id="313"/>
    </w:p>
    <w:p>
      <w:pPr>
        <w:pStyle w:val="BookText"/>
        <w:rPr/>
      </w:pPr>
      <w:r>
        <w:rPr>
          <w:rFonts w:ascii="IRNazanin" w:hAnsi="IRNazanin" w:eastAsia="IRNazanin"/>
          <w:color w:val="111111"/>
          <w:sz w:val="28"/>
          <w:sz w:val="28"/>
          <w:szCs w:val="28"/>
          <w:rtl w:val="true"/>
          <w:lang w:bidi="fa-IR"/>
        </w:rPr>
        <w:t>بعضی از علماء بر این عقیده هستند که فرق است بین ضرر و ضرار به این بیان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ضرر به معنای الحاق مفسده به غیر است ابتدائاً و ضرار الحاق مفسده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أَضَرَّ بِهِ عَلَى سَبِيلِ الْمَجَازَاتِ عَلَى وَجْهُ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در مقابل ضرری که شما به او زده اید او هم به شما ضرر می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اثیر در النهایة </w:t>
      </w:r>
      <w:r>
        <w:rPr>
          <w:rStyle w:val="FootnoteAnchor"/>
          <w:rtl w:val="true"/>
        </w:rPr>
        <w:footnoteReference w:id="179"/>
      </w:r>
      <w:r>
        <w:rPr>
          <w:rFonts w:ascii="IRNazanin" w:hAnsi="IRNazanin" w:eastAsia="IRNazanin"/>
          <w:color w:val="111111"/>
          <w:sz w:val="28"/>
          <w:sz w:val="28"/>
          <w:szCs w:val="28"/>
          <w:rtl w:val="true"/>
          <w:lang w:bidi="fa-IR"/>
        </w:rPr>
        <w:t xml:space="preserve">و طریحی </w:t>
      </w:r>
      <w:r>
        <w:rPr>
          <w:rStyle w:val="FootnoteAnchor"/>
          <w:rtl w:val="true"/>
        </w:rPr>
        <w:footnoteReference w:id="180"/>
      </w:r>
      <w:r>
        <w:rPr>
          <w:rFonts w:ascii="IRNazanin" w:hAnsi="IRNazanin" w:eastAsia="IRNazanin"/>
          <w:color w:val="111111"/>
          <w:sz w:val="28"/>
          <w:sz w:val="28"/>
          <w:szCs w:val="28"/>
          <w:rtl w:val="true"/>
          <w:lang w:bidi="fa-IR"/>
        </w:rPr>
        <w:t>و بعضی از فقهای عامه این قول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مانند وجه اوّل است و همان جواب را به این وجه می دهیم و این وجه هم انتاج عملی ندارد</w:t>
      </w:r>
      <w:r>
        <w:rPr>
          <w:rFonts w:eastAsia="IRNazanin" w:cs="IRNazanin"/>
          <w:color w:val="111111"/>
          <w:sz w:val="28"/>
          <w:szCs w:val="28"/>
          <w:rtl w:val="true"/>
          <w:lang w:bidi="fa-IR"/>
        </w:rPr>
        <w:t>.</w:t>
      </w:r>
    </w:p>
    <w:p>
      <w:pPr>
        <w:pStyle w:val="Heading3"/>
        <w:numPr>
          <w:ilvl w:val="2"/>
          <w:numId w:val="1"/>
        </w:numPr>
        <w:rPr/>
      </w:pPr>
      <w:bookmarkStart w:id="314" w:name="__RefHeading___Toc3219701_2870459653"/>
      <w:bookmarkStart w:id="315" w:name="_Toc128"/>
      <w:bookmarkEnd w:id="314"/>
      <w:r>
        <w:rPr>
          <w:rtl w:val="true"/>
        </w:rPr>
        <w:t>وجه چهارم</w:t>
      </w:r>
      <w:r>
        <w:rPr>
          <w:rtl w:val="true"/>
        </w:rPr>
        <w:t xml:space="preserve">: </w:t>
      </w:r>
      <w:r>
        <w:rPr>
          <w:rtl w:val="true"/>
        </w:rPr>
        <w:t>سعی برای فعل ضرر</w:t>
      </w:r>
      <w:bookmarkEnd w:id="3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محققین در مقام فرق بین ضرر و ضرار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ضرر نفس </w:t>
      </w:r>
      <w:bookmarkStart w:id="316" w:name="pg9135_79632"/>
    </w:p>
    <w:p>
      <w:pPr>
        <w:pStyle w:val="BookText"/>
        <w:rPr/>
      </w:pPr>
      <w:bookmarkEnd w:id="316"/>
      <w:r>
        <w:rPr>
          <w:rFonts w:ascii="IRNazanin" w:hAnsi="IRNazanin" w:eastAsia="IRNazanin"/>
          <w:color w:val="111111"/>
          <w:sz w:val="28"/>
          <w:sz w:val="28"/>
          <w:szCs w:val="28"/>
          <w:rtl w:val="true"/>
          <w:lang w:bidi="fa-IR"/>
        </w:rPr>
        <w:t>فعل مضرّ است و ضرار سعی به آن فعل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تفسیر تبیان </w:t>
      </w:r>
      <w:r>
        <w:rPr>
          <w:rStyle w:val="FootnoteAnchor"/>
          <w:rtl w:val="true"/>
        </w:rPr>
        <w:footnoteReference w:id="181"/>
      </w:r>
      <w:r>
        <w:rPr>
          <w:rFonts w:ascii="IRNazanin" w:hAnsi="IRNazanin" w:eastAsia="IRNazanin"/>
          <w:color w:val="111111"/>
          <w:sz w:val="28"/>
          <w:sz w:val="28"/>
          <w:szCs w:val="28"/>
          <w:rtl w:val="true"/>
          <w:lang w:bidi="fa-IR"/>
        </w:rPr>
        <w:t xml:space="preserve">و طبرسی در مجمع البیان </w:t>
      </w:r>
      <w:r>
        <w:rPr>
          <w:rStyle w:val="FootnoteAnchor"/>
          <w:rtl w:val="true"/>
        </w:rPr>
        <w:footnoteReference w:id="182"/>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الضَّرَرِ وَ مُحَاوَلَتُهُ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حکیم در مستمسک </w:t>
      </w:r>
      <w:r>
        <w:rPr>
          <w:rStyle w:val="FootnoteAnchor"/>
          <w:rtl w:val="true"/>
        </w:rPr>
        <w:footnoteReference w:id="183"/>
      </w:r>
      <w:r>
        <w:rPr>
          <w:rFonts w:ascii="IRNazanin" w:hAnsi="IRNazanin" w:eastAsia="IRNazanin"/>
          <w:color w:val="111111"/>
          <w:sz w:val="28"/>
          <w:sz w:val="28"/>
          <w:szCs w:val="28"/>
          <w:rtl w:val="true"/>
          <w:lang w:bidi="fa-IR"/>
        </w:rPr>
        <w:t xml:space="preserve">همین قول را اختیار کرده است و هَكَذَا در حقائق الأصول </w:t>
      </w:r>
      <w:r>
        <w:rPr>
          <w:rStyle w:val="FootnoteAnchor"/>
          <w:rtl w:val="true"/>
        </w:rPr>
        <w:footnoteReference w:id="184"/>
      </w:r>
      <w:r>
        <w:rPr>
          <w:rFonts w:ascii="IRNazanin" w:hAnsi="IRNazanin" w:eastAsia="IRNazanin"/>
          <w:color w:val="111111"/>
          <w:sz w:val="28"/>
          <w:sz w:val="28"/>
          <w:szCs w:val="28"/>
          <w:rtl w:val="true"/>
          <w:lang w:bidi="fa-IR"/>
        </w:rPr>
        <w:t>تعلیقه ایشان بر كفاية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به فعل ضرری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و به غیر ضرر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حرمت این مورد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و به غیر ضرر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کلمه لاضرر حرمت را می رساند و لزومی ندارد روی حرمت کلمه لاضرار بحث کنیم پس این صورت هم انتاج عملی ندارد</w:t>
      </w:r>
      <w:r>
        <w:rPr>
          <w:rFonts w:eastAsia="IRNazanin" w:cs="IRNazanin"/>
          <w:color w:val="111111"/>
          <w:sz w:val="28"/>
          <w:szCs w:val="28"/>
          <w:rtl w:val="true"/>
          <w:lang w:bidi="fa-IR"/>
        </w:rPr>
        <w:t>.</w:t>
      </w:r>
    </w:p>
    <w:p>
      <w:pPr>
        <w:pStyle w:val="Heading3"/>
        <w:numPr>
          <w:ilvl w:val="2"/>
          <w:numId w:val="1"/>
        </w:numPr>
        <w:rPr/>
      </w:pPr>
      <w:bookmarkStart w:id="317" w:name="__RefHeading___Toc3219703_2870459653"/>
      <w:bookmarkStart w:id="318" w:name="_Toc129"/>
      <w:bookmarkEnd w:id="317"/>
      <w:r>
        <w:rPr>
          <w:rtl w:val="true"/>
        </w:rPr>
        <w:t>وجه پنجم</w:t>
      </w:r>
      <w:r>
        <w:rPr>
          <w:rtl w:val="true"/>
        </w:rPr>
        <w:t xml:space="preserve">: </w:t>
      </w:r>
      <w:r>
        <w:rPr>
          <w:rtl w:val="true"/>
        </w:rPr>
        <w:t>ضرار به معنای تصدی برای ضرر زدن به غیر</w:t>
      </w:r>
      <w:bookmarkEnd w:id="318"/>
    </w:p>
    <w:p>
      <w:pPr>
        <w:pStyle w:val="BookText"/>
        <w:rPr/>
      </w:pPr>
      <w:r>
        <w:rPr>
          <w:rFonts w:ascii="IRNazanin" w:hAnsi="IRNazanin" w:eastAsia="IRNazanin"/>
          <w:color w:val="111111"/>
          <w:sz w:val="28"/>
          <w:sz w:val="28"/>
          <w:szCs w:val="28"/>
          <w:rtl w:val="true"/>
          <w:lang w:bidi="fa-IR"/>
        </w:rPr>
        <w:t xml:space="preserve">این وجه قول شیخ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نهاية الدراية </w:t>
      </w:r>
      <w:r>
        <w:rPr>
          <w:rStyle w:val="FootnoteAnchor"/>
          <w:rtl w:val="true"/>
        </w:rPr>
        <w:footnoteReference w:id="185"/>
      </w:r>
      <w:r>
        <w:rPr>
          <w:rFonts w:ascii="IRNazanin" w:hAnsi="IRNazanin" w:eastAsia="IRNazanin"/>
          <w:color w:val="111111"/>
          <w:sz w:val="28"/>
          <w:sz w:val="28"/>
          <w:szCs w:val="28"/>
          <w:rtl w:val="true"/>
          <w:lang w:bidi="fa-IR"/>
        </w:rPr>
        <w:t xml:space="preserve">و مرحوم محقق خوئی در مصباح الأصول </w:t>
      </w:r>
      <w:r>
        <w:rPr>
          <w:rStyle w:val="FootnoteAnchor"/>
          <w:rtl w:val="true"/>
        </w:rPr>
        <w:footnoteReference w:id="186"/>
      </w:r>
      <w:r>
        <w:rPr>
          <w:rFonts w:ascii="IRNazanin" w:hAnsi="IRNazanin" w:eastAsia="IRNazanin"/>
          <w:color w:val="111111"/>
          <w:sz w:val="28"/>
          <w:sz w:val="28"/>
          <w:szCs w:val="28"/>
          <w:rtl w:val="true"/>
          <w:lang w:bidi="fa-IR"/>
        </w:rPr>
        <w:t xml:space="preserve">و در مبانی العروة الوثقی </w:t>
      </w:r>
      <w:r>
        <w:rPr>
          <w:rStyle w:val="FootnoteAnchor"/>
          <w:rtl w:val="true"/>
        </w:rPr>
        <w:footnoteReference w:id="1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مانند وجه چهارم قابل مناقشه است و همان جواب را می دهیم</w:t>
      </w:r>
      <w:r>
        <w:rPr>
          <w:rFonts w:eastAsia="IRNazanin" w:cs="IRNazanin"/>
          <w:color w:val="111111"/>
          <w:sz w:val="28"/>
          <w:szCs w:val="28"/>
          <w:rtl w:val="true"/>
          <w:lang w:bidi="fa-IR"/>
        </w:rPr>
        <w:t>.</w:t>
      </w:r>
    </w:p>
    <w:p>
      <w:pPr>
        <w:pStyle w:val="Heading3"/>
        <w:numPr>
          <w:ilvl w:val="2"/>
          <w:numId w:val="1"/>
        </w:numPr>
        <w:rPr/>
      </w:pPr>
      <w:bookmarkStart w:id="319" w:name="__RefHeading___Toc3219705_2870459653"/>
      <w:bookmarkStart w:id="320" w:name="_Toc130"/>
      <w:bookmarkEnd w:id="319"/>
      <w:r>
        <w:rPr>
          <w:rtl w:val="true"/>
        </w:rPr>
        <w:t>وجه ششم</w:t>
      </w:r>
      <w:r>
        <w:rPr>
          <w:rtl w:val="true"/>
        </w:rPr>
        <w:t xml:space="preserve">: </w:t>
      </w:r>
      <w:r>
        <w:rPr>
          <w:rtl w:val="true"/>
        </w:rPr>
        <w:t>ضرار به معنی تضییق و تشدید</w:t>
      </w:r>
      <w:bookmarkEnd w:id="32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معنای نقصان در مال و نفس می باشد و ضرار به معنای تضییق و تشدید و سخت گیری کردن بر کسی تا حدّی که به حدّ مکروه و حرج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شواهدی را ذکر می کنند و شواهد بعضاً مورد د مناقشه </w:t>
      </w:r>
      <w:bookmarkStart w:id="321" w:name="pg9135_79633"/>
    </w:p>
    <w:p>
      <w:pPr>
        <w:pStyle w:val="BookText"/>
        <w:rPr/>
      </w:pPr>
      <w:bookmarkEnd w:id="321"/>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مناقشه این تضییق و تشدید آیا به حدّ ضرر می رسد یا خیر؟ اگر به حدّ ضرر نرسد دلیلی بر حرمت آن نداریم و اگر بگوییم به حدّ ضرر رسیده است در حرمت آن خودِ کلمۀ لاضرر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ثمره عملی ندارد</w:t>
      </w:r>
      <w:r>
        <w:rPr>
          <w:rFonts w:eastAsia="IRNazanin" w:cs="IRNazanin"/>
          <w:color w:val="111111"/>
          <w:sz w:val="28"/>
          <w:szCs w:val="28"/>
          <w:rtl w:val="true"/>
          <w:lang w:bidi="fa-IR"/>
        </w:rPr>
        <w:t>.</w:t>
      </w:r>
    </w:p>
    <w:p>
      <w:pPr>
        <w:pStyle w:val="Heading3"/>
        <w:numPr>
          <w:ilvl w:val="2"/>
          <w:numId w:val="1"/>
        </w:numPr>
        <w:rPr/>
      </w:pPr>
      <w:bookmarkStart w:id="322" w:name="__RefHeading___Toc3219707_2870459653"/>
      <w:bookmarkStart w:id="323" w:name="_Toc131"/>
      <w:bookmarkEnd w:id="322"/>
      <w:r>
        <w:rPr>
          <w:rtl w:val="true"/>
        </w:rPr>
        <w:t>وجه هفتم</w:t>
      </w:r>
      <w:r>
        <w:rPr>
          <w:rtl w:val="true"/>
        </w:rPr>
        <w:t xml:space="preserve">: </w:t>
      </w:r>
      <w:r>
        <w:rPr>
          <w:rtl w:val="true"/>
        </w:rPr>
        <w:t>ضرار به معنای استمرار ضرر و تکرار ضرر است</w:t>
      </w:r>
      <w:r>
        <w:rPr>
          <w:rtl w:val="true"/>
        </w:rPr>
        <w:t>.</w:t>
      </w:r>
      <w:bookmarkEnd w:id="323"/>
    </w:p>
    <w:p>
      <w:pPr>
        <w:pStyle w:val="BookText"/>
        <w:rPr/>
      </w:pPr>
      <w:r>
        <w:rPr>
          <w:rFonts w:ascii="IRNazanin" w:hAnsi="IRNazanin" w:eastAsia="IRNazanin"/>
          <w:color w:val="111111"/>
          <w:sz w:val="28"/>
          <w:sz w:val="28"/>
          <w:szCs w:val="28"/>
          <w:rtl w:val="true"/>
          <w:lang w:bidi="fa-IR"/>
        </w:rPr>
        <w:t xml:space="preserve">این وجه قول مرحوم نائینی در تقریر قاعده لاضرر </w:t>
      </w:r>
      <w:r>
        <w:rPr>
          <w:rStyle w:val="FootnoteAnchor"/>
          <w:rtl w:val="true"/>
        </w:rPr>
        <w:footnoteReference w:id="189"/>
      </w:r>
      <w:r>
        <w:rPr>
          <w:rFonts w:ascii="IRNazanin" w:hAnsi="IRNazanin" w:eastAsia="IRNazanin"/>
          <w:color w:val="111111"/>
          <w:sz w:val="28"/>
          <w:sz w:val="28"/>
          <w:szCs w:val="28"/>
          <w:rtl w:val="true"/>
          <w:lang w:bidi="fa-IR"/>
        </w:rPr>
        <w:t xml:space="preserve">ایشان و قول محقق عراقی </w:t>
      </w:r>
      <w:r>
        <w:rPr>
          <w:rStyle w:val="FootnoteAnchor"/>
          <w:rtl w:val="true"/>
        </w:rPr>
        <w:footnoteReference w:id="190"/>
      </w:r>
      <w:r>
        <w:rPr>
          <w:rFonts w:ascii="IRNazanin" w:hAnsi="IRNazanin" w:eastAsia="IRNazanin"/>
          <w:color w:val="111111"/>
          <w:sz w:val="28"/>
          <w:sz w:val="28"/>
          <w:szCs w:val="28"/>
          <w:rtl w:val="true"/>
          <w:lang w:bidi="fa-IR"/>
        </w:rPr>
        <w:t xml:space="preserve">و محقق بجنوردی صاحب قواعد الفقهيه </w:t>
      </w:r>
      <w:r>
        <w:rPr>
          <w:rStyle w:val="FootnoteAnchor"/>
          <w:rtl w:val="true"/>
        </w:rPr>
        <w:footnoteReference w:id="191"/>
      </w:r>
      <w:r>
        <w:rPr>
          <w:rFonts w:ascii="IRNazanin" w:hAnsi="IRNazanin" w:eastAsia="IRNazanin"/>
          <w:color w:val="111111"/>
          <w:sz w:val="28"/>
          <w:sz w:val="28"/>
          <w:szCs w:val="28"/>
          <w:rtl w:val="true"/>
          <w:lang w:bidi="fa-IR"/>
        </w:rPr>
        <w:t xml:space="preserve">است و ظاهر این است که مرحوم شهید صدر رحمه اللّه علیه در بحوث </w:t>
      </w:r>
      <w:r>
        <w:rPr>
          <w:rStyle w:val="FootnoteAnchor"/>
          <w:rtl w:val="true"/>
        </w:rPr>
        <w:footnoteReference w:id="192"/>
      </w:r>
      <w:r>
        <w:rPr>
          <w:rFonts w:ascii="IRNazanin" w:hAnsi="IRNazanin" w:eastAsia="IRNazanin"/>
          <w:color w:val="111111"/>
          <w:sz w:val="28"/>
          <w:sz w:val="28"/>
          <w:szCs w:val="28"/>
          <w:rtl w:val="true"/>
          <w:lang w:bidi="fa-IR"/>
        </w:rPr>
        <w:t xml:space="preserve">و هم چنین سید سبزواری در تهذیب الأصول </w:t>
      </w:r>
      <w:r>
        <w:rPr>
          <w:rStyle w:val="FootnoteAnchor"/>
          <w:rtl w:val="true"/>
        </w:rPr>
        <w:footnoteReference w:id="193"/>
      </w:r>
      <w:r>
        <w:rPr>
          <w:rFonts w:ascii="IRNazanin" w:hAnsi="IRNazanin" w:eastAsia="IRNazanin"/>
          <w:color w:val="111111"/>
          <w:sz w:val="28"/>
          <w:sz w:val="28"/>
          <w:szCs w:val="28"/>
          <w:rtl w:val="true"/>
          <w:lang w:bidi="fa-IR"/>
        </w:rPr>
        <w:t xml:space="preserve">سيّد محمّد تقی حکیم در کتاب القواعد العامة في الفقه المقارن </w:t>
      </w:r>
      <w:r>
        <w:rPr>
          <w:rStyle w:val="FootnoteAnchor"/>
          <w:rtl w:val="true"/>
        </w:rPr>
        <w:footnoteReference w:id="194"/>
      </w:r>
      <w:r>
        <w:rPr>
          <w:rFonts w:ascii="IRNazanin" w:hAnsi="IRNazanin" w:eastAsia="IRNazanin"/>
          <w:color w:val="111111"/>
          <w:sz w:val="28"/>
          <w:sz w:val="28"/>
          <w:szCs w:val="28"/>
          <w:rtl w:val="true"/>
          <w:lang w:bidi="fa-IR"/>
        </w:rPr>
        <w:t>همین وجه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لاضرار به این معنا همان لاضرر است و ضرر وقتی حرام شد ضرار را به هر معنایی بگیریم همان معنای ضرر است که حرام می باشد، پس انتاج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همان قول مرحوم آخوند که لاضرار همان تأکید لاضرر اوّلی است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لاضرار همان لاضرر نیست؛ امّا به هر معنایی که در نظر بگیریم همان لاضرر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به جای ضرار، إضرار آمده است؛ إضرار مصدر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افعال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يُونُسَ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العله الَّتِي مِنْ أَجْمَلِهَا إِذَا طَلَّقَ الرَّجُلُ امْرَأَتَهُ وَ هُوَ مَرِيضُ فِي حَالِ الْإِضْرَارِ وَرِثَتْهُ وَ لَمْ يَرِثْهَا؟</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الْإِضْرَارُ وَ مَعْنَى الْإِضْرَارِ مَنْعُهُ إِيَّاهَا مِيرَاثَ مِنْهُ فَالْزَمِ الْمِيرَاثَ عُقُوبَةً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مرض موت است و به خاطر این که زن ارث نبرد و به او ضرر بزند او را طلاق می دهد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خواهد به او ضرر بزند اگر بمیرد به او ارث می رسد و اگر زن بمیرد مرد از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إضرار همان مفادی را افاده می کند که در باب لاضرر بیان شد و چیزی اضافه تر نمی رساند عبارت مضارّ هم که در قضیه سمره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لاضرر را افاده می کند و به معنای ضرر زننده است، پس عبارات لاضرر، لاضرار، و لا إضرار و لامضار همه به یک معنی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مفردات قاعده لاضرر باید به مفاد هیئت ترکیبیه آن بپردازیم</w:t>
      </w:r>
      <w:r>
        <w:rPr>
          <w:rFonts w:eastAsia="IRNazanin" w:cs="IRNazanin"/>
          <w:color w:val="111111"/>
          <w:sz w:val="28"/>
          <w:szCs w:val="28"/>
          <w:rtl w:val="true"/>
          <w:lang w:bidi="fa-IR"/>
        </w:rPr>
        <w:t xml:space="preserve">. </w:t>
      </w:r>
      <w:bookmarkStart w:id="324" w:name="pg9135_79635"/>
    </w:p>
    <w:p>
      <w:pPr>
        <w:pStyle w:val="Heading2"/>
        <w:numPr>
          <w:ilvl w:val="1"/>
          <w:numId w:val="1"/>
        </w:numPr>
        <w:rPr/>
      </w:pPr>
      <w:bookmarkStart w:id="325" w:name="__RefHeading___Toc3219709_2870459653"/>
      <w:bookmarkStart w:id="326" w:name="_Toc132"/>
      <w:bookmarkEnd w:id="324"/>
      <w:bookmarkEnd w:id="325"/>
      <w:r>
        <w:rPr>
          <w:rtl w:val="true"/>
        </w:rPr>
        <w:t>مفاد هیئت ترکیبیه لاضرر و لاضرار</w:t>
      </w:r>
      <w:bookmarkEnd w:id="326"/>
    </w:p>
    <w:p>
      <w:pPr>
        <w:pStyle w:val="Heading3"/>
        <w:numPr>
          <w:ilvl w:val="2"/>
          <w:numId w:val="1"/>
        </w:numPr>
        <w:rPr/>
      </w:pPr>
      <w:bookmarkStart w:id="327" w:name="__RefHeading___Toc3219711_2870459653"/>
      <w:bookmarkStart w:id="328" w:name="_Toc133"/>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وجوه مختلفی را ذکر کرده اند</w:t>
      </w:r>
      <w:r>
        <w:rPr>
          <w:rFonts w:eastAsia="IRNazanin" w:cs="IRNazanin"/>
          <w:color w:val="111111"/>
          <w:sz w:val="28"/>
          <w:szCs w:val="28"/>
          <w:rtl w:val="true"/>
          <w:lang w:bidi="fa-IR"/>
        </w:rPr>
        <w:t>:</w:t>
      </w:r>
    </w:p>
    <w:p>
      <w:pPr>
        <w:pStyle w:val="Heading3"/>
        <w:numPr>
          <w:ilvl w:val="2"/>
          <w:numId w:val="1"/>
        </w:numPr>
        <w:rPr/>
      </w:pPr>
      <w:bookmarkStart w:id="329" w:name="__RefHeading___Toc3219713_2870459653"/>
      <w:bookmarkStart w:id="330" w:name="_Toc134"/>
      <w:bookmarkEnd w:id="329"/>
      <w:r>
        <w:rPr>
          <w:rtl w:val="true"/>
        </w:rPr>
        <w:t>وجه اوّل</w:t>
      </w:r>
      <w:r>
        <w:rPr>
          <w:rtl w:val="true"/>
        </w:rPr>
        <w:t xml:space="preserve">: </w:t>
      </w:r>
      <w:r>
        <w:rPr>
          <w:rtl w:val="true"/>
        </w:rPr>
        <w:t>قول شیخ انصاری رحمه اللّه علیه بر نفی حکم ضرری</w:t>
      </w:r>
      <w:bookmarkEnd w:id="330"/>
    </w:p>
    <w:p>
      <w:pPr>
        <w:pStyle w:val="BookText"/>
        <w:rPr/>
      </w:pPr>
      <w:r>
        <w:rPr>
          <w:rFonts w:ascii="IRNazanin" w:hAnsi="IRNazanin" w:eastAsia="IRNazanin"/>
          <w:color w:val="111111"/>
          <w:sz w:val="28"/>
          <w:sz w:val="28"/>
          <w:szCs w:val="28"/>
          <w:rtl w:val="true"/>
          <w:lang w:bidi="fa-IR"/>
        </w:rPr>
        <w:t>شیخ انصاری رحمه اللّه علیه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فَاعْلَمْ 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إِرَادَةِ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تَشْرِيعَ الضَّرَرِ بِمَعْنَى انَّ الشَّارِعِ لَمْ يُشْرَعْ حَكَماً يَلْزَمُ مِنْهُ ضَرَرٍ عَلَى أَحَدُ ، تكليفاً كَانَ أَوْ وضعياً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قول محقق نائینی </w:t>
      </w:r>
      <w:r>
        <w:rPr>
          <w:rStyle w:val="FootnoteAnchor"/>
          <w:rtl w:val="true"/>
        </w:rPr>
        <w:footnoteReference w:id="197"/>
      </w:r>
      <w:r>
        <w:rPr>
          <w:rFonts w:ascii="IRNazanin" w:hAnsi="IRNazanin" w:eastAsia="IRNazanin"/>
          <w:color w:val="111111"/>
          <w:sz w:val="28"/>
          <w:sz w:val="28"/>
          <w:szCs w:val="28"/>
          <w:rtl w:val="true"/>
          <w:lang w:bidi="fa-IR"/>
        </w:rPr>
        <w:t xml:space="preserve">و سید یزدی </w:t>
      </w:r>
      <w:r>
        <w:rPr>
          <w:rStyle w:val="FootnoteAnchor"/>
          <w:rtl w:val="true"/>
        </w:rPr>
        <w:footnoteReference w:id="198"/>
      </w:r>
      <w:r>
        <w:rPr>
          <w:rFonts w:ascii="IRNazanin" w:hAnsi="IRNazanin" w:eastAsia="IRNazanin"/>
          <w:color w:val="111111"/>
          <w:sz w:val="28"/>
          <w:sz w:val="28"/>
          <w:szCs w:val="28"/>
          <w:rtl w:val="true"/>
          <w:lang w:bidi="fa-IR"/>
        </w:rPr>
        <w:t xml:space="preserve">و سید حکیم </w:t>
      </w:r>
      <w:r>
        <w:rPr>
          <w:rStyle w:val="FootnoteAnchor"/>
          <w:rtl w:val="true"/>
        </w:rPr>
        <w:footnoteReference w:id="199"/>
      </w:r>
      <w:r>
        <w:rPr>
          <w:rFonts w:ascii="Amiri" w:hAnsi="Amiri" w:eastAsia="Amiri" w:cs="Amiri"/>
          <w:color w:val="111111"/>
          <w:sz w:val="28"/>
          <w:sz w:val="28"/>
          <w:szCs w:val="28"/>
          <w:rtl w:val="true"/>
          <w:lang w:bidi="ar-SA"/>
        </w:rPr>
        <w:t xml:space="preserve">و سیّد خوئی </w:t>
      </w:r>
      <w:r>
        <w:rPr>
          <w:rStyle w:val="FootnoteAnchor"/>
          <w:rtl w:val="true"/>
        </w:rPr>
        <w:footnoteReference w:id="200"/>
      </w:r>
      <w:r>
        <w:rPr>
          <w:rFonts w:ascii="IRNazanin" w:hAnsi="IRNazanin" w:eastAsia="IRNazanin"/>
          <w:color w:val="111111"/>
          <w:sz w:val="28"/>
          <w:sz w:val="28"/>
          <w:szCs w:val="28"/>
          <w:rtl w:val="true"/>
          <w:lang w:bidi="fa-IR"/>
        </w:rPr>
        <w:t xml:space="preserve">و محقق بجنوردی </w:t>
      </w:r>
      <w:r>
        <w:rPr>
          <w:rStyle w:val="FootnoteAnchor"/>
          <w:rtl w:val="true"/>
        </w:rPr>
        <w:footnoteReference w:id="201"/>
      </w:r>
      <w:r>
        <w:rPr>
          <w:rFonts w:ascii="IRNazanin" w:hAnsi="IRNazanin" w:eastAsia="IRNazanin"/>
          <w:color w:val="111111"/>
          <w:sz w:val="28"/>
          <w:sz w:val="28"/>
          <w:szCs w:val="28"/>
          <w:rtl w:val="true"/>
          <w:lang w:bidi="fa-IR"/>
        </w:rPr>
        <w:t>تبعیت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رحمه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ترکیبیه نفی حکم ضرری است؛ وقتی گفته می شود لاضرر منظور حکم ضرری است که برداشته می شود علت این بیان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لاضرر یعنی در اسلام هیچ ضرری نیست و این بیان امکان ندارد زیرا در بیشتر موارد مسلمانان متحمل ضرر می شوند پس لاضرر نمی تواند حمل بر معنای حقیقی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می گوییم شارع حکمی را که از آن حکم ضرر ناشی </w:t>
      </w:r>
    </w:p>
    <w:p>
      <w:pPr>
        <w:pStyle w:val="BookText"/>
        <w:rPr/>
      </w:pPr>
      <w:r>
        <w:rPr>
          <w:rFonts w:ascii="IRNazanin" w:hAnsi="IRNazanin" w:eastAsia="IRNazanin"/>
          <w:color w:val="111111"/>
          <w:sz w:val="28"/>
          <w:sz w:val="28"/>
          <w:szCs w:val="28"/>
          <w:rtl w:val="true"/>
          <w:lang w:bidi="fa-IR"/>
        </w:rPr>
        <w:t>بشود، تشریع نکرده است حال چه تکلیفی باشد و یا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رحمه اللّه علیه فرمایش شیخ انصاری رحمه اللّه علیه را برهانی می کند و استدلال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 مسبب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معِدّ است برای مسبب مثلاً در تولد فرزند ازدواج و زناشویی معدّ است برای تولّد فرزند و اگر بخواهیم در این فرض سببب را به جای مسبب بگذاریم مجاز پیش می آید چون ممکن است چندین علل معدّه دیگر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سبب و مسبب مانند رابطه و نسبت حرکت ید به حرکت مفتاح برای باز کردن قفل است که دو وجود مستقل است که اگر بخواهیم سبب را به جای مسبب به کار ببریم باز مجاز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مسببی که دو وجود مستقل نیستند؛ بلکه در واقع یک شیء هستند مانند نسبت إِحْرَاقُ بِهِ إِلْقَاءِ فِي النَّارِ و نسبت ايلام به ضرب در این مورد اگر به جای سبب، مسبب به کار رود؛ مثلاً به جای ضرب، ایلام به کار برده شود مجازی صورت نمی گیرد؛ چون منظور از ضرب همان ایلام و از إلقاء في النار همان احراق است که به این رابطه، رابطه تولیدی گفته می شود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ایشان می فرمایند لاضرر از همین قسم سوّم است؛ لاضرر نفی ضرر می کند؛ لکن مراد از آن نفی سبب ضرر است و سبب ضرر حکم ضرری است؛ یعنی در شریعت مقدسه حکم ضرری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رحمه اللّه علیه اشکالی به این استدلال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سوّم از رابطه سبب و مسببی که به آن رابطه تولیدی نیز گفته می شود در عناوین خارجی و تکوینی صحیح است؛ امّا در عناوین اعتباریه شرعیه این گونه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عناوین تکوینیه وقتی مسبب تولید شد، می توان سبب را حذف مسبب را جایگزین کرد و مجاز هم نیست؛ امّا در عناوین شرعیه اعتباریه بین سبب و مسبب اراده فاعل مختار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اطاعت مولی در اوامر تکوینیه کُنْ فَیَکُونُ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اوامر تشریعیه چون فاعل مختار وجود دارد </w:t>
      </w:r>
    </w:p>
    <w:p>
      <w:pPr>
        <w:pStyle w:val="BookText"/>
        <w:rPr/>
      </w:pPr>
      <w:r>
        <w:rPr>
          <w:rFonts w:ascii="IRNazanin" w:hAnsi="IRNazanin" w:eastAsia="IRNazanin"/>
          <w:color w:val="111111"/>
          <w:sz w:val="28"/>
          <w:sz w:val="28"/>
          <w:szCs w:val="28"/>
          <w:rtl w:val="true"/>
          <w:lang w:bidi="fa-IR"/>
        </w:rPr>
        <w:t>می تواند امر مولی را اطاعت کند یا عصیان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تکوینیه در آتش انداختن یعنی احراق و می شود به جای سبب مسبب را به کار برد امّا در اوامر شرعیه اعتباریه، اراده مکلّف فاصله است بین امر و عنوانی که تولید می شود پس در این جا اگر سبب را جای مسبب قرار دهیم مجاز صورت می گیرد و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حقیقی فرقی بین این که امر خارجی تکوینی باشد یا امر تشریعی اعتباری باشد وجود ندارد و اسناد مسبب به جای سبب این اسناد حقیقی است؛ زیرا حکم تشریعی که موجب ضرر می شود یا حکم وضعی است یا حکم تکلیفی، در صورتی که حکم وضعی ضرری باشد مکلف مجبور به اتیان است مثلا در داستان زوجیت زنی که شوهر او نفقه اش را می پردازد امّا رابطه جنسی با او ندارد، شارع می فرماید باید در زوجیت بماند و نمی تواند طلاق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ضرر ناشی از حکم تکلیفی باشد به دلیل عقلی و نقلی و شرعی ثابت است که اوامر مولی باید اطاعت شود ولو این که اتیان این اوامر با اراده خود اوست امّا اراده ای است که عقل و شرع حق تخلف به او نمی دهند و مجبور است اتیان کند و ضرر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ضرر از آن حکم تکلیفی ناشی شده است و لذا می فرماید ما چاره ای نداریم که قول شیخ انصاری رحمه اللّه علیه را قبول کنیم که لاضرر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ضَرَرِي مَجْعُولٌ فِي شَرِيعَةِ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ما اثبات کنیم که رابطه سبب و مسبب و استعمال آن ها حقیقی باشد؛ زیرا حتی در صورتی که مجاز هم باشد و به علّت این که استعمال مجاز بر حقیقت غلبه دارد چه اشکالی دارد لا حکمٍ سبب باشد برای لاضرر به علاقه سببیت به این بیان که حکم شرعی سبب است برای وقوع مکلّف در ضرر، کما این که ایجاب وضو سبب است برای ضرر بدنی یا مالی پس در حدیث لفظ ضرر را ذکر کرده است و اراده کرده است از آن سبب ضرر را و آن حکم ضرری است به علاقه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 اشکالی ندارد؛ امّا حمل الفاظ در فرضی که امکان دارد حمل بر حقیقت شود باید حمل بر حقیقت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به مرحوم نائینی رحمه اللّه علیه آن جایی که اراده فاعل مختار فاصله می شود بین امر مولی و فعل مکلّف هر چند لزوم اطاعت عقلاً و شرعاً وجود دارد؛ امّا باز مکلف می تواند اطاعت نکند و با همین احتمال و فرض می توانیم نتیجه </w:t>
      </w:r>
      <w:bookmarkStart w:id="331" w:name="pg9135_79638"/>
    </w:p>
    <w:p>
      <w:pPr>
        <w:pStyle w:val="BookText"/>
        <w:rPr/>
      </w:pPr>
      <w:bookmarkEnd w:id="331"/>
      <w:r>
        <w:rPr>
          <w:rFonts w:ascii="IRNazanin" w:hAnsi="IRNazanin" w:eastAsia="IRNazanin"/>
          <w:color w:val="111111"/>
          <w:sz w:val="28"/>
          <w:sz w:val="28"/>
          <w:szCs w:val="28"/>
          <w:rtl w:val="true"/>
          <w:lang w:bidi="fa-IR"/>
        </w:rPr>
        <w:t>بگیریم که مانند احکام تولیدیه نیست که همان که مولی دستور داد واقع شود پس مجاز می شود و اگر خواستیم این مجاز را از بین دیگر مجازات اثبات کنیم باید دیگر مجازات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قول مرحوم شیخ انصاری رحمه اللّه علیه صرف یک ادعا و احتمال است، مرحوم نائینی ادعای حقیقت کردند و ما اثبات کردیم که مجاز است و حال این که احتمالات دیگر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 الإحتمال بَطَلَ 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مرحوم نائینی باید احتمالات دیگر را باطل کنند تا قول ایشان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ادعا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ضرري فِي شَرِيعَةِ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هم ادعا دارند این بیان شیخ رحمه اللّه علیه علی نحو حقیقت است حال اشکال این است که پذیرش این قول تخصیص اکثر پیش می آید و مستهجن است؛ زیرا ما می بینیم که در دین این همه حکم ضرری وجود دارد مانند خمس، زکات، جهاد، دفاع، احکام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شیخ رحمه اللّه علیه ادعا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ضرري فِي شَرِيعَةِ الْمُقَدَّسَةِ</w:t>
      </w:r>
      <w:r>
        <w:rPr>
          <w:rFonts w:eastAsia="IRNazanin" w:cs="IRNazanin"/>
          <w:color w:val="111111"/>
          <w:sz w:val="28"/>
          <w:szCs w:val="28"/>
          <w:rtl w:val="true"/>
          <w:lang w:bidi="fa-IR"/>
        </w:rPr>
        <w:t>».</w:t>
      </w:r>
    </w:p>
    <w:p>
      <w:pPr>
        <w:pStyle w:val="Heading3"/>
        <w:numPr>
          <w:ilvl w:val="2"/>
          <w:numId w:val="1"/>
        </w:numPr>
        <w:rPr/>
      </w:pPr>
      <w:bookmarkStart w:id="332" w:name="__RefHeading___Toc3219715_2870459653"/>
      <w:bookmarkStart w:id="333" w:name="_Toc135"/>
      <w:bookmarkEnd w:id="332"/>
      <w:r>
        <w:rPr>
          <w:rtl w:val="true"/>
        </w:rPr>
        <w:t>وجه دوّم</w:t>
      </w:r>
      <w:r>
        <w:rPr>
          <w:rtl w:val="true"/>
        </w:rPr>
        <w:t xml:space="preserve">: </w:t>
      </w:r>
      <w:r>
        <w:rPr>
          <w:rtl w:val="true"/>
        </w:rPr>
        <w:t>حرمت ضرر و ضرار به نهی مولوی</w:t>
      </w:r>
      <w:bookmarkEnd w:id="333"/>
    </w:p>
    <w:p>
      <w:pPr>
        <w:pStyle w:val="BookText"/>
        <w:rPr/>
      </w:pP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نفی طبیعت است؛ امّا حمل بر نهی می کنیم مجازاً؛ یا از باب مجاز در کلمه به این که حمل می کنیم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نهی به جهت علاقه بین نفی طبیعت و نفی به اعتبار این که فعل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از باب مجاز در حذف به این که کلمه ای حذف شده است برای مثال منظور از 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مَشْرُوعٍ يَا لَا مجوّز للضَرَرَ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را بعضی از فقهاء عامه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مناهج العقول </w:t>
      </w:r>
      <w:r>
        <w:rPr>
          <w:rStyle w:val="FootnoteAnchor"/>
          <w:rtl w:val="true"/>
        </w:rPr>
        <w:footnoteReference w:id="203"/>
      </w:r>
      <w:r>
        <w:rPr>
          <w:rFonts w:ascii="IRNazanin" w:hAnsi="IRNazanin" w:eastAsia="IRNazanin"/>
          <w:color w:val="111111"/>
          <w:sz w:val="28"/>
          <w:sz w:val="28"/>
          <w:szCs w:val="28"/>
          <w:rtl w:val="true"/>
          <w:lang w:bidi="fa-IR"/>
        </w:rPr>
        <w:t xml:space="preserve">قبول کرده است و از بین فقهای شیعه فاضل مراغی در العناوین </w:t>
      </w:r>
      <w:r>
        <w:rPr>
          <w:rStyle w:val="FootnoteAnchor"/>
          <w:rtl w:val="true"/>
        </w:rPr>
        <w:footnoteReference w:id="204"/>
      </w:r>
      <w:r>
        <w:rPr>
          <w:rFonts w:ascii="IRNazanin" w:hAnsi="IRNazanin" w:eastAsia="IRNazanin"/>
          <w:color w:val="111111"/>
          <w:sz w:val="28"/>
          <w:sz w:val="28"/>
          <w:szCs w:val="28"/>
          <w:rtl w:val="true"/>
          <w:lang w:bidi="fa-IR"/>
        </w:rPr>
        <w:t xml:space="preserve">و شیخ </w:t>
      </w:r>
      <w:bookmarkStart w:id="334" w:name="pg9135_79639"/>
    </w:p>
    <w:p>
      <w:pPr>
        <w:pStyle w:val="BookText"/>
        <w:rPr/>
      </w:pPr>
      <w:bookmarkEnd w:id="334"/>
      <w:r>
        <w:rPr>
          <w:rFonts w:ascii="IRNazanin" w:hAnsi="IRNazanin" w:eastAsia="IRNazanin"/>
          <w:color w:val="111111"/>
          <w:sz w:val="28"/>
          <w:sz w:val="28"/>
          <w:szCs w:val="28"/>
          <w:rtl w:val="true"/>
          <w:lang w:bidi="fa-IR"/>
        </w:rPr>
        <w:t xml:space="preserve">الشریعه اصفهانی </w:t>
      </w:r>
      <w:r>
        <w:rPr>
          <w:rStyle w:val="FootnoteAnchor"/>
          <w:rtl w:val="true"/>
        </w:rPr>
        <w:footnoteReference w:id="205"/>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206"/>
      </w:r>
      <w:r>
        <w:rPr>
          <w:rFonts w:ascii="IRNazanin" w:hAnsi="IRNazanin" w:eastAsia="IRNazanin"/>
          <w:color w:val="111111"/>
          <w:sz w:val="28"/>
          <w:sz w:val="28"/>
          <w:szCs w:val="28"/>
          <w:rtl w:val="true"/>
          <w:lang w:bidi="fa-IR"/>
        </w:rPr>
        <w:t>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الشریعة برای تقویت این وجه ادله ای را بیان کرده است</w:t>
      </w:r>
      <w:r>
        <w:rPr>
          <w:rFonts w:eastAsia="IRNazanin" w:cs="IRNazanin"/>
          <w:color w:val="111111"/>
          <w:sz w:val="28"/>
          <w:szCs w:val="28"/>
          <w:rtl w:val="true"/>
          <w:lang w:bidi="fa-IR"/>
        </w:rPr>
        <w:t>:</w:t>
      </w:r>
    </w:p>
    <w:p>
      <w:pPr>
        <w:pStyle w:val="Heading3"/>
        <w:numPr>
          <w:ilvl w:val="2"/>
          <w:numId w:val="1"/>
        </w:numPr>
        <w:rPr/>
      </w:pPr>
      <w:bookmarkStart w:id="335" w:name="__RefHeading___Toc3219717_2870459653"/>
      <w:bookmarkStart w:id="336" w:name="_Toc136"/>
      <w:bookmarkEnd w:id="335"/>
      <w:r>
        <w:rPr>
          <w:rtl w:val="true"/>
        </w:rPr>
        <w:t>دلیل اوّل شيخ الشريعة</w:t>
      </w:r>
      <w:bookmarkEnd w:id="336"/>
    </w:p>
    <w:p>
      <w:pPr>
        <w:pStyle w:val="BookText"/>
        <w:rPr/>
      </w:pPr>
      <w:r>
        <w:rPr>
          <w:rFonts w:ascii="IRNazanin" w:hAnsi="IRNazanin" w:eastAsia="IRNazanin"/>
          <w:color w:val="111111"/>
          <w:sz w:val="28"/>
          <w:sz w:val="28"/>
          <w:szCs w:val="28"/>
          <w:rtl w:val="true"/>
          <w:lang w:bidi="fa-IR"/>
        </w:rPr>
        <w:t>اراده نهی تحریمی از لا نفی جنس در آیات و روایات فراوان استعمال می شود و شایع است مانند قول خداوند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رَفَثَ وَ لَا فُسُوقَ وَ لَا جِدَالَ فِي الْحَجَّ</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 بینیم رفت و فسق و جدال در حج واقع می شود، صوناً للكلام شارع حمل می شود بر نهی تحریمی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فِي الْحَيَوةِ أَن تَقُولَ لَا مِسَاسَ</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حضرت موسی به سامری که او را با کلام </w:t>
      </w:r>
      <w:r>
        <w:rPr>
          <w:rFonts w:ascii="Amiri" w:hAnsi="Amiri" w:eastAsia="Amiri" w:cs="Amiri"/>
          <w:color w:val="111111"/>
          <w:sz w:val="28"/>
          <w:sz w:val="28"/>
          <w:szCs w:val="28"/>
          <w:rtl w:val="true"/>
          <w:lang w:bidi="ar-SA"/>
        </w:rPr>
        <w:t>لَا مِسَاسَ</w:t>
      </w:r>
      <w:r>
        <w:rPr>
          <w:rFonts w:ascii="IRNazanin" w:hAnsi="IRNazanin" w:eastAsia="IRNazanin"/>
          <w:color w:val="111111"/>
          <w:sz w:val="28"/>
          <w:sz w:val="28"/>
          <w:szCs w:val="28"/>
          <w:rtl w:val="true"/>
          <w:lang w:bidi="fa-IR"/>
        </w:rPr>
        <w:t xml:space="preserve"> نهی می کند از ارتباط با مردم یعنی موسی به سامری می گوید ارتباط برای تو تحریم می شود و حکم می کند بر یک عقاب که از ارتباط با مردم محروم می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 لَا جَنَبَ وَ لَا شِغَارَ فِي الْإِسْلَامِ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با کلام فوق نهی فرموده اند از گناه و ستم کردن، زدن، و از شغار؛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شغار ازدواجی در زمان جاهلیت که مهر هر خانمی ازدواج با خانم طرف مقابل باشد و در واقع مهری به زنان نمی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إِخْصَاءِ فِي الْإِسْلَامِ وَ لَا بُنْيَانُ كَنِيسَةُ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 لَا جَنَبَ وَ لَا اعْتِرَاضُ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فِي الْإِسْلَامِ وَ لَا مناجَشَةَ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رسول خدا صلی اللّه علیه و آله و سلم نهی فرموده اند از ایجاد قُرق گاه و فحاشی کردن در اسلام</w:t>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فِي الْأَرَاكِ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إِلَّا حِمَى اللَّهَ وَ رَسُولَهُ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اراک که از چوب های آن مسواک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 گاه نیست مگر آن جایی که خدا و رسول خدا صلی اللّه علیه و آله و سلم جعل کرده باشند مانند قرق گاهی که برای حیوانات ذکات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رسول خدا صلی اللّه علیه و آله و سلم نهی فرموده اند از هر مسابقه ای مگر در اسب دوانی، شتر و تیر اندازی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صمات يَوْمُ إِلَى اللَّيْلِ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رسول خدا صلی اللّه علیه و آله و سلم و نهی فرموده اند از روزه سکوت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فِي الْإِسْلَامِ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رسول خدا صلی اللّه علیه و آله و سلم نهی فرمودند که به جهت اطاعت از مخلوق، خالق را عصیان کنند</w:t>
      </w:r>
    </w:p>
    <w:p>
      <w:pPr>
        <w:pStyle w:val="BookText"/>
        <w:rPr/>
      </w:pPr>
      <w:r>
        <w:rPr>
          <w:rFonts w:ascii="Amiri" w:hAnsi="Amiri" w:eastAsia="Amiri" w:cs="Amiri"/>
          <w:color w:val="111111"/>
          <w:sz w:val="28"/>
          <w:sz w:val="28"/>
          <w:szCs w:val="28"/>
          <w:rtl w:val="true"/>
          <w:lang w:bidi="ar-SA"/>
        </w:rPr>
        <w:t xml:space="preserve">وَ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 بَيْنَ الْمُسْلِمِينَ فَوْقَ ثَلَاثَةِ أَيَّامٍ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نهی فرمودند که مسلمانان بیش از سه روز با هم اختلاف و </w:t>
      </w:r>
      <w:bookmarkStart w:id="337" w:name="pg9135_79641"/>
    </w:p>
    <w:p>
      <w:pPr>
        <w:pStyle w:val="BookText"/>
        <w:rPr/>
      </w:pPr>
      <w:bookmarkEnd w:id="337"/>
      <w:r>
        <w:rPr>
          <w:rFonts w:ascii="IRNazanin" w:hAnsi="IRNazanin" w:eastAsia="IRNazanin"/>
          <w:color w:val="111111"/>
          <w:sz w:val="28"/>
          <w:sz w:val="28"/>
          <w:szCs w:val="28"/>
          <w:rtl w:val="true"/>
          <w:lang w:bidi="fa-IR"/>
        </w:rPr>
        <w:t>دوری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غُشَّ فِي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رسول خدا صلی اللّه علیه و آله و سلم نهی فرمودند از غش و کلاه برداری در بین بین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ذکر شد همه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تفحص کنیم از نظائر آن چه که در کتاب و سنت آمده از روایات و استعمالات فصحاء چه در نظم چه در نثر موارد آن قدر زیاد است که از حوصله این بحث خارج است و از آن چه ذکر کردیم کفایت می کند اثبات شیوع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ترکیب برای لا نفی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الشريعة رحمه اللّه علیه بعد از ذکر این امثله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كُلُّهُ مِمَّا فِي الْكِتَابِ وَ السُّنَّةِ النبويه وَ لَوْ ذَهَبْنَا لِنَسْتقصى مَا وَقَعَ مِنَ اَلنَّظَائِرُهُمَا فِي الرِّوَايَاتِ و اِسْتِعْمَالَاتٌ الْفُصَحَاءُ نَظْماً وَ نَثْراً لطال الْمَقَالِ وَ أَدَّى الملال وَ فِيمَا ذَكَرْنَا كِفَايَةُ اثبات شيوع هَذَا الْمَعْنَى فِي هَذَا التَّرْكِيبِ أُغْنِي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3219719_2870459653"/>
      <w:bookmarkStart w:id="339" w:name="_Toc137"/>
      <w:bookmarkEnd w:id="338"/>
      <w:r>
        <w:rPr>
          <w:rtl w:val="true"/>
        </w:rPr>
        <w:t>مناقشه در كلام شيخ الشريعة</w:t>
      </w:r>
      <w:bookmarkEnd w:id="339"/>
    </w:p>
    <w:p>
      <w:pPr>
        <w:pStyle w:val="BookText"/>
        <w:rPr/>
      </w:pPr>
      <w:r>
        <w:rPr>
          <w:rFonts w:ascii="IRNazanin" w:hAnsi="IRNazanin" w:eastAsia="IRNazanin"/>
          <w:color w:val="111111"/>
          <w:sz w:val="28"/>
          <w:sz w:val="28"/>
          <w:szCs w:val="28"/>
          <w:rtl w:val="true"/>
          <w:lang w:bidi="fa-IR"/>
        </w:rPr>
        <w:t>ادعاى شيخ الشريعه بر این که استعمال لا نفی جنس و اراده لاء ناهیه در کتاب و سنة شيوع دارد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مواردی که قرینه باشد بر اراده نهی این استعمال بلا اشکال است مانند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رَفَثَ وَ لَا فُسُوقَ وَ لَا جدَالَ فِي الْحَج</w:t>
      </w:r>
      <w:r>
        <w:rPr>
          <w:rStyle w:val="FootnoteAnchor"/>
          <w:rtl w:val="true"/>
        </w:rPr>
        <w:footnoteReference w:id="222"/>
      </w:r>
      <w:r>
        <w:rPr>
          <w:rFonts w:ascii="IRNazanin" w:hAnsi="IRNazanin" w:eastAsia="IRNazanin"/>
          <w:color w:val="111111"/>
          <w:sz w:val="28"/>
          <w:sz w:val="28"/>
          <w:szCs w:val="28"/>
          <w:rtl w:val="true"/>
          <w:lang w:bidi="fa-IR"/>
        </w:rPr>
        <w:t xml:space="preserve">که به قرينة صوناً لكلام ربِّ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حمل کنیم آیه را بر معنای نفی خلاف واقع پیش می آید چون می بینیم که در حج ممکن است این گناهان از قبیل آمیزشی با زنان و گناه و جدل اتفاق بیافتد پس چون خداوند صادق است و کذب در او راه ندارد حمل به نهی تکلیفی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نهی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که مثال هایی را که شیخ الشریعة ذکر کردند از باب نفی حکم </w:t>
      </w:r>
    </w:p>
    <w:p>
      <w:pPr>
        <w:pStyle w:val="BookText"/>
        <w:rPr/>
      </w:pPr>
      <w:r>
        <w:rPr>
          <w:rFonts w:ascii="IRNazanin" w:hAnsi="IRNazanin" w:eastAsia="IRNazanin"/>
          <w:color w:val="111111"/>
          <w:sz w:val="28"/>
          <w:sz w:val="28"/>
          <w:szCs w:val="28"/>
          <w:rtl w:val="true"/>
          <w:lang w:bidi="fa-IR"/>
        </w:rPr>
        <w:t>به لسان نفی موضوع است نه از باب استعمال نفی در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رحمه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کثرت و شیوع استعمال لا نافیه در لا ناهیه تمام نیست؛ بلکه استعمال لا نافیه در معنای خودش اکثر شیوعاً می باشد </w:t>
      </w:r>
      <w:r>
        <w:rPr>
          <w:rStyle w:val="FootnoteAnchor"/>
          <w:rtl w:val="true"/>
        </w:rPr>
        <w:footnoteReference w:id="223"/>
      </w:r>
      <w:r>
        <w:rPr>
          <w:rFonts w:ascii="IRNazanin" w:hAnsi="IRNazanin" w:eastAsia="IRNazanin"/>
          <w:color w:val="111111"/>
          <w:sz w:val="28"/>
          <w:sz w:val="28"/>
          <w:szCs w:val="28"/>
          <w:rtl w:val="true"/>
          <w:lang w:bidi="fa-IR"/>
        </w:rPr>
        <w:t>و شواهدی را بیان می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سَهْوَ عَلَى مَنْ أَقَرَّ عَلَى نَفْسِهِ بِالسَّهْوِ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کثیر الشک به شک خود اعتنا نکند در این جا نمی خواهد حکم تحریمی را بیان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لَا سَهْوَ فِي سَهْوٍ، </w:t>
      </w:r>
      <w:r>
        <w:rPr>
          <w:rStyle w:val="FootnoteAnchor"/>
          <w:rtl w:val="true"/>
        </w:rPr>
        <w:footnoteReference w:id="225"/>
      </w:r>
      <w:r>
        <w:rPr>
          <w:rFonts w:ascii="Amiri" w:hAnsi="Amiri" w:eastAsia="Amiri" w:cs="Amiri"/>
          <w:color w:val="111111"/>
          <w:sz w:val="28"/>
          <w:sz w:val="28"/>
          <w:szCs w:val="28"/>
          <w:rtl w:val="true"/>
          <w:lang w:bidi="ar-SA"/>
        </w:rPr>
        <w:t xml:space="preserve">وَ لَا سَهْوَ، فِي نَافِلَةٍ، </w:t>
      </w:r>
      <w:r>
        <w:rPr>
          <w:rStyle w:val="FootnoteAnchor"/>
          <w:rtl w:val="true"/>
        </w:rPr>
        <w:footnoteReference w:id="226"/>
      </w:r>
      <w:r>
        <w:rPr>
          <w:rFonts w:ascii="Amiri" w:hAnsi="Amiri" w:eastAsia="Amiri" w:cs="Amiri"/>
          <w:color w:val="111111"/>
          <w:sz w:val="28"/>
          <w:sz w:val="28"/>
          <w:szCs w:val="28"/>
          <w:rtl w:val="true"/>
          <w:lang w:bidi="ar-SA"/>
        </w:rPr>
        <w:t xml:space="preserve">وَ لَا نَذْرَ فِي مَعْصِيَةٍ، </w:t>
      </w:r>
      <w:r>
        <w:rPr>
          <w:rStyle w:val="FootnoteAnchor"/>
          <w:rtl w:val="true"/>
        </w:rPr>
        <w:footnoteReference w:id="227"/>
      </w:r>
      <w:r>
        <w:rPr>
          <w:rFonts w:ascii="Amiri" w:hAnsi="Amiri" w:eastAsia="Amiri" w:cs="Amiri"/>
          <w:color w:val="111111"/>
          <w:sz w:val="28"/>
          <w:sz w:val="28"/>
          <w:szCs w:val="28"/>
          <w:rtl w:val="true"/>
          <w:lang w:bidi="ar-SA"/>
        </w:rPr>
        <w:t xml:space="preserve">لَا يَمِينَ لِمُكْرَهٍ، </w:t>
      </w:r>
      <w:r>
        <w:rPr>
          <w:rStyle w:val="FootnoteAnchor"/>
          <w:rtl w:val="true"/>
        </w:rPr>
        <w:footnoteReference w:id="228"/>
      </w:r>
      <w:r>
        <w:rPr>
          <w:rFonts w:ascii="Amiri" w:hAnsi="Amiri" w:eastAsia="Amiri" w:cs="Amiri"/>
          <w:color w:val="111111"/>
          <w:sz w:val="28"/>
          <w:sz w:val="28"/>
          <w:szCs w:val="28"/>
          <w:rtl w:val="true"/>
          <w:lang w:bidi="ar-SA"/>
        </w:rPr>
        <w:t xml:space="preserve">لَا يَمِينَ فِي قَطِيعَهُ، </w:t>
      </w:r>
      <w:r>
        <w:rPr>
          <w:rStyle w:val="FootnoteAnchor"/>
          <w:rtl w:val="true"/>
        </w:rPr>
        <w:footnoteReference w:id="229"/>
      </w:r>
      <w:r>
        <w:rPr>
          <w:rFonts w:ascii="Amiri" w:hAnsi="Amiri" w:eastAsia="Amiri" w:cs="Amiri"/>
          <w:color w:val="111111"/>
          <w:sz w:val="28"/>
          <w:sz w:val="28"/>
          <w:szCs w:val="28"/>
          <w:rtl w:val="true"/>
          <w:lang w:bidi="ar-SA"/>
        </w:rPr>
        <w:t xml:space="preserve">لَا يَمِينَ فِيمَا يَبْذُلَ، </w:t>
      </w:r>
      <w:r>
        <w:rPr>
          <w:rStyle w:val="FootnoteAnchor"/>
          <w:rtl w:val="true"/>
        </w:rPr>
        <w:footnoteReference w:id="230"/>
      </w:r>
      <w:r>
        <w:rPr>
          <w:rFonts w:ascii="Amiri" w:hAnsi="Amiri" w:eastAsia="Amiri" w:cs="Amiri"/>
          <w:color w:val="111111"/>
          <w:sz w:val="28"/>
          <w:sz w:val="28"/>
          <w:szCs w:val="28"/>
          <w:rtl w:val="true"/>
          <w:lang w:bidi="ar-SA"/>
        </w:rPr>
        <w:t xml:space="preserve">لَا يَمِينَ فِي اسْتِكْرَاهٍ وَ لَا عَلَى سُكْرٍ وَ لَا عَصَبِيَّةٍ، </w:t>
      </w:r>
      <w:r>
        <w:rPr>
          <w:rStyle w:val="FootnoteAnchor"/>
          <w:rtl w:val="true"/>
        </w:rPr>
        <w:footnoteReference w:id="231"/>
      </w:r>
      <w:r>
        <w:rPr>
          <w:rFonts w:ascii="Amiri" w:hAnsi="Amiri" w:eastAsia="Amiri" w:cs="Amiri"/>
          <w:color w:val="111111"/>
          <w:sz w:val="28"/>
          <w:sz w:val="28"/>
          <w:szCs w:val="28"/>
          <w:rtl w:val="true"/>
          <w:lang w:bidi="ar-SA"/>
        </w:rPr>
        <w:t xml:space="preserve">لَا يَمِينَ إِلَّا بِاللَّهِ، </w:t>
      </w:r>
      <w:r>
        <w:rPr>
          <w:rStyle w:val="FootnoteAnchor"/>
          <w:rtl w:val="true"/>
        </w:rPr>
        <w:footnoteReference w:id="232"/>
      </w:r>
      <w:r>
        <w:rPr>
          <w:rFonts w:ascii="Amiri" w:hAnsi="Amiri" w:eastAsia="Amiri" w:cs="Amiri"/>
          <w:color w:val="111111"/>
          <w:sz w:val="28"/>
          <w:sz w:val="28"/>
          <w:szCs w:val="28"/>
          <w:rtl w:val="true"/>
          <w:lang w:bidi="ar-SA"/>
        </w:rPr>
        <w:t xml:space="preserve">لَا نَذْرَ فِيمَا لَا يَمْلِكُهُ ابْنُ آدَمَ، </w:t>
      </w:r>
      <w:r>
        <w:rPr>
          <w:rStyle w:val="FootnoteAnchor"/>
          <w:rtl w:val="true"/>
        </w:rPr>
        <w:footnoteReference w:id="233"/>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دو سالگی شیر خوارگی نداريم </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لَا يُتْمَ بَعْدَ احْتِلَامٍ، </w:t>
      </w:r>
      <w:r>
        <w:rPr>
          <w:rStyle w:val="FootnoteAnchor"/>
          <w:rtl w:val="true"/>
        </w:rPr>
        <w:footnoteReference w:id="235"/>
      </w:r>
      <w:r>
        <w:rPr>
          <w:rFonts w:ascii="Amiri" w:hAnsi="Amiri" w:eastAsia="Amiri" w:cs="Amiri"/>
          <w:color w:val="111111"/>
          <w:sz w:val="28"/>
          <w:sz w:val="28"/>
          <w:szCs w:val="28"/>
          <w:rtl w:val="true"/>
          <w:lang w:bidi="ar-SA"/>
        </w:rPr>
        <w:t xml:space="preserve">لَا طَلَاقَ قَبْلَ نِكَاحٍ، </w:t>
      </w:r>
      <w:r>
        <w:rPr>
          <w:rStyle w:val="FootnoteAnchor"/>
          <w:rtl w:val="true"/>
        </w:rPr>
        <w:footnoteReference w:id="236"/>
      </w:r>
      <w:r>
        <w:rPr>
          <w:rFonts w:ascii="Amiri" w:hAnsi="Amiri" w:eastAsia="Amiri" w:cs="Amiri"/>
          <w:color w:val="111111"/>
          <w:sz w:val="28"/>
          <w:sz w:val="28"/>
          <w:szCs w:val="28"/>
          <w:rtl w:val="true"/>
          <w:lang w:bidi="ar-SA"/>
        </w:rPr>
        <w:t xml:space="preserve">لَا عِتْقَ قَبْلَ الْمِلْكِ ، </w:t>
      </w:r>
      <w:r>
        <w:rPr>
          <w:rStyle w:val="FootnoteAnchor"/>
          <w:rtl w:val="true"/>
        </w:rPr>
        <w:footnoteReference w:id="237"/>
      </w:r>
      <w:r>
        <w:rPr>
          <w:rFonts w:ascii="Amiri" w:hAnsi="Amiri" w:eastAsia="Amiri" w:cs="Amiri"/>
          <w:color w:val="111111"/>
          <w:sz w:val="28"/>
          <w:sz w:val="28"/>
          <w:szCs w:val="28"/>
          <w:rtl w:val="true"/>
          <w:lang w:bidi="ar-SA"/>
        </w:rPr>
        <w:t xml:space="preserve">لَا يَمِينٍ </w:t>
      </w:r>
      <w:bookmarkStart w:id="340" w:name="pg9135_79643"/>
    </w:p>
    <w:p>
      <w:pPr>
        <w:pStyle w:val="BookText"/>
        <w:rPr/>
      </w:pPr>
      <w:bookmarkEnd w:id="340"/>
      <w:r>
        <w:rPr>
          <w:rFonts w:ascii="Amiri" w:hAnsi="Amiri" w:eastAsia="Amiri" w:cs="Amiri"/>
          <w:color w:val="111111"/>
          <w:sz w:val="28"/>
          <w:sz w:val="28"/>
          <w:szCs w:val="28"/>
          <w:rtl w:val="true"/>
          <w:lang w:bidi="ar-SA"/>
        </w:rPr>
        <w:t xml:space="preserve">لِلْوَلَدِ مَعَ والِدِهِ وَ لَا لِلْمَمْلُوكِ مَعَ مَوْلَاهُ وَ لَا لِلْمَرْأَةِ مَعَ زَوْجِهَا ، </w:t>
      </w:r>
      <w:r>
        <w:rPr>
          <w:rStyle w:val="FootnoteAnchor"/>
          <w:rtl w:val="true"/>
        </w:rPr>
        <w:footnoteReference w:id="238"/>
      </w:r>
      <w:r>
        <w:rPr>
          <w:rFonts w:ascii="Amiri" w:hAnsi="Amiri" w:eastAsia="Amiri" w:cs="Amiri"/>
          <w:color w:val="111111"/>
          <w:sz w:val="28"/>
          <w:sz w:val="28"/>
          <w:szCs w:val="28"/>
          <w:rtl w:val="true"/>
          <w:lang w:bidi="ar-SA"/>
        </w:rPr>
        <w:t xml:space="preserve">لَا نِكَاحُ لِلْعَبْدِ وَ لَا طَلَاقَ إِلَّا بِأُذُنِ مَوْلَاهُ ، </w:t>
      </w:r>
      <w:r>
        <w:rPr>
          <w:rStyle w:val="FootnoteAnchor"/>
          <w:rtl w:val="true"/>
        </w:rPr>
        <w:footnoteReference w:id="239"/>
      </w:r>
      <w:r>
        <w:rPr>
          <w:rFonts w:ascii="Amiri" w:hAnsi="Amiri" w:eastAsia="Amiri" w:cs="Amiri"/>
          <w:color w:val="111111"/>
          <w:sz w:val="28"/>
          <w:sz w:val="28"/>
          <w:szCs w:val="28"/>
          <w:rtl w:val="true"/>
          <w:lang w:bidi="ar-SA"/>
        </w:rPr>
        <w:t xml:space="preserve">لَا طَلَاقَ الَّا عَلَى طُهْرٍ ، </w:t>
      </w:r>
      <w:r>
        <w:rPr>
          <w:rStyle w:val="FootnoteAnchor"/>
          <w:rtl w:val="true"/>
        </w:rPr>
        <w:footnoteReference w:id="240"/>
      </w:r>
      <w:r>
        <w:rPr>
          <w:rFonts w:ascii="Amiri" w:hAnsi="Amiri" w:eastAsia="Amiri" w:cs="Amiri"/>
          <w:color w:val="111111"/>
          <w:sz w:val="28"/>
          <w:sz w:val="28"/>
          <w:szCs w:val="28"/>
          <w:rtl w:val="true"/>
          <w:lang w:bidi="ar-SA"/>
        </w:rPr>
        <w:t xml:space="preserve">لَا طَلَاقَ إِلَّا بِخَمْسٍ ، </w:t>
      </w:r>
      <w:r>
        <w:rPr>
          <w:rStyle w:val="FootnoteAnchor"/>
          <w:rtl w:val="true"/>
        </w:rPr>
        <w:footnoteReference w:id="241"/>
      </w:r>
      <w:r>
        <w:rPr>
          <w:rFonts w:ascii="Amiri" w:hAnsi="Amiri" w:eastAsia="Amiri" w:cs="Amiri"/>
          <w:color w:val="111111"/>
          <w:sz w:val="28"/>
          <w:sz w:val="28"/>
          <w:szCs w:val="28"/>
          <w:rtl w:val="true"/>
          <w:lang w:bidi="ar-SA"/>
        </w:rPr>
        <w:t xml:space="preserve">لَا طَلَاقَ فِيمَا لَا تَمْلِكُ وَ لَا عِتْقَ فِيمَا لَا تَمْلِكُ، وَ لَا بَيْعَ فِيمَا لَا تَمْلِكُ ، </w:t>
      </w:r>
      <w:r>
        <w:rPr>
          <w:rStyle w:val="FootnoteAnchor"/>
          <w:rtl w:val="true"/>
        </w:rPr>
        <w:footnoteReference w:id="242"/>
      </w:r>
      <w:r>
        <w:rPr>
          <w:rFonts w:ascii="Amiri" w:hAnsi="Amiri" w:eastAsia="Amiri" w:cs="Amiri"/>
          <w:color w:val="111111"/>
          <w:sz w:val="28"/>
          <w:sz w:val="28"/>
          <w:szCs w:val="28"/>
          <w:rtl w:val="true"/>
          <w:lang w:bidi="ar-SA"/>
        </w:rPr>
        <w:t xml:space="preserve">لَا طَلَاقَ لسكران الَّذِي لَا يَعْقِلُ ، </w:t>
      </w:r>
      <w:r>
        <w:rPr>
          <w:rStyle w:val="FootnoteAnchor"/>
          <w:rtl w:val="true"/>
        </w:rPr>
        <w:footnoteReference w:id="243"/>
      </w:r>
      <w:r>
        <w:rPr>
          <w:rFonts w:ascii="Amiri" w:hAnsi="Amiri" w:eastAsia="Amiri" w:cs="Amiri"/>
          <w:color w:val="111111"/>
          <w:sz w:val="28"/>
          <w:sz w:val="28"/>
          <w:szCs w:val="28"/>
          <w:rtl w:val="true"/>
          <w:lang w:bidi="ar-SA"/>
        </w:rPr>
        <w:t xml:space="preserve">لَا ظِهَارَ إِلَّا فِي طُهْرٍ ، </w:t>
      </w:r>
      <w:r>
        <w:rPr>
          <w:rStyle w:val="FootnoteAnchor"/>
          <w:rtl w:val="true"/>
        </w:rPr>
        <w:footnoteReference w:id="244"/>
      </w:r>
      <w:r>
        <w:rPr>
          <w:rFonts w:ascii="Amiri" w:hAnsi="Amiri" w:eastAsia="Amiri" w:cs="Amiri"/>
          <w:color w:val="111111"/>
          <w:sz w:val="28"/>
          <w:sz w:val="28"/>
          <w:szCs w:val="28"/>
          <w:rtl w:val="true"/>
          <w:lang w:bidi="ar-SA"/>
        </w:rPr>
        <w:t xml:space="preserve">لَا طَلَاقَ إِلَّا مَا أُرِيدَ بِهِ الطَّلَاقُ ، </w:t>
      </w:r>
      <w:r>
        <w:rPr>
          <w:rStyle w:val="FootnoteAnchor"/>
          <w:rtl w:val="true"/>
        </w:rPr>
        <w:footnoteReference w:id="245"/>
      </w:r>
      <w:r>
        <w:rPr>
          <w:rFonts w:ascii="Amiri" w:hAnsi="Amiri" w:eastAsia="Amiri" w:cs="Amiri"/>
          <w:color w:val="111111"/>
          <w:sz w:val="28"/>
          <w:sz w:val="28"/>
          <w:szCs w:val="28"/>
          <w:rtl w:val="true"/>
          <w:lang w:bidi="ar-SA"/>
        </w:rPr>
        <w:t xml:space="preserve">لَا ظِهَارَ الَّا مَا أُرِيدَ بِهِ الظِّهَارُ ، </w:t>
      </w:r>
      <w:r>
        <w:rPr>
          <w:rStyle w:val="FootnoteAnchor"/>
          <w:rtl w:val="true"/>
        </w:rPr>
        <w:footnoteReference w:id="246"/>
      </w:r>
      <w:r>
        <w:rPr>
          <w:rFonts w:ascii="Amiri" w:hAnsi="Amiri" w:eastAsia="Amiri" w:cs="Amiri"/>
          <w:color w:val="111111"/>
          <w:sz w:val="28"/>
          <w:sz w:val="28"/>
          <w:szCs w:val="28"/>
          <w:rtl w:val="true"/>
          <w:lang w:bidi="ar-SA"/>
        </w:rPr>
        <w:t xml:space="preserve">لَا ايلاء حَتَّى يَدْخُلَ بِهَا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3219721_2870459653"/>
      <w:bookmarkStart w:id="342" w:name="_Toc138"/>
      <w:bookmarkEnd w:id="341"/>
      <w:r>
        <w:rPr>
          <w:rtl w:val="true"/>
        </w:rPr>
        <w:t>دلیل دوّم شيخ الشريعة</w:t>
      </w:r>
      <w:bookmarkEnd w:id="342"/>
    </w:p>
    <w:p>
      <w:pPr>
        <w:pStyle w:val="BookText"/>
        <w:rPr/>
      </w:pPr>
      <w:r>
        <w:rPr>
          <w:rFonts w:ascii="IRNazanin" w:hAnsi="IRNazanin" w:eastAsia="IRNazanin"/>
          <w:color w:val="111111"/>
          <w:sz w:val="28"/>
          <w:sz w:val="28"/>
          <w:szCs w:val="28"/>
          <w:rtl w:val="true"/>
          <w:lang w:bidi="fa-IR"/>
        </w:rPr>
        <w:t>با تتبع در کلمات اهل لغت به این نتیجه می رسیم که بر این که لاضرر حمل بر نهی نمی شود اتفاق دارند و شاهد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نِهَايَةَ ابْنِ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أَيْ لَا يَضُرُّ الرَّجُلُ أَخَاهُ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لسان العربِ معنى قَوْلِهِ لَا ضَرَرُ ، أَيْ لَا يَضُرُّ الرَّجُلُ أَخَاهُ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النثير از سیوطی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أَيْ لَا يَضُرُّ الرَّجُلُ أَخَاهُ فَيَنْقُصُهُ شَيْئاً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Style w:val="FootnoteAnchor"/>
          <w:rtl w:val="true"/>
        </w:rPr>
        <w:footnoteReference w:id="250"/>
      </w:r>
      <w:r>
        <w:rPr>
          <w:rFonts w:ascii="IRNazanin" w:hAnsi="IRNazanin" w:eastAsia="IRNazanin"/>
          <w:color w:val="111111"/>
          <w:sz w:val="28"/>
          <w:sz w:val="28"/>
          <w:szCs w:val="28"/>
          <w:rtl w:val="true"/>
          <w:lang w:bidi="fa-IR"/>
        </w:rPr>
        <w:t xml:space="preserve">و طریحی </w:t>
      </w:r>
      <w:r>
        <w:rPr>
          <w:rStyle w:val="FootnoteAnchor"/>
          <w:rtl w:val="true"/>
        </w:rPr>
        <w:footnoteReference w:id="251"/>
      </w:r>
      <w:r>
        <w:rPr>
          <w:rFonts w:ascii="IRNazanin" w:hAnsi="IRNazanin" w:eastAsia="IRNazanin"/>
          <w:color w:val="111111"/>
          <w:sz w:val="28"/>
          <w:sz w:val="28"/>
          <w:szCs w:val="28"/>
          <w:rtl w:val="true"/>
          <w:lang w:bidi="fa-IR"/>
        </w:rPr>
        <w:t>در مجمع البحرین به همین معنا آورده اند</w:t>
      </w:r>
      <w:r>
        <w:rPr>
          <w:rFonts w:eastAsia="IRNazanin" w:cs="IRNazanin"/>
          <w:color w:val="111111"/>
          <w:sz w:val="28"/>
          <w:szCs w:val="28"/>
          <w:rtl w:val="true"/>
          <w:lang w:bidi="fa-IR"/>
        </w:rPr>
        <w:t xml:space="preserve">. </w:t>
      </w:r>
      <w:bookmarkStart w:id="343" w:name="pg9135_79644"/>
    </w:p>
    <w:p>
      <w:pPr>
        <w:pStyle w:val="Heading3"/>
        <w:numPr>
          <w:ilvl w:val="2"/>
          <w:numId w:val="1"/>
        </w:numPr>
        <w:rPr/>
      </w:pPr>
      <w:bookmarkStart w:id="344" w:name="__RefHeading___Toc3219723_2870459653"/>
      <w:bookmarkStart w:id="345" w:name="_Toc139"/>
      <w:bookmarkEnd w:id="343"/>
      <w:bookmarkEnd w:id="344"/>
      <w:r>
        <w:rPr>
          <w:rtl w:val="true"/>
        </w:rPr>
        <w:t>مناقشه در دلیل دوّم</w:t>
      </w:r>
      <w:r>
        <w:rPr>
          <w:rtl w:val="true"/>
        </w:rPr>
        <w:t>:</w:t>
      </w:r>
      <w:bookmarkEnd w:id="345"/>
    </w:p>
    <w:p>
      <w:pPr>
        <w:pStyle w:val="BookText"/>
        <w:rPr/>
      </w:pPr>
      <w:r>
        <w:rPr>
          <w:rFonts w:ascii="IRNazanin" w:hAnsi="IRNazanin" w:eastAsia="IRNazanin"/>
          <w:color w:val="111111"/>
          <w:sz w:val="28"/>
          <w:sz w:val="28"/>
          <w:szCs w:val="28"/>
          <w:rtl w:val="true"/>
          <w:lang w:bidi="fa-IR"/>
        </w:rPr>
        <w:t>به این بیان شيخ الشريعة هم اشکال صغروی وارد است و هم اشکال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قبول نداریم که اتفاق اهل لغت است؛ زیرا برگشت این شواهدی را که از کتب اهل لغت بیان می کنند به دو کتاب بیشتر نیست</w:t>
      </w:r>
      <w:r>
        <w:rPr>
          <w:rFonts w:eastAsia="IRNazanin" w:cs="IRNazanin"/>
          <w:color w:val="111111"/>
          <w:sz w:val="28"/>
          <w:szCs w:val="28"/>
          <w:rtl w:val="true"/>
          <w:lang w:bidi="fa-IR"/>
        </w:rPr>
        <w:t>.</w:t>
      </w:r>
    </w:p>
    <w:p>
      <w:pPr>
        <w:pStyle w:val="Heading3"/>
        <w:numPr>
          <w:ilvl w:val="2"/>
          <w:numId w:val="1"/>
        </w:numPr>
        <w:rPr/>
      </w:pPr>
      <w:bookmarkStart w:id="346" w:name="__RefHeading___Toc3219725_2870459653"/>
      <w:bookmarkStart w:id="347" w:name="_Toc140"/>
      <w:bookmarkEnd w:id="346"/>
      <w:r>
        <w:rPr>
          <w:rtl w:val="true"/>
        </w:rPr>
        <w:t>بیان مناقشه</w:t>
      </w:r>
      <w:bookmarkEnd w:id="347"/>
    </w:p>
    <w:p>
      <w:pPr>
        <w:pStyle w:val="BookText"/>
        <w:rPr/>
      </w:pPr>
      <w:r>
        <w:rPr>
          <w:rFonts w:ascii="IRNazanin" w:hAnsi="IRNazanin" w:eastAsia="IRNazanin"/>
          <w:color w:val="111111"/>
          <w:sz w:val="28"/>
          <w:sz w:val="28"/>
          <w:szCs w:val="28"/>
          <w:rtl w:val="true"/>
          <w:lang w:bidi="fa-IR"/>
        </w:rPr>
        <w:t>ادعاى شيخ الشريعة بر اتفاق اهل لغت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النهاية ابن اثير جمع بين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غريبي الحديث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هروی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الغيث في تهذيب القرآن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موسی محمّد اصفهانی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ایشان می خواهد از هروی کلامی را بیاورد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 خواهد از کتاب دوّم کلامی بیاورد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کلامی را که در بحث معنای ضرر بیان می کند از کلام هروی است چون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لسان العرب که منسوب به ابن منظور است نیز جمع چندین است که عبارتاً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اللغة أزهرى، صحاح جوهری، نقد صحاح ابن بری، محكم ابن سيده النهاية ابن اثیر و آن چه در باب لاضرر نقل می کند از النهایة ابن اثیر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النثير از سیوطی مختصر کتاب النهاية ابن اثیر است؛ زیرا اسم اصلی آن الدر النثير في مختصر نهاية ابن اثیر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زبیدی و مجمع البحرين طریحی نیز مأخوذ از النهاية ابن اثیر است؛ زیرا عبارات آن ها عیناً عبارات النهاية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مناقشه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قبول این که اتفاق لغویین ثابت باشد اوّلاً در اصول فقه در بحث حجیت قول لغويين مشهور </w:t>
      </w:r>
      <w:r>
        <w:rPr>
          <w:rStyle w:val="FootnoteAnchor"/>
          <w:rtl w:val="true"/>
        </w:rPr>
        <w:footnoteReference w:id="252"/>
      </w:r>
      <w:r>
        <w:rPr>
          <w:rFonts w:ascii="IRNazanin" w:hAnsi="IRNazanin" w:eastAsia="IRNazanin"/>
          <w:color w:val="111111"/>
          <w:sz w:val="28"/>
          <w:sz w:val="28"/>
          <w:szCs w:val="28"/>
          <w:rtl w:val="true"/>
          <w:lang w:bidi="fa-IR"/>
        </w:rPr>
        <w:t xml:space="preserve">آن است که قول لغوی حجت نیست، ثانیاً لغوی تنها می تواند مفردات را مشخص کند نه هیئت ترکیبیّه </w:t>
      </w:r>
      <w:bookmarkStart w:id="348" w:name="pg9135_79645"/>
    </w:p>
    <w:p>
      <w:pPr>
        <w:pStyle w:val="BookText"/>
        <w:rPr/>
      </w:pPr>
      <w:bookmarkEnd w:id="348"/>
      <w:r>
        <w:rPr>
          <w:rFonts w:ascii="IRNazanin" w:hAnsi="IRNazanin" w:eastAsia="IRNazanin"/>
          <w:color w:val="111111"/>
          <w:sz w:val="28"/>
          <w:sz w:val="28"/>
          <w:szCs w:val="28"/>
          <w:rtl w:val="true"/>
          <w:lang w:bidi="fa-IR"/>
        </w:rPr>
        <w:t>را که محلّ بحث ما است</w:t>
      </w:r>
      <w:r>
        <w:rPr>
          <w:rFonts w:eastAsia="IRNazanin" w:cs="IRNazanin"/>
          <w:color w:val="111111"/>
          <w:sz w:val="28"/>
          <w:szCs w:val="28"/>
          <w:rtl w:val="true"/>
          <w:lang w:bidi="fa-IR"/>
        </w:rPr>
        <w:t>.</w:t>
      </w:r>
    </w:p>
    <w:p>
      <w:pPr>
        <w:pStyle w:val="Heading3"/>
        <w:numPr>
          <w:ilvl w:val="2"/>
          <w:numId w:val="1"/>
        </w:numPr>
        <w:rPr/>
      </w:pPr>
      <w:bookmarkStart w:id="349" w:name="__RefHeading___Toc3219727_2870459653"/>
      <w:bookmarkStart w:id="350" w:name="_Toc141"/>
      <w:bookmarkEnd w:id="349"/>
      <w:r>
        <w:rPr>
          <w:rtl w:val="true"/>
        </w:rPr>
        <w:t>دلیل سوم شيخ الشريعة</w:t>
      </w:r>
      <w:bookmarkEnd w:id="350"/>
    </w:p>
    <w:p>
      <w:pPr>
        <w:pStyle w:val="BookText"/>
        <w:rPr/>
      </w:pPr>
      <w:r>
        <w:rPr>
          <w:rFonts w:ascii="IRNazanin" w:hAnsi="IRNazanin" w:eastAsia="IRNazanin"/>
          <w:color w:val="111111"/>
          <w:sz w:val="28"/>
          <w:sz w:val="28"/>
          <w:szCs w:val="28"/>
          <w:rtl w:val="true"/>
          <w:lang w:bidi="fa-IR"/>
        </w:rPr>
        <w:t>متبادر از هیئت ترکیبیهٔ لاضرر و لاضرار اراده نهی از لا نفی جنس است و تبادر هم حجّت است</w:t>
      </w:r>
      <w:r>
        <w:rPr>
          <w:rFonts w:eastAsia="IRNazanin" w:cs="IRNazanin"/>
          <w:color w:val="111111"/>
          <w:sz w:val="28"/>
          <w:szCs w:val="28"/>
          <w:rtl w:val="true"/>
          <w:lang w:bidi="fa-IR"/>
        </w:rPr>
        <w:t>.</w:t>
      </w:r>
    </w:p>
    <w:p>
      <w:pPr>
        <w:pStyle w:val="Heading3"/>
        <w:numPr>
          <w:ilvl w:val="2"/>
          <w:numId w:val="1"/>
        </w:numPr>
        <w:rPr/>
      </w:pPr>
      <w:bookmarkStart w:id="351" w:name="__RefHeading___Toc3219729_2870459653"/>
      <w:bookmarkStart w:id="352" w:name="_Toc142"/>
      <w:bookmarkEnd w:id="351"/>
      <w:r>
        <w:rPr>
          <w:rtl w:val="true"/>
        </w:rPr>
        <w:t>مناقشه</w:t>
      </w:r>
      <w:bookmarkEnd w:id="35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تبادری را که شیخ الشریعه ادعا کرده اند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تبادری حجّت است که منساق و مستند از حاق لفظ باشد</w:t>
      </w:r>
      <w:r>
        <w:rPr>
          <w:rFonts w:eastAsia="IRNazanin" w:cs="IRNazanin"/>
          <w:color w:val="111111"/>
          <w:sz w:val="28"/>
          <w:szCs w:val="28"/>
          <w:rtl w:val="true"/>
          <w:lang w:bidi="fa-IR"/>
        </w:rPr>
        <w:t>.</w:t>
      </w:r>
    </w:p>
    <w:p>
      <w:pPr>
        <w:pStyle w:val="Heading3"/>
        <w:numPr>
          <w:ilvl w:val="2"/>
          <w:numId w:val="1"/>
        </w:numPr>
        <w:rPr/>
      </w:pPr>
      <w:bookmarkStart w:id="353" w:name="__RefHeading___Toc3219731_2870459653"/>
      <w:bookmarkStart w:id="354" w:name="_Toc143"/>
      <w:bookmarkEnd w:id="353"/>
      <w:r>
        <w:rPr>
          <w:rtl w:val="true"/>
        </w:rPr>
        <w:t>دلیل چهارم شيخ الشريعه</w:t>
      </w:r>
      <w:r>
        <w:rPr>
          <w:rtl w:val="true"/>
        </w:rPr>
        <w:t>:</w:t>
      </w:r>
      <w:bookmarkEnd w:id="354"/>
    </w:p>
    <w:p>
      <w:pPr>
        <w:pStyle w:val="BookText"/>
        <w:rPr/>
      </w:pPr>
      <w:r>
        <w:rPr>
          <w:rFonts w:ascii="Amiri" w:hAnsi="Amiri" w:eastAsia="Amiri" w:cs="Amiri"/>
          <w:color w:val="111111"/>
          <w:sz w:val="28"/>
          <w:sz w:val="28"/>
          <w:szCs w:val="28"/>
          <w:rtl w:val="true"/>
          <w:lang w:bidi="ar-SA"/>
        </w:rPr>
        <w:t xml:space="preserve">در بعضی از روایات در بحث لاضرر در قضیهٔ سمرة بن جندب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 یعنی در روایت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قید دلالت دارد بر اراده نهی تکلیفی از لاء نفی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بیان شد که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نيست</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219733_2870459653"/>
      <w:bookmarkStart w:id="356" w:name="_Toc144"/>
      <w:bookmarkEnd w:id="355"/>
      <w:r>
        <w:rPr>
          <w:rtl w:val="true"/>
        </w:rPr>
        <w:t>وجه سوّم</w:t>
      </w:r>
      <w:r>
        <w:rPr>
          <w:rtl w:val="true"/>
        </w:rPr>
        <w:t xml:space="preserve">: </w:t>
      </w:r>
      <w:r>
        <w:rPr>
          <w:rtl w:val="true"/>
        </w:rPr>
        <w:t xml:space="preserve">قول صاحب کفایه رحمه اللّه علیه </w:t>
      </w:r>
      <w:r>
        <w:rPr>
          <w:rtl w:val="true"/>
        </w:rPr>
        <w:t>(</w:t>
      </w:r>
      <w:r>
        <w:rPr>
          <w:rtl w:val="true"/>
        </w:rPr>
        <w:t>نفی حکم به لسان نفی موضوع</w:t>
      </w:r>
      <w:r>
        <w:rPr>
          <w:rtl w:val="true"/>
        </w:rPr>
        <w:t>)</w:t>
      </w:r>
      <w:bookmarkEnd w:id="356"/>
    </w:p>
    <w:p>
      <w:pPr>
        <w:pStyle w:val="BookText"/>
        <w:rPr/>
      </w:pPr>
      <w:r>
        <w:rPr>
          <w:rFonts w:ascii="IRNazanin" w:hAnsi="IRNazanin" w:eastAsia="IRNazanin"/>
          <w:color w:val="111111"/>
          <w:sz w:val="28"/>
          <w:sz w:val="28"/>
          <w:szCs w:val="28"/>
          <w:rtl w:val="true"/>
          <w:lang w:bidi="fa-IR"/>
        </w:rPr>
        <w:t>خلاصه و ماحصل کلام ایشان در کتاب کفایه بر چهار امر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عبارت است از نقص در نفس یا طرف یا عرض یا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به معنای ضرر است و به جهت تأکید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لاضرر و لاضرار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جنس است و غالباً لا نفی جنس برای نفی طبیعت مدخولش می آید حقیقتاً یا ادعاءاً و کنایه آورده می شود از نفی آثار آن جنس، کما این که در جاهایی دیگر و امثله دیگر به همین معناست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لِجَارِ الْمَسْجِدِ إِلَّا فِي الْمَسْجِدِ </w:t>
      </w:r>
      <w:r>
        <w:rPr>
          <w:rStyle w:val="FootnoteAnchor"/>
          <w:rtl w:val="true"/>
        </w:rPr>
        <w:footnoteReference w:id="253"/>
      </w:r>
      <w:r>
        <w:rPr>
          <w:rFonts w:ascii="Amiri" w:hAnsi="Amiri" w:eastAsia="Amiri" w:cs="Amiri"/>
          <w:color w:val="111111"/>
          <w:sz w:val="28"/>
          <w:sz w:val="28"/>
          <w:szCs w:val="28"/>
          <w:rtl w:val="true"/>
          <w:lang w:bidi="ar-SA"/>
        </w:rPr>
        <w:t xml:space="preserve">وَ يَا أَشْبَاهَ الرِّجَالِ وَ لَا رِجَالَ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صلاة کامل و تمام در مسجد اقامه می شود و کلام امیر المؤمنین علیه السلام به این معناست که حقیقت و آثار مردانگی مانند شجاعت در </w:t>
      </w:r>
      <w:bookmarkStart w:id="357" w:name="pg9135_79646"/>
    </w:p>
    <w:p>
      <w:pPr>
        <w:pStyle w:val="BookText"/>
        <w:rPr/>
      </w:pPr>
      <w:bookmarkEnd w:id="357"/>
      <w:r>
        <w:rPr>
          <w:rFonts w:ascii="IRNazanin" w:hAnsi="IRNazanin" w:eastAsia="IRNazanin"/>
          <w:color w:val="111111"/>
          <w:sz w:val="28"/>
          <w:sz w:val="28"/>
          <w:szCs w:val="28"/>
          <w:rtl w:val="true"/>
          <w:lang w:bidi="fa-IR"/>
        </w:rPr>
        <w:t>شما نیست و لاضرر هم از همین باب است؛ یعنی نفی أحکام موضوع ضرری که از باب نفی حکم به لسان نفی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وضو ضرری نفی شده است، شرعاً به لحاظ عدم ترتب اثر وضو که آن وجوب است</w:t>
      </w:r>
      <w:r>
        <w:rPr>
          <w:rFonts w:eastAsia="IRNazanin" w:cs="IRNazanin"/>
          <w:color w:val="111111"/>
          <w:sz w:val="28"/>
          <w:szCs w:val="28"/>
          <w:rtl w:val="true"/>
          <w:lang w:bidi="fa-IR"/>
        </w:rPr>
        <w:t xml:space="preserve">. </w:t>
      </w:r>
      <w:r>
        <w:rPr>
          <w:rStyle w:val="FootnoteAnchor"/>
          <w:rtl w:val="true"/>
        </w:rPr>
        <w:footnoteReference w:id="255"/>
      </w:r>
    </w:p>
    <w:p>
      <w:pPr>
        <w:pStyle w:val="Heading3"/>
        <w:numPr>
          <w:ilvl w:val="2"/>
          <w:numId w:val="1"/>
        </w:numPr>
        <w:rPr/>
      </w:pPr>
      <w:bookmarkStart w:id="358" w:name="__RefHeading___Toc3219735_2870459653"/>
      <w:bookmarkStart w:id="359" w:name="_Toc145"/>
      <w:bookmarkEnd w:id="358"/>
      <w:r>
        <w:rPr>
          <w:rtl w:val="true"/>
        </w:rPr>
        <w:t>فرق بین کلام صاحب کفایه و شیخ انصاری رحمه اللّه علیه</w:t>
      </w:r>
      <w:bookmarkEnd w:id="359"/>
    </w:p>
    <w:p>
      <w:pPr>
        <w:pStyle w:val="BookText"/>
        <w:rPr/>
      </w:pPr>
      <w:r>
        <w:rPr>
          <w:rFonts w:ascii="IRNazanin" w:hAnsi="IRNazanin" w:eastAsia="IRNazanin"/>
          <w:color w:val="111111"/>
          <w:sz w:val="28"/>
          <w:sz w:val="28"/>
          <w:szCs w:val="28"/>
          <w:rtl w:val="true"/>
          <w:lang w:bidi="fa-IR"/>
        </w:rPr>
        <w:t>آن چیزی که شیخ انصاری در بحث لاضرر اختیار کرده است، برگشت دارد به این که حکم ضرری در شریعت جعل نشده است؛ امّا مختار صاحب كفايه برگشت دارد به این که حکم شرعی نفی شده است از باب نفی حکم به لسان نفی موضوع یعنی هر گاه یک موضوعی منجرّ به ضرر شود حکم آن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ترجیح این معنا بر معانی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حمل لا نفی جنس بر معنای حقیقی معذور شدیم، باید آن را بر أقرب المجازات حمل کنیم و آن نفی طبیعی و حقیقت است علی نحو ادعاء و استعمال این ترکیب در نفی ادعایی غالب است بر معانی دیگر</w:t>
      </w:r>
      <w:r>
        <w:rPr>
          <w:rFonts w:eastAsia="IRNazanin" w:cs="IRNazanin"/>
          <w:color w:val="111111"/>
          <w:sz w:val="28"/>
          <w:szCs w:val="28"/>
          <w:rtl w:val="true"/>
          <w:lang w:bidi="fa-IR"/>
        </w:rPr>
        <w:t>.</w:t>
      </w:r>
    </w:p>
    <w:p>
      <w:pPr>
        <w:pStyle w:val="Heading3"/>
        <w:numPr>
          <w:ilvl w:val="2"/>
          <w:numId w:val="1"/>
        </w:numPr>
        <w:rPr/>
      </w:pPr>
      <w:bookmarkStart w:id="360" w:name="__RefHeading___Toc3219737_2870459653"/>
      <w:bookmarkStart w:id="361" w:name="_Toc146"/>
      <w:bookmarkEnd w:id="360"/>
      <w:r>
        <w:rPr>
          <w:rtl w:val="true"/>
        </w:rPr>
        <w:t>مناقشه در قول صاحب کفایه رحمه اللّه علیه</w:t>
      </w:r>
      <w:bookmarkEnd w:id="361"/>
    </w:p>
    <w:p>
      <w:pPr>
        <w:pStyle w:val="BookText"/>
        <w:rPr/>
      </w:pPr>
      <w:r>
        <w:rPr>
          <w:rFonts w:ascii="IRNazanin" w:hAnsi="IRNazanin" w:eastAsia="IRNazanin"/>
          <w:color w:val="111111"/>
          <w:sz w:val="28"/>
          <w:sz w:val="28"/>
          <w:szCs w:val="28"/>
          <w:rtl w:val="true"/>
          <w:lang w:bidi="fa-IR"/>
        </w:rPr>
        <w:t>هر چند در بعضی از مقدمات با مرحوم آخوند رحمه اللّه علیه موافق هستیم؛ امّا این که بپذیریم ترکیب لاضرر از باب نفی حکم است به لسان نفی موضوع قابل پذیرش نیست؛ زیرا نفی حکم به لسان نفی موضوع جایی جاری می شود که خودِ وجود موضوع دارای اثر باشد که وقتی موضوع ذات اثر باشد و آن آثار نباشد ما بتوانیم موضوع را نفی کنیم و اراده بکنیم نفی آثار آن موضوع را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 شک در نماز احکام خاصّی است شرعاً و ما با نفی موضوع شک برای کثیر الشک اراده می کنیم نفی احکام و آثار شک برای کثیر الشک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ضَرَرَ بِمَا هُوَ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اثر شرعی ندارد؛ زیرا ضرر به معنای اسم مصدری به معنای نقص است و بر این معنا آثار شرعیه مترتب نمی شود بلکه بر افعالی که موجب ضرر می شود مانند وضوء ضرری احکام و آثار شرعیه مترتب می شود پس آن چه اثر بر آن بار می شود حکم شرعی است اعمّ از تکلیف یا وضع و این حکم شرعی و تکلیف تا زمانی است که ضرر به مکلّف </w:t>
      </w:r>
      <w:bookmarkStart w:id="362" w:name="pg9135_79647"/>
    </w:p>
    <w:p>
      <w:pPr>
        <w:pStyle w:val="BookText"/>
        <w:rPr/>
      </w:pPr>
      <w:bookmarkEnd w:id="362"/>
      <w:r>
        <w:rPr>
          <w:rFonts w:ascii="IRNazanin" w:hAnsi="IRNazanin" w:eastAsia="IRNazanin"/>
          <w:color w:val="111111"/>
          <w:sz w:val="28"/>
          <w:sz w:val="28"/>
          <w:szCs w:val="28"/>
          <w:rtl w:val="true"/>
          <w:lang w:bidi="fa-IR"/>
        </w:rPr>
        <w:t>نرسد و این خصوصیت در اثر ضرر نیست؛ بلکه غایت و آمَد حکم شرعی است که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اگر به حدّ ضرر برسد از شخص مکلّف برداشته می شود</w:t>
      </w:r>
      <w:r>
        <w:rPr>
          <w:rFonts w:eastAsia="IRNazanin" w:cs="IRNazanin"/>
          <w:color w:val="111111"/>
          <w:sz w:val="28"/>
          <w:szCs w:val="28"/>
          <w:rtl w:val="true"/>
          <w:lang w:bidi="fa-IR"/>
        </w:rPr>
        <w:t>».</w:t>
      </w:r>
    </w:p>
    <w:p>
      <w:pPr>
        <w:pStyle w:val="Heading3"/>
        <w:numPr>
          <w:ilvl w:val="2"/>
          <w:numId w:val="1"/>
        </w:numPr>
        <w:rPr/>
      </w:pPr>
      <w:bookmarkStart w:id="363" w:name="__RefHeading___Toc3219739_2870459653"/>
      <w:bookmarkStart w:id="364" w:name="_Toc147"/>
      <w:bookmarkEnd w:id="363"/>
      <w:r>
        <w:rPr>
          <w:rtl w:val="true"/>
        </w:rPr>
        <w:t>وجه چهارم</w:t>
      </w:r>
      <w:r>
        <w:rPr>
          <w:rtl w:val="true"/>
        </w:rPr>
        <w:t xml:space="preserve">: </w:t>
      </w:r>
      <w:r>
        <w:rPr>
          <w:rtl w:val="true"/>
        </w:rPr>
        <w:t>نفی ضرر غیر متدارک</w:t>
      </w:r>
      <w:bookmarkEnd w:id="364"/>
    </w:p>
    <w:p>
      <w:pPr>
        <w:pStyle w:val="BookText"/>
        <w:rPr/>
      </w:pPr>
      <w:r>
        <w:rPr>
          <w:rFonts w:ascii="Amiri" w:hAnsi="Amiri" w:eastAsia="Amiri" w:cs="Amiri"/>
          <w:color w:val="111111"/>
          <w:sz w:val="28"/>
          <w:sz w:val="28"/>
          <w:szCs w:val="28"/>
          <w:rtl w:val="true"/>
          <w:lang w:bidi="ar-SA"/>
        </w:rPr>
        <w:t>این قول منسوب است به فاضل تونی رحمه اللّه علیه ایشان در کتاب الوافية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الضَّرَرِ غَيْرُ مَحْمُولٍ عَلَى نَفْيِ حَقِيقَتَهُ لِأَنَّهُ غَيْرُ مَنْفِيُّ بَلِ الظَّاهِرُ أَنَّ الْمُرَادَ بِهِ نَفْيَ الضَّرَرِ مِنْ غَيْرِ جبران بِحَسَبِ الشَّرْعِ</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بجنوردی در تقریب قول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توانیم ضرر را بر معنای حقیقی حمل کنیم؛ چون ضرر در عالم تکوین و تشریع وجود دارد لکن در عالم تشریع تدارک می شود و ضرر متدارک در حکم عدم است و آن را شارع ضرر نمی بیند هَكَذَا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در این جا به معنای نهی است یعنی شارع از ایجاد ضرر غیر متدارک نهی کرده است و کنایه است از وجوب تدارک ضرر مثلاً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هَدِيَّةُ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اگر شخصی به شما هدیه ای داد آن را بلا عوض و بدون تدارک قبول نکن؛ بلکه بر تو واجب است تدارک آن هدیه</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3219741_2870459653"/>
      <w:bookmarkStart w:id="366" w:name="_Toc148"/>
      <w:bookmarkEnd w:id="365"/>
      <w:r>
        <w:rPr>
          <w:rtl w:val="true"/>
        </w:rPr>
        <w:t>مناقشه در کلام فاضل تونی</w:t>
      </w:r>
      <w:bookmarkEnd w:id="366"/>
    </w:p>
    <w:p>
      <w:pPr>
        <w:pStyle w:val="BookText"/>
        <w:rPr/>
      </w:pPr>
      <w:r>
        <w:rPr>
          <w:rFonts w:ascii="IRNazanin" w:hAnsi="IRNazanin" w:eastAsia="IRNazanin"/>
          <w:color w:val="111111"/>
          <w:sz w:val="28"/>
          <w:sz w:val="28"/>
          <w:szCs w:val="28"/>
          <w:rtl w:val="true"/>
          <w:lang w:bidi="fa-IR"/>
        </w:rPr>
        <w:t>به این قول و تقریب اشکالاتی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نفی را به معنای نهی گرفتید هم 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گرفتید که هر دو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معنای حقیقی ضرر را نمی توانیم اراده کنیم به جهت این که در عالم تکوین و تشریع ضرر وجود دارد، پس باید حمل بر معنای مجازی شود و بگوییم منظور این است که در عالم و شرع ضرر غیر متدارک وجود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چه کسی گفته ضرر غیر متدارک در عالم تشریع نداریم و حال آن که آلاف ضرر غیر متدارک در شرع می توان یافت؛ مثلاً شارع امر </w:t>
      </w:r>
      <w:bookmarkStart w:id="367" w:name="pg9135_79648"/>
    </w:p>
    <w:p>
      <w:pPr>
        <w:pStyle w:val="BookText"/>
        <w:rPr/>
      </w:pPr>
      <w:bookmarkEnd w:id="367"/>
      <w:r>
        <w:rPr>
          <w:rFonts w:ascii="IRNazanin" w:hAnsi="IRNazanin" w:eastAsia="IRNazanin"/>
          <w:color w:val="111111"/>
          <w:sz w:val="28"/>
          <w:sz w:val="28"/>
          <w:szCs w:val="28"/>
          <w:rtl w:val="true"/>
          <w:lang w:bidi="fa-IR"/>
        </w:rPr>
        <w:t>به وجوب تدارک و ردّ اموال مغصوبه مالک را دارد و این ردّ مال موجب رفع طبیعت ضرر از صاحب 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می فرمایند احکام جزائی مانند دیه تدارک ضرر است و حال آن که در بسیاری از موارد ضرر جبران نمی شود، قتل و قطع عضو هیچ وقت با پرداخت دیه تدارک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ضرر های عرضی و آبرویی هیچ وقت قابل تدارک نیست، پس چگونه ایشان ادعا دارند که ضرر غیر متدارک در شرع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قول فاضل تونی را بپذیریم قاعده لاضرر به این معنا بر بعضی از مصادق و موارد حدیث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قضیه سمرة بن جندب حکم به تدارک ضرری نشد که به شخص انصاری وارد شده بود؛ چون اصلاً قابل تدراک نیست و هم چنین ضرری که به خود سمرة بن جندب وارد شد، جبران نشد</w:t>
      </w:r>
      <w:r>
        <w:rPr>
          <w:rFonts w:eastAsia="IRNazanin" w:cs="IRNazanin"/>
          <w:color w:val="111111"/>
          <w:sz w:val="28"/>
          <w:szCs w:val="28"/>
          <w:rtl w:val="true"/>
          <w:lang w:bidi="fa-IR"/>
        </w:rPr>
        <w:t>.</w:t>
      </w:r>
    </w:p>
    <w:p>
      <w:pPr>
        <w:pStyle w:val="Heading3"/>
        <w:numPr>
          <w:ilvl w:val="2"/>
          <w:numId w:val="1"/>
        </w:numPr>
        <w:rPr/>
      </w:pPr>
      <w:bookmarkStart w:id="368" w:name="__RefHeading___Toc3219743_2870459653"/>
      <w:bookmarkStart w:id="369" w:name="_Toc149"/>
      <w:bookmarkEnd w:id="368"/>
      <w:r>
        <w:rPr>
          <w:rtl w:val="true"/>
        </w:rPr>
        <w:t>وجه پنجم</w:t>
      </w:r>
      <w:r>
        <w:rPr>
          <w:rtl w:val="true"/>
        </w:rPr>
        <w:t xml:space="preserve">: </w:t>
      </w:r>
      <w:r>
        <w:rPr>
          <w:rtl w:val="true"/>
        </w:rPr>
        <w:t>اسلامِ شخص موجب تنقیص شیء از حقوق او نمی شود</w:t>
      </w:r>
      <w:bookmarkEnd w:id="369"/>
    </w:p>
    <w:p>
      <w:pPr>
        <w:pStyle w:val="BookText"/>
        <w:rPr/>
      </w:pPr>
      <w:r>
        <w:rPr>
          <w:rFonts w:ascii="Amiri" w:hAnsi="Amiri" w:eastAsia="Amiri" w:cs="Amiri"/>
          <w:color w:val="111111"/>
          <w:sz w:val="28"/>
          <w:sz w:val="28"/>
          <w:szCs w:val="28"/>
          <w:rtl w:val="true"/>
          <w:lang w:bidi="ar-SA"/>
        </w:rPr>
        <w:t>این وجه منسوب است به شیخ صدوق در کتاب مَنْ لَا یَحْضُرُ الْفَقِیهِ ایشان در من لا یحضره الفقیه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يَتَوَارَثُ أَهْلُ مِلَّتَيْنِ وَ الْمُسْلِمُ يَرِثُ الْكَافِرَ وَ الْكَافِرُ لَا يَرِثُ الْمُسْلِمَ وَ ذَلِكَ أَنَّ أَصْلَ الْحُكْمِ فِي أَمْوَالِ الْمُشْرِكِينَ أَنَّهَا فَيْ‌ءُ لِلْمُسْلِمِينَ وَ انِ الْمُسْلِمِينَ أَحَقُّ بِهَا مِنَ الْمُشْرِكِينَ وَ انِ اللَّهِ عَزَّ وَ جَلَّ وَ أَنَّمَا حَرَّمَ عَلَى الْكُفَّارُ الْمِيرَاثَ عُقُوبَةً لَهُمْ بِكُفْرِهِمْ كَمَا حَرَّمَ عَلَى الْقَاتِلِ عُقُوبَةً لِقَتْلِهِ ، فَأَمَّا الْمُسْلِمُ فَلِأَيِّ جُرْمٍ وَ عُقُوبَةٍ يُحْرَمُ الْمِيرَاثَ وَ كَيْفَ صَارَ الْإِسْلَامُ يَزِيدُهُ شَرّاً مَعَ قَوْلِ النَّبِيِّ صُلِّيَ اللَّهُ عَلَيْهِ وَ آلِهِ وَ سَلَّمَ وَ الْإِسْلَامُ يَزِيدُ وَ لَا يَنْقُصُ وَ مَعَ 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فِي الْإِسْلَامِ فَلِإِسْلاَمٍ يَزِيدَ خَيْراً وَ لَا يَزِيدُهُ شَرّاً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دو ملّت از هم ارث نمی برند امّا مسلمان از کافر ارث می برد و کافر از مسلمان ارث نمی برد و آن به این جهت است که اموال مشرکین خراج است برای مسلمانان و مسلمانان نسبت به این اموال شایسته تر هستند از مشرکین خداوند </w:t>
      </w:r>
      <w:bookmarkStart w:id="370" w:name="pg9135_79649"/>
    </w:p>
    <w:p>
      <w:pPr>
        <w:pStyle w:val="BookText"/>
        <w:rPr/>
      </w:pPr>
      <w:bookmarkEnd w:id="370"/>
      <w:r>
        <w:rPr>
          <w:rFonts w:ascii="IRNazanin" w:hAnsi="IRNazanin" w:eastAsia="IRNazanin"/>
          <w:color w:val="111111"/>
          <w:sz w:val="28"/>
          <w:sz w:val="28"/>
          <w:szCs w:val="28"/>
          <w:rtl w:val="true"/>
          <w:lang w:bidi="fa-IR"/>
        </w:rPr>
        <w:t>متعال میراث را بر کفار حرام داشته از آن جهت که کیفر کفر شان باشد هم چنان که ارث را حرام کرده بر قاتل به دلیل این که عقوبت بر قاتل بودنش باشد و امّا از مسلمان به چه جرمی و به دلیل کدامین عقوبت توارث را از مسلمان سلب نماید و چگونه اسلام به زیان مسلمان باشد با این که 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افزاید 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قول رسول خدا صلی اللّه علیه و آله و سلم، که ضرر و ضراری در اسلام نیست پس اسلام باعث خیر است برای مسلمان نه نقص و شرّ برای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در این وجه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شخص و اعتقاداتش موجب نقص شیء از حقوق ثابت او که قبل از اسلام آوردن برای او ثابت بود نمی شود؛ بلکه کل حق كَانَ ثَابِتاً لَهُ قَبْلَ إِسْلَامِهِ يَثْبُتُ لَهُ بَعْدَ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هر حقّی که قبل از اسلام آوردنش برای او ثابت بود و بعد از اسلام آوردنش نیز برای او ثابت است</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3219745_2870459653"/>
      <w:bookmarkStart w:id="372" w:name="_Toc150"/>
      <w:bookmarkEnd w:id="371"/>
      <w:r>
        <w:rPr>
          <w:rtl w:val="true"/>
        </w:rPr>
        <w:t>اشکال بر وجه پنجم</w:t>
      </w:r>
      <w:bookmarkEnd w:id="372"/>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این قول مبتنی است بر این که 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حدیث داشته باشیم و ما سابقاً بحث كرديم كه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و بخواهیم وجه مرحوم صدوق رحمه اللّه علیه را بپذیریم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بر سببیت و تعلیل و اسلام را حمل بر تدیّن و پذیرش اسلام کنیم یعنی کسی به سبب پذیرش اسلام متضرر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کسی با اسلام متضرر نمی شود و حال آن که ما موارد زیادی داریم که با اسلام آوردن متضرر شده است مانند زنی که اسلام آورده است همسرش در کفر باقی مانده است و او باید از همسرش جدا شود و بالعکس و این را عرف ضرر می بیند چون کانون خانواده آن ها از هم می پاشد</w:t>
      </w:r>
      <w:r>
        <w:rPr>
          <w:rFonts w:eastAsia="IRNazanin" w:cs="IRNazanin"/>
          <w:color w:val="111111"/>
          <w:sz w:val="28"/>
          <w:szCs w:val="28"/>
          <w:rtl w:val="true"/>
          <w:lang w:bidi="fa-IR"/>
        </w:rPr>
        <w:t>.</w:t>
      </w:r>
    </w:p>
    <w:p>
      <w:pPr>
        <w:pStyle w:val="Heading3"/>
        <w:numPr>
          <w:ilvl w:val="2"/>
          <w:numId w:val="1"/>
        </w:numPr>
        <w:rPr/>
      </w:pPr>
      <w:bookmarkStart w:id="373" w:name="__RefHeading___Toc3219747_2870459653"/>
      <w:bookmarkStart w:id="374" w:name="_Toc151"/>
      <w:bookmarkEnd w:id="373"/>
      <w:r>
        <w:rPr>
          <w:rtl w:val="true"/>
        </w:rPr>
        <w:t>وجه ششم</w:t>
      </w:r>
      <w:r>
        <w:rPr>
          <w:rtl w:val="true"/>
        </w:rPr>
        <w:t xml:space="preserve">: </w:t>
      </w:r>
      <w:r>
        <w:rPr>
          <w:rtl w:val="true"/>
        </w:rPr>
        <w:t>نهی سلطانی و حکم ولائی</w:t>
      </w:r>
      <w:bookmarkEnd w:id="3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امام خمینی رحمه اللّه علیه این وجه را اختیار کرده اند و در رساله لاضرر خود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هَاهُنَا احْتِمَالِ رَابِعُ يَكُونُ راحجاً فِي نَظَرِي القاصر ، وَ إِنْ لَمْ أَعُثِرَ عَلَيْهِ فِي </w:t>
      </w:r>
      <w:bookmarkStart w:id="375" w:name="pg9135_79650"/>
    </w:p>
    <w:p>
      <w:pPr>
        <w:pStyle w:val="BookText"/>
        <w:rPr/>
      </w:pPr>
      <w:bookmarkEnd w:id="375"/>
      <w:r>
        <w:rPr>
          <w:rFonts w:ascii="Amiri" w:hAnsi="Amiri" w:eastAsia="Amiri" w:cs="Amiri"/>
          <w:color w:val="111111"/>
          <w:sz w:val="28"/>
          <w:sz w:val="28"/>
          <w:szCs w:val="28"/>
          <w:rtl w:val="true"/>
          <w:lang w:bidi="ar-SA"/>
        </w:rPr>
        <w:t>كَلَامُ الْقَوْمِ ، وَ هُوَ كَوْنُهُ نَهْياً لَا بِمَعْنَى النَّهْيِ الإلهي حَتَّى يَكُونَ حَكَماً إلهياً كَحُرْمَةِ شُرْبِ الْخَمْرِ وَ حُرْمَةُ الْقِمَارِ بَلْ بِمَعْنَى النَّهْيِ السلطاني الَّذِي صَدَرَ عَنْ رَسُولِ اللَّهِ صُلِّيَ اللَّهُ عَلَيْهِ وَ آلِهِ وَ سَلَّمَ بِمَا انْهَ سُلْطَانٍ المله وَ سَائِسِ الدَّوْلَةِ لَا بِمَا انْهَ مَبْلَغَ أَحْكَامِ الشَّرْع</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برای تقریب کلام شان مقدماتی را بیان می کنند</w:t>
      </w:r>
      <w:r>
        <w:rPr>
          <w:rFonts w:eastAsia="IRNazanin" w:cs="IRNazanin"/>
          <w:color w:val="111111"/>
          <w:sz w:val="28"/>
          <w:szCs w:val="28"/>
          <w:rtl w:val="true"/>
          <w:lang w:bidi="fa-IR"/>
        </w:rPr>
        <w:t>:</w:t>
      </w:r>
    </w:p>
    <w:p>
      <w:pPr>
        <w:pStyle w:val="Heading3"/>
        <w:numPr>
          <w:ilvl w:val="2"/>
          <w:numId w:val="1"/>
        </w:numPr>
        <w:rPr/>
      </w:pPr>
      <w:bookmarkStart w:id="376" w:name="__RefHeading___Toc3219749_2870459653"/>
      <w:bookmarkStart w:id="377" w:name="_Toc152"/>
      <w:bookmarkEnd w:id="376"/>
      <w:r>
        <w:rPr>
          <w:rtl w:val="true"/>
        </w:rPr>
        <w:t>مقدمه اوّل مقامات پیامبر صلی اللّه علیه و آله و سلم</w:t>
      </w:r>
      <w:bookmarkEnd w:id="377"/>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شؤونی را در امتش داراست یکی از این شؤون تبلیغ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دارای مقام نبوّت و رسالت هستند و واسطه بین خدا و خلق هستند اوامر الهی را دریافت و در اختیار مردم قرار می دهند و در این مقام اگر رسول خدا صلی اللّه علیه و آله و سلم امر و نهی کردند،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دارای شان دیگری است و آن مقام ریاست عامه سلطنت بر بندگان خدا به جهت این که ایشان ولایت و حکومت دنیوی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ایشان اوامر و نواهی دارند که به این اوامر و نواهی صادر از ایشان در مقام ریاست و حکومت گفته می شود اوامر و نواهی سلطانی و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که بیان شد مفاد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أُوْلى الْأَمْرِ مِنكُمْ</w:t>
      </w:r>
      <w:r>
        <w:rPr>
          <w:rStyle w:val="FootnoteAnchor"/>
          <w:rtl w:val="true"/>
        </w:rPr>
        <w:footnoteReference w:id="260"/>
      </w:r>
      <w:r>
        <w:rPr>
          <w:rFonts w:ascii="IRNazanin" w:hAnsi="IRNazanin" w:eastAsia="IRNazanin"/>
          <w:color w:val="111111"/>
          <w:sz w:val="28"/>
          <w:sz w:val="28"/>
          <w:szCs w:val="28"/>
          <w:rtl w:val="true"/>
          <w:lang w:bidi="fa-IR"/>
        </w:rPr>
        <w:t>است یا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ضَلَلاً مُّبِينًا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مرد و زن مؤمنی را نرسد هنگامی که خدا و پیامبرش کاری را حکم کنند برای آنان در کار خود شان اختیار باشد و هر کس خدا و پیامبرش را نافرمانی کند یقیناً به صورتی آشکار گمراه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و رسولش حکمی را بکنند دیگر کسی اختیار ندارد و اوامر حکومتی و ولایی رسول خدا صلی اللّه علیه و آله و سلم باید مورد اطاعت قرار گیرد</w:t>
      </w:r>
      <w:r>
        <w:rPr>
          <w:rFonts w:eastAsia="IRNazanin" w:cs="IRNazanin"/>
          <w:color w:val="111111"/>
          <w:sz w:val="28"/>
          <w:szCs w:val="28"/>
          <w:rtl w:val="true"/>
          <w:lang w:bidi="fa-IR"/>
        </w:rPr>
        <w:t xml:space="preserve">. </w:t>
      </w:r>
      <w:bookmarkStart w:id="378" w:name="pg9135_79651"/>
    </w:p>
    <w:p>
      <w:pPr>
        <w:pStyle w:val="BookText"/>
        <w:rPr/>
      </w:pPr>
      <w:bookmarkEnd w:id="378"/>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دارای مقام قضا و حکم است بین متنازعین و به اعتبار این مقام بین متنازعین و بین متخاصمین حکم می کند و رفع خصومت می کند و حکم ایشان نافذ است و باید مردم از حکم ایشان تبعیت کنند</w:t>
      </w:r>
      <w:r>
        <w:rPr>
          <w:rFonts w:eastAsia="IRNazanin" w:cs="IRNazanin"/>
          <w:color w:val="111111"/>
          <w:sz w:val="28"/>
          <w:szCs w:val="28"/>
          <w:rtl w:val="true"/>
          <w:lang w:bidi="fa-IR"/>
        </w:rPr>
        <w:t>.</w:t>
      </w:r>
    </w:p>
    <w:p>
      <w:pPr>
        <w:pStyle w:val="Heading3"/>
        <w:numPr>
          <w:ilvl w:val="2"/>
          <w:numId w:val="1"/>
        </w:numPr>
        <w:rPr/>
      </w:pPr>
      <w:bookmarkStart w:id="379" w:name="__RefHeading___Toc3219751_2870459653"/>
      <w:bookmarkStart w:id="380" w:name="_Toc153"/>
      <w:bookmarkEnd w:id="379"/>
      <w:r>
        <w:rPr>
          <w:rtl w:val="true"/>
        </w:rPr>
        <w:t>مقدمه دوّم</w:t>
      </w:r>
      <w:bookmarkEnd w:id="380"/>
    </w:p>
    <w:p>
      <w:pPr>
        <w:pStyle w:val="BookText"/>
        <w:rPr/>
      </w:pPr>
      <w:r>
        <w:rPr>
          <w:rFonts w:ascii="IRNazanin" w:hAnsi="IRNazanin" w:eastAsia="IRNazanin"/>
          <w:color w:val="111111"/>
          <w:sz w:val="28"/>
          <w:sz w:val="28"/>
          <w:szCs w:val="28"/>
          <w:rtl w:val="true"/>
          <w:lang w:bidi="fa-IR"/>
        </w:rPr>
        <w:t xml:space="preserve">دستوراتی که از ناحیه رسول خدا صلی اللّه علیه و آله و سلم و على علیه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ظهور در این امر دارد که رسول خدا صلی اللّه علیه و آله و سلم و علی علیه السلام از باب این که قاضی و امیر و حاکم هستند این موارد را صادر کرده اند و حمل بر حکم ولایی و حکومتی می شود؛ امّا مواردی که با لفظ قال به ما رسیده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 بر بیان احکام الهیّه و تبلیغ احکام شرعيّه</w:t>
      </w:r>
      <w:r>
        <w:rPr>
          <w:rFonts w:eastAsia="IRNazanin" w:cs="IRNazanin"/>
          <w:color w:val="111111"/>
          <w:sz w:val="28"/>
          <w:szCs w:val="28"/>
          <w:rtl w:val="true"/>
          <w:lang w:bidi="fa-IR"/>
        </w:rPr>
        <w:t>.</w:t>
      </w:r>
    </w:p>
    <w:p>
      <w:pPr>
        <w:pStyle w:val="Heading3"/>
        <w:numPr>
          <w:ilvl w:val="2"/>
          <w:numId w:val="1"/>
        </w:numPr>
        <w:rPr/>
      </w:pPr>
      <w:bookmarkStart w:id="381" w:name="__RefHeading___Toc3219753_2870459653"/>
      <w:bookmarkStart w:id="382" w:name="_Toc154"/>
      <w:bookmarkEnd w:id="381"/>
      <w:r>
        <w:rPr>
          <w:rtl w:val="true"/>
        </w:rPr>
        <w:t>مقدّمه سوّم</w:t>
      </w:r>
      <w:bookmarkEnd w:id="382"/>
    </w:p>
    <w:p>
      <w:pPr>
        <w:pStyle w:val="BookText"/>
        <w:rPr/>
      </w:pPr>
      <w:r>
        <w:rPr>
          <w:rFonts w:ascii="IRNazanin" w:hAnsi="IRNazanin" w:eastAsia="IRNazanin"/>
          <w:color w:val="111111"/>
          <w:sz w:val="28"/>
          <w:sz w:val="28"/>
          <w:szCs w:val="28"/>
          <w:rtl w:val="true"/>
          <w:lang w:bidi="fa-IR"/>
        </w:rPr>
        <w:t>برای تأیید مقدمه سابقه روایاتی را می آوریم که با الفاظ قُضِيَ حُکم یا أَمْرُ وارد شده است و حمل بر حکم سلطانی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عَنْ أَبِي عَبْدِ اللَّهِ عَلَيْهِ السَّلَامُ 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أَقْضِي بَيْنَكُمْ بِالْبَيِّنَاتِ وَ الْأَيْمَانِ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صادق علیه السلام به نقل از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فقط به وسیلهٔ بینه و سوگند داوری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يَحْكُمُ بَيْنَ النَّاسِ بِالْبَيِّنَاتِ وَ الْأَيْمَانِ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بین مردم به وسیله بیّنه و سوگند داوری می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إلينا أجزنا شهادة الرجل الواحد إذا</w:t>
      </w:r>
    </w:p>
    <w:p>
      <w:pPr>
        <w:pStyle w:val="BookText"/>
        <w:rPr/>
      </w:pPr>
      <w:r>
        <w:rPr>
          <w:rFonts w:ascii="Amiri" w:hAnsi="Amiri" w:eastAsia="Amiri" w:cs="Amiri"/>
          <w:color w:val="111111"/>
          <w:sz w:val="28"/>
          <w:sz w:val="28"/>
          <w:szCs w:val="28"/>
          <w:rtl w:val="true"/>
          <w:lang w:bidi="ar-SA"/>
        </w:rPr>
        <w:t>عُلِمَ مِنْهُ خَيْرُ مَعَ يَمِينِ الْخَصْمِ فِي حُقُوقِ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در اختیار ما بود در مسائل قضایی شہادت یک مرد عادل را با قسم مدعی در امور مالیه می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قرینه ای که در روایت است می فهمیم که نهی، نهی سلطانی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با لفظ قال آمده و از آن امر و نهی سلطانی اراده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بِإِسْنَادِهِ عَنْ أَبِي جَعْفَرِ اللَّهِ عَنْ أَبِيهِ عَنْ آبَائِهِ أَنَّ النَّبِيَّ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وَ اسْتَحْيُوا شُيُوخَهُمْ وَ صِبْيَانَهُمْ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با مشرکین مقاتله کنید و پیران و بچه ها را زنده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امر و خطاب به جیش و لشکر ظهور در امر سلطانی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الْكَافِي بِإِسْنَادِهِ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علیه وَ آلِهِ وَ سَلَّمَ 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 بِاللَّهِ وَفِيُّ سَبِيلِ اللَّهِ وَ عَلَى مِلَّةِ رسول اللّه تَغُلُّوا وَ لَا تُمَثِّلُوا وَ لَا تَغْدِرُوا وَ لَا تَقْتُلُوا شَيْخاً فَانِياً وَ لَا صَبِيّاً وَ لَا امْرَأَةٍ وَ لَا تَقْطَعُوا أَشْجَارِ إِلَّا أَنْ تُضْطَرُّوا إِلَيْهَا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رسول خدا صلی اللّه علیه و آله و سلم هنگامی که می خواستند صحابی را به جنگ بفرستند آن ها را می خواندند و در مقابل می نشاندند و می فرمودند خیانت در غنیمت نکنید مثله نکنید حیله و غدر نکنید پیر مرد و بچه را نکشید و درخت را قطع نکنید مگر این که مجبور شوید به قطع اشجار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مقدمات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حدیث الضرر بر نهی سلطانی مترتب بر چند امر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لاضرر از طرق عامه از عبادة بن صامت با لفظ قضی آمده است </w:t>
      </w:r>
      <w:r>
        <w:rPr>
          <w:rFonts w:ascii="Amiri" w:hAnsi="Amiri" w:eastAsia="Amiri" w:cs="Amiri"/>
          <w:color w:val="111111"/>
          <w:sz w:val="28"/>
          <w:sz w:val="28"/>
          <w:szCs w:val="28"/>
          <w:rtl w:val="true"/>
          <w:lang w:bidi="ar-SA"/>
        </w:rPr>
        <w:t>قَضَى صُلِّيَ اللَّهُ عَلَيْهِ وَ آلِهِ وَ سَلَّمَ أَنْ لَا ضَرَرَ وَ لَا ضِرَارَ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ما سابقاً گفتیم احکامی که با لفظ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منظور حکم ولایی و سلطانی است و حمل آن بر حکم الهی خلاف ظاهر است و احتیاج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لاضرر از طرق ما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تناسبی با حکم الهی و قضایی ندارد، پس حکم ولایی و سلطنتی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حکم الهی نیست؛ زیرا حکم در این مورد مشتبه نیست تا رسول خدا صلی اللّه علیه و آله و سلم از آن خبر دهد و حکم قضایی نیست چون بين سمرة بن جندب و شخص انصاری نه در مال و نه در حقی نزاعی نبود بلکه مشکل آن جا بود که سمرة بن جندب با دخول بدون اذن در خانه شخص انصاری به او ظلم می کرد او را در ضیق و مشقت قرار می داد و شخص انصاری بعد از این جریان شکایت آورد برای رسول خدا صلی اللّه علیه و آله و سلم تا با حکم ولایی و سلطنتی رفع ظلم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الضرر در قضية سمرة بن جندب تعليل شده است به امر به قلع توسط رسول خدا صلی اللّه علیه و آله و سلم، صحيحه زراره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فَاقْلَعْهَا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ارْمِ بِهَا إِلَيْهِ فَأَنَّهُ لَا ضَرَرَ وَ لَا ضِرَارَ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و اگر مراد حکم الهی باشد، این تعلیل وجیه نیست؛ زیرا خود قلع و نزع ضرر است و حکم به قلع، خود، حکم ضرری است و روایت در مورد خود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حکم ولایی و سلطانی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مسكان عن زراره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رَجُلُ مُضَارُّ وَ لَا ضَرَرَ وَ لَا ضِرَارَ 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تقیید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ظهور حدیث در نهی می شود هر چند روایت مرسلة است امّا چون مضمون آن مطابق موثقه زرارة است موجب وثوق به صدور روایت می شود و به قرینه صدر و مورد در می یابیم که مراد نهی مولوی سلطانی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قول ایشان را پذیرفته است شاگرد ایشان مرحوم آیة اللّه فاضل لنکرانی است</w:t>
      </w:r>
      <w:r>
        <w:rPr>
          <w:rFonts w:eastAsia="IRNazanin" w:cs="IRNazanin"/>
          <w:color w:val="111111"/>
          <w:sz w:val="28"/>
          <w:szCs w:val="28"/>
          <w:rtl w:val="true"/>
          <w:lang w:bidi="fa-IR"/>
        </w:rPr>
        <w:t xml:space="preserve">. </w:t>
      </w:r>
      <w:r>
        <w:rPr>
          <w:rStyle w:val="FootnoteAnchor"/>
          <w:rtl w:val="true"/>
        </w:rPr>
        <w:footnoteReference w:id="269"/>
      </w:r>
      <w:bookmarkStart w:id="383" w:name="pg9135_79654"/>
    </w:p>
    <w:p>
      <w:pPr>
        <w:pStyle w:val="Heading3"/>
        <w:numPr>
          <w:ilvl w:val="2"/>
          <w:numId w:val="1"/>
        </w:numPr>
        <w:rPr/>
      </w:pPr>
      <w:bookmarkStart w:id="384" w:name="__RefHeading___Toc3219755_2870459653"/>
      <w:bookmarkStart w:id="385" w:name="_Toc155"/>
      <w:bookmarkEnd w:id="383"/>
      <w:bookmarkEnd w:id="384"/>
      <w:r>
        <w:rPr>
          <w:rtl w:val="true"/>
        </w:rPr>
        <w:t>مناقشه ادله وجه ششم</w:t>
      </w:r>
      <w:bookmarkEnd w:id="38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رسول خدا صلی اللّه علیه و آله و سلم سه مقام است قبول داریم؛ لکن یک مقام و شان دیگر رسول خدا صلی اللّه علیه و آله و سلم دارند که متذکر آن نشدند و آن این است که پیامبر صلی اللّه علیه و آله و سلم و ائمه معصومین علیهم السلام حق جعل احکام شرعیه را دارند؛ یعنی برخی از احکام شرعیه تفویض به رسول خدا صلی اللّه علیه و آله و سلم شده است، در کتاب شریف کافی بابی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التَّفْوِيضُ إِلَى رَسُولِ اللَّهِ صُلِّيَ اللَّهِ علیه وَ آلِهِ وَ سَلَّمَ</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که بعضی از احکام شرعیه جعل آن تفویض شده است به رسول خدا صلی اللّه علیه و آله و سلم مثل زكات، نماز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مقام منحصر به رسول خدا صلی اللّه علیه و آله و سلم است یا ائمه علیهم السلام این مقام را نیز دارند؟ خلاف است نظر ما این است که مقام جعل و تشریع همان طور که برای رسول خدا صلی اللّه علیه و آله و سلم است برای اوصیاء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رسول خدا صلی اللّه علیه و آله و سلم دارای حکم ولائی سلطانی بودند و در بعضی جا ها اعمال کردند مانند دستور به خضاب که در یکی از جنگ ها </w:t>
      </w:r>
      <w:r>
        <w:rPr>
          <w:rStyle w:val="FootnoteAnchor"/>
          <w:rtl w:val="true"/>
        </w:rPr>
        <w:footnoteReference w:id="271"/>
      </w:r>
      <w:r>
        <w:rPr>
          <w:rFonts w:ascii="Amiri" w:hAnsi="Amiri" w:eastAsia="Amiri" w:cs="Amiri"/>
          <w:color w:val="111111"/>
          <w:sz w:val="28"/>
          <w:sz w:val="28"/>
          <w:szCs w:val="28"/>
          <w:rtl w:val="true"/>
          <w:lang w:bidi="ar-SA"/>
        </w:rPr>
        <w:t xml:space="preserve">فرمودند يا امر به إحراق مسجد ضرار </w:t>
      </w:r>
      <w:r>
        <w:rPr>
          <w:rStyle w:val="FootnoteAnchor"/>
          <w:rtl w:val="true"/>
        </w:rPr>
        <w:footnoteReference w:id="272"/>
      </w:r>
      <w:r>
        <w:rPr>
          <w:rFonts w:ascii="IRNazanin" w:hAnsi="IRNazanin" w:eastAsia="IRNazanin"/>
          <w:color w:val="111111"/>
          <w:sz w:val="28"/>
          <w:sz w:val="28"/>
          <w:szCs w:val="28"/>
          <w:rtl w:val="true"/>
          <w:lang w:bidi="fa-IR"/>
        </w:rPr>
        <w:t xml:space="preserve">کردند و به تحریم گوشت خر اهلی </w:t>
      </w:r>
      <w:r>
        <w:rPr>
          <w:rStyle w:val="FootnoteAnchor"/>
          <w:rtl w:val="true"/>
        </w:rPr>
        <w:footnoteReference w:id="273"/>
      </w:r>
      <w:r>
        <w:rPr>
          <w:rFonts w:ascii="IRNazanin" w:hAnsi="IRNazanin" w:eastAsia="IRNazanin"/>
          <w:color w:val="111111"/>
          <w:sz w:val="28"/>
          <w:sz w:val="28"/>
          <w:szCs w:val="28"/>
          <w:rtl w:val="true"/>
          <w:lang w:bidi="fa-IR"/>
        </w:rPr>
        <w:t>حکم کردند به قتل عبد اللّه بن ابي سرح و قتل حويرث بن نُفَيل و ابن خَطَل و مقبس بن ضبابة، که از منافقین بودند، حکم کردند</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امّا بحث این است که 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حکومتی است یا خیر؟</w:t>
      </w:r>
    </w:p>
    <w:p>
      <w:pPr>
        <w:pStyle w:val="BookText"/>
        <w:rPr/>
      </w:pPr>
      <w:r>
        <w:rPr>
          <w:rFonts w:ascii="Amiri" w:hAnsi="Amiri" w:eastAsia="Amiri" w:cs="Amiri"/>
          <w:color w:val="111111"/>
          <w:sz w:val="28"/>
          <w:sz w:val="28"/>
          <w:szCs w:val="28"/>
          <w:rtl w:val="true"/>
          <w:lang w:bidi="ar-SA"/>
        </w:rPr>
        <w:t>دلیل آوردند به روایت عامی از عبادة بن صامت که در روایت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اشکال این است که خود ایشان تصریح دارند که به روایت عامی نمی شود استناد کرد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كِتَابِ الْمُسْنَدِ لَا يَجُوزُ اَلْإِسْتِنَادُ إِلَيْهِ عِنْدَنَا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بیان شد در سابق که در روایت عبادة بن صامت حدود بیست </w:t>
      </w:r>
    </w:p>
    <w:p>
      <w:pPr>
        <w:pStyle w:val="BookText"/>
        <w:rPr/>
      </w:pPr>
      <w:r>
        <w:rPr>
          <w:rFonts w:ascii="Amiri" w:hAnsi="Amiri" w:eastAsia="Amiri" w:cs="Amiri"/>
          <w:color w:val="111111"/>
          <w:sz w:val="28"/>
          <w:sz w:val="28"/>
          <w:szCs w:val="28"/>
          <w:rtl w:val="true"/>
          <w:lang w:bidi="ar-SA"/>
        </w:rPr>
        <w:t xml:space="preserve">حکم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 می دانیم که بیشتر این موارد حکم شرعی است نه حکم قضایی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ولایی برای مثال در روایت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رَسُولُ اللَّهِ بِالشُّفْعَةِ </w:t>
      </w:r>
      <w:r>
        <w:rPr>
          <w:rStyle w:val="FootnoteAnchor"/>
          <w:rtl w:val="true"/>
        </w:rPr>
        <w:footnoteReference w:id="276"/>
      </w:r>
      <w:r>
        <w:rPr>
          <w:rFonts w:ascii="Amiri" w:hAnsi="Amiri" w:eastAsia="Amiri" w:cs="Amiri"/>
          <w:color w:val="111111"/>
          <w:sz w:val="28"/>
          <w:sz w:val="28"/>
          <w:szCs w:val="28"/>
          <w:rtl w:val="true"/>
          <w:lang w:bidi="ar-SA"/>
        </w:rPr>
        <w:t xml:space="preserve">وَ عَدَمِ جَوَازِ تَصَرُّفِ الزَّوْجَةِ فِي مَالِهَا بِدُونِ إِذْنِ زَوْجِهَا </w:t>
      </w:r>
      <w:r>
        <w:rPr>
          <w:rStyle w:val="FootnoteAnchor"/>
          <w:rtl w:val="true"/>
        </w:rPr>
        <w:footnoteReference w:id="277"/>
      </w:r>
      <w:r>
        <w:rPr>
          <w:rFonts w:ascii="Amiri" w:hAnsi="Amiri" w:eastAsia="Amiri" w:cs="Amiri"/>
          <w:color w:val="111111"/>
          <w:sz w:val="28"/>
          <w:sz w:val="28"/>
          <w:szCs w:val="28"/>
          <w:rtl w:val="true"/>
          <w:lang w:bidi="ar-SA"/>
        </w:rPr>
        <w:t xml:space="preserve">وَ انَّ للجدّتين السُّدُسَ مِنَ الْمِيرَاثِ </w:t>
      </w:r>
      <w:r>
        <w:rPr>
          <w:rStyle w:val="FootnoteAnchor"/>
          <w:rtl w:val="true"/>
        </w:rPr>
        <w:footnoteReference w:id="278"/>
      </w:r>
      <w:r>
        <w:rPr>
          <w:rFonts w:ascii="Amiri" w:hAnsi="Amiri" w:eastAsia="Amiri" w:cs="Amiri"/>
          <w:color w:val="111111"/>
          <w:sz w:val="28"/>
          <w:sz w:val="28"/>
          <w:szCs w:val="28"/>
          <w:rtl w:val="true"/>
          <w:lang w:bidi="ar-SA"/>
        </w:rPr>
        <w:t xml:space="preserve">وَ انَّ الْوَلَدُ لِلْفِرَاشِ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که روایتی که از طرق ما وارد شده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امّا قرینه داریم که لفظ قال استعمال شده است برای حکم حکومتی و قرینه آن این است که روایت تعلییل کرده است حکم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حکم الهی بگیریم، لازم می آید روایت در مورد خود مصداق نداشته باشد، پس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یک حکم حکومتی به یک حکم حکومتی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یک حکم حکومتی به یک حکم حکومتی دیگر صحیح نیست؛ بلکه باید حکم حکومتی تعلیل شود به یک حکم تشریعی ثابت لاضرر باید حکم الهی و شرعی باشد تا مستند حکم ولایی به این تعلیل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چه تشریعی است که در خود حکم لاضرر، نفس ضرر موجود است؛ زیرا قلع و نزع نخله خود ضرر به سمره است و این اشکال را در ما سبق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مسکان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قرینه و تأیید گرفتید بر حكم ولایی و سلطانی و ما در سابق بحث کردیم که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هم چنین اشکال وارد است بر این مطلب که فرمودید که این روایت با موثقه زرارة تقویت می شود و حال این که صحیح نیست؛ زیرا متن دو روایت متفاوت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حدیث لاضرر نه شبهه حکمی است و نه مرافعه و قضا پس </w:t>
      </w:r>
      <w:bookmarkStart w:id="386" w:name="pg9135_79656"/>
    </w:p>
    <w:p>
      <w:pPr>
        <w:pStyle w:val="BookText"/>
        <w:rPr/>
      </w:pPr>
      <w:bookmarkEnd w:id="386"/>
      <w:r>
        <w:rPr>
          <w:rFonts w:ascii="IRNazanin" w:hAnsi="IRNazanin" w:eastAsia="IRNazanin"/>
          <w:color w:val="111111"/>
          <w:sz w:val="28"/>
          <w:sz w:val="28"/>
          <w:szCs w:val="28"/>
          <w:rtl w:val="true"/>
          <w:lang w:bidi="fa-IR"/>
        </w:rPr>
        <w:t>حکم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پذیرش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 است چون مضمون روایت این است که می دانیم کسی بدون اذن حق ورود به منزل کسی را ندارد و از طرف دیگر سمرة بن جندب درختی دارد در ملک انصاری پس حق استطراق دارد که ملک انصاری را طریق قرار دهد حال انصاری نمی داند که حق استطراق سمرة بن جندب مطلق است حتی بدون اذن یا این که مقید است و باید اجازه بگیرد پس شبهه حکمیه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جهت که شخص انصاری برای حل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شکایت برد تا مشکل او حل شود و رسول خدا صلی اللّه علیه و آله و سلم برای حل منازعه بین انصاری و سمره حکم کند مربوط به بحث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آن که حمل حدیث بر حکم ولایی سلطانی خلاف ظاهر است</w:t>
      </w:r>
      <w:r>
        <w:rPr>
          <w:rFonts w:eastAsia="IRNazanin" w:cs="IRNazanin"/>
          <w:color w:val="111111"/>
          <w:sz w:val="28"/>
          <w:szCs w:val="28"/>
          <w:rtl w:val="true"/>
          <w:lang w:bidi="fa-IR"/>
        </w:rPr>
        <w:t>.</w:t>
      </w:r>
    </w:p>
    <w:p>
      <w:pPr>
        <w:pStyle w:val="Heading3"/>
        <w:numPr>
          <w:ilvl w:val="2"/>
          <w:numId w:val="1"/>
        </w:numPr>
        <w:rPr/>
      </w:pPr>
      <w:bookmarkStart w:id="387" w:name="__RefHeading___Toc3219757_2870459653"/>
      <w:bookmarkStart w:id="388" w:name="_Toc156"/>
      <w:bookmarkEnd w:id="387"/>
      <w:r>
        <w:rPr>
          <w:rtl w:val="true"/>
        </w:rPr>
        <w:t>وجه هفتم قول آیة اللّه سیستانی حفظه اللّه</w:t>
      </w:r>
      <w:bookmarkEnd w:id="388"/>
    </w:p>
    <w:p>
      <w:pPr>
        <w:pStyle w:val="BookText"/>
        <w:rPr/>
      </w:pPr>
      <w:r>
        <w:rPr>
          <w:rFonts w:ascii="IRNazanin" w:hAnsi="IRNazanin" w:eastAsia="IRNazanin"/>
          <w:color w:val="111111"/>
          <w:sz w:val="28"/>
          <w:sz w:val="28"/>
          <w:szCs w:val="28"/>
          <w:rtl w:val="true"/>
          <w:lang w:bidi="fa-IR"/>
        </w:rPr>
        <w:t>ایشان بر این عقیده اند که حدیث لاضرر و لاضرار دارای دو فقره لاضرر و لاضرار است و این دو را از نظر معنایی تفکیک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لاضرر همان قول شیخ انصاری رحمه اللّه علیه که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التسبيب إِلَى الضَّرَرِ بِجُعْلِ الْحَكَمِ اَلضَّرَرِيُّ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شارع جعل حکم ضرری نمی کند تا به وسیله آن جعل سبب شود برای جریان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لاضرار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التسبيب إِلَى نَفْيِ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تحریم کرده است به نهی مولوى تكليفى، إضرار به نفس و اضرار به غیر را و هم چنین شارع برای حمایت از این تحریم وسایلی اجرائی اتخاذ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اوّل کلام ایشان نفی حکم ضرری می شود و فقره ثانی نهی تکلیفی می شود</w:t>
      </w:r>
      <w:r>
        <w:rPr>
          <w:rFonts w:eastAsia="IRNazanin" w:cs="IRNazanin"/>
          <w:color w:val="111111"/>
          <w:sz w:val="28"/>
          <w:szCs w:val="28"/>
          <w:rtl w:val="true"/>
          <w:lang w:bidi="fa-IR"/>
        </w:rPr>
        <w:t>.</w:t>
      </w:r>
    </w:p>
    <w:p>
      <w:pPr>
        <w:pStyle w:val="Heading3"/>
        <w:numPr>
          <w:ilvl w:val="2"/>
          <w:numId w:val="1"/>
        </w:numPr>
        <w:rPr/>
      </w:pPr>
      <w:bookmarkStart w:id="389" w:name="__RefHeading___Toc3219759_2870459653"/>
      <w:bookmarkStart w:id="390" w:name="_Toc157"/>
      <w:bookmarkEnd w:id="389"/>
      <w:r>
        <w:rPr>
          <w:rtl w:val="true"/>
        </w:rPr>
        <w:t>توضیح اجمالی کلام ایشان</w:t>
      </w:r>
      <w:bookmarkEnd w:id="3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فقره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مصدری است و عبارت است از نقصانی که به شخص وارد می شود و چون اسم مصدر است نسبت صدوریّه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این نقصان بذاته بدش می آید و انسان عادتاً تحمل ضرر و نقصان را ندارد </w:t>
      </w:r>
    </w:p>
    <w:p>
      <w:pPr>
        <w:pStyle w:val="BookText"/>
        <w:rPr/>
      </w:pPr>
      <w:r>
        <w:rPr>
          <w:rFonts w:ascii="IRNazanin" w:hAnsi="IRNazanin" w:eastAsia="IRNazanin"/>
          <w:color w:val="111111"/>
          <w:sz w:val="28"/>
          <w:sz w:val="28"/>
          <w:szCs w:val="28"/>
          <w:rtl w:val="true"/>
          <w:lang w:bidi="fa-IR"/>
        </w:rPr>
        <w:t>و زیر بار ضرر و نقصان نمی رود مگر این که این نقصان بر او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مواردی که می تواند این نقصان و ضرر را بر انسان تحمیل کند شرع است؛ یعنی وقتی شارع حکمی را صادر کند و آن حکم ضرری باشد متدینین به جهت تدیّن شان زیر بار این حکم ضرری می روند و می پذیرند و حال آن که در این فقره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سبب شود برای ضرر که باعث منقصت شما شما شود در شریعت جعل نشده است و از همین باب است نهی از شیء بعد از امر به آن یا توهم امر که دلالت می کند بر عدم امر همان طور که امر به شیء بعد از حَظر يا توهّم حظر دلالت بر عدم نهی می کند مثلاً اگر وضو برای شخصی ضرری باشد و توهم دارد که امر شارع آیا هنوز هست یا خیر، شارع می گوید لاضرر یعنی حکمی که سبب شود ضرر به مکلفین برسد، در شریعت مقدسه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فقره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مصدر است و مصدر دالّ بر نسبت صدوریّه از فاعل است برخلاف ضرر که اسم مصدر است؛ بنا بر این دلالت دارد که ضرر از انسان صادر می شود و صدور ضرر از انسان یک امر عادی است و موافق قوای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شَهْوَةٍ يَا 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ضرار دارای مصدر و نسبت صدوری از فاعل است می توان آن را حمل بر نهی تکلیفی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لاضرار را لا ناهیه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نهی تکلیفی می کند از ضرر وارد کردن به نفس و غیر خود؛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تشریعات خود فقط از ضرر نهی نکرده است؛ بلکه موجباتی را اندیشیده است که ضرر رساندن ممنوع بشود تا این که مردم نتوانند به یک دیگر ضرر وارد کنند؛ یعنی وسائل و اموری را شارع اتخاذ کرده است و مقرراتی را قرار داده است مانند وجوب امر به معروف و نهی از منکر تا به وسیله آن مردم خود را موظف بدانند که به یک دیگر ضرر وارد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لاضرار دو مطلب را اخذ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تحریمی مولوی ضرر؛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اتخاذ وسائل اجرائیه از طرف شارع مقدس برای جلوگیری از تحقق اضرار</w:t>
      </w:r>
      <w:r>
        <w:rPr>
          <w:rFonts w:eastAsia="IRNazanin" w:cs="IRNazanin"/>
          <w:color w:val="111111"/>
          <w:sz w:val="28"/>
          <w:szCs w:val="28"/>
          <w:rtl w:val="true"/>
          <w:lang w:bidi="fa-IR"/>
        </w:rPr>
        <w:t xml:space="preserve">. </w:t>
      </w:r>
      <w:r>
        <w:rPr>
          <w:rStyle w:val="FootnoteAnchor"/>
          <w:rtl w:val="true"/>
        </w:rPr>
        <w:footnoteReference w:id="280"/>
      </w:r>
      <w:bookmarkStart w:id="391" w:name="pg9135_79658"/>
    </w:p>
    <w:p>
      <w:pPr>
        <w:pStyle w:val="BookText"/>
        <w:rPr/>
      </w:pPr>
      <w:bookmarkEnd w:id="391"/>
      <w:r>
        <w:rPr>
          <w:rFonts w:ascii="IRNazanin" w:hAnsi="IRNazanin" w:eastAsia="IRNazanin"/>
          <w:color w:val="111111"/>
          <w:sz w:val="28"/>
          <w:sz w:val="28"/>
          <w:szCs w:val="28"/>
          <w:rtl w:val="true"/>
          <w:lang w:bidi="fa-IR"/>
        </w:rPr>
        <w:t>این بیان اجمالی کلام آیة اللّه سیستانی بود و برای کلام تفصیلی ایشان می توانید به رسالهٔ تقریرات بحث معظم له در قاعده لاضرر مراجعه کنید</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392" w:name="__RefHeading___Toc3219761_2870459653"/>
      <w:bookmarkStart w:id="393" w:name="_Toc158"/>
      <w:bookmarkEnd w:id="392"/>
      <w:r>
        <w:rPr>
          <w:rtl w:val="true"/>
        </w:rPr>
        <w:t>مناقشه کلام آیة اللّه سیستانی دَامَ ظِلُّهُ</w:t>
      </w:r>
      <w:bookmarkEnd w:id="39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اوّل کلام شان فرمودند که لاضرر به همان معنایی است که جناب شیخ انصاری فرموده اند به این بیان که شارع اقدس نفی تسبیب می کند به ضرر به جعل حکم ضرری یعنی شارع حکم ضرری جعل نکرده است تا سبب شود برای ضرر،</w:t>
      </w:r>
    </w:p>
    <w:p>
      <w:pPr>
        <w:pStyle w:val="BookText"/>
        <w:rPr/>
      </w:pPr>
      <w:r>
        <w:rPr>
          <w:rFonts w:ascii="IRNazanin" w:hAnsi="IRNazanin" w:eastAsia="IRNazanin"/>
          <w:color w:val="111111"/>
          <w:sz w:val="28"/>
          <w:sz w:val="28"/>
          <w:szCs w:val="28"/>
          <w:rtl w:val="true"/>
          <w:lang w:bidi="fa-IR"/>
        </w:rPr>
        <w:t>خود ایشان در نقد کلام شیخ انصاری رحمه اللّه علیه چهار اشکال فرمودند که این چهار اشکال بعینه به نظر خود ایشان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حکم به ضرر از قبیل اسباب و مسببات تولیدیه نیست به جهت این که اراده عبد مقهور اراده تکوینی مولی نیست؛ زیرا عبد مختار است و می تواند دستورات شارع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کردیم که نسبت حکم به ضرر از قبیل نسبت مسبب به سبب تولیدی نیست که آقای نائینی فرمودند زیرا سببیت تولیدیه به این معناست که سبب که آورده شود مسبب تولید شود و حال این که این جا اراده فاعلِ مختار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ضرری که مترتب بر عمل می شود به شکل مباشرت نیست؛ بلکه ممکن است عمل مُعِدّ برای ضرر باشد به طور مثال وضو گرفتن مُعِدّ می شود برای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تولیدی منطبق است بر معنای مصدری که در ضمن خودش نسبت صدوریّه داشته باشد و با معنای اسم مصدری که نسبت صدوریه را ندارد انطباق ندارد و در هیئت لاضرر کلمه ضرر اسم مصدر است و نسبت صدوریه ندارد به همین جهت صحیح نیست به القاء در آتش گفته شود احتراق امّا نسبت به کلمه احراق صحیح است زیرا کلمه احتراق متضمّن معنای صدوریّه نیست برخلاف کلمه احراق که نسبت صدوریه را داراست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شیخ انصاری رحمه اللّه علیه فِي حَدٍّ نَفْسِهِ به عنوان یک احتمال صحیح </w:t>
      </w:r>
      <w:bookmarkStart w:id="394" w:name="pg9135_79659"/>
    </w:p>
    <w:p>
      <w:pPr>
        <w:pStyle w:val="BookText"/>
        <w:rPr/>
      </w:pPr>
      <w:bookmarkEnd w:id="394"/>
      <w:r>
        <w:rPr>
          <w:rFonts w:ascii="IRNazanin" w:hAnsi="IRNazanin" w:eastAsia="IRNazanin"/>
          <w:color w:val="111111"/>
          <w:sz w:val="28"/>
          <w:sz w:val="28"/>
          <w:szCs w:val="28"/>
          <w:rtl w:val="true"/>
          <w:lang w:bidi="fa-IR"/>
        </w:rPr>
        <w:t>است و وقتی می توانیم این قول را برگزینیم که دیگر احتمالات لاضرر را ردّ کنیم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به آقای سیستانی این است که ایشان فرمودند همان مبنای شیخ انصاری رحمه اللّه علیه را قبول می کنیم در حالی که شیخ انصاری لاضرر را به این معنا نگرفته اند؛ زیرا معنایی که آیة اللّه سیستانی اتخاذ کرده اند نفی تسبیب برای ضرر که لازمه آن نفی حکم ضرری است و حال آن که شیخ انصاری می فرمایند لاضرر نفی سبب است که آن حکم ضرری است؛ یعنی لاضرر دال بر نفی حکم ضرری است نه لازمه آن و همین برداشت را محقق نائینی </w:t>
      </w:r>
      <w:r>
        <w:rPr>
          <w:rStyle w:val="FootnoteAnchor"/>
          <w:rtl w:val="true"/>
        </w:rPr>
        <w:footnoteReference w:id="283"/>
      </w:r>
      <w:r>
        <w:rPr>
          <w:rFonts w:ascii="IRNazanin" w:hAnsi="IRNazanin" w:eastAsia="IRNazanin"/>
          <w:color w:val="111111"/>
          <w:sz w:val="28"/>
          <w:sz w:val="28"/>
          <w:szCs w:val="28"/>
          <w:rtl w:val="true"/>
          <w:lang w:bidi="fa-IR"/>
        </w:rPr>
        <w:t xml:space="preserve">و محقق بجنوردی </w:t>
      </w:r>
      <w:r>
        <w:rPr>
          <w:rStyle w:val="FootnoteAnchor"/>
          <w:rtl w:val="true"/>
        </w:rPr>
        <w:footnoteReference w:id="284"/>
      </w:r>
      <w:r>
        <w:rPr>
          <w:rFonts w:ascii="IRNazanin" w:hAnsi="IRNazanin" w:eastAsia="IRNazanin"/>
          <w:color w:val="111111"/>
          <w:sz w:val="28"/>
          <w:sz w:val="28"/>
          <w:szCs w:val="28"/>
          <w:rtl w:val="true"/>
          <w:lang w:bidi="fa-IR"/>
        </w:rPr>
        <w:t xml:space="preserve">و محقق خوئی </w:t>
      </w:r>
      <w:r>
        <w:rPr>
          <w:rStyle w:val="FootnoteAnchor"/>
          <w:rtl w:val="true"/>
        </w:rPr>
        <w:footnoteReference w:id="285"/>
      </w:r>
      <w:r>
        <w:rPr>
          <w:rFonts w:ascii="IRNazanin" w:hAnsi="IRNazanin" w:eastAsia="IRNazanin"/>
          <w:color w:val="111111"/>
          <w:sz w:val="28"/>
          <w:sz w:val="28"/>
          <w:szCs w:val="28"/>
          <w:rtl w:val="true"/>
          <w:lang w:bidi="fa-IR"/>
        </w:rPr>
        <w:t>از کلام شیخ انصاری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هیئت لاضرار دو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لاضرار تحریمی است و دلالت بر نهی می کند و دوّم این که شارع در مقام تشریع به حاکم شرع تفویض کرده اند که قوانینی را تشریع کند تا به واسطۀ آن قوانین، خلق نتوانند به یک دیگر ضرر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قرینه ای ایشان لا در لاضرار را نهی گرفته اند و حال آن که لا نهی بر سر فعل مضارع وارد می شود شیخ الشریعه لا در لاضرر و لاضرار هر دو را نهی گرفته اند، و شیخ انصاری هر دو را نفی گرفتند، چگونه و با چه قرینه ای لا اوّل را نفی و لا دوّم را نهی گرفتند و این از عجائب کلام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فرا تر این که ایشان فرمودند که شارع دست حاکم شرع را مبسوط گذاشته و او را موظف کرده است که امور اجرایی را به گونه ای اتخاذ کند که مردم نتوانند به هم دیگر ضرر وارد کنند این سخن و بیان خوبی است فِي حَدٍّ نَفْسِهِ؛ امّا اشکال این است که چگونه این مطلب را از کلمه لاضرار استفاده کرده اند</w:t>
      </w:r>
      <w:r>
        <w:rPr>
          <w:rFonts w:eastAsia="IRNazanin" w:cs="IRNazanin"/>
          <w:color w:val="111111"/>
          <w:sz w:val="28"/>
          <w:szCs w:val="28"/>
          <w:rtl w:val="true"/>
          <w:lang w:bidi="fa-IR"/>
        </w:rPr>
        <w:t>.</w:t>
      </w:r>
    </w:p>
    <w:p>
      <w:pPr>
        <w:pStyle w:val="Heading3"/>
        <w:numPr>
          <w:ilvl w:val="2"/>
          <w:numId w:val="1"/>
        </w:numPr>
        <w:rPr/>
      </w:pPr>
      <w:bookmarkStart w:id="395" w:name="__RefHeading___Toc3219763_2870459653"/>
      <w:bookmarkStart w:id="396" w:name="_Toc159"/>
      <w:bookmarkEnd w:id="395"/>
      <w:r>
        <w:rPr>
          <w:rtl w:val="true"/>
        </w:rPr>
        <w:t>وجه هشتم</w:t>
      </w:r>
      <w:r>
        <w:rPr>
          <w:rtl w:val="true"/>
        </w:rPr>
        <w:t xml:space="preserve">: </w:t>
      </w:r>
      <w:r>
        <w:rPr>
          <w:rtl w:val="true"/>
        </w:rPr>
        <w:t>نظریه مختار</w:t>
      </w:r>
      <w:bookmarkEnd w:id="3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مباحث قبل روشن شد که در هیئت ترکیبیهٔ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لاى نفى جنس است؛ زیرا لا نفی جنس بر سر اسم می آید و لا ناهیه بر سر فعل مضارع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را گفتیم منظور نقصی است که به کسی خواه نقص مالی یا نفس یا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هر چند در هیئت با ضرر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مصدر است و ضرر اسم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تمام فرق همین است و از نظر معنایی تفاوتی بین ضرر و ضرار نیست و ضرار تأکید ضرر است و واو عطف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خود هیئت لاضرر افاده معنایی نمی کند؛ زیرا می بینیم در عالم تکوین ضرر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عالم تکوین نیست پس چون کلام صادر شده است از صاحب شریعت و کسی که پیامبر خداست، منظور نفی ضرر در شریعت مقدسه است، ما نمی گوییم لاضرر و لاضرار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نیست؛ بلکه منظور این است که فضایی که رسول خدا صلی اللّه علیه و آله و سلم تکلّم می کند فضای شریعت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من حكم ضرری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حکم را از کجا استفاده کردیم، لا محاله چون نفی ضرر در شریعت است باید یک حکم در تقدیر گرفته شود و قرینه آن مقام متکلم است که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از شریعت خود سخن می گوید و ایشان طبق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يَنطِقُ عَنِ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286"/>
      </w:r>
      <w:r>
        <w:rPr>
          <w:rFonts w:ascii="IRNazanin" w:hAnsi="IRNazanin" w:eastAsia="IRNazanin"/>
          <w:color w:val="111111"/>
          <w:sz w:val="28"/>
          <w:sz w:val="28"/>
          <w:szCs w:val="28"/>
          <w:rtl w:val="true"/>
          <w:lang w:bidi="fa-IR"/>
        </w:rPr>
        <w:t>لا محاله معنای کلام رسول خدا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حُكْمَ ضَّرَرِيُّ</w:t>
      </w:r>
      <w:r>
        <w:rPr>
          <w:rFonts w:ascii="IRNazanin" w:hAnsi="IRNazanin" w:eastAsia="IRNazanin"/>
          <w:color w:val="111111"/>
          <w:sz w:val="28"/>
          <w:sz w:val="28"/>
          <w:szCs w:val="28"/>
          <w:rtl w:val="true"/>
          <w:lang w:bidi="fa-IR"/>
        </w:rPr>
        <w:t xml:space="preserve"> ؛ یعنی احکامی که در شریعت من ثابت است آن گاه که برسد به حد ضرر، حکم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احکام فردی باشد و چه احکام اجتماعی و چه در عبادات باشد چه در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تا اندازه ای قول مختار نزدیک است به قول شیخ انصاری رحمه اللّه علیه حال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مناقشه ای که به شیخ انصاری وارد شده است به قول مختار نیز وارد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مبنای شیخ انصاری رحمه اللّه علیه را بپذیریم تخصیص اکثر </w:t>
      </w:r>
    </w:p>
    <w:p>
      <w:pPr>
        <w:pStyle w:val="BookText"/>
        <w:rPr/>
      </w:pPr>
      <w:r>
        <w:rPr>
          <w:rFonts w:ascii="IRNazanin" w:hAnsi="IRNazanin" w:eastAsia="IRNazanin"/>
          <w:color w:val="111111"/>
          <w:sz w:val="28"/>
          <w:sz w:val="28"/>
          <w:szCs w:val="28"/>
          <w:rtl w:val="true"/>
          <w:lang w:bidi="fa-IR"/>
        </w:rPr>
        <w:t>پیش می آید؛ زیرا ما یکی سری احکامی داریم که ذات این احکام خود ضرری است مانند، ضمانات، حدود دیات، قصاص، حقوق واجبه مالی، زکوات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مناقشه بر ما وارد نیست؛ اتفاقاً این موارد فوق ضرری نیستند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ضرری نیست؛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لَكُمْ فِي الْقِصَاصِ حَيَوةٌ</w:t>
      </w:r>
      <w:r>
        <w:rPr>
          <w:rStyle w:val="FootnoteAnchor"/>
          <w:rtl w:val="true"/>
        </w:rPr>
        <w:footnoteReference w:id="287"/>
      </w:r>
      <w:r>
        <w:rPr>
          <w:rFonts w:ascii="IRNazanin" w:hAnsi="IRNazanin" w:eastAsia="IRNazanin"/>
          <w:color w:val="111111"/>
          <w:sz w:val="28"/>
          <w:sz w:val="28"/>
          <w:szCs w:val="28"/>
          <w:rtl w:val="true"/>
          <w:lang w:bidi="fa-IR"/>
        </w:rPr>
        <w:t>قصاص باعث نجات و حیات یک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حدود در شریعت برای این است که در جامعه گناه علنی نباشد ناهنجاری و هرج و مرج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ضمانات نیز قاعده لاضرر جاری نمی شود؛ چون اگر شخص ضامن که متعهد شده است قبول ضرر نکند و این ضرر را ادا نکند طرف مقابل متضرر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واجبه مالی ضرری نیست،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مفید است زیرا در صورت عدم پرداخت اختلاف طبقاتی پیش می آید و فقر و دزدی و هرج و مرج پیش می آید و باعث تعدی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پرداخت حقوق واجبه مالی حفظ جان و مال و ناموس خانواده خود است و باعث امنیت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رشد و برکت در خود مال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احکام ضرری نیستند</w:t>
      </w:r>
      <w:r>
        <w:rPr>
          <w:rFonts w:eastAsia="IRNazanin" w:cs="IRNazanin"/>
          <w:color w:val="111111"/>
          <w:sz w:val="28"/>
          <w:szCs w:val="28"/>
          <w:rtl w:val="true"/>
          <w:lang w:bidi="fa-IR"/>
        </w:rPr>
        <w:t xml:space="preserve">. </w:t>
      </w:r>
      <w:bookmarkStart w:id="397" w:name="pg9135_79662"/>
    </w:p>
    <w:p>
      <w:pPr>
        <w:pStyle w:val="Heading2"/>
        <w:numPr>
          <w:ilvl w:val="1"/>
          <w:numId w:val="1"/>
        </w:numPr>
        <w:rPr/>
      </w:pPr>
      <w:bookmarkStart w:id="398" w:name="__RefHeading___Toc3219765_2870459653"/>
      <w:bookmarkStart w:id="399" w:name="_Toc160"/>
      <w:bookmarkEnd w:id="397"/>
      <w:bookmarkEnd w:id="398"/>
      <w:r>
        <w:rPr>
          <w:rtl w:val="true"/>
        </w:rPr>
        <w:t>تنبیهات قاعده لاضرر</w:t>
      </w:r>
      <w:bookmarkEnd w:id="399"/>
    </w:p>
    <w:p>
      <w:pPr>
        <w:pStyle w:val="Heading3"/>
        <w:numPr>
          <w:ilvl w:val="2"/>
          <w:numId w:val="1"/>
        </w:numPr>
        <w:rPr/>
      </w:pPr>
      <w:bookmarkStart w:id="400" w:name="__RefHeading___Toc3219767_2870459653"/>
      <w:bookmarkStart w:id="401" w:name="_Toc161"/>
      <w:bookmarkEnd w:id="400"/>
      <w:r>
        <w:rPr>
          <w:rtl w:val="true"/>
        </w:rPr>
        <w:t>تنبیه اوّل</w:t>
      </w:r>
      <w:r>
        <w:rPr>
          <w:rtl w:val="true"/>
        </w:rPr>
        <w:t xml:space="preserve">: </w:t>
      </w:r>
      <w:r>
        <w:rPr>
          <w:rtl w:val="true"/>
        </w:rPr>
        <w:t>جمع بین قاعده لاضرر و ادله احکام شرعیه</w:t>
      </w:r>
      <w:bookmarkEnd w:id="401"/>
    </w:p>
    <w:p>
      <w:pPr>
        <w:pStyle w:val="Heading4"/>
        <w:numPr>
          <w:ilvl w:val="3"/>
          <w:numId w:val="1"/>
        </w:numPr>
        <w:rPr/>
      </w:pPr>
      <w:bookmarkStart w:id="402" w:name="__RefHeading___Toc3219769_2870459653"/>
      <w:bookmarkStart w:id="403" w:name="_Toc162"/>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ادله احکام شرعیه به اطلاقش یا عمومش مورد ضرر را می گیرد و هم چنین ادله لاضرر موارد احکام شرعیّه را می گیرد و به بیان دیگر اگر نسبت سنجی بکنیم بین ادلّه احکام شرعیه و ادله لاضرر نسبت این دو عام و خاص منوجه است؛ یعنی محلّ اجتماعی دارد و دو محل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ادله لزوم بیع به اطلاقش می گوید در همه موارد بیع لازم است، حتی آن جایی که از لزوم بیع ضرر ناشی بشود و ادله قاعده لاضرر ضرری را که از لزوم بیع ناشی بشود را می گیرد؛ یعنی ادله لزوم بیع می گوید بیع لازم است ولو ضرری باشد، ادله نفی ضرر می گوید این بیع در مواردی که موجب ضرر بشود،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باشیم و تعارض دو عام منوجه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آن است که در تعارض عامین منوجه، در محل اجتماع دو دلیل با هم معارضه می کنند و بالتعارض تساقط می کنند و در محل افتراق به هر دو دلیل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قاعده لاضرر می رسیم دیده می شود که فقها قاعده لاضرر را ترجیح داده اند بر ادله احکام شرعیّه، در حالی که قاعده اوّلیه اقتضای تعارض و تساقط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ترجیح چیست؟ وجوهی را ذکر کرده اند</w:t>
      </w:r>
      <w:r>
        <w:rPr>
          <w:rFonts w:eastAsia="IRNazanin" w:cs="IRNazanin"/>
          <w:color w:val="111111"/>
          <w:sz w:val="28"/>
          <w:szCs w:val="28"/>
          <w:rtl w:val="true"/>
          <w:lang w:bidi="fa-IR"/>
        </w:rPr>
        <w:t>:</w:t>
      </w:r>
    </w:p>
    <w:p>
      <w:pPr>
        <w:pStyle w:val="Heading4"/>
        <w:numPr>
          <w:ilvl w:val="3"/>
          <w:numId w:val="1"/>
        </w:numPr>
        <w:rPr/>
      </w:pPr>
      <w:bookmarkStart w:id="404" w:name="__RefHeading___Toc3219771_2870459653"/>
      <w:bookmarkStart w:id="405" w:name="_Toc163"/>
      <w:bookmarkEnd w:id="404"/>
      <w:r>
        <w:rPr>
          <w:rtl w:val="true"/>
        </w:rPr>
        <w:t>وجه اوّل</w:t>
      </w:r>
      <w:bookmarkEnd w:id="40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اولیه در عامین منوجه در محل اجتماع تعارض تسقط است و رجوع به اصل عملی است و اصل عملی غالباً موافق است با قاعده لاضرر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06" w:name="pg9135_79663"/>
    </w:p>
    <w:p>
      <w:pPr>
        <w:pStyle w:val="BookText"/>
        <w:rPr/>
      </w:pPr>
      <w:bookmarkEnd w:id="406"/>
      <w:r>
        <w:rPr>
          <w:rFonts w:ascii="IRNazanin" w:hAnsi="IRNazanin" w:eastAsia="IRNazanin"/>
          <w:color w:val="111111"/>
          <w:sz w:val="28"/>
          <w:sz w:val="28"/>
          <w:szCs w:val="28"/>
          <w:rtl w:val="true"/>
          <w:lang w:bidi="fa-IR"/>
        </w:rPr>
        <w:t xml:space="preserve">موارد احکام تکلیفیۀ ضرریه رجوع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احکام وضعیه ضرریّه رجوع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لاضرر مقدم نشده است؛ بلکه در محل اجتماع تعارض و تساقط شده است و رجوع شده است به اصل عملی که آن موافق است با قاعده 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وجه فَرع آن است که ما بگوییم در مقام جمع بين عامين من وجه تعارض باشد؛ سپس تساقط بعد از آن رجوع به اصل عملی، امّا اگر گفتیم در محل اجتماع تعارضی نیست دیگر تساقط و رجوع به اصل عملی نیست و دیگر نوبت به این وجه نخواهد رسید</w:t>
      </w:r>
      <w:r>
        <w:rPr>
          <w:rFonts w:eastAsia="IRNazanin" w:cs="IRNazanin"/>
          <w:color w:val="111111"/>
          <w:sz w:val="28"/>
          <w:szCs w:val="28"/>
          <w:rtl w:val="true"/>
          <w:lang w:bidi="fa-IR"/>
        </w:rPr>
        <w:t>.</w:t>
      </w:r>
    </w:p>
    <w:p>
      <w:pPr>
        <w:pStyle w:val="Heading4"/>
        <w:numPr>
          <w:ilvl w:val="3"/>
          <w:numId w:val="1"/>
        </w:numPr>
        <w:rPr/>
      </w:pPr>
      <w:bookmarkStart w:id="407" w:name="__RefHeading___Toc3219773_2870459653"/>
      <w:bookmarkStart w:id="408" w:name="_Toc164"/>
      <w:bookmarkEnd w:id="407"/>
      <w:r>
        <w:rPr>
          <w:rtl w:val="true"/>
        </w:rPr>
        <w:t>وجه دوّم</w:t>
      </w:r>
      <w:bookmarkEnd w:id="408"/>
    </w:p>
    <w:p>
      <w:pPr>
        <w:pStyle w:val="BookText"/>
        <w:rPr/>
      </w:pPr>
      <w:r>
        <w:rPr>
          <w:rFonts w:ascii="IRNazanin" w:hAnsi="IRNazanin" w:eastAsia="IRNazanin"/>
          <w:color w:val="111111"/>
          <w:sz w:val="28"/>
          <w:sz w:val="28"/>
          <w:szCs w:val="28"/>
          <w:rtl w:val="true"/>
          <w:lang w:bidi="fa-IR"/>
        </w:rPr>
        <w:t>شما ادله نفى ضرر را با تک تک احکام شرعیّه نسبت برقرار کردید و در این صورت عام و خاص منوجه می شود و در محل اجتماع تعارض و تساقط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همه احکام اولیه را اعم از ادله ای که دال بر وجوب است یا حرمت یا احکام وضعیه را یک دلیل فرض کنیم و لاضرر را هم یک دلیل فرض کنیم نسبت آن ها عام و خاص می شود، و دلیل خاص مقدم بر عام می شود</w:t>
      </w:r>
      <w:r>
        <w:rPr>
          <w:rFonts w:eastAsia="IRNazanin" w:cs="IRNazanin"/>
          <w:color w:val="111111"/>
          <w:sz w:val="28"/>
          <w:szCs w:val="28"/>
          <w:rtl w:val="true"/>
          <w:lang w:bidi="fa-IR"/>
        </w:rPr>
        <w:t>.</w:t>
      </w:r>
    </w:p>
    <w:p>
      <w:pPr>
        <w:pStyle w:val="Heading4"/>
        <w:numPr>
          <w:ilvl w:val="3"/>
          <w:numId w:val="1"/>
        </w:numPr>
        <w:rPr/>
      </w:pPr>
      <w:bookmarkStart w:id="409" w:name="__RefHeading___Toc3219775_2870459653"/>
      <w:bookmarkStart w:id="410" w:name="_Toc165"/>
      <w:bookmarkEnd w:id="409"/>
      <w:r>
        <w:rPr>
          <w:rtl w:val="true"/>
        </w:rPr>
        <w:t>نقد وجه دوّم</w:t>
      </w:r>
      <w:bookmarkEnd w:id="410"/>
    </w:p>
    <w:p>
      <w:pPr>
        <w:pStyle w:val="BookText"/>
        <w:rPr/>
      </w:pPr>
      <w:r>
        <w:rPr>
          <w:rFonts w:ascii="IRNazanin" w:hAnsi="IRNazanin" w:eastAsia="IRNazanin"/>
          <w:color w:val="111111"/>
          <w:sz w:val="28"/>
          <w:sz w:val="28"/>
          <w:szCs w:val="28"/>
          <w:rtl w:val="true"/>
          <w:lang w:bidi="fa-IR"/>
        </w:rPr>
        <w:t>چگونه شما همه احکام شرعیه را یک دلیل فرض کردید، ادله وجوب و حرمت و ادله احکام وضعیه هر کدام برای خودش ادله خاص خود را دارد، چگونه این همه دلیل متنوع را یک دلیل فرض می کنید و به لحاظ و فرض، دلیل تحقق پیدا نمی کند و لاضرر با تک تک ادلّه درگیر است</w:t>
      </w:r>
      <w:r>
        <w:rPr>
          <w:rFonts w:eastAsia="IRNazanin" w:cs="IRNazanin"/>
          <w:color w:val="111111"/>
          <w:sz w:val="28"/>
          <w:szCs w:val="28"/>
          <w:rtl w:val="true"/>
          <w:lang w:bidi="fa-IR"/>
        </w:rPr>
        <w:t>.</w:t>
      </w:r>
    </w:p>
    <w:p>
      <w:pPr>
        <w:pStyle w:val="Heading4"/>
        <w:numPr>
          <w:ilvl w:val="3"/>
          <w:numId w:val="1"/>
        </w:numPr>
        <w:rPr/>
      </w:pPr>
      <w:bookmarkStart w:id="411" w:name="__RefHeading___Toc3219777_2870459653"/>
      <w:bookmarkStart w:id="412" w:name="_Toc166"/>
      <w:bookmarkEnd w:id="411"/>
      <w:r>
        <w:rPr>
          <w:rtl w:val="true"/>
        </w:rPr>
        <w:t>وجه سوّم</w:t>
      </w:r>
      <w:bookmarkEnd w:id="4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قاعده اولیّه در عامین من وجه در محل اجتماع تعارض تساقط است؛ امّا در کنار این قاعده یک قاعده دیگر وجود دارد و آن این که اگر یکی از عامین من وجه به گونه ای باشد که اگر ما حکم به تساقط کردیم دیگر هیچ موردی برای جریان آن عام وجود نخواهد داشت، باید آن عام را مقدم کنیم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bookmarkStart w:id="413" w:name="pg9135_79664"/>
    </w:p>
    <w:p>
      <w:pPr>
        <w:pStyle w:val="BookText"/>
        <w:rPr/>
      </w:pPr>
      <w:bookmarkEnd w:id="413"/>
      <w:r>
        <w:rPr>
          <w:rFonts w:ascii="IRNazanin" w:hAnsi="IRNazanin" w:eastAsia="IRNazanin"/>
          <w:color w:val="111111"/>
          <w:sz w:val="28"/>
          <w:sz w:val="28"/>
          <w:szCs w:val="28"/>
          <w:rtl w:val="true"/>
          <w:lang w:bidi="fa-IR"/>
        </w:rPr>
        <w:t>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حکم به تساقط کردیم دیگر هیچ موردی برای جریان قاعده لاضرر وجود ندارد پس به ناچار باید قاعده لاضرر را مقدم کنیم</w:t>
      </w:r>
      <w:r>
        <w:rPr>
          <w:rFonts w:eastAsia="IRNazanin" w:cs="IRNazanin"/>
          <w:color w:val="111111"/>
          <w:sz w:val="28"/>
          <w:szCs w:val="28"/>
          <w:rtl w:val="true"/>
          <w:lang w:bidi="fa-IR"/>
        </w:rPr>
        <w:t>.</w:t>
      </w:r>
    </w:p>
    <w:p>
      <w:pPr>
        <w:pStyle w:val="Heading4"/>
        <w:numPr>
          <w:ilvl w:val="3"/>
          <w:numId w:val="1"/>
        </w:numPr>
        <w:rPr/>
      </w:pPr>
      <w:bookmarkStart w:id="414" w:name="__RefHeading___Toc3219779_2870459653"/>
      <w:bookmarkStart w:id="415" w:name="_Toc167"/>
      <w:bookmarkEnd w:id="414"/>
      <w:r>
        <w:rPr>
          <w:rtl w:val="true"/>
        </w:rPr>
        <w:t>نقد وجه سوّم</w:t>
      </w:r>
      <w:bookmarkEnd w:id="415"/>
    </w:p>
    <w:p>
      <w:pPr>
        <w:pStyle w:val="BookText"/>
        <w:rPr/>
      </w:pPr>
      <w:r>
        <w:rPr>
          <w:rFonts w:ascii="IRNazanin" w:hAnsi="IRNazanin" w:eastAsia="IRNazanin"/>
          <w:color w:val="111111"/>
          <w:sz w:val="28"/>
          <w:sz w:val="28"/>
          <w:szCs w:val="28"/>
          <w:rtl w:val="true"/>
          <w:lang w:bidi="fa-IR"/>
        </w:rPr>
        <w:t>این وجه صحیح است و قاعدۀ تعارض این تبصره را دارد و موارد متعددی ما در فقه داریم مانند قاعده لاحرج، لكن این وجه سوّم مانند وجه اوّل منوط است به این که ما بگوییم در محل اجتماع تعارض وجود دارد؛ امّا اگر گفتیم در محل اجتماع تعارضی نیست، دیگر نوبت به این وجه نمی رسد</w:t>
      </w:r>
      <w:r>
        <w:rPr>
          <w:rFonts w:eastAsia="IRNazanin" w:cs="IRNazanin"/>
          <w:color w:val="111111"/>
          <w:sz w:val="28"/>
          <w:szCs w:val="28"/>
          <w:rtl w:val="true"/>
          <w:lang w:bidi="fa-IR"/>
        </w:rPr>
        <w:t>.</w:t>
      </w:r>
    </w:p>
    <w:p>
      <w:pPr>
        <w:pStyle w:val="Heading4"/>
        <w:numPr>
          <w:ilvl w:val="3"/>
          <w:numId w:val="1"/>
        </w:numPr>
        <w:rPr/>
      </w:pPr>
      <w:bookmarkStart w:id="416" w:name="__RefHeading___Toc3219781_2870459653"/>
      <w:bookmarkStart w:id="417" w:name="_Toc168"/>
      <w:bookmarkEnd w:id="416"/>
      <w:r>
        <w:rPr>
          <w:rtl w:val="true"/>
        </w:rPr>
        <w:t>وجه چهارم</w:t>
      </w:r>
      <w:r>
        <w:rPr>
          <w:rtl w:val="true"/>
        </w:rPr>
        <w:t xml:space="preserve">: </w:t>
      </w:r>
      <w:r>
        <w:rPr>
          <w:rtl w:val="true"/>
        </w:rPr>
        <w:t>قول مرحوم آخوند در کفایه</w:t>
      </w:r>
      <w:bookmarkEnd w:id="417"/>
    </w:p>
    <w:p>
      <w:pPr>
        <w:pStyle w:val="BookText"/>
        <w:rPr/>
      </w:pPr>
      <w:r>
        <w:rPr>
          <w:rFonts w:ascii="Amiri" w:hAnsi="Amiri" w:eastAsia="Amiri" w:cs="Amiri"/>
          <w:color w:val="111111"/>
          <w:sz w:val="28"/>
          <w:sz w:val="28"/>
          <w:szCs w:val="28"/>
          <w:rtl w:val="true"/>
          <w:lang w:bidi="ar-SA"/>
        </w:rPr>
        <w:t xml:space="preserve">که از آن تعبیر می کند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جمع می کند بین دو دلیلی که متکفل بیان احکام است به این بیان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دلیل حکم ثابت بر اشیاء را به عنوان اوّلی نقل می کند که از آن تعبیر می کنند به حکم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که حکمی را که ثابت است برای اشیاء به عنوان ثانوی نقل می کند که از آن به حکم فعلی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دو حکم در کنار هم قرار بگیرد عرف حکم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کند</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418" w:name="__RefHeading___Toc3219783_2870459653"/>
      <w:bookmarkStart w:id="419" w:name="_Toc169"/>
      <w:bookmarkEnd w:id="418"/>
      <w:r>
        <w:rPr>
          <w:rtl w:val="true"/>
        </w:rPr>
        <w:t>اجمال قول آخوند</w:t>
      </w:r>
      <w:bookmarkEnd w:id="4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نفی ضرر متکفّل نفی حکمی است که ثابت است برای فعل به عنوان اوّلی آن و دلیل لاضرر نظر ندارد به حکمی که ثابت است برای فعل به عنوان ضرر زیرا ظاهر دلیل نفی ضرر این است که ضرر علت برای نفی و مانع است از ثبوت حکمی که نفی شده است؛ یعنی اگر ضرر نبود این حکم وجود داشت حال که ضرر هست، مانع از ثبوت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لاضرر نمی تواند شامل شود مواردی را که ضرر اقتضای خود حکم است مانند ادله، خمس، دیات،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اقتضای حکم ضرری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لاضرر فقط می تواند آن احکامی را نفی کند که ضرر علّت برای نفی و مانع از ثبوت حکم است ولی مواردی را که ضرر مقتضى ثبوت حکم است، لاضرر آن موارد را مانع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مقتضی حکم </w:t>
      </w:r>
      <w:bookmarkStart w:id="420" w:name="pg9135_79665"/>
    </w:p>
    <w:p>
      <w:pPr>
        <w:pStyle w:val="BookText"/>
        <w:rPr/>
      </w:pPr>
      <w:bookmarkEnd w:id="420"/>
      <w:r>
        <w:rPr>
          <w:rFonts w:ascii="IRNazanin" w:hAnsi="IRNazanin" w:eastAsia="IRNazanin"/>
          <w:color w:val="111111"/>
          <w:sz w:val="28"/>
          <w:sz w:val="28"/>
          <w:szCs w:val="28"/>
          <w:rtl w:val="true"/>
          <w:lang w:bidi="fa-IR"/>
        </w:rPr>
        <w:t>نمی تواند مانع از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آخوند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ملاحظه نسبت بین ادله احکام و دلیل لاضرر نمی شود؛ زیرا عرف از دلیل لاضرر استظهار می کند این مطلب راکه ضرر مانع از ثبوت حکم است و عرف جمع می کند بین دو دلیل به این صورت که ادله اوّلیه احکام را حمل کنیم بر حکم اقتضایی و لاضرر را حمل می کنیم بر این که مانع می شود از فعلیت حکم اقتضایی و این خود یک جمع عرفی است که نام آن را توفیق عرفی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مرحوم آخوند در کفایه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لَوْ لَمْ نَقُلْ بِحُكُومَةِ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قول مرحوم آخوند را بپذیریم بازگشت قول ایشان همان قول شیخ انصاری است که ایشان قائل به حکومت شده اند</w:t>
      </w:r>
      <w:r>
        <w:rPr>
          <w:rFonts w:eastAsia="IRNazanin" w:cs="IRNazanin"/>
          <w:color w:val="111111"/>
          <w:sz w:val="28"/>
          <w:szCs w:val="28"/>
          <w:rtl w:val="true"/>
          <w:lang w:bidi="fa-IR"/>
        </w:rPr>
        <w:t>.</w:t>
      </w:r>
    </w:p>
    <w:p>
      <w:pPr>
        <w:pStyle w:val="Heading4"/>
        <w:numPr>
          <w:ilvl w:val="3"/>
          <w:numId w:val="1"/>
        </w:numPr>
        <w:rPr/>
      </w:pPr>
      <w:bookmarkStart w:id="421" w:name="__RefHeading___Toc3219785_2870459653"/>
      <w:bookmarkStart w:id="422" w:name="_Toc170"/>
      <w:bookmarkEnd w:id="421"/>
      <w:r>
        <w:rPr>
          <w:rtl w:val="true"/>
        </w:rPr>
        <w:t>اجمال قول شیخ انصاری رحمه اللّه علیه</w:t>
      </w:r>
      <w:bookmarkEnd w:id="422"/>
    </w:p>
    <w:p>
      <w:pPr>
        <w:pStyle w:val="BookText"/>
        <w:rPr/>
      </w:pPr>
      <w:r>
        <w:rPr>
          <w:rFonts w:ascii="IRNazanin" w:hAnsi="IRNazanin" w:eastAsia="IRNazanin"/>
          <w:color w:val="111111"/>
          <w:sz w:val="28"/>
          <w:sz w:val="28"/>
          <w:szCs w:val="28"/>
          <w:rtl w:val="true"/>
          <w:lang w:bidi="fa-IR"/>
        </w:rPr>
        <w:t>حکومت جایی است که دلیل حاکم ناظر باشد به دلیل محکوم و آن را یا توسعه بدهد یا تضییق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یک دلیل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شَكَّ بَيِّنُ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دلیل دیگر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حاكم تضييق کرده است دایره دلیل محکوم را و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هُمُ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توسعه داده است دلیل محکوم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گوییم در حکومت دلیل حاکم ناظر بر دلیل محکوم است، امّا بین حاکم و محکوم شما نسبت سنجی نمی کنید؛ بلکه دلیل حاکم یا توسعه می تضییق می کند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حکومت شیخ انصاری را قبول ندارد؛ زیرا مرحوم آخوند حکومتی را قبول دارد که مُفسّره باشد؛ یعنی در دلیل حاکم کلماتی مانند أَعْنِي، </w:t>
      </w:r>
      <w:bookmarkStart w:id="423" w:name="pg9135_79666"/>
    </w:p>
    <w:p>
      <w:pPr>
        <w:pStyle w:val="BookText"/>
        <w:rPr/>
      </w:pPr>
      <w:bookmarkEnd w:id="423"/>
      <w:r>
        <w:rPr>
          <w:rFonts w:ascii="IRNazanin" w:hAnsi="IRNazanin" w:eastAsia="IRNazanin"/>
          <w:color w:val="111111"/>
          <w:sz w:val="28"/>
          <w:sz w:val="28"/>
          <w:szCs w:val="28"/>
          <w:rtl w:val="true"/>
          <w:lang w:bidi="fa-IR"/>
        </w:rPr>
        <w:t>أَقْصِدَ، أُفَسِّرْ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که دال بر تفسیر باشد و الّا حکومت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لاضرر چون در دلیل لاضرر چنین کلماتی که دال بر تفسیر باشد و نظر داشته باشد به دلیل محکوم وجود ندارد به ناچار توفیق عُرفی را بیان فرموده اند</w:t>
      </w:r>
      <w:r>
        <w:rPr>
          <w:rFonts w:eastAsia="IRNazanin" w:cs="IRNazanin"/>
          <w:color w:val="111111"/>
          <w:sz w:val="28"/>
          <w:szCs w:val="28"/>
          <w:rtl w:val="true"/>
          <w:lang w:bidi="fa-IR"/>
        </w:rPr>
        <w:t>.</w:t>
      </w:r>
    </w:p>
    <w:p>
      <w:pPr>
        <w:pStyle w:val="Heading4"/>
        <w:numPr>
          <w:ilvl w:val="3"/>
          <w:numId w:val="1"/>
        </w:numPr>
        <w:rPr/>
      </w:pPr>
      <w:bookmarkStart w:id="424" w:name="__RefHeading___Toc3219787_2870459653"/>
      <w:bookmarkStart w:id="425" w:name="_Toc171"/>
      <w:bookmarkEnd w:id="424"/>
      <w:r>
        <w:rPr>
          <w:rtl w:val="true"/>
        </w:rPr>
        <w:t>اشکال به مرحوم آخوند رحمه اللّه علیه</w:t>
      </w:r>
      <w:bookmarkEnd w:id="42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عرفی همان حکومت شیخ انصاری رحمه اللّه علیه است و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سَرِ اسم بحث نمی کنیم، وقتی شما می گویید دلیل لاضرر مانع است از ثبوت حکم اقتضایی یعنی دلیل لاضرر ناظر است به ادله احکام اوّلیه و این همان بیان شیخ انصاری رحمه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ادلّه احکام اولیه حکم اقتضائیه را بیان می کند و ادله نفی ضرر حکم فعلی را بیان می کند، حال سؤال این است که آیا ما اصلاً چیزی به نام حکم اقتضائی داریم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اصحاب منکر این مطلب هستند که ما اصلاً حکمی به نام حکم اقتضائی داشته باشیم از جمله آن ها شاگرد مرحوم آخوند، محقّق اصفهانی صاحب نهاية الدراية </w:t>
      </w:r>
      <w:r>
        <w:rPr>
          <w:rStyle w:val="FootnoteAnchor"/>
          <w:rtl w:val="true"/>
        </w:rPr>
        <w:footnoteReference w:id="2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آخوند بر مبنای خود شان می 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قاعدۀ لاضرر فرمودند؛ لاضرر بیان حکم است بلسان نفی موضوع اگر ما این مبنا را بپذیریم شاید بشود قول ایشان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باید به مرحوم آخوند بگوییم راه حلی که شما ارائه می دهید بايد على جميع المبانی صحیح باشد، امّا اگر بر مبنای خود تان صحیح باشد برای شما اختصاصی می شود و دیگران که مبنای شما را قبول ندارند، نمی توانند قول شما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آن این است که وقتی شما لاضرر را نفی حکم به لسان نفی موضوع دانستید از آن استظهار علیت می شود و وقتی علیت درست شد حکم دائر مدار علیت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نفی حکم به لسان نفی موضوع را قبول نکردید دیگر استظهار علیّت نمی شود و قول مرحوم آخوند تمام نمی شود زیرا شما مانعیت را وقتی می توانید </w:t>
      </w:r>
      <w:bookmarkStart w:id="426" w:name="pg9135_79667"/>
    </w:p>
    <w:p>
      <w:pPr>
        <w:pStyle w:val="BookText"/>
        <w:rPr/>
      </w:pPr>
      <w:bookmarkEnd w:id="426"/>
      <w:r>
        <w:rPr>
          <w:rFonts w:ascii="IRNazanin" w:hAnsi="IRNazanin" w:eastAsia="IRNazanin"/>
          <w:color w:val="111111"/>
          <w:sz w:val="28"/>
          <w:sz w:val="28"/>
          <w:szCs w:val="28"/>
          <w:rtl w:val="true"/>
          <w:lang w:bidi="fa-IR"/>
        </w:rPr>
        <w:t>جاری کنید که علیت درست شود</w:t>
      </w:r>
      <w:r>
        <w:rPr>
          <w:rFonts w:eastAsia="IRNazanin" w:cs="IRNazanin"/>
          <w:color w:val="111111"/>
          <w:sz w:val="28"/>
          <w:szCs w:val="28"/>
          <w:rtl w:val="true"/>
          <w:lang w:bidi="fa-IR"/>
        </w:rPr>
        <w:t>.</w:t>
      </w:r>
    </w:p>
    <w:p>
      <w:pPr>
        <w:pStyle w:val="Heading4"/>
        <w:numPr>
          <w:ilvl w:val="3"/>
          <w:numId w:val="1"/>
        </w:numPr>
        <w:rPr/>
      </w:pPr>
      <w:bookmarkStart w:id="427" w:name="__RefHeading___Toc3219789_2870459653"/>
      <w:bookmarkStart w:id="428" w:name="_Toc172"/>
      <w:bookmarkEnd w:id="427"/>
      <w:r>
        <w:rPr>
          <w:rtl w:val="true"/>
        </w:rPr>
        <w:t>وجه پنجم</w:t>
      </w:r>
      <w:r>
        <w:rPr>
          <w:rtl w:val="true"/>
        </w:rPr>
        <w:t xml:space="preserve">: </w:t>
      </w:r>
      <w:r>
        <w:rPr>
          <w:rtl w:val="true"/>
        </w:rPr>
        <w:t>قول شیخ انصاری رحمه اللّه علیه</w:t>
      </w:r>
      <w:r>
        <w:rPr>
          <w:rtl w:val="true"/>
        </w:rPr>
        <w:t>(</w:t>
      </w:r>
      <w:r>
        <w:rPr>
          <w:rtl w:val="true"/>
        </w:rPr>
        <w:t>حکومت</w:t>
      </w:r>
      <w:r>
        <w:rPr>
          <w:rtl w:val="true"/>
        </w:rPr>
        <w:t>)</w:t>
      </w:r>
      <w:bookmarkEnd w:id="428"/>
    </w:p>
    <w:p>
      <w:pPr>
        <w:pStyle w:val="BookText"/>
        <w:rPr/>
      </w:pPr>
      <w:r>
        <w:rPr>
          <w:rFonts w:ascii="IRNazanin" w:hAnsi="IRNazanin" w:eastAsia="IRNazanin"/>
          <w:color w:val="111111"/>
          <w:sz w:val="28"/>
          <w:sz w:val="28"/>
          <w:szCs w:val="28"/>
          <w:rtl w:val="true"/>
          <w:lang w:bidi="fa-IR"/>
        </w:rPr>
        <w:t>مرحوم شیخ انصاری وجه تقدم دلیل لاضرر را بر ادله احکام حکومت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حاکم است بر ادلّه اولیه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حاکم و محکوم نسبت سنجی نمی شود و سرِّ تقدم لاضرر، حکومت لاضرر بر ادلّه اوّلیه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شیخ مقدّمه ای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حکومت در علم اصول به چه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علم اصول چهار اصطلاح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آن جایی است که عامی باشد و احکامی بر این افراد عام مترتب باشد و یک خاصی بیاید و حکم این عام را تقیید و تخصیص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لَا تَكَرَّمَ النَّحْوِيِّينَ ،عُرف، خاص را مقدم بر عام می داند؛ زیرا خاص را اظهر از عام می داند بنا بر این حکم اکرام روی آن نمی 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شیئی از موضوع حکم بذاته نه به جهت دلیل دیگر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زید جاهلّ، زید تخصصاً از العلماء خارج است و حکم اکرام روی آن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 که یکی از دو دلیل بعد از ورودش رافع موضوع دلیل دیگر باشد؛ مثلاً نسبت به حرمت شیء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می کنیم سپس در فحص از ادله دلیل حرمت را پیدا کردیم وقتی دلیل حرمت پیدا 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زیرا دلیل اجتهادی رافع موضوع اصل عملی است که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یکی از دو دلیل ناظر باشد به یک جهتی از جهات دلیل دیگر به حیث که آن دلیل دیگر به منطوقش تعرض به این مطلب ندارد و آن جهت دلیل دیگر می تواند از مبادی حکم دلیل دوم باشد یا می تواند از لواحق حکم دلیل دوّم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293"/>
      </w:r>
      <w:r>
        <w:rPr>
          <w:rFonts w:ascii="IRNazanin" w:hAnsi="IRNazanin" w:eastAsia="IRNazanin"/>
          <w:color w:val="111111"/>
          <w:sz w:val="28"/>
          <w:sz w:val="28"/>
          <w:szCs w:val="28"/>
          <w:rtl w:val="true"/>
          <w:lang w:bidi="fa-IR"/>
        </w:rPr>
        <w:t xml:space="preserve">از مبادی حکم ادله دیگر </w:t>
      </w:r>
    </w:p>
    <w:p>
      <w:pPr>
        <w:pStyle w:val="BookText"/>
        <w:rPr/>
      </w:pPr>
      <w:r>
        <w:rPr>
          <w:rFonts w:ascii="IRNazanin" w:hAnsi="IRNazanin" w:eastAsia="IRNazanin"/>
          <w:color w:val="111111"/>
          <w:sz w:val="28"/>
          <w:sz w:val="28"/>
          <w:szCs w:val="28"/>
          <w:rtl w:val="true"/>
          <w:lang w:bidi="fa-IR"/>
        </w:rPr>
        <w:t>است به این بیان که احکام دارای مصالح و مفاسدی است حال اگر این احکام که دارای مصلحت است به حدّ حرج برسد آن حکم منتفی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تُعَادُ اَلصَّلاَهُ إِلاَّ مِنْ خَمْسٍ</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اعاده از لواحق حکم ادله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یکی از اجزاء نماز را نخواندیم حدیث لاتعاد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از وقت، قبله، طهارة، رکوع و سجود، احتیاج به اعاده نیست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مقدمه شیخ انصاری رحمه اللّه علیه دلیل لاضرر را حاکم بر ادله شرعیه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علیه حکومت شیخ را مناقشه می کند و می فرماید ما این</w:t>
      </w:r>
    </w:p>
    <w:p>
      <w:pPr>
        <w:pStyle w:val="BookText"/>
        <w:rPr/>
      </w:pPr>
      <w:r>
        <w:rPr>
          <w:rFonts w:ascii="IRNazanin" w:hAnsi="IRNazanin" w:eastAsia="IRNazanin"/>
          <w:color w:val="111111"/>
          <w:sz w:val="28"/>
          <w:sz w:val="28"/>
          <w:szCs w:val="28"/>
          <w:rtl w:val="true"/>
          <w:lang w:bidi="fa-IR"/>
        </w:rPr>
        <w:t>حمله حکومت را قبول نداریم زیرا دلیل لاضرر باید نظر داشته باشد به ادله احکام در حالی که لاضرر نظری به ادله احکام ندارد بنا بر این لاضرر نمی تواند حکومت داشته باشد زیرا مبنای مرحوم آخوند در لاضرر نفی حکم بلسان نفی موضوع بود و با این وجه و مبنا، لاضرر نمی تواند نظری به ادله احکام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رحمه اللّه علیه این طور از کلام مرحوم آخوند رحمه اللّه علیه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مرحوم آخوند نظارت یک دلیل به دلیل دیگر را نظارت لفظی باشد؛ می داند به این بیان که دلیل حاکم باید ناظر به دلیل محکوم به یک نظارت لفظی باشد؛ یعنی دلیل محکوم را ذکر کند و بعد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 أَعْنِي ، أَقْصِدُ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کلام مرحوم نائینی قابل قبول نباشد؛ زیرا ممکن است کلامی مُفَسِّرُهُ كلمات أَعْنِي ، أَيْ ، 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احتیاج به کلمات مُفَسِّرُهُ در دلیل حاکم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بگوییم مرحوم آخوند رحمه اللّه علیه روی مبنای خود شان که نفی حکم است به لسان نفی موضوع، وقتی موضوع را نفی کردیم، حکم خود به خود منتفی می شود؛ لذا مرحوم آخوند روی مبنای خود شان قائل به توفیق عرفی شده اند این حکومت را منکر هستند؛ زیرا روی این مبنا دلیل حاکم که لاضرر باشد نظارتی به ادله دیگر ندارد</w:t>
      </w:r>
      <w:r>
        <w:rPr>
          <w:rFonts w:eastAsia="IRNazanin" w:cs="IRNazanin"/>
          <w:color w:val="111111"/>
          <w:sz w:val="28"/>
          <w:szCs w:val="28"/>
          <w:rtl w:val="true"/>
          <w:lang w:bidi="fa-IR"/>
        </w:rPr>
        <w:t xml:space="preserve">. </w:t>
      </w:r>
      <w:bookmarkStart w:id="429" w:name="pg9135_79669"/>
    </w:p>
    <w:p>
      <w:pPr>
        <w:pStyle w:val="Heading4"/>
        <w:numPr>
          <w:ilvl w:val="3"/>
          <w:numId w:val="1"/>
        </w:numPr>
        <w:rPr/>
      </w:pPr>
      <w:bookmarkStart w:id="430" w:name="__RefHeading___Toc3219791_2870459653"/>
      <w:bookmarkStart w:id="431" w:name="_Toc173"/>
      <w:bookmarkEnd w:id="429"/>
      <w:bookmarkEnd w:id="430"/>
      <w:r>
        <w:rPr>
          <w:rtl w:val="true"/>
        </w:rPr>
        <w:t>قول مرحوم نائینی در توضیح کلام شیخ انصاری در باب حکومت لاضرر</w:t>
      </w:r>
      <w:bookmarkEnd w:id="431"/>
    </w:p>
    <w:p>
      <w:pPr>
        <w:pStyle w:val="BookText"/>
        <w:rPr/>
      </w:pPr>
      <w:r>
        <w:rPr>
          <w:rFonts w:ascii="IRNazanin" w:hAnsi="IRNazanin" w:eastAsia="IRNazanin"/>
          <w:color w:val="111111"/>
          <w:sz w:val="28"/>
          <w:sz w:val="28"/>
          <w:szCs w:val="28"/>
          <w:rtl w:val="true"/>
          <w:lang w:bidi="fa-IR"/>
        </w:rPr>
        <w:t xml:space="preserve">آقای نائینی رحمه اللّه علیه در تقريرات لاضرر خود به قلم شیخ موسی خوانساری در آخر كتاب منية الطالب </w:t>
      </w:r>
      <w:r>
        <w:rPr>
          <w:rStyle w:val="FootnoteAnchor"/>
          <w:rtl w:val="true"/>
        </w:rPr>
        <w:footnoteReference w:id="295"/>
      </w:r>
      <w:r>
        <w:rPr>
          <w:rFonts w:ascii="IRNazanin" w:hAnsi="IRNazanin" w:eastAsia="IRNazanin"/>
          <w:color w:val="111111"/>
          <w:sz w:val="28"/>
          <w:sz w:val="28"/>
          <w:szCs w:val="28"/>
          <w:rtl w:val="true"/>
          <w:lang w:bidi="fa-IR"/>
        </w:rPr>
        <w:t>مطالبی را در توضیح قول شیخ انصاری در باب حکومت لاضرر بیان می کند و فرمایش شیخ انصار را برهانی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مقدمه بحث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بَيَانِ وَجْهِ الْحُكُومَةُ مُطْلَقاً فِي الْمُقَامِ وَ بَيَانُ ضَابِطُهَا فِي كُلَّ مَقَامٍ طَرِيقِ الْإِجْمَالُ يُتَوَقَّفُ عَلَى تمهيد 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قرینه بر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قرینه مجاز؛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تخصیص و تقیید</w:t>
      </w:r>
      <w:r>
        <w:rPr>
          <w:rFonts w:eastAsia="IRNazanin" w:cs="IRNazanin"/>
          <w:color w:val="111111"/>
          <w:sz w:val="28"/>
          <w:szCs w:val="28"/>
          <w:rtl w:val="true"/>
          <w:lang w:bidi="fa-IR"/>
        </w:rPr>
        <w:t>.</w:t>
      </w:r>
    </w:p>
    <w:p>
      <w:pPr>
        <w:pStyle w:val="Heading4"/>
        <w:numPr>
          <w:ilvl w:val="3"/>
          <w:numId w:val="1"/>
        </w:numPr>
        <w:rPr/>
      </w:pPr>
      <w:bookmarkStart w:id="432" w:name="__RefHeading___Toc3219793_2870459653"/>
      <w:bookmarkStart w:id="433" w:name="_Toc174"/>
      <w:bookmarkEnd w:id="432"/>
      <w:r>
        <w:rPr>
          <w:rtl w:val="true"/>
        </w:rPr>
        <w:t>اجمال قول محقق نائینی</w:t>
      </w:r>
      <w:bookmarkEnd w:id="433"/>
    </w:p>
    <w:p>
      <w:pPr>
        <w:pStyle w:val="BookText"/>
        <w:rPr/>
      </w:pPr>
      <w:r>
        <w:rPr>
          <w:rFonts w:ascii="IRNazanin" w:hAnsi="IRNazanin" w:eastAsia="IRNazanin"/>
          <w:color w:val="111111"/>
          <w:sz w:val="28"/>
          <w:sz w:val="28"/>
          <w:szCs w:val="28"/>
          <w:rtl w:val="true"/>
          <w:lang w:bidi="fa-IR"/>
        </w:rPr>
        <w:t>قرینه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استعمالی از لفظ را بیان می کند و مدلول تصدیقی لفظ را تبیین می کند 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أَسَداً يُرْمَى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منظور از اسد، رجل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واقعی و جدّی را تعیین و تبیین می کند که موضوع واقعی حکم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می دهد که موضوع حکم عامی که شما داشته اید یا خواهید داشت تمام موضوع نیست بلکه جزئی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مقدمه مرحوم نائینی رحمه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به نظر شیخ انصاری اختصاص ندارد به آن جایی که حاکم از قبیل قرینه مجاز مبنی برای تعیین مراد استعمالی از محکوم باشد به بیان دیگر حکومت مختص آن جایی نیست که دلیل حاکم تفسیر کند دلیل محکوم را به کلمات مُفَسِّرُهُ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 أَيْ ، أفَسَّرُ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حکومت به نظر شیخ می تواند جایی باشد که یکی از دو دلیل به مدلول لفظيش متعرض شده باشد به دلیل آخر و این تعرض به دلیل آخر اعم از آن است که کلمات مُفَسِّرُهُ در آن باشد یا این که تعرض به مراد واقعی دلیل دیگر پیدا کند به ظهور حال یا به قرینه سیاق به گونه ای که فهمیده می شود که این دلیل ناظر به دلیل دیگر است یعنی ناظر بودن باید واضح باشد نسبت به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 xml:space="preserve">این که دلیلی بیان کند حکمی را برای موضوع عامی مثل اکرم العلماء و سپس یک دلیل دیگر بیاید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زَيْداً لَيْسَ بِعَالِمٍ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زید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مقام اشتراک و افتراق حکومت با تخصیص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با تخصیص یک اشتراک دارد و آن در اثر است و آن این که هر دو در پایان مراد واقعی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عقل حکم می کند که خاص اظهر از عام است و یا خاص نصّ است و عام ظاهر است و نص مقدم بر ظاهر است؛ در نتیجه خاص مراد واقعی از دلیل عام را بیان می کند بین دلیلین و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دلیل حاکم که بیانیت آن به مدلول لفظ است نه توسط حکم عقل به گونه ای که از مدلول لفظیِ دلیل حاکم فهمیده می شود که دارد یک جهتی را در دلیل محکوم بیان می کند، پس تقدم حاکم بر محکوم به حکم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 حاکم فرع است بر دلیل محکوم و متوقف است بر دلیل محکوم برخلاف دلیل خاص در خاص ترتیبی نیست و می تواند دلیل خاص قبل یا بعد از دلیل عام بیاید و استقلال دارد امّا در دلیل حاکم، تا محکوم نیاید معنا پیدا نمی کند؛ زیرا حاکم ناظر است به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مرحوم نائینی می فرماید؛ حکومت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قسم از حکومت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 نظر دارد به موضوع محكوم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النَّحْوِيِّ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موضوع را یا ضیق می کند و یا توسعه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قسم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نظر دارد به متعلق حکم 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مصادیق مختلفی دارد و در دلیل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الضِّيَافَةُ لَيْسَ بِإِكْرَامٍ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حاكم ناظر است به خود حکم؛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دیگر بگوید وجوب اکرام در مورد زید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مرحوم نائینی وجه تقدیم حاکم بر محکوم را بیان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جِهَةِ تَقْدِيمِ الْحَاكِمِ وَ عَدَمِ ملاحظه مرجحات الدَّلَالَةِ أَوِ السَّنَدِ </w:t>
      </w:r>
      <w:bookmarkStart w:id="434" w:name="pg9135_79671"/>
    </w:p>
    <w:p>
      <w:pPr>
        <w:pStyle w:val="BookText"/>
        <w:rPr/>
      </w:pPr>
      <w:bookmarkEnd w:id="434"/>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حاكم مقدم است بر دلیل محکوم زیرا دلیل محکوم متكفّل بيان حکمی است بر تقدیر ثبوت موضوع در خارج و دلیل حاکم می آید آن تقدیر ثبوت موضوع در خارج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تعارضی و نسبت سنجی بین حاکم و محکوم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نائینی بحث ترتب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ترتب هم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اهمّ داریم که مطلق است و امر به مهم على تقدیر عصیان به اهم است که این دو با هم تنافی پیدا نمی کنند؛ چون با امتثال امر به اهمّ خودبه خود موضوع امر به مهمّ از بین می رود و وقتی امر به اهم را عصیان کردید امر به مهم زنده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ذِکرَنا معلوم شد که دلیل لاضرر مقدم است بر ادله احکام واقعیّۀ اوّلیه یعنی تمامی احکام اعم از تکلیف چه وجوبیه چه تحریمیه و وضع اگر برسد به حد ضرر، لاضرر مقدم است و حکم آن ها را بر می دارد و فرقی نمی کند که ما مبنای مرحوم آخوند را در لاضرر بپذیریم که نفی حکم بود به لسان نفی موضوع یا مبنای مرحوم شیخ که مراد از لاضرر نفی حکم ضرری بود هر کدام که باشد دلیل لاضرر حاکم است بر ادله احکام اوّلیه</w:t>
      </w:r>
      <w:r>
        <w:rPr>
          <w:rFonts w:eastAsia="IRNazanin" w:cs="IRNazanin"/>
          <w:color w:val="111111"/>
          <w:sz w:val="28"/>
          <w:szCs w:val="28"/>
          <w:rtl w:val="true"/>
          <w:lang w:bidi="fa-IR"/>
        </w:rPr>
        <w:t>.</w:t>
      </w:r>
    </w:p>
    <w:p>
      <w:pPr>
        <w:pStyle w:val="Heading4"/>
        <w:numPr>
          <w:ilvl w:val="3"/>
          <w:numId w:val="1"/>
        </w:numPr>
        <w:rPr/>
      </w:pPr>
      <w:bookmarkStart w:id="435" w:name="__RefHeading___Toc3219795_2870459653"/>
      <w:bookmarkStart w:id="436" w:name="_Toc175"/>
      <w:bookmarkEnd w:id="435"/>
      <w:r>
        <w:rPr>
          <w:rtl w:val="true"/>
        </w:rPr>
        <w:t>فرق قول شیخ رحمه اللّه علیه و مرحوم آخوند در این بحث</w:t>
      </w:r>
      <w:bookmarkEnd w:id="436"/>
    </w:p>
    <w:p>
      <w:pPr>
        <w:pStyle w:val="BookText"/>
        <w:rPr/>
      </w:pPr>
      <w:r>
        <w:rPr>
          <w:rFonts w:ascii="IRNazanin" w:hAnsi="IRNazanin" w:eastAsia="IRNazanin"/>
          <w:color w:val="111111"/>
          <w:sz w:val="28"/>
          <w:sz w:val="28"/>
          <w:szCs w:val="28"/>
          <w:rtl w:val="true"/>
          <w:lang w:bidi="fa-IR"/>
        </w:rPr>
        <w:t>علی مسلک قول آخوند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لاضرر شارح موضوع حکم است مثل النَّحْوِيُّ لَيْسَ بِعَالِمٍ و بنا بر مسلک شیخ ادله لاضرر شارح اصل حکم هستند مثل صورت سوّم؛ که زید عالم وجوب اکرام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دو مقام</w:t>
      </w:r>
      <w:r>
        <w:rPr>
          <w:rFonts w:eastAsia="IRNazanin" w:cs="IRNazanin"/>
          <w:color w:val="111111"/>
          <w:sz w:val="28"/>
          <w:szCs w:val="28"/>
          <w:rtl w:val="true"/>
          <w:lang w:bidi="fa-IR"/>
        </w:rPr>
        <w:t>:</w:t>
      </w:r>
    </w:p>
    <w:p>
      <w:pPr>
        <w:pStyle w:val="Heading4"/>
        <w:numPr>
          <w:ilvl w:val="3"/>
          <w:numId w:val="1"/>
        </w:numPr>
        <w:rPr/>
      </w:pPr>
      <w:bookmarkStart w:id="437" w:name="__RefHeading___Toc3219797_2870459653"/>
      <w:bookmarkStart w:id="438" w:name="_Toc176"/>
      <w:bookmarkEnd w:id="437"/>
      <w:r>
        <w:rPr>
          <w:rtl w:val="true"/>
        </w:rPr>
        <w:t>مقام اول</w:t>
      </w:r>
      <w:bookmarkEnd w:id="438"/>
    </w:p>
    <w:p>
      <w:pPr>
        <w:pStyle w:val="BookText"/>
        <w:rPr/>
      </w:pPr>
      <w:r>
        <w:rPr>
          <w:rFonts w:ascii="IRNazanin" w:hAnsi="IRNazanin" w:eastAsia="IRNazanin"/>
          <w:color w:val="111111"/>
          <w:sz w:val="28"/>
          <w:sz w:val="28"/>
          <w:szCs w:val="28"/>
          <w:rtl w:val="true"/>
          <w:lang w:bidi="fa-IR"/>
        </w:rPr>
        <w:t>آیا قول شیخ انصاری رحمه اللّه علیه در باب حکومت دلیل لاضرر بر سائر ادله احکام شرعیه تمام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قول شیخ انصاری در باب حکومت دلیل لاضرر تمام است؛ زیرا ما بیان کردیم تعریف حکومت را که دلیل حاکم ناظر باشد به دلیل محکوم يا على نحو </w:t>
      </w:r>
      <w:bookmarkStart w:id="439" w:name="pg9135_79672"/>
    </w:p>
    <w:p>
      <w:pPr>
        <w:pStyle w:val="BookText"/>
        <w:rPr/>
      </w:pPr>
      <w:bookmarkEnd w:id="439"/>
      <w:r>
        <w:rPr>
          <w:rFonts w:ascii="IRNazanin" w:hAnsi="IRNazanin" w:eastAsia="IRNazanin"/>
          <w:color w:val="111111"/>
          <w:sz w:val="28"/>
          <w:sz w:val="28"/>
          <w:szCs w:val="28"/>
          <w:rtl w:val="true"/>
          <w:lang w:bidi="fa-IR"/>
        </w:rPr>
        <w:t>دلالت مطابقی و تفسیری یعنی بگوید مراد من از جمله قبل این مطلب است و کلماتی مانند اعنی و أُفَسِّرْ وَ أَوْضَحُ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یا دلیل حاکم ناظر باشد بالسّياق و الفاظ شارحه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 گیریم که در بحث حکومت لزومی بر وجود الفاظ شارحه و تفسیریه در دلیل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دلیل حاکم متعرض شده باشد به دلیل محکوم و لو این تعرض بالظهور سیاقی باشد، حاکم و محکوم تشکیل می شود و حاکم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نفی ضرر وقتی شارع نفی ضرر می کند منظور، عالَمِ تکوین نیست چون در عالم تکوین آلاف ضرر وجود دارد پس منظور عالم تشریع است حال نفی ضرر در عالم تشریع یعنی هر گاه احکام به حدّ ضرر برسد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هم بر مبنای شیخ انصاری که فرمودند نفی احکام ضرری جاری می شود و هم روی مبنای آخوند که نفی حکم به لسان نفی است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روی قول شیخ مستقیم حکم را نفی می کند و روی مبنای آخوند موضوع حکم را تقیید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مسلک شیخ الشریعة که لا در لاضرر را نهی می گرفتند حکومت صحیح نیست؛ بلکه تعارض ایجاد می شود بین دلیل لاضرر و ادله احکام شرعیه که در بحث تعارض بین لاضرر و لاحرج این بحث به صورت مفصل بیان خواهد شد</w:t>
      </w:r>
      <w:r>
        <w:rPr>
          <w:rFonts w:eastAsia="IRNazanin" w:cs="IRNazanin"/>
          <w:color w:val="111111"/>
          <w:sz w:val="28"/>
          <w:szCs w:val="28"/>
          <w:rtl w:val="true"/>
          <w:lang w:bidi="fa-IR"/>
        </w:rPr>
        <w:t>.</w:t>
      </w:r>
    </w:p>
    <w:p>
      <w:pPr>
        <w:pStyle w:val="Heading4"/>
        <w:numPr>
          <w:ilvl w:val="3"/>
          <w:numId w:val="1"/>
        </w:numPr>
        <w:rPr/>
      </w:pPr>
      <w:bookmarkStart w:id="440" w:name="__RefHeading___Toc3219799_2870459653"/>
      <w:bookmarkStart w:id="441" w:name="_Toc177"/>
      <w:bookmarkEnd w:id="440"/>
      <w:r>
        <w:rPr>
          <w:rtl w:val="true"/>
        </w:rPr>
        <w:t>مقام دوّم</w:t>
      </w:r>
      <w:bookmarkEnd w:id="441"/>
    </w:p>
    <w:p>
      <w:pPr>
        <w:pStyle w:val="BookText"/>
        <w:rPr/>
      </w:pPr>
      <w:r>
        <w:rPr>
          <w:rFonts w:ascii="IRNazanin" w:hAnsi="IRNazanin" w:eastAsia="IRNazanin"/>
          <w:color w:val="111111"/>
          <w:sz w:val="28"/>
          <w:sz w:val="28"/>
          <w:szCs w:val="28"/>
          <w:rtl w:val="true"/>
          <w:lang w:bidi="fa-IR"/>
        </w:rPr>
        <w:t>آیا فرمایش محقّق نائینی رحمه اللّه علیه در برهانی کردن قول شیخ انصاری رحمه اللّه علیه در باب حکومت لاضرر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فرق عام و خاص و حاکم و محکوم دو نکته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می تواند مستقلاً افاده معنا کند چه بر عام مقدم باشد چه مؤخّر؛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خاص بر عام به حکم عقل است، عقل به ملاک اظهریت خاص یا نص بودن خاص حکم می کند بر تقدم خاص بر عام، امّا در باب حکومت، حاکم عقل نیست بلکه مدلول لفظی است</w:t>
      </w:r>
      <w:r>
        <w:rPr>
          <w:rFonts w:eastAsia="IRNazanin" w:cs="IRNazanin"/>
          <w:color w:val="111111"/>
          <w:sz w:val="28"/>
          <w:szCs w:val="28"/>
          <w:rtl w:val="true"/>
          <w:lang w:bidi="fa-IR"/>
        </w:rPr>
        <w:t xml:space="preserve">. </w:t>
      </w:r>
      <w:bookmarkStart w:id="442" w:name="pg9135_79673"/>
    </w:p>
    <w:p>
      <w:pPr>
        <w:pStyle w:val="Heading4"/>
        <w:numPr>
          <w:ilvl w:val="3"/>
          <w:numId w:val="1"/>
        </w:numPr>
        <w:rPr/>
      </w:pPr>
      <w:bookmarkStart w:id="443" w:name="__RefHeading___Toc3219801_2870459653"/>
      <w:bookmarkStart w:id="444" w:name="_Toc178"/>
      <w:bookmarkEnd w:id="442"/>
      <w:bookmarkEnd w:id="443"/>
      <w:r>
        <w:rPr>
          <w:rtl w:val="true"/>
        </w:rPr>
        <w:t>اشکال اول</w:t>
      </w:r>
      <w:bookmarkEnd w:id="44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خاص بر عام به حکم عقل را قبول نداریم و عقل هیچ دخالتی در تقدم دو دلیل لفظی بر دیگری ندارد؛ زیرا نه جزء مستقلات عقلیه است مثل حُسن و قُبح عقلی، مانند العدلُ حسنٌ و نه جزء غیر مستقلات عقلیه مثل امر به شيء آيا مقتضی نهی از ضد آن هست یا خیر و عرف در بحث عام و خاص خاص، را مقدم می دارد و کاری به حکم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نائینی در بحث تعادل و تراجیح می فرمایند خاص مقدم بر عام می شود بالقرينية امّا این جا می فرمایند ما یک قرینه مجاز داریم و یک قرینه تخصیص داریم و فرمودند قرینه مجاز با تخصیص تفاوت دارد و بعد بیان کرده اند که خاص اقوی ظهوراً یا نص است نسبت به عام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بحث تعادل و تراجیح می فرمایند خاص مقدم بر عام است بالقرینیه که منظور همان قرینه مجاز است که دیگر ملاحظه اقوائیت ظهور خاص بر عام نمی شود؛ بلکه خاص مقدم است ولو ظهور آن اقوی نباشد، پس حتی روی قول مرحوم نائینی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کلامی که در تعادل و تراجیح دارند که فرمودند بالقرينية با قول در این مبحث که فرمودند به حکم عقل تنافی دارد چون حکم عقل قرینیت نیست؛ زیرا قرینیت مالِ الفاظ است و بحث مدلول لفظی است نه حکم عقل</w:t>
      </w:r>
      <w:r>
        <w:rPr>
          <w:rFonts w:eastAsia="IRNazanin" w:cs="IRNazanin"/>
          <w:color w:val="111111"/>
          <w:sz w:val="28"/>
          <w:szCs w:val="28"/>
          <w:rtl w:val="true"/>
          <w:lang w:bidi="fa-IR"/>
        </w:rPr>
        <w:t>.</w:t>
      </w:r>
    </w:p>
    <w:p>
      <w:pPr>
        <w:pStyle w:val="Heading4"/>
        <w:numPr>
          <w:ilvl w:val="3"/>
          <w:numId w:val="1"/>
        </w:numPr>
        <w:rPr/>
      </w:pPr>
      <w:bookmarkStart w:id="445" w:name="__RefHeading___Toc3219803_2870459653"/>
      <w:bookmarkStart w:id="446" w:name="_Toc179"/>
      <w:bookmarkEnd w:id="445"/>
      <w:r>
        <w:rPr>
          <w:rtl w:val="true"/>
        </w:rPr>
        <w:t>اشکال دوم به کلام مرحوم نائینی</w:t>
      </w:r>
      <w:bookmarkEnd w:id="446"/>
    </w:p>
    <w:p>
      <w:pPr>
        <w:pStyle w:val="BookText"/>
        <w:rPr/>
      </w:pPr>
      <w:r>
        <w:rPr>
          <w:rFonts w:ascii="IRNazanin" w:hAnsi="IRNazanin" w:eastAsia="IRNazanin"/>
          <w:color w:val="111111"/>
          <w:sz w:val="28"/>
          <w:sz w:val="28"/>
          <w:szCs w:val="28"/>
          <w:rtl w:val="true"/>
          <w:lang w:bidi="fa-IR"/>
        </w:rPr>
        <w:t>ایشان در مقام فرق بین خاص و حکومت فرمودند خاص می تواند مستقلاً بیاید اعم از این که مقدم باشد یا مؤخر بیاید، برخلاف حکومت که حاکم باید حتماً مؤخر باشد</w:t>
      </w:r>
      <w:r>
        <w:rPr>
          <w:rFonts w:eastAsia="IRNazanin" w:cs="IRNazanin"/>
          <w:color w:val="111111"/>
          <w:sz w:val="28"/>
          <w:szCs w:val="28"/>
          <w:rtl w:val="true"/>
          <w:lang w:bidi="fa-IR"/>
        </w:rPr>
        <w:t>.</w:t>
      </w:r>
    </w:p>
    <w:p>
      <w:pPr>
        <w:pStyle w:val="Heading4"/>
        <w:numPr>
          <w:ilvl w:val="3"/>
          <w:numId w:val="1"/>
        </w:numPr>
        <w:rPr/>
      </w:pPr>
      <w:bookmarkStart w:id="447" w:name="__RefHeading___Toc3219805_2870459653"/>
      <w:bookmarkStart w:id="448" w:name="_Toc180"/>
      <w:bookmarkEnd w:id="447"/>
      <w:r>
        <w:rPr>
          <w:rtl w:val="true"/>
        </w:rPr>
        <w:t>تقریب اشکال</w:t>
      </w:r>
      <w:bookmarkEnd w:id="44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داریم که حاکم فرع محکوم است و تا محکوم نباشد حاکم معنی ندارد؛ لكن بحث حاکم و محکوم با بحث علّت و معلول و سبب و مسبب فرق می کند که علّت و سبب همواره مقدم هستند؛ زیرا درست است که حاکم فرع بر محکوم است، امّا لزومی ندارد محکوم تقدم زمانی داشته باشد بر حاکم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برای انجام ضیافت فرع بر ضیافت است و با این که فرع است؛ امّا </w:t>
      </w:r>
      <w:bookmarkStart w:id="449" w:name="pg9135_79674"/>
    </w:p>
    <w:p>
      <w:pPr>
        <w:pStyle w:val="BookText"/>
        <w:rPr/>
      </w:pPr>
      <w:bookmarkEnd w:id="449"/>
      <w:r>
        <w:rPr>
          <w:rFonts w:ascii="IRNazanin" w:hAnsi="IRNazanin" w:eastAsia="IRNazanin"/>
          <w:color w:val="111111"/>
          <w:sz w:val="28"/>
          <w:sz w:val="28"/>
          <w:szCs w:val="28"/>
          <w:rtl w:val="true"/>
          <w:lang w:bidi="fa-IR"/>
        </w:rPr>
        <w:t>مقدم بر ضیافت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فروعی که مقدم بر اصل است پس هر فرعی لازمه اش تأخر زمانی بر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علّت تقدم حاکم بر محکوم و علّت این که چرا بین حاکم و محکوم معارضه 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دلیل حاکم متکفل است هدم موضوع دلیل محکوم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قول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موضوع مربوط به تعریف ورود است؛ زیرا در ورود است که موضوع دلیل وارد موضوع دلیل مورود را هدم می کند، به نظر می رسد مرحوم نائینی بین ورود و حکومت خلط کرده اند زیرا در بحث حکومت گفتیم که دلیل حاکم یا موضوع دلیل محکوم را ضیق می کند و یا توسعه می دهد امّا هدم موضوع جزء هیچ کدام از اقسام حکومت نیست</w:t>
      </w:r>
      <w:r>
        <w:rPr>
          <w:rFonts w:eastAsia="IRNazanin" w:cs="IRNazanin"/>
          <w:color w:val="111111"/>
          <w:sz w:val="28"/>
          <w:szCs w:val="28"/>
          <w:rtl w:val="true"/>
          <w:lang w:bidi="fa-IR"/>
        </w:rPr>
        <w:t>.</w:t>
      </w:r>
    </w:p>
    <w:p>
      <w:pPr>
        <w:pStyle w:val="Heading4"/>
        <w:numPr>
          <w:ilvl w:val="3"/>
          <w:numId w:val="1"/>
        </w:numPr>
        <w:rPr/>
      </w:pPr>
      <w:bookmarkStart w:id="450" w:name="__RefHeading___Toc3219807_2870459653"/>
      <w:bookmarkStart w:id="451" w:name="_Toc181"/>
      <w:bookmarkEnd w:id="450"/>
      <w:r>
        <w:rPr>
          <w:rtl w:val="true"/>
        </w:rPr>
        <w:t>اشکال سوم به مرحوم نائینی</w:t>
      </w:r>
      <w:bookmarkEnd w:id="451"/>
    </w:p>
    <w:p>
      <w:pPr>
        <w:pStyle w:val="BookText"/>
        <w:rPr/>
      </w:pPr>
      <w:r>
        <w:rPr>
          <w:rFonts w:ascii="IRNazanin" w:hAnsi="IRNazanin" w:eastAsia="IRNazanin"/>
          <w:color w:val="111111"/>
          <w:sz w:val="28"/>
          <w:sz w:val="28"/>
          <w:szCs w:val="28"/>
          <w:rtl w:val="true"/>
          <w:lang w:bidi="fa-IR"/>
        </w:rPr>
        <w:t>ایشان برای بحث حکومت مثالی آوردند به بحث ترتب که اگر کسی امتثال امر اهم را انجام داد موضوع مهم خودبه خود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بحث ترتب و انتفاء مهم با امتثال اهم، انتفاء تکوینی موضوع است و بحث حکومت انتفاء تعبدی موضوع است و بین تکوین و تشریع فرق است</w:t>
      </w:r>
      <w:r>
        <w:rPr>
          <w:rFonts w:eastAsia="IRNazanin" w:cs="IRNazanin"/>
          <w:color w:val="111111"/>
          <w:sz w:val="28"/>
          <w:szCs w:val="28"/>
          <w:rtl w:val="true"/>
          <w:lang w:bidi="fa-IR"/>
        </w:rPr>
        <w:t>.</w:t>
      </w:r>
    </w:p>
    <w:p>
      <w:pPr>
        <w:pStyle w:val="Heading4"/>
        <w:numPr>
          <w:ilvl w:val="3"/>
          <w:numId w:val="1"/>
        </w:numPr>
        <w:rPr/>
      </w:pPr>
      <w:bookmarkStart w:id="452" w:name="__RefHeading___Toc3219809_2870459653"/>
      <w:bookmarkStart w:id="453" w:name="_Toc182"/>
      <w:bookmarkEnd w:id="452"/>
      <w:r>
        <w:rPr>
          <w:rtl w:val="true"/>
        </w:rPr>
        <w:t>سؤال پس دلیل تقدم حاکم بر محکوم چیست؟</w:t>
      </w:r>
      <w:bookmarkEnd w:id="453"/>
    </w:p>
    <w:p>
      <w:pPr>
        <w:pStyle w:val="BookText"/>
        <w:rPr/>
      </w:pPr>
      <w:r>
        <w:rPr>
          <w:rFonts w:ascii="IRNazanin" w:hAnsi="IRNazanin" w:eastAsia="IRNazanin"/>
          <w:color w:val="111111"/>
          <w:sz w:val="28"/>
          <w:sz w:val="28"/>
          <w:szCs w:val="28"/>
          <w:rtl w:val="true"/>
          <w:lang w:bidi="fa-IR"/>
        </w:rPr>
        <w:t>سرِّ تقدم حاکم بر محکوم قرینیّت است؛ یعنی وقتی شما حاکم و محکوم 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عرف ارائه می دهید، عرف این دلیل حاکم را قرینه می گیرد برای دلیل محکوم پس قرینه عرفیه سرّ تقدم دلیل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قرینیّت یا به شکل حکومت مفتره است و با الفاظ أَيْ وَ أَعِنِّي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قرینیّت بالنص یا حکومت غير مفسّرة و قرينيت بأظهر و ظاهر است</w:t>
      </w:r>
      <w:r>
        <w:rPr>
          <w:rFonts w:eastAsia="IRNazanin" w:cs="IRNazanin"/>
          <w:color w:val="111111"/>
          <w:sz w:val="28"/>
          <w:szCs w:val="28"/>
          <w:rtl w:val="true"/>
          <w:lang w:bidi="fa-IR"/>
        </w:rPr>
        <w:t xml:space="preserve">. </w:t>
      </w:r>
      <w:bookmarkStart w:id="454" w:name="pg9135_79675"/>
    </w:p>
    <w:p>
      <w:pPr>
        <w:pStyle w:val="Heading2"/>
        <w:numPr>
          <w:ilvl w:val="1"/>
          <w:numId w:val="1"/>
        </w:numPr>
        <w:rPr/>
      </w:pPr>
      <w:bookmarkStart w:id="455" w:name="__RefHeading___Toc3219811_2870459653"/>
      <w:bookmarkStart w:id="456" w:name="_Toc183"/>
      <w:bookmarkEnd w:id="454"/>
      <w:bookmarkEnd w:id="455"/>
      <w:r>
        <w:rPr>
          <w:rtl w:val="true"/>
        </w:rPr>
        <w:t>تنبیه دوّم</w:t>
      </w:r>
      <w:r>
        <w:rPr>
          <w:rtl w:val="true"/>
        </w:rPr>
        <w:t xml:space="preserve">: </w:t>
      </w:r>
      <w:r>
        <w:rPr>
          <w:rtl w:val="true"/>
        </w:rPr>
        <w:t>مراد از ضرر، ضرر واقعی است یا ضرر معلوم؟</w:t>
      </w:r>
      <w:bookmarkEnd w:id="456"/>
    </w:p>
    <w:p>
      <w:pPr>
        <w:pStyle w:val="Heading3"/>
        <w:numPr>
          <w:ilvl w:val="2"/>
          <w:numId w:val="1"/>
        </w:numPr>
        <w:rPr/>
      </w:pPr>
      <w:bookmarkStart w:id="457" w:name="__RefHeading___Toc3219813_2870459653"/>
      <w:bookmarkStart w:id="458" w:name="_Toc184"/>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چون ضرر واقعی ممکن است مکلّف عالم به آن باشد یا جاهل به آن باشد پس ضرر واقعی اعم است از ضرر معلوم عند المكلّف یا ضرر مجهول عِنْدَ الْمُكَلَّفِ</w:t>
      </w:r>
      <w:r>
        <w:rPr>
          <w:rFonts w:eastAsia="IRNazanin" w:cs="IRNazanin"/>
          <w:color w:val="111111"/>
          <w:sz w:val="28"/>
          <w:szCs w:val="28"/>
          <w:rtl w:val="true"/>
          <w:lang w:bidi="fa-IR"/>
        </w:rPr>
        <w:t>.</w:t>
      </w:r>
    </w:p>
    <w:p>
      <w:pPr>
        <w:pStyle w:val="Heading3"/>
        <w:numPr>
          <w:ilvl w:val="2"/>
          <w:numId w:val="1"/>
        </w:numPr>
        <w:rPr/>
      </w:pPr>
      <w:bookmarkStart w:id="459" w:name="__RefHeading___Toc3219815_2870459653"/>
      <w:bookmarkStart w:id="460" w:name="_Toc185"/>
      <w:bookmarkEnd w:id="459"/>
      <w:r>
        <w:rPr>
          <w:rtl w:val="true"/>
        </w:rPr>
        <w:t>قول محقق نائینی</w:t>
      </w:r>
      <w:bookmarkEnd w:id="460"/>
    </w:p>
    <w:p>
      <w:pPr>
        <w:pStyle w:val="BookText"/>
        <w:rPr/>
      </w:pPr>
      <w:r>
        <w:rPr>
          <w:rFonts w:ascii="IRNazanin" w:hAnsi="IRNazanin" w:eastAsia="IRNazanin"/>
          <w:color w:val="111111"/>
          <w:sz w:val="28"/>
          <w:sz w:val="28"/>
          <w:szCs w:val="28"/>
          <w:rtl w:val="true"/>
          <w:lang w:bidi="fa-IR"/>
        </w:rPr>
        <w:t>مرحوم محقق نائینی رحمه اللّه علیه قائل به ضرر واقعی شده اند به این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وضع الفاظ برای معانی واقعیه است نه معنای معلومه یعنی وقتی لفظی را می خواهند وضع کنند برای معنای واقعی وضع می کنند نه برای معنای معلوم پس این مطلب قرینه می شود به این که هر گاه ضرر واقعی مترتب بشود بر حکمی آن گاه آن حکم برداشته می شود اعم از این که معلوم باشد عِنْدَ الْمُكَلَّفِ يا مجهول</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اقوال بعضی از فقها در کتب فقهی خلاف مبنای محقق نائینی را می رساند و آن این که ضَرَرَ الْمَعْلُومِ عِنْدَ الْمُكَلَّفِ شرط است نه ضرر واقعی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شیخ انصاری در کتاب طهارت باب وضو </w:t>
      </w:r>
      <w:r>
        <w:rPr>
          <w:rStyle w:val="FootnoteAnchor"/>
          <w:rtl w:val="true"/>
        </w:rPr>
        <w:footnoteReference w:id="297"/>
      </w:r>
      <w:r>
        <w:rPr>
          <w:rFonts w:ascii="IRNazanin" w:hAnsi="IRNazanin" w:eastAsia="IRNazanin"/>
          <w:color w:val="111111"/>
          <w:sz w:val="28"/>
          <w:sz w:val="28"/>
          <w:szCs w:val="28"/>
          <w:rtl w:val="true"/>
          <w:lang w:bidi="fa-IR"/>
        </w:rPr>
        <w:t>؛ ایشان شرط می کنند برای صحت وضو به این که مکلّف علمِ به ضرری بودن وضویش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وضو بگیرد و اعتقاد دارد که ضرر ندارد؛ ولی بعد متوجه شد که ضرری بوده است شیخ می فرماید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ضرر را حمل کرده اند بر ضرر معلوم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معامله غبنی فقها شرط کرده اند خیار وقتی مترتب می شود که مشتری یا بایع جهل به غبن داشته باشد به حیث اگر علم به غبن داشته باشند دیگر خیار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دلیل خیار غبن را لاضرر بگیریم لاضرر را حمل کرده اند بر ضرر معلوم که در فرضی خیار مترتب می شود که ما جهل به غبن </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صوم جماعتی از فقها فرموده اند که اگر کسی روزه گرفت به اعتبار این که نمی داند روزه برایش ضرری است بعد متوجه ضرری بودن صوم شد روزه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دیگر فرموده اند صوم ایشان باطل است و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به جهت مبنایی که اتخاذ کرده اند و ضرر را ضرر واقعی گرفته اند در مقام جواب و حل اشکال بر آمده اند که چرا فقها در این موارد ضرر را ضرر معلوم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مسئله خیار غبن می فرمایند این که جماعتی مستند خیار غبن را دلیل لاضرر گرفته اند اجماعی نیست و عده ای مستند آن را لاضرر نمی دانند و در بحث مسئله صوم هم مطلب اجماعی نیست و بعضی ضرر را ضرر واقعی می گیرند و فتوا به بطلان روزه می دهند امّا در مورد مسئله وضو دو راه حل و جواب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نفى ضرر امتنانی است و ملاکش امتنان است و هر جا قاعدۀ لاضرر خلاف امتنان باشد و بخواهد کُلفتی را بر مکلّف وارد کند، جاری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باب وضو اگر بگوییم وضو باطل است و مکلّف بخواهد دوباره وضو بگیرد و نماز را اعاده کند این کلفت و مشقت برای مکلف است و لاضرر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لاضرر را جعل کرده است، امْتِنَاناً لِلْمُكَلَّفِينَ و به جهت تسهیل امر بر مکلفین، وقتی جایی جریانش خلاف امتنان باشد و کلفت باشد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لاضرر حکمی را که موجب ضرر باشد را بر می دارد این در فرضی است که آن حکم جُزء اخیر برای علت تامّۀ ضرر باشد و در مَا نَحْنُ فِيهِ این طور نیست چون ضرر مستند به وضو نیست بلکه ضرر منشأ آن جهل مكلف اعتقاد و بر عدم ضرر است به عبارت دیگر لاضرر نفی می کند حکمی را به لسان نفی ضرر از باب نفی سببی که ملازم است با نفی مسبب یعنی وقتی مسبب که ضرر باشد نفی شود خود به خود سبب که حکم باشد نفی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همین جهت آقای نائینی می فرماید لاضرر در این جا نفی حکم نمی کند؛ زیرا حکم که وضو باشد جزء اخیر ضرر نیست و مکلف می تواند در ضرر واقع شود على كلّ حال حکم به وضو باشد یا نباشد، جزء اخیر جهل مکلف است </w:t>
      </w:r>
    </w:p>
    <w:p>
      <w:pPr>
        <w:pStyle w:val="BookText"/>
        <w:rPr/>
      </w:pPr>
      <w:r>
        <w:rPr>
          <w:rFonts w:ascii="IRNazanin" w:hAnsi="IRNazanin" w:eastAsia="IRNazanin"/>
          <w:color w:val="111111"/>
          <w:sz w:val="28"/>
          <w:sz w:val="28"/>
          <w:szCs w:val="28"/>
          <w:rtl w:val="true"/>
          <w:lang w:bidi="fa-IR"/>
        </w:rPr>
        <w:t>و وضوی او هم چنان باقی است</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کسی مبنای مرحوم آخوند را بپذیرد که نفی حکم است بلسان نفی موضوع در این صورت جواب محقق نائینی تمام نیست؛ چون وضو ضرری است و ضرر مستند به وضو است و در این فرض نفی حکم ضرری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مرحوم شیخ رحمه اللّه علیه و روی مبنای ما باز این جواب مرحوم نائینی رحمه اللّه علیه تمام نیست؛ امّا جواب اوّل ایشان على جميع المبانی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جوابی است که مرحوم نائینی می فرمایند، ما اگر بخواهیم مبنای آقای نائینی را بپذیریم و حکم وضو اگر بخواهد نفی بشود، مقتضایش آن است که دو امر معتبر باشد یکی آن که ضرر واقعی معتبر باشد و دیگر علم به ضرر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مطلب این است که اگر کسی اعتقاد به ضرر داشت؛ امّا در واقع ضرری نبود، می بایست شخصی که نمازش را با تیمم خوانده باید اعاده کند چون تکلیفش وضو بوده نه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مشهور علماء می فرمایند احتیاج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کشف می شود که خودِ اعتقاد به ضرر موضوعیت دارد ولو ضرر ضرر واقعی نباشد محقق نائینی در صدد جواب بر آمدند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آية </w:t>
      </w:r>
      <w:r>
        <w:rPr>
          <w:rFonts w:ascii="Amiri" w:hAnsi="Amiri" w:eastAsia="Amiri" w:cs="Amiri"/>
          <w:color w:val="111111"/>
          <w:sz w:val="28"/>
          <w:sz w:val="28"/>
          <w:szCs w:val="28"/>
          <w:rtl w:val="true"/>
          <w:lang w:bidi="ar-SA"/>
        </w:rPr>
        <w:t>فَلَمْ تَجِدُوا مَاءً فَتَيَمَّمُوا صَعِيدًا طَيِّبًا</w:t>
      </w:r>
      <w:r>
        <w:rPr>
          <w:rStyle w:val="FootnoteAnchor"/>
          <w:rtl w:val="true"/>
        </w:rPr>
        <w:footnoteReference w:id="299"/>
      </w:r>
      <w:r>
        <w:rPr>
          <w:rFonts w:ascii="IRNazanin" w:hAnsi="IRNazanin" w:eastAsia="IRNazanin"/>
          <w:color w:val="111111"/>
          <w:sz w:val="28"/>
          <w:sz w:val="28"/>
          <w:szCs w:val="28"/>
          <w:rtl w:val="true"/>
          <w:lang w:bidi="fa-IR"/>
        </w:rPr>
        <w:t>جعل تيمم، عدم وجدان ماء است آن اعم است از عدم وجدان واقعی و عدم وجدان علمی و اعتقادی بنا بر این اگر کسی اعتقاد به ضرر دارد داخل می شود در موضوع عدم الوجدان چون مراد از عدم الوجدان، عدم تمکن از استعمال آب است و عدم تمکن اعم از این است که یا آب یافت نشود یا قدرت بر استعمال آب ندارد یعنی مانع یا مانع شرعی است یا مانع عادی یعنی یا شرع او را منع می کند از استعمال آب یا کسی یا چیزی او را منع می کند از استعمال آب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تیمم؛ اگر ما به جای تیمم، بحث را ببریم روی وضو و بگوییم اگر وضو ضرری باشد و علم به ضرر داشته باشد و وضو بگیرد آیا وضوی او صحیح است، هیچ دلیلی برای تصحیح آن وجود ندارد؛ زیرا </w:t>
      </w:r>
      <w:bookmarkStart w:id="461" w:name="pg9135_79678"/>
    </w:p>
    <w:p>
      <w:pPr>
        <w:pStyle w:val="BookText"/>
        <w:rPr/>
      </w:pPr>
      <w:bookmarkEnd w:id="461"/>
      <w:r>
        <w:rPr>
          <w:rFonts w:ascii="IRNazanin" w:hAnsi="IRNazanin" w:eastAsia="IRNazanin"/>
          <w:color w:val="111111"/>
          <w:sz w:val="28"/>
          <w:sz w:val="28"/>
          <w:szCs w:val="28"/>
          <w:rtl w:val="true"/>
          <w:lang w:bidi="fa-IR"/>
        </w:rPr>
        <w:t>برای تصحیح وضو یکی از این چهار راه را باید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 این وضو امر ندارد چون لاضرر امر آن را برداشته امّا ملاک هنوز وجود 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امر تعلق گرفته علی نحو ترتب یعنی شارع فرموده تیمم کن اگر تیمم را عصیان کردی وضو بگیرد؛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تیمم رخصت است نه عزیمت؛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لزوم وضو را بر می دارد نه جواز وضو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راه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قبول کردیم که لاضرر حاکم است بر ادله احکام چگونه می خواهیم قبول کنیم هنوز ملاک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ترتب بیان کردیم که واجبی که مشروط به قدرت است ترتب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گفتیم حکومت جاری می شود پس وضو برداشته می شود و فقط تیمم تحت عام باقی می ماند و آن وجوب تیمم است نه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بسیط است و مرکب از لزوم و جواز نیست که با رفتن لزوم جواز بماند و وقتی حکم برداشته شد همه آن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شود حکم به صحت وضو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فقها در بحث لاحرج که اگر شخصی در حال حرج وضو گرفت، حکم به صحت وضو کرده اند و می دانیم که لاضرر و لاحرج حكم آن دو واحد هستند و حاکم هستند، کسی در وضوء ضرری توهم صحت نمی کرد؛ چون در وضوی حرجی حکم به صحت وضو کرده اند در وضوی ضرری هم توهم صحت کرده اند</w:t>
      </w:r>
      <w:r>
        <w:rPr>
          <w:rFonts w:eastAsia="IRNazanin" w:cs="IRNazanin"/>
          <w:color w:val="111111"/>
          <w:sz w:val="28"/>
          <w:szCs w:val="28"/>
          <w:rtl w:val="true"/>
          <w:lang w:bidi="fa-IR"/>
        </w:rPr>
        <w:t>.</w:t>
      </w:r>
    </w:p>
    <w:p>
      <w:pPr>
        <w:pStyle w:val="Heading3"/>
        <w:numPr>
          <w:ilvl w:val="2"/>
          <w:numId w:val="1"/>
        </w:numPr>
        <w:rPr/>
      </w:pPr>
      <w:bookmarkStart w:id="462" w:name="__RefHeading___Toc3219817_2870459653"/>
      <w:bookmarkStart w:id="463" w:name="_Toc186"/>
      <w:bookmarkEnd w:id="462"/>
      <w:r>
        <w:rPr>
          <w:rtl w:val="true"/>
        </w:rPr>
        <w:t>نقودی که بر بیانات محقق نائینی وارد می شود</w:t>
      </w:r>
      <w:bookmarkEnd w:id="4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وضو و تیمم اصلاً داخل در حدیث لاضرر نمی شود چون با آیه قرآن دیگر احتیاجی به حدیث لاضرر نیست که حکومت کند بر ادله وضو زیرا طبق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 ءَامَنُوا لَا تَقْرَبُواْ الصَّلوةَ وَ أَنتُمْ سُكَرَى حَتَّى تَعْلَمُوا مَا تَقُولُونَ وَ لَا جُنُبًا إِلَّا عَابِرِى سَبِيلِ حَتَّى تَغْتَسِلُوا وَ إِن كُنتُم مَّرْضَى أَوْ عَلَىٰ سَفَرٍ أَوْ جَاءَ أَحَدٌ مِنكُم مِّنَ الْغَابِطِ أَوْ لَمَسْتُمُ النِّسَاءَ فَلَمْ تَجِدُوا مَاءً فَتَيَمَّمُوا صَعِيدًا طَيِّبًا</w:t>
      </w:r>
    </w:p>
    <w:p>
      <w:pPr>
        <w:pStyle w:val="BookText"/>
        <w:rPr/>
      </w:pPr>
      <w:r>
        <w:rPr>
          <w:rFonts w:ascii="Amiri" w:hAnsi="Amiri" w:eastAsia="Amiri" w:cs="Amiri"/>
          <w:color w:val="111111"/>
          <w:sz w:val="28"/>
          <w:sz w:val="28"/>
          <w:szCs w:val="28"/>
          <w:rtl w:val="true"/>
          <w:lang w:bidi="ar-SA"/>
        </w:rPr>
        <w:t>فَامْسَحُوا بِوُجُوهِكُمْ وَ أَيْدِيكُمْ إِنَّ اللَّهَ كَانَ عَفُوا غَفُورًا</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مستید به نماز نزدیک نشوید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شما برطرف شود و از روی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جنابت هم به نماز نزدیک نشوید تا غسل کنید مگر در حال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نیابید، پس با تیمّم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بیمارید، یا در سفرید یا یکی از شما از قضای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با زنان آمیزش کرده اید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به خاکی پاک، تیمم کنید و بخشی از صورت و دست های 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نمایید؛ یقیناً خدا همواره گذشت کننده و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 فرماید وجوب تیمم زمانی است که آب یافت نشود پس آیه شریفه وظیفه ما را مشخص می کند و احتیاجی به ادله لاضرر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ضرری که ناشی بشود از استعمال آب چه ضرر واقعی باشد و چه ضرر معلوم، مستلزمِ عدمِ صدقِ تمکن از استعمال ماء است؛ یعنی اگر استعمال آب برای او ضرر واقعی داشته باشد تمکن از استعمال آب ندارد پس می شود فاقد و وظیفه او تیمم است و اگر ضرر معلوم باشد حال یا مطابق با واقع است که می شود فاقد الماء و یا این که خطا کرده و مطابق واقع نیست در این صورت اگر کسی او را وادار بکند به کاری که علم به ضرر دارد ولو ضرر توهّمی باشد این تکلیف حَرَجی است و وقتی تکلیف حَرَجی شد دلیل لاحَرَج آن را بر می دارد پس واجد الماء فقط داشتن جنس ماء نیست؛ بلکه شامل تمکن از استعمال ماء نیز هست و همین طور عدم وجدان ماء اعم است از این که جنس ماء را نداشته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 که خودِ مرحوم نائینی رحمه اللّه علیه در جایی که مکلف تیمم انجام می دهد به جهت این که اعتقاد به ضرر دارد و بعد از آن روشن شود که استعمال آب برای او ضرر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چرا آقایان فقها می فرمایند وضو صحيح است و اعاده و اعاده 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صحیح است زیرا عدم الوجدان اعم است از عدم وجدان واقعی و اعتقادی و این همان کلام ماست که در نقد اوّل بیان کردیم امّا این سخن روی مبنای ما صحیح است ولی روی مبنای محقق نائینی رحمه اللّه علیه که فرمودند دلیل لاضرر وجوب وضو را بر می دارد و نوبت به عدل آن تیمم می رسد صحیح نیست زیرا اشکال این است که </w:t>
      </w:r>
      <w:bookmarkStart w:id="464" w:name="pg9135_79680"/>
    </w:p>
    <w:p>
      <w:pPr>
        <w:pStyle w:val="BookText"/>
        <w:rPr/>
      </w:pPr>
      <w:bookmarkEnd w:id="464"/>
      <w:r>
        <w:rPr>
          <w:rFonts w:ascii="IRNazanin" w:hAnsi="IRNazanin" w:eastAsia="IRNazanin"/>
          <w:color w:val="111111"/>
          <w:sz w:val="28"/>
          <w:sz w:val="28"/>
          <w:szCs w:val="28"/>
          <w:rtl w:val="true"/>
          <w:lang w:bidi="fa-IR"/>
        </w:rPr>
        <w:t>وقتی در واقع ضرری نبوده چگونه دلیل لاضرر حکومت داشته ادله بر وجوب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مسئلۀ صوم مانند بحث وضو و تیمم نیست که شارع به دو قسم تقسیم کرده باشد یعنی وَاجِدُ الْمَاءِ وَ فاقد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صوم چنین چیزی نیست؛ بلکه ما یک تکلیف به صیام داریم و یک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از نصوص مجوّز افطار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صوم خوف ضرر ملاک است همین که خائف از ضرر شد می تواند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مکلّف علم به ضرر پیدا کرد امّا خائف نشد و روزه گرفت روزه هایی که گرفته صحیح است</w:t>
      </w:r>
      <w:r>
        <w:rPr>
          <w:rFonts w:eastAsia="IRNazanin" w:cs="IRNazanin"/>
          <w:color w:val="111111"/>
          <w:sz w:val="28"/>
          <w:szCs w:val="28"/>
          <w:rtl w:val="true"/>
          <w:lang w:bidi="fa-IR"/>
        </w:rPr>
        <w:t>.</w:t>
      </w:r>
    </w:p>
    <w:p>
      <w:pPr>
        <w:pStyle w:val="Heading3"/>
        <w:numPr>
          <w:ilvl w:val="2"/>
          <w:numId w:val="1"/>
        </w:numPr>
        <w:rPr/>
      </w:pPr>
      <w:bookmarkStart w:id="465" w:name="__RefHeading___Toc3219819_2870459653"/>
      <w:bookmarkStart w:id="466" w:name="_Toc187"/>
      <w:bookmarkEnd w:id="465"/>
      <w:r>
        <w:rPr>
          <w:rtl w:val="true"/>
        </w:rPr>
        <w:t>خیار غبن</w:t>
      </w:r>
      <w:bookmarkEnd w:id="466"/>
    </w:p>
    <w:p>
      <w:pPr>
        <w:pStyle w:val="BookText"/>
        <w:rPr/>
      </w:pPr>
      <w:r>
        <w:rPr>
          <w:rFonts w:ascii="IRNazanin" w:hAnsi="IRNazanin" w:eastAsia="IRNazanin"/>
          <w:color w:val="111111"/>
          <w:sz w:val="28"/>
          <w:sz w:val="28"/>
          <w:szCs w:val="28"/>
          <w:rtl w:val="true"/>
          <w:lang w:bidi="fa-IR"/>
        </w:rPr>
        <w:t>تا به حال مواردی را بحث کردیم که علم به ضرر در آن ها مثل وضو و صوم اخذ شده است، حال فروعی را مانند خیار غبن بررسی می کنیم که جهل به ضرر در آن ها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غبن زمانی جاری می شود که مشتری یا بایع جاهل به غبن باشند و اگر عالم باشند دیگر برای آن ها خیاری نیست</w:t>
      </w:r>
      <w:r>
        <w:rPr>
          <w:rFonts w:eastAsia="IRNazanin" w:cs="IRNazanin"/>
          <w:color w:val="111111"/>
          <w:sz w:val="28"/>
          <w:szCs w:val="28"/>
          <w:rtl w:val="true"/>
          <w:lang w:bidi="fa-IR"/>
        </w:rPr>
        <w:t>.</w:t>
      </w:r>
    </w:p>
    <w:p>
      <w:pPr>
        <w:pStyle w:val="Heading3"/>
        <w:numPr>
          <w:ilvl w:val="2"/>
          <w:numId w:val="1"/>
        </w:numPr>
        <w:rPr/>
      </w:pPr>
      <w:bookmarkStart w:id="467" w:name="__RefHeading___Toc3219821_2870459653"/>
      <w:bookmarkStart w:id="468" w:name="_Toc188"/>
      <w:bookmarkEnd w:id="467"/>
      <w:r>
        <w:rPr>
          <w:rtl w:val="true"/>
        </w:rPr>
        <w:t>طرح اشکال</w:t>
      </w:r>
      <w:bookmarkEnd w:id="468"/>
    </w:p>
    <w:p>
      <w:pPr>
        <w:pStyle w:val="BookText"/>
        <w:rPr/>
      </w:pPr>
      <w:r>
        <w:rPr>
          <w:rFonts w:ascii="IRNazanin" w:hAnsi="IRNazanin" w:eastAsia="IRNazanin"/>
          <w:color w:val="111111"/>
          <w:sz w:val="28"/>
          <w:sz w:val="28"/>
          <w:szCs w:val="28"/>
          <w:rtl w:val="true"/>
          <w:lang w:bidi="fa-IR"/>
        </w:rPr>
        <w:t>همان طور که محقق نائینی فرمودند منظور از ضرر، ضرر واقعی است و جایی که علم به ضرر داریم ضرر واقعی هم محقق است، مستند خیار غبن را هم فقهاء فرموده اند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جاست چگونه است که خیار غبن در فرضی واقع و جاری می شود که مشتری جاهل به ضرر باشد؟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رحمه اللّه علیه در مقام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معامله با علم به غبن و اختلاف قیمت انجام شود؛ یعنی مشتری می داند که گران می خرد و بایع می داند که ارزان می فروشد ضرر مستند به اقدام خود و بایع و مشتری است و همان طور که بیان کردیم طبق مبنای ایشان لاضرر حکمی را بر می دارد که آن حکم جزء اخیر علّت تامّه باشد و در مَا نَحْنُ فِيهِ حكم جزء اخیر علّتِ تامّه نیست؛ چون ضرر مستند است به اقدام خود بایع و مشتری که با علم و آگاهی اقدام بر ضرر کرده اند، پس قاعده لاضرر جاری نمی شود</w:t>
      </w:r>
      <w:r>
        <w:rPr>
          <w:rFonts w:eastAsia="IRNazanin" w:cs="IRNazanin"/>
          <w:color w:val="111111"/>
          <w:sz w:val="28"/>
          <w:szCs w:val="28"/>
          <w:rtl w:val="true"/>
          <w:lang w:bidi="fa-IR"/>
        </w:rPr>
        <w:t xml:space="preserve">. </w:t>
      </w:r>
      <w:bookmarkStart w:id="469" w:name="pg9135_79681"/>
    </w:p>
    <w:p>
      <w:pPr>
        <w:pStyle w:val="Heading3"/>
        <w:numPr>
          <w:ilvl w:val="2"/>
          <w:numId w:val="1"/>
        </w:numPr>
        <w:rPr/>
      </w:pPr>
      <w:bookmarkStart w:id="470" w:name="__RefHeading___Toc3219823_2870459653"/>
      <w:bookmarkStart w:id="471" w:name="_Toc189"/>
      <w:bookmarkEnd w:id="469"/>
      <w:bookmarkEnd w:id="470"/>
      <w:r>
        <w:rPr>
          <w:rtl w:val="true"/>
        </w:rPr>
        <w:t>نقد فرمایش محقق نائینی</w:t>
      </w:r>
      <w:bookmarkEnd w:id="471"/>
    </w:p>
    <w:p>
      <w:pPr>
        <w:pStyle w:val="BookText"/>
        <w:rPr/>
      </w:pPr>
      <w:r>
        <w:rPr>
          <w:rFonts w:ascii="IRNazanin" w:hAnsi="IRNazanin" w:eastAsia="IRNazanin"/>
          <w:color w:val="111111"/>
          <w:sz w:val="28"/>
          <w:sz w:val="28"/>
          <w:szCs w:val="28"/>
          <w:rtl w:val="true"/>
          <w:lang w:bidi="fa-IR"/>
        </w:rPr>
        <w:t>ظاهراً این فرمایش محقق نائینی تمام نیست؛ زیرا ضرر مترتب و مستند به اقدام بایع و مشتری نیست؛ بلکه ضرر از حکم شرعی ناشی می شود که شارع این معامله را صحیح و لازم اعلام می کند زیرا اگر شارع معامله را جایز یا باطل اعلام کرده بود ضرری متوجه مشتری نمی شد و چون لازم قرار داده است دیگر مشتری قدرت بر فسخ ندارد؛ بنا بر این ضرر متوجه او می شود پس می توانیم بگوییم جزء اخیر این ترتّبِ ضرر، حکم شرعی است؛ بنا بر این حکم شرعی به قاعده لاضرر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دیگری که آقای نائینی فرمودند در مقام تفاوت بین جایی که علم به غبن، باشد و جهل به غبن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 عدم لزوم معامله در مواردی که علم به غبن وجود دارد خلاف امتنان است؛ یعنی اگر عالم به غبن باشد و معامله را درست انجام داد و شارع معامله را لازم اعلام نکرد این خلاف امتنان است</w:t>
      </w:r>
      <w:r>
        <w:rPr>
          <w:rFonts w:eastAsia="IRNazanin" w:cs="IRNazanin"/>
          <w:color w:val="111111"/>
          <w:sz w:val="28"/>
          <w:szCs w:val="28"/>
          <w:rtl w:val="true"/>
          <w:lang w:bidi="fa-IR"/>
        </w:rPr>
        <w:t>».</w:t>
      </w:r>
    </w:p>
    <w:p>
      <w:pPr>
        <w:pStyle w:val="Heading3"/>
        <w:numPr>
          <w:ilvl w:val="2"/>
          <w:numId w:val="1"/>
        </w:numPr>
        <w:rPr/>
      </w:pPr>
      <w:bookmarkStart w:id="472" w:name="__RefHeading___Toc3219825_2870459653"/>
      <w:bookmarkStart w:id="473" w:name="_Toc190"/>
      <w:bookmarkEnd w:id="472"/>
      <w:r>
        <w:rPr>
          <w:rtl w:val="true"/>
        </w:rPr>
        <w:t>اشکال</w:t>
      </w:r>
      <w:bookmarkEnd w:id="473"/>
    </w:p>
    <w:p>
      <w:pPr>
        <w:pStyle w:val="BookText"/>
        <w:rPr/>
      </w:pPr>
      <w:r>
        <w:rPr>
          <w:rFonts w:ascii="IRNazanin" w:hAnsi="IRNazanin" w:eastAsia="IRNazanin"/>
          <w:color w:val="111111"/>
          <w:sz w:val="28"/>
          <w:sz w:val="28"/>
          <w:szCs w:val="28"/>
          <w:rtl w:val="true"/>
          <w:lang w:bidi="fa-IR"/>
        </w:rPr>
        <w:t>آیا قاعدّ لاضرر یک قاعده امتنانی است که به دلیل امتنان به مکلفین و تسهیل امر برای مکلفین جعل شده است مانند حدیث رفع که امتنانی است؟</w:t>
      </w:r>
    </w:p>
    <w:p>
      <w:pPr>
        <w:pStyle w:val="BookText"/>
        <w:rPr/>
      </w:pPr>
      <w:r>
        <w:rPr>
          <w:rFonts w:ascii="IRNazanin" w:hAnsi="IRNazanin" w:eastAsia="IRNazanin"/>
          <w:color w:val="111111"/>
          <w:sz w:val="28"/>
          <w:sz w:val="28"/>
          <w:szCs w:val="28"/>
          <w:rtl w:val="true"/>
          <w:lang w:bidi="fa-IR"/>
        </w:rPr>
        <w:t>مرحوم نائینی لاضرر را امتنانی گرفته اند و هر جا جریان لاضرر خلاف امتنان باشد جاری نمی شود؛ لکن ظاهر این است که قاعده لاضرر یک قاعده امتنانی نیست؛ بلکه لاضرر یکی از اصول قانون است</w:t>
      </w:r>
      <w:r>
        <w:rPr>
          <w:rFonts w:eastAsia="IRNazanin" w:cs="IRNazanin"/>
          <w:color w:val="111111"/>
          <w:sz w:val="28"/>
          <w:szCs w:val="28"/>
          <w:rtl w:val="true"/>
          <w:lang w:bidi="fa-IR"/>
        </w:rPr>
        <w:t>.</w:t>
      </w:r>
    </w:p>
    <w:p>
      <w:pPr>
        <w:pStyle w:val="Heading3"/>
        <w:numPr>
          <w:ilvl w:val="2"/>
          <w:numId w:val="1"/>
        </w:numPr>
        <w:rPr/>
      </w:pPr>
      <w:bookmarkStart w:id="474" w:name="__RefHeading___Toc3219827_2870459653"/>
      <w:bookmarkStart w:id="475" w:name="_Toc191"/>
      <w:bookmarkEnd w:id="474"/>
      <w:r>
        <w:rPr>
          <w:rtl w:val="true"/>
        </w:rPr>
        <w:t>اصول قانون چیست؟</w:t>
      </w:r>
      <w:bookmarkEnd w:id="475"/>
    </w:p>
    <w:p>
      <w:pPr>
        <w:pStyle w:val="BookText"/>
        <w:rPr/>
      </w:pPr>
      <w:r>
        <w:rPr>
          <w:rFonts w:ascii="IRNazanin" w:hAnsi="IRNazanin" w:eastAsia="IRNazanin"/>
          <w:color w:val="111111"/>
          <w:sz w:val="28"/>
          <w:sz w:val="28"/>
          <w:szCs w:val="28"/>
          <w:rtl w:val="true"/>
          <w:lang w:bidi="fa-IR"/>
        </w:rPr>
        <w:t>جعل قانون یک اصول و ضوابطی دارد که به این اصول و ضوابطِ قانون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اَلْقَانُونَ یا أُصُولِ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أُصُولِ اَلْقَانُونَ چیزی است شبیه قانون اساسی نسبت به قوانینی که در مجلس تصویب می شود که نباید این قوانین با قانون اساسی معارضه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شریعت مقدسه یکی از اصول قانون، لاضرر است؛ یعنی جعل قانون به گونه ای باشد که کسی از این قانون متضرر نشود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نسبت به خیار غبن چگونه تفصیل قائل شده اند بین جایی که جاهل به غبن باشد و عالم به غبن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تفصیل از کجا ناشی شده است</w:t>
      </w:r>
      <w:r>
        <w:rPr>
          <w:rFonts w:eastAsia="IRNazanin" w:cs="IRNazanin"/>
          <w:color w:val="111111"/>
          <w:sz w:val="28"/>
          <w:szCs w:val="28"/>
          <w:rtl w:val="true"/>
          <w:lang w:bidi="fa-IR"/>
        </w:rPr>
        <w:t xml:space="preserve">: </w:t>
      </w:r>
      <w:bookmarkStart w:id="476" w:name="pg9135_79682"/>
    </w:p>
    <w:p>
      <w:pPr>
        <w:pStyle w:val="BookText"/>
        <w:rPr/>
      </w:pPr>
      <w:bookmarkEnd w:id="476"/>
      <w:r>
        <w:rPr>
          <w:rFonts w:ascii="IRNazanin" w:hAnsi="IRNazanin" w:eastAsia="IRNazanin"/>
          <w:color w:val="111111"/>
          <w:sz w:val="28"/>
          <w:sz w:val="28"/>
          <w:szCs w:val="28"/>
          <w:rtl w:val="true"/>
          <w:lang w:bidi="fa-IR"/>
        </w:rPr>
        <w:t>باید بگوییم لاضرر، ضرری را که صادر از غیر باشد، نفی می کند؛ ولی کسی که معامله ای را انجام می دهد با علمِ به غبن، این ضرری که به او وارد شده است؛ از ناحیه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لاضرر ضرری را که خود اقدام به آن ضرر کرده است از ناحیه خود اوست را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به حدیث لاضرر نفی می شود، ضرر واقعی است و تقیید به علم و جهل ندارد این که دیده می شود در موارد خاصّی تقیید به علم و جهل می شود به دلیل خصوصیتی است که در آن مورد خاص وجود دارد و ربطی به قاعده لاضرر و معنای ضرر در قاعده ندارد</w:t>
      </w:r>
      <w:r>
        <w:rPr>
          <w:rFonts w:eastAsia="IRNazanin" w:cs="IRNazanin"/>
          <w:color w:val="111111"/>
          <w:sz w:val="28"/>
          <w:szCs w:val="28"/>
          <w:rtl w:val="true"/>
          <w:lang w:bidi="fa-IR"/>
        </w:rPr>
        <w:t>.</w:t>
      </w:r>
    </w:p>
    <w:p>
      <w:pPr>
        <w:pStyle w:val="Heading3"/>
        <w:numPr>
          <w:ilvl w:val="2"/>
          <w:numId w:val="1"/>
        </w:numPr>
        <w:rPr/>
      </w:pPr>
      <w:bookmarkStart w:id="477" w:name="__RefHeading___Toc3219829_2870459653"/>
      <w:bookmarkStart w:id="478" w:name="_Toc192"/>
      <w:bookmarkEnd w:id="477"/>
      <w:r>
        <w:rPr>
          <w:rtl w:val="true"/>
        </w:rPr>
        <w:t>فروعات تنبیه دوم</w:t>
      </w:r>
      <w:bookmarkEnd w:id="478"/>
    </w:p>
    <w:p>
      <w:pPr>
        <w:pStyle w:val="BookText"/>
        <w:rPr/>
      </w:pPr>
      <w:r>
        <w:rPr>
          <w:rFonts w:ascii="IRNazanin" w:hAnsi="IRNazanin" w:eastAsia="IRNazanin"/>
          <w:color w:val="111111"/>
          <w:sz w:val="28"/>
          <w:sz w:val="28"/>
          <w:szCs w:val="28"/>
          <w:rtl w:val="true"/>
          <w:lang w:bidi="fa-IR"/>
        </w:rPr>
        <w:t>در ذیل این تنبیه دوّم فروعی را ذکر کرده اند و فرموده اند این فروع یا فِي حَدٍّ نَفْسِهِ قابل پیاده شدن روی قواعد فقهی نیست یا بعضی با بعضی دیگر در تنافی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أَيْنَ فُرُوعُ فِي حَدٍّ نَفْسِهِ أَشْبَهَ به قوانین و قواعد فقهی نیست یا بعضی با بعضی دیگر در تنافی است و از این مطلب استفاده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به ضرر اگر در تکلیفیات باشد، قاعده لاضرر حکومت دارد و حکم را بر می دارد؛ امّا اگر اقدام به ضرر در وضعیات باشد، قاعده لاضرر وضع را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و تفصیل از جانب محقق نائینی رحمه اللّه علیه تمام است؟</w:t>
      </w:r>
    </w:p>
    <w:p>
      <w:pPr>
        <w:pStyle w:val="BookText"/>
        <w:rPr/>
      </w:pPr>
      <w:r>
        <w:rPr>
          <w:rFonts w:ascii="IRNazanin" w:hAnsi="IRNazanin" w:eastAsia="IRNazanin"/>
          <w:color w:val="111111"/>
          <w:sz w:val="28"/>
          <w:sz w:val="28"/>
          <w:szCs w:val="28"/>
          <w:rtl w:val="true"/>
          <w:lang w:bidi="fa-IR"/>
        </w:rPr>
        <w:t>محقق نائینی این فروع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غسل برای او ضرری باشد و اجنب نفسه و خودش را عالماً عامداً جنب کرد، یا در بحث صوم، کاری کند که نتواند به خاطر ضعف روزه در وقت افطار مُسهلی بخورد فقهاء در بحث صوم و غسل فرموده اند بگیرد؛ مثلاً این تکلیف چون ضرری است، برداشته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لوح و تخته ای را غصب کرد و به قایق خود یا کشتی خود نصب کرد مالک این چوب و تخته هر وقت که خواست می تواند ،بردارد، ولو این کشتی وسط دریا باشد، فقط نباید منجر به تلفِ نفس محترمه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تلف اموال دیگران و غاصب مُشکلی نیست؛ چون لاضرر این جا نسبت به غاصب حکومتی ندارد؛ چون غاصب خود اقدام به این ضرر علیه خودش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زمینی را اجاره کند و در این زمین درختی بکارد یا بَنایی بسازد به حیث که بداند این کشت و این بنا و این درخت بعد از زمان اجاره باقی است، حال بعد از تحویل زمین با سپری شدن مدت اجاره این کِشت و این بَنا تکلیفش چیست؟</w:t>
      </w:r>
    </w:p>
    <w:p>
      <w:pPr>
        <w:pStyle w:val="BookText"/>
        <w:rPr/>
      </w:pPr>
      <w:r>
        <w:rPr>
          <w:rFonts w:ascii="IRNazanin" w:hAnsi="IRNazanin" w:eastAsia="IRNazanin"/>
          <w:color w:val="111111"/>
          <w:sz w:val="28"/>
          <w:sz w:val="28"/>
          <w:szCs w:val="28"/>
          <w:rtl w:val="true"/>
          <w:lang w:bidi="fa-IR"/>
        </w:rPr>
        <w:t>فقهاء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زمین می تواند درخت او را قطع کند و بنای او را خراب کند کشت او را شُخم بزند به خصوص اگر این احداث بدون اذن مالک باشد در این جا لاضرر حکومتی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رحمه اللّه علیه می فرمایند که این سه فرع با آن چه در مباحث قبل گفته شد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نوع اول؛ آن کسی که خود را عمداً جنب می کند در صورتی که غسل برای او ضرر دارد تکلیف این شخص بعد از جنب شدن چون غسل برای او ضروری است، حکم غسل برداشته می شود، همین مطلب را در بحث صوم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ضرر مستند به حکم شرعی که وجوب غسل و وجوب صوم است و کسی که اقدام به جنابت یا شرب مُسهِل می کند هر چند از روی عمد است، امّا این کار استناد ضرر به حکم شرعی را بر نمی دارد؛ چون فعل مکلف که جنابت خویش یا شُربِ دواء هست این فعل مقدمه اعدادی ضرر است نه جزء اخیر علّت تامّه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فعل مکلف در یک ظرف مباح انجام شده است و در زمان بعد، تکلیف غسل و صوم چون برای او ضرری است برداشته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داستان غصب لوح و چوب که غاصب از همان اوّل فعل حرام انجام می دهد و از همان اوّل وجوب رَدّ مال غصبی او را می گیرد و باید قبل از نصب در کشتی برگرداند و این وجوب ردّ لوح برای او ضرری نیست، پس خود با علم و با قصد به غصب عصیان کرده است و خود اقدام به ضرر خود کرده است، بنا بر این اقدام او علیه خود جزء اخیر علّت تامّه و ضرری است که متوجه او می شود و اراده او و اقدام او واقع نشده است در طریق امتثال حکم شرعی بلکه اراده او واقع شده است در طریق عصیان حکم شرعی بر خلاف صورت قبل در باب صوم و غسل که اراده مکلف در طریق امتثال حکم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ضرری واقع شود این ضرر مستند است به اقدام خودش و مستند به حکم شرعی </w:t>
      </w:r>
    </w:p>
    <w:p>
      <w:pPr>
        <w:pStyle w:val="BookText"/>
        <w:rPr/>
      </w:pPr>
      <w:r>
        <w:rPr>
          <w:rFonts w:ascii="IRNazanin" w:hAnsi="IRNazanin" w:eastAsia="IRNazanin"/>
          <w:color w:val="111111"/>
          <w:sz w:val="28"/>
          <w:sz w:val="28"/>
          <w:szCs w:val="28"/>
          <w:rtl w:val="true"/>
          <w:lang w:bidi="fa-IR"/>
        </w:rPr>
        <w:t>نیست؛ امّا در بحث کشت و زرع در زمینی که اجاره ای است و با فرض علم به این که مدت اجاره زمانش کم تر است و علم دارد که اجاره که تمام شد باید زمین را تحویل دهد و درخت و کشت او از بین می رود و خود اقدام به ضرر بر خود کرده است در این فرض نیز ضرر مستند به حکم شرعی نیست، بلکه مستند به اقدام خودش است و لاضرر آن را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نائینی رحمه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در بحث غصب لوح و نصب در کشتی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لاضرر حکومت نمی کند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کشتی ضرر بر صاحب کشتی نیست زیرا کسی که با چوب غصبی کشتی می سازد، این چوب غصبی موجب می شود که غاصب، مالک ترکیب وهیئت این کشتی نباشد، پس مجموعهٔ ترکیب مالِ صاحب کشتی نیست پس برطرف کردن و هدم این هیئت، ضرر محسوب نمی شود؛ چون ضرر عبارت است از نقص در مالی که شخص مالک آن باشد و حال این که ایشان مالک هیئت کشتی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ما روایت داریم که ظالم مال او حرمت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بإستناد عَنْ مُحَمَّدِ بْنِ أَحْمَدَ بْنِ يَحْيَى عَنْ عَلِيِّ بْنِ مُحَمَّدِ الْقَاسَانِيِّ عَنِ الْقَاسِمِ بْنِ مُحَمَّدٍ عَنْ سُلَيْمَانَ بْنِ داوود الْمِنْقَرِيِّ عَنْ عَبْدِ الْعَزِيزِ بْنِ مُحَمَّدِ الدَّرَاوَرْدِيِّ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 أَرْضاً بِغَيْرِ حَقِّهَا وَ بَنَى فِيهَا قَالَ يُرْفَعُ بِنَاؤُهُ وَ تُسَلَّمُ التُّرْبَةُ إِلَى صَاحِبِهَا لَيْسَ لِعِرْقٍ ظَالِمٍ حَقُّ</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زمینی را به ناحق گرفته باشد و در آن بنا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ساختمانش ویران می شود و زمین به صاحبش برگردانده می شود ریشه ظلم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تا عبد العزيز بن محمّد الدراوردی مشکلی ندارد فقط این شخص توثیق ندارد و ما چهار روایت بیشتر در کتب اربعه از ایشان نداریم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بحثی مطرح است که تعبیر اسند عنه یا آسند عنه آیا باعث اعتبار روای می شود یا خیر اگر بپذیریم که موجب اعتبار می شود روایت سندش معتبر است، و الا نمی شود به روایت استناد کرد</w:t>
      </w:r>
      <w:r>
        <w:rPr>
          <w:rFonts w:eastAsia="IRNazanin" w:cs="IRNazanin"/>
          <w:color w:val="111111"/>
          <w:sz w:val="28"/>
          <w:szCs w:val="28"/>
          <w:rtl w:val="true"/>
          <w:lang w:bidi="fa-IR"/>
        </w:rPr>
        <w:t xml:space="preserve">. </w:t>
      </w:r>
      <w:bookmarkStart w:id="479" w:name="pg9135_79685"/>
    </w:p>
    <w:p>
      <w:pPr>
        <w:pStyle w:val="BookText"/>
        <w:rPr/>
      </w:pPr>
      <w:bookmarkEnd w:id="479"/>
      <w:r>
        <w:rPr>
          <w:rFonts w:ascii="IRNazanin" w:hAnsi="IRNazanin" w:eastAsia="IRNazanin"/>
          <w:color w:val="111111"/>
          <w:sz w:val="28"/>
          <w:sz w:val="28"/>
          <w:szCs w:val="28"/>
          <w:rtl w:val="true"/>
          <w:lang w:bidi="fa-IR"/>
        </w:rPr>
        <w:t>حال مرحوم نائینی می فرماید طبق این روایت چون شخص غاصب ظالم است مال او حرمت ندارد، بنا بر این از قاعده لاضرر تخصُّصاً خارج است؛ چون ایجاد حقی برای غاصب نمی کند</w:t>
      </w:r>
      <w:r>
        <w:rPr>
          <w:rFonts w:eastAsia="IRNazanin" w:cs="IRNazanin"/>
          <w:color w:val="111111"/>
          <w:sz w:val="28"/>
          <w:szCs w:val="28"/>
          <w:rtl w:val="true"/>
          <w:lang w:bidi="fa-IR"/>
        </w:rPr>
        <w:t>.</w:t>
      </w:r>
    </w:p>
    <w:p>
      <w:pPr>
        <w:pStyle w:val="Heading3"/>
        <w:numPr>
          <w:ilvl w:val="2"/>
          <w:numId w:val="1"/>
        </w:numPr>
        <w:rPr/>
      </w:pPr>
      <w:bookmarkStart w:id="480" w:name="__RefHeading___Toc3219831_2870459653"/>
      <w:bookmarkStart w:id="481" w:name="_Toc193"/>
      <w:bookmarkEnd w:id="480"/>
      <w:r>
        <w:rPr>
          <w:rtl w:val="true"/>
        </w:rPr>
        <w:t>نظر ما در مورد فروعی که محقق نائینی رحمه اللّه علیه بیان فرمودند</w:t>
      </w:r>
      <w:bookmarkEnd w:id="481"/>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بحث غسل و وضو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وظيفه را مشخص کرده و احتیاجی به جریان قاعده لاضرر نیست و در مباحث قبل بیان کردیم که عدم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عدم وجدان جنس ماء یا عدم امکان استعمال 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مورد بحث صیام زمانی که داروی مُسهِل می خورد خوردن دارو جائز و مباح بود و فردای آن روز هنگام گرفتن صوم، صوم برای او ضرری شد و لاضرر آن را بر می دارد تمام این موارد وجه آن این است که حفظ قدرت برای تکالیف شرعیه واجب نیست؛ یعنی لزومی ندارد که کاری کنیم که قدرتمان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شرعیه خود منوط به قدرت است؛ امّا تحفظ قدرت نسبت به تکالیف شرعیه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غصب لوح و نصب آن توسط غاصب در ساخت کشتی بود که محقق نائینی فرمودند می تواند مالک ولو کشتی غاصب در دریا است لوح خود را بردارد و ضرر به غاصب وارد کند و علت آن را این گونه بیان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غاصب عامداً و عالماً غصب کرده است و می داند این مال واجب الرّد خود اقدام به ضرر بر خود کرده است و دلیل دیگر این که غاصب مالک هیئت کشتی نیست و از ابتدا مالک هیئت کشتی نبوده پس ضرری بر صاحب کشتی وارد نمی شود و دلیل سوم این که تمسک کردند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لِعِرْقٍ ظَالِمٍ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نقد بر محقق نائینی می گوییم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ردّ به چند شکل قابل تصوّر است؛ یکی وجوب رد تا زمان قبل از نصب در کشتی یکی وجوب رد بعد از نصب در کشتی و یک وجوب ردّ سوّم هم قابل تصوّر است زمانی که کشتی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رد ها با هم متفاوت </w:t>
      </w:r>
    </w:p>
    <w:p>
      <w:pPr>
        <w:pStyle w:val="BookText"/>
        <w:rPr/>
      </w:pPr>
      <w:r>
        <w:rPr>
          <w:rFonts w:ascii="IRNazanin" w:hAnsi="IRNazanin" w:eastAsia="IRNazanin"/>
          <w:color w:val="111111"/>
          <w:sz w:val="28"/>
          <w:sz w:val="28"/>
          <w:szCs w:val="28"/>
          <w:rtl w:val="true"/>
          <w:lang w:bidi="fa-IR"/>
        </w:rPr>
        <w:t>است در حالی که محقق نائینی همه را یکی گرفته اند، کشتی که روی آب است اموالی که روی آب است و با تخریب مالک از بین می رود چه کسی ضامن است؟</w:t>
      </w:r>
    </w:p>
    <w:p>
      <w:pPr>
        <w:pStyle w:val="BookText"/>
        <w:rPr/>
      </w:pPr>
      <w:r>
        <w:rPr>
          <w:rFonts w:ascii="IRNazanin" w:hAnsi="IRNazanin" w:eastAsia="IRNazanin"/>
          <w:color w:val="111111"/>
          <w:sz w:val="28"/>
          <w:sz w:val="28"/>
          <w:szCs w:val="28"/>
          <w:rtl w:val="true"/>
          <w:lang w:bidi="fa-IR"/>
        </w:rPr>
        <w:t>قبلاً بیان کردیم که اگر قاعده لاضرر جایی باشد که ضرر طرفینی باشد، قاعده لاضرر به نفع یکی از طرفین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 غاصب را محکوم کنیم به ردّ چوب، نه این که کشتی و اموال او را بتوان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ردّ زمانی است که لوح نصب نشده و شاید بگوییم تا زمانی که کشتی به آب نیفتاده است، امّا زمانی که کشتی روی آب قرار گرفت، بگوییم هنوز وجوب رد هست و بتوان آن کشتی را تخریب کرد این قول عجیبی است؛ زیرا این شخص یک لوح مدیون است و مشکل است بگوییم خسارت هایی که به غاصب وارد می شود مالک لوح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توانیم بگوییم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يُؤْخَذُ باشق الْأَحْوَالِ</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می توان کشتی او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این اشدیّت و اشقّ الأحوال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ذمه غاصب مشغول به ردّ است و فوریت عرفیه دارد به ردّ مال غصبی امّا زمانی که کشتی وسط دریا است این فوریت عرفیه دیگر وجوب ندارد بلکه می توان گفت وقتی این چوب در ساختمان یا کشتی به کار رفت در حکم تالف است ولو عين موجود است امّا در حکم تالف است و 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عین در حکم تالف باشد ذمّه غاصب مشغول می شود به مثل یا قیمت و در چنین مواردی باید قیمت عادله محاسبه شود و به مالک داده شود نهایت این که مقداری بیشتر به او داده شود تا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محقق نائینی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روایت ولو سندش ضعیف است؛ ولی اصحاب تلقی به قبول کرده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 این روایت در مقام این است که تصرفات ظالم برای او حقّی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غاصبانه در زمین وقفی مستأجر باشد، ولو چند نسل او مستأجر هستد برای این افراد حقّی ایجاد نمی کند که ادعای مالکیت کنند و حق مالکیت ایجاد نمی کند</w:t>
      </w:r>
      <w:r>
        <w:rPr>
          <w:rFonts w:eastAsia="IRNazanin" w:cs="IRNazanin"/>
          <w:color w:val="111111"/>
          <w:sz w:val="28"/>
          <w:szCs w:val="28"/>
          <w:rtl w:val="true"/>
          <w:lang w:bidi="fa-IR"/>
        </w:rPr>
        <w:t xml:space="preserve">. </w:t>
      </w:r>
      <w:bookmarkStart w:id="482" w:name="pg9135_79687"/>
    </w:p>
    <w:p>
      <w:pPr>
        <w:pStyle w:val="BookText"/>
        <w:rPr/>
      </w:pPr>
      <w:bookmarkEnd w:id="482"/>
      <w:r>
        <w:rPr>
          <w:rFonts w:ascii="IRNazanin" w:hAnsi="IRNazanin" w:eastAsia="IRNazanin"/>
          <w:color w:val="111111"/>
          <w:sz w:val="28"/>
          <w:sz w:val="28"/>
          <w:szCs w:val="28"/>
          <w:rtl w:val="true"/>
          <w:lang w:bidi="fa-IR"/>
        </w:rPr>
        <w:t>از آن طرف مالکیت مالک نیز برای او چنین حقی ایجاد نمی کند که اموال دیگران را ولو ظالم و غاصب باشند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ظالم و غاصب محکوم است به خاطر عدم ردّ مال امّا نه این که اموال او احترام نداشته باشد</w:t>
      </w:r>
      <w:r>
        <w:rPr>
          <w:rFonts w:eastAsia="IRNazanin" w:cs="IRNazanin"/>
          <w:color w:val="111111"/>
          <w:sz w:val="28"/>
          <w:szCs w:val="28"/>
          <w:rtl w:val="true"/>
          <w:lang w:bidi="fa-IR"/>
        </w:rPr>
        <w:t>.</w:t>
      </w:r>
    </w:p>
    <w:p>
      <w:pPr>
        <w:pStyle w:val="Heading3"/>
        <w:numPr>
          <w:ilvl w:val="2"/>
          <w:numId w:val="1"/>
        </w:numPr>
        <w:rPr/>
      </w:pPr>
      <w:bookmarkStart w:id="483" w:name="__RefHeading___Toc3219833_2870459653"/>
      <w:bookmarkStart w:id="484" w:name="_Toc194"/>
      <w:bookmarkEnd w:id="483"/>
      <w:r>
        <w:rPr>
          <w:rtl w:val="true"/>
        </w:rPr>
        <w:t>بحث در مورد فرع سوم محقق نائینی رحمه اللّه علیه</w:t>
      </w:r>
      <w:bookmarkEnd w:id="484"/>
    </w:p>
    <w:p>
      <w:pPr>
        <w:pStyle w:val="BookText"/>
        <w:rPr/>
      </w:pPr>
      <w:r>
        <w:rPr>
          <w:rFonts w:ascii="IRNazanin" w:hAnsi="IRNazanin" w:eastAsia="IRNazanin"/>
          <w:color w:val="111111"/>
          <w:sz w:val="28"/>
          <w:sz w:val="28"/>
          <w:szCs w:val="28"/>
          <w:rtl w:val="true"/>
          <w:lang w:bidi="fa-IR"/>
        </w:rPr>
        <w:t>در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محقق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زمینی را برای مدتی اجاره کند و در این زمین بنایی را احداث کند یا کشت یا زراعت کند به گونه ای که بعد از انقضاء مدت اجاره هنوز کِشت و زراعت باشد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ارض بتواند همۀ این موارد را از بین ببرد و مالک حق هدم دارد ولو مستأجر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خیار غبن بالتفصیل بیان شده است که اگر کسی زمینی را بخرد و در آن بنا یا کِشتی احداث کند و بایع مغبون شده و خیار غبن داشته باشد و زمین را برگرداند، بحث شده است که تکلیف احداثات مشتری در این زمین چیست</w:t>
      </w:r>
      <w:r>
        <w:rPr>
          <w:rFonts w:eastAsia="IRNazanin" w:cs="IRNazanin"/>
          <w:color w:val="111111"/>
          <w:sz w:val="28"/>
          <w:szCs w:val="28"/>
          <w:rtl w:val="true"/>
          <w:lang w:bidi="fa-IR"/>
        </w:rPr>
        <w:t>».</w:t>
      </w:r>
    </w:p>
    <w:p>
      <w:pPr>
        <w:pStyle w:val="Heading3"/>
        <w:numPr>
          <w:ilvl w:val="2"/>
          <w:numId w:val="1"/>
        </w:numPr>
        <w:rPr/>
      </w:pPr>
      <w:bookmarkStart w:id="485" w:name="__RefHeading___Toc3219835_2870459653"/>
      <w:bookmarkStart w:id="486" w:name="_Toc195"/>
      <w:bookmarkEnd w:id="485"/>
      <w:r>
        <w:rPr>
          <w:rtl w:val="true"/>
        </w:rPr>
        <w:t>اجمال بحث</w:t>
      </w:r>
      <w:bookmarkEnd w:id="486"/>
    </w:p>
    <w:p>
      <w:pPr>
        <w:pStyle w:val="BookText"/>
        <w:rPr/>
      </w:pPr>
      <w:r>
        <w:rPr>
          <w:rFonts w:ascii="IRNazanin" w:hAnsi="IRNazanin" w:eastAsia="IRNazanin"/>
          <w:color w:val="111111"/>
          <w:sz w:val="28"/>
          <w:sz w:val="28"/>
          <w:szCs w:val="28"/>
          <w:rtl w:val="true"/>
          <w:lang w:bidi="fa-IR"/>
        </w:rPr>
        <w:t>در مَا نَحْنُ فِيهِ اجاره است که مستأجر به سبب عقد شرعی حق تصرف در زمین داشته است؛ لکن این اجارات مدت آن بیشتر از مدت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ظاهر در بحث اجاره روایات صحیح السند داریم که روی قواعد بحث کرده است</w:t>
      </w:r>
      <w:r>
        <w:rPr>
          <w:rFonts w:eastAsia="IRNazanin" w:cs="IRNazanin"/>
          <w:color w:val="111111"/>
          <w:sz w:val="28"/>
          <w:szCs w:val="28"/>
          <w:rtl w:val="true"/>
          <w:lang w:bidi="fa-IR"/>
        </w:rPr>
        <w:t>.</w:t>
      </w:r>
    </w:p>
    <w:p>
      <w:pPr>
        <w:pStyle w:val="Heading3"/>
        <w:numPr>
          <w:ilvl w:val="2"/>
          <w:numId w:val="1"/>
        </w:numPr>
        <w:rPr/>
      </w:pPr>
      <w:bookmarkStart w:id="487" w:name="__RefHeading___Toc3219837_2870459653"/>
      <w:bookmarkStart w:id="488" w:name="_Toc196"/>
      <w:bookmarkEnd w:id="487"/>
      <w:r>
        <w:rPr>
          <w:rtl w:val="true"/>
        </w:rPr>
        <w:t>حدیث اوّل</w:t>
      </w:r>
      <w:bookmarkEnd w:id="48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عَلِيِّ بْنِ إِبْرَاهِيمَ عَنْ أَبِيهِ عَنِ ابْنِ فَضَّالٍ عَنْ عَلِيِّ بْنِ عُقْبَةَ عَنْ مُوسَى بْنِ أُكَيْلِ النُّمَيْرِيِّ عَنْ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إكترى دَاراً وَ فِيهَا بُسْتَانُ فَزَرَعَ فِي الْبُسْتَانِ وَ غَرَسَ نَخْلًا وَ أَشْجَاراً وفواكة وَ غَيْرَ ذَلِكَ وَ لَمْ يَسْتَأْمِرْ صَاحِبَ الدَّارِ فِي ذَلِكَ فَقَالَ عَلَيْهِ الْكِرَاءُ وَ يُقَوِّمُ صَاحِبُ الدَّارِ الزَّرْعَ وَ الْغَرْسَ قِيمَةَ عَدْلٍ وَ يُعْطِيهِ الغارص إِنْ كَانَ اسْتَأْمَرَهُ فِي ذَلِكَ وَ إِنْ لَمْ اسْتَأْمَرَهُ فِي ذَلِكَ فَعَلَيْهِ الْكِرَاءُ وَ لَهِ الزَّرْعُ وَ الْغَرْسُ وَ يَقْلَعُهُ وَ يَذْهَبُ حَيْثُ 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bookmarkStart w:id="489" w:name="pg9135_79688"/>
    </w:p>
    <w:p>
      <w:pPr>
        <w:pStyle w:val="BookText"/>
        <w:rPr/>
      </w:pPr>
      <w:bookmarkEnd w:id="489"/>
      <w:r>
        <w:rPr>
          <w:rFonts w:ascii="IRNazanin" w:hAnsi="IRNazanin" w:eastAsia="IRNazanin"/>
          <w:color w:val="111111"/>
          <w:sz w:val="28"/>
          <w:sz w:val="28"/>
          <w:szCs w:val="28"/>
          <w:rtl w:val="true"/>
          <w:lang w:bidi="fa-IR"/>
        </w:rPr>
        <w:t>در مورد مردی که کرایه کرده است خانه ای را که در آن باغی است پس مستأجر در آن کشت کرد و درخت نخلی و درختان میوه و درختان دیگر کاشت و در این غرسِ درختان از صاحب خانه اجازه نگرفت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کرایه زمین را بپردازد و صاحب خانه درخت هایی را که کاشته شده است به عدل قیمت کند و به غارس بپردازد اگر اجازه گرفته باشد و اگر اجازه نگرفته باشد باید کرایه را بپردازد و کشت و زرع مال اوست و درختان را بکند و هر جا خواست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تفصیل داده شده است بین اجازه مستأجر و عدم اجازه او و فرقی بین موارد غرس و کشت و سایر احداثات نیست، پس طبق این روایت احداثات در ملکِ غیر ولو تصرف، مشروع باشد، اگر بدون اجازه مالک باشد، حق مطالبه ندارد؛ چون خود اقدام به این ضرر کرده است</w:t>
      </w:r>
      <w:r>
        <w:rPr>
          <w:rFonts w:eastAsia="IRNazanin" w:cs="IRNazanin"/>
          <w:color w:val="111111"/>
          <w:sz w:val="28"/>
          <w:szCs w:val="28"/>
          <w:rtl w:val="true"/>
          <w:lang w:bidi="fa-IR"/>
        </w:rPr>
        <w:t>.</w:t>
      </w:r>
    </w:p>
    <w:p>
      <w:pPr>
        <w:pStyle w:val="Heading3"/>
        <w:numPr>
          <w:ilvl w:val="2"/>
          <w:numId w:val="1"/>
        </w:numPr>
        <w:rPr/>
      </w:pPr>
      <w:bookmarkStart w:id="490" w:name="__RefHeading___Toc3219839_2870459653"/>
      <w:bookmarkStart w:id="491" w:name="_Toc197"/>
      <w:bookmarkEnd w:id="490"/>
      <w:r>
        <w:rPr>
          <w:rtl w:val="true"/>
        </w:rPr>
        <w:t>حدیث دوّم</w:t>
      </w:r>
      <w:bookmarkEnd w:id="491"/>
    </w:p>
    <w:p>
      <w:pPr>
        <w:pStyle w:val="BookText"/>
        <w:rPr/>
      </w:pPr>
      <w:r>
        <w:rPr>
          <w:rFonts w:ascii="Amiri" w:hAnsi="Amiri" w:eastAsia="Amiri" w:cs="Amiri"/>
          <w:color w:val="111111"/>
          <w:sz w:val="28"/>
          <w:sz w:val="28"/>
          <w:szCs w:val="28"/>
          <w:rtl w:val="true"/>
          <w:lang w:bidi="ar-SA"/>
        </w:rPr>
        <w:t xml:space="preserve">مُحَمَّدُ بْنُ الْحَسَنِ بِإِسْنَادِهِ عَنْ مُحَمَّدِ بْنِ يَحْيَى عَنْ مُحَمَّدِ بْنِ الْحُسَيْنِ عَنْ مُحَمَّدِ بْنِ عَبْدِ اللَّهِ بْنِ هِلَالٍ عَنْ عُقْبَةَ بْنِ خَالِدٍ قَالَ سَأَلْتُ أَبَا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أَتَى أَرْضَ رَجُلٍ فَزَرَعَهَا بِغَيْرِ إِذْنِهِ حَتَّى إِذَا بَلَغَ الزَّرْعُ جَاءَ صَاحِبُ الْأَرْضِ فَقَالَ زَرَعْتَ بِغَيْرِ إِذْنِي فَزَرْعُكَ لِي وَ عَلَيَّ مَا أَنْفَقْتَ أَلهُ ذَلِكَ أَمْ لَا فَقَالَ لِلزَّارِعِ زَرْعُهُ وَ لِصَاحِبِ الْأَرْضِ كِرَاءُ أَرْضِهِ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 مورد مردی که زمین مردم را بدون اذن کشت کرده است و کشت، زمان برداشت است و صاحب خانه می رسد و می گوید بدون اجازه من کشت کردی پس زرع و کشت تو برای من است و آن چه خرج کردی می پردازم آیا می تواند چنین بگوید حضرت فرمودند زرع مال زارع است و به صاحب زمین باید کرایه زمین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هلال مهمل است پس سند روایت به این شخص ضعیف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فقها به آن استناد می کند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الزَّرْعُ لِلزَّارِعِ وَ لَوْ كَانَ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روایتی در کتب روایت شیعه وجود ندارد و حتّی در کتب </w:t>
      </w:r>
      <w:bookmarkStart w:id="492" w:name="pg9135_79689"/>
    </w:p>
    <w:p>
      <w:pPr>
        <w:pStyle w:val="BookText"/>
        <w:rPr/>
      </w:pPr>
      <w:bookmarkEnd w:id="492"/>
      <w:r>
        <w:rPr>
          <w:rFonts w:ascii="IRNazanin" w:hAnsi="IRNazanin" w:eastAsia="IRNazanin"/>
          <w:color w:val="111111"/>
          <w:sz w:val="28"/>
          <w:sz w:val="28"/>
          <w:szCs w:val="28"/>
          <w:rtl w:val="true"/>
          <w:lang w:bidi="fa-IR"/>
        </w:rPr>
        <w:t xml:space="preserve">معتبر عامه نیز نقل نشده است و البانی که یک سنّی وهابی متعصب است در کتاب موضوعاتش </w:t>
      </w:r>
      <w:r>
        <w:rPr>
          <w:rStyle w:val="FootnoteAnchor"/>
          <w:rtl w:val="true"/>
        </w:rPr>
        <w:footnoteReference w:id="306"/>
      </w:r>
      <w:r>
        <w:rPr>
          <w:rFonts w:ascii="IRNazanin" w:hAnsi="IRNazanin" w:eastAsia="IRNazanin"/>
          <w:color w:val="111111"/>
          <w:sz w:val="28"/>
          <w:sz w:val="28"/>
          <w:szCs w:val="28"/>
          <w:rtl w:val="true"/>
          <w:lang w:bidi="fa-IR"/>
        </w:rPr>
        <w:t>این روایت را نقل می کند و تصریح به جعل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هست همین روایتی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سند این روایت را تمام ،بدانیم معارضه دارد با روایت سوّم همین باب</w:t>
      </w:r>
      <w:r>
        <w:rPr>
          <w:rFonts w:eastAsia="IRNazanin" w:cs="IRNazanin"/>
          <w:color w:val="111111"/>
          <w:sz w:val="28"/>
          <w:szCs w:val="28"/>
          <w:rtl w:val="true"/>
          <w:lang w:bidi="fa-IR"/>
        </w:rPr>
        <w:t>:</w:t>
      </w:r>
    </w:p>
    <w:p>
      <w:pPr>
        <w:pStyle w:val="Heading3"/>
        <w:numPr>
          <w:ilvl w:val="2"/>
          <w:numId w:val="1"/>
        </w:numPr>
        <w:rPr/>
      </w:pPr>
      <w:bookmarkStart w:id="493" w:name="__RefHeading___Toc3219841_2870459653"/>
      <w:bookmarkStart w:id="494" w:name="_Toc198"/>
      <w:bookmarkEnd w:id="493"/>
      <w:r>
        <w:rPr>
          <w:rtl w:val="true"/>
        </w:rPr>
        <w:t>روايت سوّم</w:t>
      </w:r>
      <w:bookmarkEnd w:id="494"/>
    </w:p>
    <w:p>
      <w:pPr>
        <w:pStyle w:val="BookText"/>
        <w:rPr/>
      </w:pPr>
      <w:r>
        <w:rPr>
          <w:rFonts w:ascii="Amiri" w:hAnsi="Amiri" w:eastAsia="Amiri" w:cs="Amiri"/>
          <w:color w:val="111111"/>
          <w:sz w:val="28"/>
          <w:sz w:val="28"/>
          <w:szCs w:val="28"/>
          <w:rtl w:val="true"/>
          <w:lang w:bidi="ar-SA"/>
        </w:rPr>
        <w:t xml:space="preserve">وَ بِإِسْنَادِهِ عَنْ مُحَمَّدِ بْنِ عَلِيِّ مَحْبُوبٍ عَنْ عَلِيِّ بْنِ مُحَمَّدِ بْنِ شِيرَةَ عَنِ الْقَاسِمِ بْنِ مُحَمَّدٍ عَنْ سُلَيْمَانَ بْنِ واقِدٍ عَنْ عَبْدِ العزير بْنِ مُحَمَّدٍ قَالَ سَمِعْتُ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أَخَذَ أَرْضاً بِغَيْرِ حَقِّهَا أَوْ بَنَى فِيهَا قَالَ يُرْفَعُ بِنَاؤُهُ وَ تُسَلَّمُ التربه إِلَى صَاحِبِهَا وَ لَيْسَ الْعَرَقِ ظَالِمٍ 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زمینی را به ناحق گرفته باشد یا در آن بنا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ساختمانش ویران می شود و زمین به صاحبش برگردانده می شود ریشه ظلم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را گفتیم ضعیف است، امۀا علی فرض این که از ضعف هر دو روایت صرف نظر کنیم و این دو روایت را کنار هم بگذاریم این روایت حاکم است اصحاب این روایت را تلقّی به قبول کرده اند و اصحاب به آن عمل کرده اند و عمل اصحاب جابر ضعف سند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در بحث اجاره یا مالک زمین اجازه داده است و کِشت دو ماه دیگر زمان لازم دارد اگر مالک دو ماه دیگر را اجازه داد، اجاره آن را می گیرد، امّا اگر اجازه نداد باید صبر کند تا کشت و حاصل به دست آید و قیمت عادله پرداخت شود، امّا در صورت عدم اجازه، مالک نسبت به احداثات مستأجر ضمانی ندارد و مستأجر هیچ حقی بر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 غصب به طریق اولی می گوییم مالک ضامن نیست و غاصب حق مطالبه ندارد</w:t>
      </w:r>
      <w:r>
        <w:rPr>
          <w:rFonts w:eastAsia="IRNazanin" w:cs="IRNazanin"/>
          <w:color w:val="111111"/>
          <w:sz w:val="28"/>
          <w:szCs w:val="28"/>
          <w:rtl w:val="true"/>
          <w:lang w:bidi="fa-IR"/>
        </w:rPr>
        <w:t xml:space="preserve">. </w:t>
      </w:r>
      <w:bookmarkStart w:id="495" w:name="pg9135_79690"/>
    </w:p>
    <w:p>
      <w:pPr>
        <w:pStyle w:val="Heading2"/>
        <w:numPr>
          <w:ilvl w:val="1"/>
          <w:numId w:val="1"/>
        </w:numPr>
        <w:rPr/>
      </w:pPr>
      <w:bookmarkStart w:id="496" w:name="__RefHeading___Toc3219843_2870459653"/>
      <w:bookmarkStart w:id="497" w:name="_Toc199"/>
      <w:bookmarkEnd w:id="495"/>
      <w:bookmarkEnd w:id="496"/>
      <w:r>
        <w:rPr>
          <w:rtl w:val="true"/>
        </w:rPr>
        <w:t>تنبیه سوّم</w:t>
      </w:r>
      <w:r>
        <w:rPr>
          <w:rtl w:val="true"/>
        </w:rPr>
        <w:t xml:space="preserve">: </w:t>
      </w:r>
      <w:r>
        <w:rPr>
          <w:rtl w:val="true"/>
        </w:rPr>
        <w:t>لا ضرر نمی تواند اثبات حکم کند</w:t>
      </w:r>
      <w:bookmarkEnd w:id="497"/>
    </w:p>
    <w:p>
      <w:pPr>
        <w:pStyle w:val="Heading3"/>
        <w:numPr>
          <w:ilvl w:val="2"/>
          <w:numId w:val="1"/>
        </w:numPr>
        <w:rPr/>
      </w:pPr>
      <w:bookmarkStart w:id="498" w:name="__RefHeading___Toc3219845_2870459653"/>
      <w:bookmarkStart w:id="499" w:name="_Toc200"/>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این تنبیه اختصاص دارد به فرمایش محقق نائینی رحمه اللّه علیه که این مطلب را در کتاب منية الطالب ذيل تنبیه چهارم بیان می کنند؛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قاعده لاضرر حاکم است بر ادله احکام شرعیه چه تکلیفیه و چه وضعيّه که اگر این احکام به حدّ ضرر برسد به قاعده لاضرر برداشته می شود؛ این در فرضی است که احکام وجودیه باشد، امّا اگر این احکام عدمیه باشد؛ یعنی در آن مورد حکمی وجود نداشته باشد، که لاضرر آن را بردارد حال آیا لاضرر می تواند اثبات حکم کند به بیان دیگر چون مورد حکمی ندارد و موجب ضرر است آیا لاضرر در این مورد می تواند اثبات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 که لاضرر حکم موجود را می تواند بردارد؛ امّا جایی که حکم نیست نمی تواند جعل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بیان شان دو مثال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قفس پرنده ای را باز کرد و پرنده از قفس پرید و رفت، خودِ باز کردن قفس ضمانی ندارد، امّا این ضرر مالک را چه کسی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لاضرر قدرت جعل حکم ندارد که بگوید؛ چون مالک متضرر می شود پس کسی که درِ قفس را باز کرده است ضامن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 شخصِ حُرّی را حبس کرد و این خرّ به سبب حبس، اعمالی که می توانست در زمان آزادی انجام دهد از او فوت شد و متضرر شد این جا با قاعده لاضرر نمی توان اثبات کرد که ظالم نسبت به اعمال فوت شده 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مواردی را که ضمان ثابت نیست قاعده لاضرر نمی تواند آن</w:t>
      </w:r>
    </w:p>
    <w:p>
      <w:pPr>
        <w:pStyle w:val="BookText"/>
        <w:rPr/>
      </w:pPr>
      <w:r>
        <w:rPr>
          <w:rFonts w:ascii="IRNazanin" w:hAnsi="IRNazanin" w:eastAsia="IRNazanin"/>
          <w:color w:val="111111"/>
          <w:sz w:val="28"/>
          <w:sz w:val="28"/>
          <w:szCs w:val="28"/>
          <w:rtl w:val="true"/>
          <w:lang w:bidi="fa-IR"/>
        </w:rPr>
        <w:t>موارد را در قاعده اتلاف یا غیر اتلاف مانند قاعده ید داخل کند تا موجب ضمان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موجب ضمان ثابت نیست لاکن ضرری ثابت شده است، لاضرر نمی تواند آن را در قاعده ضمان داخل کند، به عنوان مثال شخصی ضرری متوجه او شده است و کسی یافت نشد تا ضمان را به عهده بگیرد آیا می شود با لاضرر برای کسی ضمان درست کرد و آیا می شود از بیت المال ضرر او را جبران کرد؟ در جواب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احکام وجوديّة ضرری را برمی دارد؛ امّا آن جایی که حکمی نداریم و عدمی است نمی تواند حکمی را جعل کند؛ زیرا قواعدی مثل لاضرر و لاحرج، حدیث رفع، لسان همه لسان نفی است و حکم موجود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حکم نیست ادله نافیه نمی تواند مثبت حکم باشد و حکمی را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مطالب نکاتی را محقق نائینی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عدم الحکم اگر چه در اوّل آن مستند به شارع نیست امّا در نهایت وقتی شارع حکمی را نسبت به عدم ازلی جعل نمی کند، حکم قابلیت استناد به شارع را دارد و می گویید شارع در این جا حکمی را جعل نکرده است ولو عدم به حسب اوّل آن استناد به شارع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عدم ازلی است و عدم ازلی عبارت است از عدم علّت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وجود نباشد پس شیء در عدم خودِ شیء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عدم ازلی عبارت است از عدم وجود علة الوجود و عدم ازلی عبارت نیست از وجود علة العدم؛ بنا بر این اگر علة الوجود نباشد عدم در عدمیت خود باقی می ماند الّا این که به حسب بقا شارع می تواند در مقام جعل این مورد خاص را که حکمی برای آن جعل نکرده است همان عدم جعل حکم را بگذارد و حکمی جعل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بقا قابل استناد به شارع است؛ چون شارع برای آن مورد حکمی را جعل نکرده است این عدم جعل حكم قابل استناد به شارع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صحیح نیست به دلیل این که عدم اگر چه قابلیت دارد که يد جعل شرعی به حسب بقاء به آن برسد و شارع می تواند این عدم الحکم را تبدیل به وجود کند یا حکم وجودی یا عدمی، یعنی شارع عدم را بردارد و حکم وجودی بگذارد یا عدم الحکم را به حال خود باقی بگذارد و عدم الحکم را جعل </w:t>
      </w:r>
    </w:p>
    <w:p>
      <w:pPr>
        <w:pStyle w:val="BookText"/>
        <w:rPr/>
      </w:pPr>
      <w:r>
        <w:rPr>
          <w:rFonts w:ascii="IRNazanin" w:hAnsi="IRNazanin" w:eastAsia="IRNazanin"/>
          <w:color w:val="111111"/>
          <w:sz w:val="28"/>
          <w:sz w:val="28"/>
          <w:szCs w:val="28"/>
          <w:rtl w:val="true"/>
          <w:lang w:bidi="fa-IR"/>
        </w:rPr>
        <w:t>کند، الا این که اگر شارع نه جعل حکم کند و نه جعل عدم کند این مورد دیگر قابلیت استناد به شارع را ندارد و شارع نسبت به این عدم ازلی ساکت است حكم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حکمی که مجعول است عدم الضمان باشد حال اگر از این عدم الضمان ضرر ناشی بشود، قاعده لاضرر نمی تواند به دلیل ضرری که ایجاد شده است، ضمانی ایجاد کند و استناد به شارع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خودِ روایت لاضرر مانند حديث شفعه، منع فضل و قضيه سمرة بن جندب، مضمون این روایات؛ حکومت لاضرر است بر احکام عدمیه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حدیث شفعه، نفی می کند عدم ثبوت حق را برای شریک یا در بحث منع فضل الماء نفی می کند عدم ثبوت حق را برای دیگران یا در روایت سمرة بن جندب نفی می کند، عدم ثبوت حق را برای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می کند لاضرر، حق را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شفعه و منع فضل الماء ثبوت حق شفعه و اثبات کراهت منع فضل الماء از باب حکومت لاضرر برای احکام عدمیه نیست؛ بلکه از باب حکمت است هر چند تعلیل به لاضرر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وجوب عده در زن مدخول بها نكاحاً؛ وجوب عده تعلیل شده به عدم اختلاط مياه، این حکمت جعل عده است و اگر اختلاط مياه نباشد شارع عده را بر نمی دارد پس شارع در مواردی حکم را عام جعل می کند چه در موارد اختلاط میاه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داستان سمرة بن جندب لاضرر حکمی ثابت را برداشته که آن حرمت تصرف در مالِ غیر است نه این که لاضرر مثبت حکم عدمی باشد که آن تسلط انصاری بر قلع نخل است و تبدیل کند به تسلط انصاری بر قلع 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محقق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حکومتِ لاضرر بر احکام عدمیه لازم می آید تأسیس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تأسیس فقهٍ جدید را کسی نمی پذیرد؛ زیرا این فقه موجود موجود کلیّات و اصول آن از طرف ائمه اطهار علیهم السلام به ما رسیده است و با این فقه جدید لازم می آید</w:t>
      </w:r>
    </w:p>
    <w:p>
      <w:pPr>
        <w:pStyle w:val="BookText"/>
        <w:rPr/>
      </w:pPr>
      <w:r>
        <w:rPr>
          <w:rFonts w:ascii="IRNazanin" w:hAnsi="IRNazanin" w:eastAsia="IRNazanin"/>
          <w:color w:val="111111"/>
          <w:sz w:val="28"/>
          <w:sz w:val="28"/>
          <w:szCs w:val="28"/>
          <w:rtl w:val="true"/>
          <w:lang w:bidi="fa-IR"/>
        </w:rPr>
        <w:t>خلاف اصول و کلیات ائمه علیهم السلام مشی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التَّالِي بَاطِلُ فالمقدمةُ مِثْلَهُ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نمی توانیم فقه جدید را بپذیریم پس جاری شدن لاضرر بر احکام </w:t>
      </w:r>
    </w:p>
    <w:p>
      <w:pPr>
        <w:pStyle w:val="BookText"/>
        <w:rPr/>
      </w:pPr>
      <w:r>
        <w:rPr>
          <w:rFonts w:ascii="IRNazanin" w:hAnsi="IRNazanin" w:eastAsia="IRNazanin"/>
          <w:color w:val="111111"/>
          <w:sz w:val="28"/>
          <w:sz w:val="28"/>
          <w:szCs w:val="28"/>
          <w:rtl w:val="true"/>
          <w:lang w:bidi="fa-IR"/>
        </w:rPr>
        <w:t>عدمیه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علیه در ادامه چند مثال می آورند که چگونه با حاکِم شدنِ لاضرر بر احکام عدمیه فقه جدید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بقاء بر زوجیت برای زوجه ضرری باشد، اگر قائل به حکومت لاضرر بر احکام عدمیه شویم و بگوییم لاضرر اثبات حکم می کند، لازم می آید ولایت طلاق از زوج منتقل به زوجة شود و زوجة ولایت داشته باشد و خود را طلاق دهد و حال آن که از مسلمات فقه اسلام است که طلاق به دست زوج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اگر چه برخی فقها فرموده اند در این مورد ولایت طلاق در دست حاکم شرع است که اگر بر زوجة به سبب زوجيت ضرر وارد می شود، حاکم شرع می تواند زوجة را مطلقة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روایاتی هم وارد شده است امّا این روایات معارض است، به مثل روایت نبوی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تَصْبِرُ امْرَأَةِ الْمَفْقُودَ حَتَّى يَأْتِيَهَا يَقِينٍ مَوْتُهُ أَوْ طَلَاقُهُ</w:t>
      </w:r>
      <w:r>
        <w:rPr>
          <w:rStyle w:val="FootnoteAnchor"/>
          <w:rtl w:val="true"/>
        </w:rPr>
        <w:footnoteReference w:id="310"/>
      </w:r>
      <w:r>
        <w:rPr>
          <w:rFonts w:ascii="IRNazanin" w:hAnsi="IRNazanin" w:eastAsia="IRNazanin"/>
          <w:color w:val="111111"/>
          <w:sz w:val="28"/>
          <w:sz w:val="28"/>
          <w:szCs w:val="28"/>
          <w:rtl w:val="true"/>
          <w:lang w:bidi="fa-IR"/>
        </w:rPr>
        <w:t>یا به روایت علوی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امْرَأَةُ ابْتُلِيتُ فَلْتَصْبِرْ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 روایات عامی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عروة در ملحقات عروة </w:t>
      </w:r>
      <w:r>
        <w:rPr>
          <w:rStyle w:val="FootnoteAnchor"/>
          <w:rtl w:val="true"/>
        </w:rPr>
        <w:footnoteReference w:id="312"/>
      </w:r>
      <w:r>
        <w:rPr>
          <w:rFonts w:ascii="IRNazanin" w:hAnsi="IRNazanin" w:eastAsia="IRNazanin"/>
          <w:color w:val="111111"/>
          <w:sz w:val="28"/>
          <w:sz w:val="28"/>
          <w:szCs w:val="28"/>
          <w:rtl w:val="true"/>
          <w:lang w:bidi="fa-IR"/>
        </w:rPr>
        <w:t>تمسک کرده است به قاعدۀ لاضرر که حاکم شرع می تواند هر زنی را که به سبب بقاء زوجیت متضرر می شود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روایاتی داریم در این باب که اگر زن در عقد زوجیت متضرر می شود یا به سبب آن که زوج مدت زمانی مفقود است یا این که زوج نفقه نمی دهد حاکم شرع می تواند اجرای صیغه طلاق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عَاصِمِ بْنِ حُمَيْدٍ عَنْ أَبِي بَصِيرٍ يَعْنِي الْمُرَادِيَّ قَالَ سَمِعْتُ أَبَا جَعْفَرٍ عَلَيْهِ السَّلَامُ يَقُولُ مَنْ كَانَتْ عِنْدَهُ امْرَأَةُ فَلَمْ يَكْسُهَا مَا يُوَارِي عَوْرَتَهَا وَ يُطْعِمْهَا مَا يُقِيمُ صُلْبَهَا كَانَ حَقّاً عَلَى الْإِمَامِ أَنْ يُفَرِّقَ بَيْنَهُمَا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کسی که زن دارد امّا لباس زن را تهیه نمی کند که خود را بپوشاند و غذا به او نمی دهد که با آن قدرت بگیرد امام و حاکم شرع می تواند بین این دو طلاق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جایی که شوهر می تواند خرج او را بدهد حاکم شرع می تواند او را مجبور کند و اگر نتوانستند او را مجبور کنند می تواند طلاق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همین باب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عَلِيِّ بْنِ الْحُسَيْنِ بِإِسْنَادِهِ عَنْ رِبْعِيِّ بْنِ عَبْدِ اللَّهِ وَ الْفُضَيْلِ بْنِ يَسَارٍ جَمِيعاً عَنْ أَبِي عَبْدِ اللَّهِ عَلَيْهِ السَّلَامُ فِي قَوْلِهِ تَعَالَى وَ مَنْ قُدِرَ عَلَيْهِ رِزْقُهُ فَلْيُنْفِقْ مِمَّا آتاهُ اللَّهُ قَالَ انَّ أَنْفَقَ عَلَيْهَا مَا يُقِيمُ ظَهْرَهَا مَعَ كِسْوَةٍ وَ إِلَّا فُرِّقَ بَيْنَهُمَا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خداوند می فرماید به اندازه ای که خدا به او رزق داده است انفاق کند بعد حضرت فرمودند به اندازه ای که خدا به او داده است به همسرش انفاق کند تا بتواند زندگی کند و به او لباس بدهد در غیر این صورت بین آن دو تفرقه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 متیقن از کسی که می تواند طلاق را ایجاد کند حاکم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ششم همین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عبد الجبار أَوْ غَيْرِهِ عَنِ ابْنِ فَضَّالٍ عَنْ غَالِبِ بْنِ عُثْمَانَ عَنْ رَوْحِ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 فَلْيُنْفِقْ مِمَّا ءَاتَنهُ اللَّهُ</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عَلَيْهَا مَا يُقِيمُ ظَهْرَهَا مَعَ كِسْوَةٍ وَ الْأَفْرَقِ بَيْنَهُمَا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دوازدهم همين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فِي تَفْسِيرِهِ عَنْ بْنِ إِدْرِيسَ عَنْ أَحْمَدَ بْنِ مُحَمَّدٍ عَنِ الْحُسَيْنِ بْنِ سَعِيدٍ عَنِ النَّصْرِ بْنِ سُوَيْدٍ عَنْ عَاصِمِ بْنِ حُمَيْدٍ عَنْ أَبِي بَصِيرٍ عَنْ أَبِي عَبْدِ اللَّهِ عَلَيْهِ السَّلَامُ فِي قَوْلِ اللَّهِ قَالَ عَزَّ وَ 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قُدِرَ عَلَيْهِ رِزْقُهُ فَلْيُنْفِقْ مِمَّا وَ اتَنهُ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الرَّجُلُ عَلَى امراته مَا يُقِيمُ ظَهْرَهَا مَعَ الْكِسْوَةِ</w:t>
      </w:r>
      <w:bookmarkStart w:id="500" w:name="pg9135_79695"/>
    </w:p>
    <w:p>
      <w:pPr>
        <w:pStyle w:val="BookText"/>
        <w:rPr/>
      </w:pPr>
      <w:bookmarkEnd w:id="500"/>
      <w:r>
        <w:rPr>
          <w:rFonts w:ascii="Amiri" w:hAnsi="Amiri" w:eastAsia="Amiri" w:cs="Amiri"/>
          <w:color w:val="111111"/>
          <w:sz w:val="28"/>
          <w:sz w:val="28"/>
          <w:szCs w:val="28"/>
          <w:rtl w:val="true"/>
          <w:lang w:bidi="ar-SA"/>
        </w:rPr>
        <w:t>وَ الَّا فُرِّقَ بَيْنَهُمَا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عروة منطبق است با مضمون روایاتی که ذکر شد هر چند ایشان تمسک به قاعده لاضرر کرده اند؛ امّا روایاتی داریم که حاکم شرع ولایت دارد بر تفرقه بین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به این روایات اعتراض دارند و می فرمایند این روایات مخالف است با قول رسول خدا صلی اللّه علیه و آله و سلم </w:t>
      </w:r>
      <w:r>
        <w:rPr>
          <w:rFonts w:ascii="Amiri" w:hAnsi="Amiri" w:eastAsia="Amiri" w:cs="Amiri"/>
          <w:color w:val="111111"/>
          <w:sz w:val="28"/>
          <w:sz w:val="28"/>
          <w:szCs w:val="28"/>
          <w:rtl w:val="true"/>
          <w:lang w:bidi="ar-SA"/>
        </w:rPr>
        <w:t>الطَّلَاقُ بِيَدِ مَنْ أَخَذَ بِالسَّاقِ</w:t>
      </w:r>
      <w:r>
        <w:rPr>
          <w:rStyle w:val="FootnoteAnchor"/>
          <w:rtl w:val="true"/>
        </w:rPr>
        <w:footnoteReference w:id="318"/>
      </w:r>
      <w:r>
        <w:rPr>
          <w:rFonts w:ascii="IRNazanin" w:hAnsi="IRNazanin" w:eastAsia="IRNazanin"/>
          <w:color w:val="111111"/>
          <w:sz w:val="28"/>
          <w:sz w:val="28"/>
          <w:szCs w:val="28"/>
          <w:rtl w:val="true"/>
          <w:lang w:bidi="fa-IR"/>
        </w:rPr>
        <w:t>و می دانیم که طلاق به دست زوج است؛ مگر این که زوج مجنون باشد یا معتوه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باب است عبدی که از رِقّیتش نزد مولایش متضرّر می شود، طبق مبنای صاحب عروة باید بتوانیم بگوییم حاکم شرع می تواند آن عبد را آزاد کند؛ چون عِتْق نازل منزل طلاق است و حال آن که کسی این مطلب را به آن ملتزم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خانه خود چاهی حفر کند، به جهت چاهی که این شخص حفر کرده است، دیوار خانه همسایه فرو ریزد در این باره فقها فرموده اند که این شخص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آن تمسک شده است</w:t>
      </w:r>
      <w:r>
        <w:rPr>
          <w:rFonts w:eastAsia="IRNazanin" w:cs="IRNazanin"/>
          <w:color w:val="111111"/>
          <w:sz w:val="28"/>
          <w:szCs w:val="28"/>
          <w:rtl w:val="true"/>
          <w:lang w:bidi="fa-IR"/>
        </w:rPr>
        <w:t>:</w:t>
      </w:r>
    </w:p>
    <w:p>
      <w:pPr>
        <w:pStyle w:val="Heading3"/>
        <w:numPr>
          <w:ilvl w:val="2"/>
          <w:numId w:val="1"/>
        </w:numPr>
        <w:rPr/>
      </w:pPr>
      <w:bookmarkStart w:id="501" w:name="__RefHeading___Toc3219847_2870459653"/>
      <w:bookmarkStart w:id="502" w:name="_Toc201"/>
      <w:bookmarkEnd w:id="501"/>
      <w:r>
        <w:rPr>
          <w:rtl w:val="true"/>
        </w:rPr>
        <w:t>حدیث اوّل</w:t>
      </w:r>
      <w:bookmarkEnd w:id="502"/>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عَمِيدِ عَنْ حَمَّادٍ عَنِ حَلْبِيَ عَنْ أَبِي عَبْدِ اللَّهِ عَلَيْهِ السَّلَامُ عَنِ الشَّيْ‌ءِ يُوضَعُ عَلَى الطَّرِيقِ فَتَمُرُّ الدابه فَتَنْفِرُ بِصَاحِبِهَا فَتَعْقِرُهُ فَقَالَ كُلُّ شَيْ‌ءٍ يُضِرُّ بِطَرِيقِ الْمُسْلِمِينَ فَصَاحِبُهُ ضَامِنُ لِمَا يُصِيبُهُ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وسط راه گذاشته اند و به سبب آن حیوان رم کرد و صاحب خود را به زمین زد و خسارتی به خودش یا به مالش وارد شد حضرت فرمود هر چیزی که وسط راه بگذارند و خسارتی وارد کنند صاحب آن ضامن است</w:t>
      </w:r>
      <w:r>
        <w:rPr>
          <w:rFonts w:eastAsia="IRNazanin" w:cs="IRNazanin"/>
          <w:color w:val="111111"/>
          <w:sz w:val="28"/>
          <w:szCs w:val="28"/>
          <w:rtl w:val="true"/>
          <w:lang w:bidi="fa-IR"/>
        </w:rPr>
        <w:t>.</w:t>
      </w:r>
    </w:p>
    <w:p>
      <w:pPr>
        <w:pStyle w:val="Heading3"/>
        <w:numPr>
          <w:ilvl w:val="2"/>
          <w:numId w:val="1"/>
        </w:numPr>
        <w:rPr/>
      </w:pPr>
      <w:bookmarkStart w:id="503" w:name="__RefHeading___Toc3219849_2870459653"/>
      <w:bookmarkStart w:id="504" w:name="_Toc202"/>
      <w:bookmarkEnd w:id="503"/>
      <w:r>
        <w:rPr>
          <w:rtl w:val="true"/>
        </w:rPr>
        <w:t>حدیث دوّم</w:t>
      </w:r>
      <w:bookmarkEnd w:id="5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أَحْمَدَ بْنِ مُحَمَّدٍ عَنْ عَلِيِّ بْنِ النُّعْمَانِ عَنْ أَبِي الصَّبَّاحِ الْكِنَانِيِّ قَالَ</w:t>
      </w:r>
      <w:r>
        <w:rPr>
          <w:rFonts w:eastAsia="Amiri" w:cs="Amiri" w:ascii="Amiri" w:hAnsi="Amiri"/>
          <w:color w:val="111111"/>
          <w:sz w:val="28"/>
          <w:szCs w:val="28"/>
          <w:rtl w:val="true"/>
          <w:lang w:bidi="ar-SA"/>
        </w:rPr>
        <w:t>:</w:t>
      </w:r>
      <w:bookmarkStart w:id="505" w:name="pg9135_79696"/>
    </w:p>
    <w:p>
      <w:pPr>
        <w:pStyle w:val="BookText"/>
        <w:rPr/>
      </w:pPr>
      <w:bookmarkEnd w:id="505"/>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 بِشَيْ‌ءٍ مِنْ طَرِيقِ الْمُسْلِمِينَ فَهُوَ لَهُ ضَامِنُ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نکنید ضمان در این موارد به جهتِ تمسک به قاعده لاضرر است بلکه این موارد همه از باب قاعده ضمان است از باب تسبیب، یعنی ضامن سبب این ضرر شده است و شارع از باب این که در این موارد شخص سبب ضرر شده است حکم به ضمان او کرده است و ربطی به قاعده لاضرر ندارد</w:t>
      </w:r>
      <w:r>
        <w:rPr>
          <w:rFonts w:eastAsia="IRNazanin" w:cs="IRNazanin"/>
          <w:color w:val="111111"/>
          <w:sz w:val="28"/>
          <w:szCs w:val="28"/>
          <w:rtl w:val="true"/>
          <w:lang w:bidi="fa-IR"/>
        </w:rPr>
        <w:t>.»</w:t>
      </w:r>
    </w:p>
    <w:p>
      <w:pPr>
        <w:pStyle w:val="Heading3"/>
        <w:numPr>
          <w:ilvl w:val="2"/>
          <w:numId w:val="1"/>
        </w:numPr>
        <w:rPr/>
      </w:pPr>
      <w:bookmarkStart w:id="506" w:name="__RefHeading___Toc3219851_2870459653"/>
      <w:bookmarkStart w:id="507" w:name="_Toc203"/>
      <w:bookmarkEnd w:id="506"/>
      <w:r>
        <w:rPr>
          <w:rtl w:val="true"/>
        </w:rPr>
        <w:t>حدیث سوم</w:t>
      </w:r>
      <w:bookmarkEnd w:id="507"/>
    </w:p>
    <w:p>
      <w:pPr>
        <w:pStyle w:val="BookText"/>
        <w:rPr/>
      </w:pPr>
      <w:r>
        <w:rPr>
          <w:rFonts w:ascii="Amiri" w:hAnsi="Amiri" w:eastAsia="Amiri" w:cs="Amiri"/>
          <w:color w:val="111111"/>
          <w:sz w:val="28"/>
          <w:sz w:val="28"/>
          <w:szCs w:val="28"/>
          <w:rtl w:val="true"/>
          <w:lang w:bidi="ar-SA"/>
        </w:rPr>
        <w:t xml:space="preserve">مُحَمَّدُ بْنُ يَعْقُوبَ عَنْ مُحَمَّدِ بْنِ يَحْيَى عَنْ مُحَمَّدِ بْنِ الْحُسَيْنِ قَالَ كَتَبْتُ إِلَى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رَحًى عَلَى نَهَرِ قَرْيَةٍ وَ الْقَرْيَةُ لِرَجُلٍ فَأَرَادَ صَاحِبُ الْقَرْيَةِ أَنْ يَسُوقَ إِلَى قَرْيَتِهِ الْمَاءَ فِي هَذَا النَّهَرِ وَ يُعَطِّلَ هَذِهِ الرَّحَى أَلَهُ ذَلِكَ أَمْ لَا فَوْقَ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يَتَّقِي اللَّهَ وَ يَعْمَلُ فِي ذَلِكَ بِالْمَعْرُوفِ وَ لَا يَضُرُّ أَخَاهُ الْمُؤْمِنَ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به امام عسگری علیه السلام نوشتم مردی برای روستایش یک قنات دارد شخص دیگر نیز می خواهد برای روستایش قنات بزند چه اندازه باید بین دو قنات فاصله باشد که قنات دوم به قنات اول ضرر نزند در زمین سخت چه مقدار فاصله باشد در زمین نرم چه مقدار فاصله باشد؟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فاصله باشد که قنات دوم ضرر نزند برای او نوشتم شخصی بر نهری که به سمت روستایی می رود آسیابی دارد و روستا مال شخصی است و آن شخص می خواهد مسیر نهر را عوض کند در نتیجه آسیاب این شخص تعطیل می شود حضرت نوشتند تقوای الهی داشته باشد و به معروف رفتار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برادرش نسبت به این نهر حق دارد و به برادر دینیش ضرر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واضحش جاده های بین راهی که وقتی این مسیر و جاده عوض شود همه آن مغازها از رونق می افتد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ثبوت حکم به واسطه قاعده لاضرر نیست؛ بلکه از باب ثبوت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اگر کسی حقّی برای او ثابت باشد؛ بنا بر این نباید این حق تضییق گردد مانند حق عبور در طریق که نمی توان </w:t>
      </w:r>
      <w:bookmarkStart w:id="508" w:name="pg9135_79697"/>
    </w:p>
    <w:p>
      <w:pPr>
        <w:pStyle w:val="BookText"/>
        <w:rPr/>
      </w:pPr>
      <w:bookmarkEnd w:id="508"/>
      <w:r>
        <w:rPr>
          <w:rFonts w:ascii="IRNazanin" w:hAnsi="IRNazanin" w:eastAsia="IRNazanin"/>
          <w:color w:val="111111"/>
          <w:sz w:val="28"/>
          <w:sz w:val="28"/>
          <w:szCs w:val="28"/>
          <w:rtl w:val="true"/>
          <w:lang w:bidi="fa-IR"/>
        </w:rPr>
        <w:t>این حق را از دیگران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صاحب حقی باشد باید این حق را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در اثر مراعات نکردن ضرری به صاحب حق وارد شود، کسی که ممانعت از حق کرده است و به صاحب حق ضرر وارد کرده است ضامن است نه از باب حکومت قاعده لاضرر بر احکام عدمیه و اثبات حکم بلکه از باب تسبیب، چون شخص گاهی مباشرتاً ضرر وارد می کند و ضامن است و گاهی بِالتَّسْبِيبِ</w:t>
      </w:r>
      <w:r>
        <w:rPr>
          <w:rFonts w:eastAsia="IRNazanin" w:cs="IRNazanin"/>
          <w:color w:val="111111"/>
          <w:sz w:val="28"/>
          <w:szCs w:val="28"/>
          <w:rtl w:val="true"/>
          <w:lang w:bidi="fa-IR"/>
        </w:rPr>
        <w:t>.</w:t>
      </w:r>
    </w:p>
    <w:p>
      <w:pPr>
        <w:pStyle w:val="Heading3"/>
        <w:numPr>
          <w:ilvl w:val="2"/>
          <w:numId w:val="1"/>
        </w:numPr>
        <w:rPr/>
      </w:pPr>
      <w:bookmarkStart w:id="509" w:name="__RefHeading___Toc3219853_2870459653"/>
      <w:bookmarkStart w:id="510" w:name="_Toc204"/>
      <w:bookmarkEnd w:id="509"/>
      <w:r>
        <w:rPr>
          <w:rtl w:val="true"/>
        </w:rPr>
        <w:t>نقد نظریّه محقق نائینی در تنبیه سوم</w:t>
      </w:r>
      <w:bookmarkEnd w:id="510"/>
    </w:p>
    <w:p>
      <w:pPr>
        <w:pStyle w:val="BookText"/>
        <w:rPr/>
      </w:pPr>
      <w:r>
        <w:rPr>
          <w:rFonts w:ascii="IRNazanin" w:hAnsi="IRNazanin" w:eastAsia="IRNazanin"/>
          <w:color w:val="111111"/>
          <w:sz w:val="28"/>
          <w:sz w:val="28"/>
          <w:szCs w:val="28"/>
          <w:rtl w:val="true"/>
          <w:lang w:bidi="fa-IR"/>
        </w:rPr>
        <w:t>اصل و کلیت فرمایش محقق نائینی در باب این که لاضرر در احکام عدمیه حکومت ندارد و اثبات حکم نمی کند را قبول داریم و مناقشه ای نداریم به دلیل این که لسانِ قاعده لاضرر لسانِ نفی حکم است و ادله ای که لسان آن نفی حکم است، نمی توانند اثبات حکم کنند مانند دلیل لاحرج و حدیث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شارع مقدس به وسیله قاعده لاضرر می گوید؛ من، جعلِ حکمی را که مستلزم ضرر باشد برای شما نکرده ام و نمی گوید من جعل کرده ام آن چه را که نفی ضرر می کند؛ زیرا اگر جعل نفی ضرر باشد احکام عدمیه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استناد ضرر تحقق پیدا می کند با تسبیب به ضرر و ایجاد آن ایجاد آن چیزی که موجب ضرر می شود امّا عدمِ ایجاد مانع از ضرر محققِ اسنادِ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کاری انجام دهد که مستلزم ورودِ ضرر به دیگران باشد، این اضرار به او استناد داده می شود؛ امّا اگر ضرری را ببیند که متوجّه به غیر است و می تواند آن را دفع کند، امّا آن را دفع نکرد استناد ضرر به این شخص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جایی که شارع حکمی را جعل می کند که آن حکم موجب ضرر است، استناد ضرر به شارع صحیح است و زمانی که استناد ضرر به شارع است، لاضرر حاکم صحیح باشد و حکم ضرری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جایی که شارع حکمی جعل نکرده است و در اثر این عدمِ جعل شارع در آن مقام ضرری متوجّه مكلّف بشود استناد ضرر به شارع صحیح نیست چون اصلاً حکمی شارع جعل نکرده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قياس مَا نَحْنُ فِيهِ به مورد استصحاب عدم حكم صحیح نیست زیرا استصحاب عدم حکم با قاعده لاضرر از حیث دلیل و ملاک با هم تفاوت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فراموش نکنید که داستان در احکام عدمیه، عدمِ جعلِ وجودِ حکم است یعنی شارع حکمی را جعل نکرده است و احکام عدمیه از باب جعل عدم نیست زیرا در این صورت باید گفته شود که شارع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جعل با جعل فرق دارد؛ زیرا جعلِ عدم استنادِ به شارع دارد و کُل جَعَلَ يَحْتَاجُ إِلَى جَاعِلٍ، چه جعل وجود باشد و چه جعلِ عدم، امّا عدم جعل احتیاجی به جاعل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نائینی در کلیّت مورد قبول ماست و قاعده لاضرر نسبت به احکام عدمیه، یعنی آن جایی که حکمی نباشد و در اثرِ نبودِ آن حکم مكلّف متضرر شود حکومتی ندارد؛ زیرا محکومی نیست تا قاعده لاضرر بر آن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امثله ای که محقق نائینی برای توضیح فرمایش خود آورده اند قابل نقد و نِقاش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که در این مورد آورده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قفس پرنده ای را باز کند و پرنده پرواز کند فرمودند ضمان متوجه این شخص نمی شود؛ حال سؤال این است که چرا نباید ضمان متوجه این شخص باشد و حال این که این شخص از باب تسبیب ضامن است و بیان کردیم که ضمان به دو صورت قابل تصوّر است یکی ضمان مباشری و دیگری ضمان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تسبیباً آن شخص ضامن است، همان طور که اگر طبیبی به اشتباه دارویی را برای مریض تجویز کند، تسبیباً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از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اگر کسی شخص حرّی را حَبس کند و اعمالی از آن شخص حُرّ فوت شود این ظالم نسبت به اعمال فوت شده این خرّ ضمانی ندارد، مشهور مطابق محقق نائینی فتوا به عدم ضمان ظالم داده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جماعتی از فقهاء قائل به ضمان در این مورد شده اند؛ از جمله محقق اردبیلی، </w:t>
      </w:r>
      <w:r>
        <w:rPr>
          <w:rStyle w:val="FootnoteAnchor"/>
          <w:rtl w:val="true"/>
        </w:rPr>
        <w:footnoteReference w:id="322"/>
      </w:r>
      <w:r>
        <w:rPr>
          <w:rFonts w:ascii="IRNazanin" w:hAnsi="IRNazanin" w:eastAsia="IRNazanin"/>
          <w:color w:val="111111"/>
          <w:sz w:val="28"/>
          <w:sz w:val="28"/>
          <w:szCs w:val="28"/>
          <w:rtl w:val="true"/>
          <w:lang w:bidi="fa-IR"/>
        </w:rPr>
        <w:t xml:space="preserve">وحید بهبهانی، </w:t>
      </w:r>
      <w:r>
        <w:rPr>
          <w:rStyle w:val="FootnoteAnchor"/>
          <w:rtl w:val="true"/>
        </w:rPr>
        <w:footnoteReference w:id="323"/>
      </w:r>
      <w:r>
        <w:rPr>
          <w:rFonts w:ascii="IRNazanin" w:hAnsi="IRNazanin" w:eastAsia="IRNazanin"/>
          <w:color w:val="111111"/>
          <w:sz w:val="28"/>
          <w:sz w:val="28"/>
          <w:szCs w:val="28"/>
          <w:rtl w:val="true"/>
          <w:lang w:bidi="fa-IR"/>
        </w:rPr>
        <w:t>و سید ریاض</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و ما هم به تبع این بزرگان قائل به </w:t>
      </w:r>
    </w:p>
    <w:p>
      <w:pPr>
        <w:pStyle w:val="BookText"/>
        <w:rPr/>
      </w:pPr>
      <w:r>
        <w:rPr>
          <w:rFonts w:ascii="IRNazanin" w:hAnsi="IRNazanin" w:eastAsia="IRNazanin"/>
          <w:color w:val="111111"/>
          <w:sz w:val="28"/>
          <w:sz w:val="28"/>
          <w:szCs w:val="28"/>
          <w:rtl w:val="true"/>
          <w:lang w:bidi="fa-IR"/>
        </w:rPr>
        <w:t xml:space="preserve">ضمان هستیم که این بحث را مفصل در کتاب آراء فقهیه بحث کرده ایم </w:t>
      </w:r>
      <w:r>
        <w:rPr>
          <w:rStyle w:val="FootnoteAnchor"/>
          <w:rtl w:val="true"/>
        </w:rPr>
        <w:footnoteReference w:id="325"/>
      </w:r>
      <w:r>
        <w:rPr>
          <w:rFonts w:ascii="Amiri" w:hAnsi="Amiri" w:eastAsia="Amiri" w:cs="Amiri"/>
          <w:color w:val="111111"/>
          <w:sz w:val="28"/>
          <w:sz w:val="28"/>
          <w:szCs w:val="28"/>
          <w:rtl w:val="true"/>
          <w:lang w:bidi="ar-SA"/>
        </w:rPr>
        <w:t xml:space="preserve">که ظالم تسبيباً نسبت به اعمال خرّ ضامن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عَمِلَ الْحُرِّ الكسوب الْمَحْبُوسِ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ذكرنا امثله دیگر محقق نائینی معلوم شد که اگر ظالمی شخصی را می گیرد و حیوان یا عبدش فرار می کند ایشان می فرمایند ضمانی نیست و حال آن که از باب تسبيب، شخصِ ظالم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که محقق نائینی بیان می کنند مسئله زوجیت است که اگر زنی به سبب زوجیت ضرر می بیند به هر علتی که باشد اعمّ از ضرر جسمی، مالی،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در این باره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موارد لاضرر جاری شود فقه جدید لازم می آید به جهت این که ولایت زوج منتقل می شود به زوجه، که این در واقع اثبات ولایت طلاق است برای زوجه در حالی که لاضرر نمی تواند اثبات حکم کند و ثانیاً ولایت طلاق برای زوجه را کسی به آن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خواهیم برای زوجه اثبات ولایت طلاق کنیم؛ بلکه مانند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تبع ایشان مشی می کنیم که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به سبب عدم انفاق زوج متضرر شود و نمی توان زوج را مجبور به انفاق کرد یا این که زوج فقیر است و توانایی ندارد، در این جا صاحب عروة می فرمایند فقیهِ جامع الشرایط می تواند طلاق را جاری کند و احتیاجی به قاعدۀ لاضرر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جا ما روایاتی را داریم که مضمون آن این است که حاکم شرع می تواند اعمال طلاق کند، امّا مورد در روایات فقط بحث انفاق است، اگر ما دلیل سید یزدی را بپذیریم که لاضرر است، می توانیم به موارد دیگر در غیر از بحث انفاق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شارع جعل دارد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لاضرر می تواند این جعل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کسی که می تواند طلاق را به دست بگیرد زوج است و در صورت ضرری بودن این ازدواج لاضرر حاکم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در صورتی که زن متضرر شود می توان گفت که زن مهرش را ببخشد و بر زوج واجب است زن را طلاق دهد و اگر طلاق ندهد لاضرر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حاکم است و بر حاکم شرع است که زن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ادعای محقق نائینی صحیح نیست که ادعا دارند فقه جدید پیش می آید؛ زیرا در این جا حکومت لاضرر بر احکام عدمیه نیست؛ بلکه یک حکم وجودی است که در صورت ضرری بودن لاضرر می تواند آن را بردارد</w:t>
      </w:r>
      <w:r>
        <w:rPr>
          <w:rFonts w:eastAsia="IRNazanin" w:cs="IRNazanin"/>
          <w:color w:val="111111"/>
          <w:sz w:val="28"/>
          <w:szCs w:val="28"/>
          <w:rtl w:val="true"/>
          <w:lang w:bidi="fa-IR"/>
        </w:rPr>
        <w:t xml:space="preserve">. </w:t>
      </w:r>
      <w:bookmarkStart w:id="511" w:name="pg9135_79701"/>
    </w:p>
    <w:p>
      <w:pPr>
        <w:pStyle w:val="Heading2"/>
        <w:numPr>
          <w:ilvl w:val="1"/>
          <w:numId w:val="1"/>
        </w:numPr>
        <w:rPr/>
      </w:pPr>
      <w:bookmarkStart w:id="512" w:name="__RefHeading___Toc3219855_2870459653"/>
      <w:bookmarkStart w:id="513" w:name="_Toc205"/>
      <w:bookmarkEnd w:id="511"/>
      <w:bookmarkEnd w:id="512"/>
      <w:r>
        <w:rPr>
          <w:rtl w:val="true"/>
        </w:rPr>
        <w:t>تنبیه چهارم</w:t>
      </w:r>
      <w:r>
        <w:rPr>
          <w:rtl w:val="true"/>
        </w:rPr>
        <w:t xml:space="preserve">: </w:t>
      </w:r>
      <w:r>
        <w:rPr>
          <w:rtl w:val="true"/>
        </w:rPr>
        <w:t>مراد از ضرر، شخصی است یا نوعی؟</w:t>
      </w:r>
      <w:bookmarkEnd w:id="513"/>
    </w:p>
    <w:p>
      <w:pPr>
        <w:pStyle w:val="Heading3"/>
        <w:numPr>
          <w:ilvl w:val="2"/>
          <w:numId w:val="1"/>
        </w:numPr>
        <w:rPr/>
      </w:pPr>
      <w:bookmarkStart w:id="514" w:name="__RefHeading___Toc3219857_2870459653"/>
      <w:bookmarkStart w:id="515" w:name="_Toc206"/>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ضرری که به وسیله قاعده لاضرر نفی می شود، آیا ضرر شخصی است یا ضرر نوعی؟</w:t>
      </w:r>
    </w:p>
    <w:p>
      <w:pPr>
        <w:pStyle w:val="BookText"/>
        <w:rPr/>
      </w:pPr>
      <w:r>
        <w:rPr>
          <w:rFonts w:ascii="IRNazanin" w:hAnsi="IRNazanin" w:eastAsia="IRNazanin"/>
          <w:color w:val="111111"/>
          <w:sz w:val="28"/>
          <w:sz w:val="28"/>
          <w:szCs w:val="28"/>
          <w:rtl w:val="true"/>
          <w:lang w:bidi="fa-IR"/>
        </w:rPr>
        <w:t>قبل از بیان بحث مراد از ضرر شخصی و نوعی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شخصی؛ آن ضرر و نقصی را گویند که متوجه یک شخص خاص باشد یا در یک حالت خاص متوجه کسی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شخصی به حسب اختلاف اشخاص و احوال ثبوتاً و نفياً تغییر می کند؛ یعنی ممکن است یک عمل مضرّ به حال شخصی باشد و همین عمل مضرّ به حال شخص دیگر نباشد یا عملی برای یک شخص در یک حالت خاص مضرّ باشد؛ مثلاً در حال بیماری و در حالت دیگر برای او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 شخصی نسبت به اشخاص و حتی نسبت به یک شخص واحد در حالات مختلف تغییر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است که متوجّه نوع مکلفین و عامّه مردم است و این ضرر غالب مردم را در بر می گیرد که یا نوع مکلّف را یا غالب افرادِ فعل را در بر می گیرد یعنی غالباً افرادی که این فعل را انجام داده اند متضرّر شده اند مانند یک عمل جرّاحی که طبیب اخطار می دهد به این که غالب افراد به این عمل جرّاحی متضرر شده اند و لذا ضرر شخصی ممکن است با ضرر نوعی جمع نشود</w:t>
      </w:r>
      <w:r>
        <w:rPr>
          <w:rFonts w:eastAsia="IRNazanin" w:cs="IRNazanin"/>
          <w:color w:val="111111"/>
          <w:sz w:val="28"/>
          <w:szCs w:val="28"/>
          <w:rtl w:val="true"/>
          <w:lang w:bidi="fa-IR"/>
        </w:rPr>
        <w:t>.</w:t>
      </w:r>
    </w:p>
    <w:p>
      <w:pPr>
        <w:pStyle w:val="Heading3"/>
        <w:numPr>
          <w:ilvl w:val="2"/>
          <w:numId w:val="1"/>
        </w:numPr>
        <w:rPr/>
      </w:pPr>
      <w:bookmarkStart w:id="516" w:name="__RefHeading___Toc3219859_2870459653"/>
      <w:bookmarkStart w:id="517" w:name="_Toc207"/>
      <w:bookmarkEnd w:id="516"/>
      <w:r>
        <w:rPr>
          <w:rtl w:val="true"/>
        </w:rPr>
        <w:t>دلیل کسانی که مراد از ضرر را ضرر شخصی گرفته اند</w:t>
      </w:r>
      <w:bookmarkEnd w:id="5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فرائد </w:t>
      </w:r>
      <w:r>
        <w:rPr>
          <w:rStyle w:val="FootnoteAnchor"/>
          <w:rtl w:val="true"/>
        </w:rPr>
        <w:footnoteReference w:id="326"/>
      </w:r>
      <w:r>
        <w:rPr>
          <w:rFonts w:ascii="IRNazanin" w:hAnsi="IRNazanin" w:eastAsia="IRNazanin"/>
          <w:color w:val="111111"/>
          <w:sz w:val="28"/>
          <w:sz w:val="28"/>
          <w:szCs w:val="28"/>
          <w:rtl w:val="true"/>
          <w:lang w:bidi="fa-IR"/>
        </w:rPr>
        <w:t xml:space="preserve">ضرر را شخصی گرفته است و کثیری از محققین </w:t>
      </w:r>
      <w:bookmarkStart w:id="518" w:name="pg9135_79702"/>
    </w:p>
    <w:p>
      <w:pPr>
        <w:pStyle w:val="BookText"/>
        <w:rPr/>
      </w:pPr>
      <w:bookmarkEnd w:id="518"/>
      <w:r>
        <w:rPr>
          <w:rFonts w:ascii="IRNazanin" w:hAnsi="IRNazanin" w:eastAsia="IRNazanin"/>
          <w:color w:val="111111"/>
          <w:sz w:val="28"/>
          <w:sz w:val="28"/>
          <w:szCs w:val="28"/>
          <w:rtl w:val="true"/>
          <w:lang w:bidi="fa-IR"/>
        </w:rPr>
        <w:t xml:space="preserve">تبعیّت از شیخ انصاری کرده اند مثل شیخ الشریعه در قاعده لاضرر، </w:t>
      </w:r>
      <w:r>
        <w:rPr>
          <w:rStyle w:val="FootnoteAnchor"/>
          <w:rtl w:val="true"/>
        </w:rPr>
        <w:footnoteReference w:id="327"/>
      </w:r>
      <w:r>
        <w:rPr>
          <w:rFonts w:ascii="IRNazanin" w:hAnsi="IRNazanin" w:eastAsia="IRNazanin"/>
          <w:color w:val="111111"/>
          <w:sz w:val="28"/>
          <w:sz w:val="28"/>
          <w:szCs w:val="28"/>
          <w:rtl w:val="true"/>
          <w:lang w:bidi="fa-IR"/>
        </w:rPr>
        <w:t xml:space="preserve">محقق نائینی قاعده لاضرر، </w:t>
      </w:r>
      <w:r>
        <w:rPr>
          <w:rStyle w:val="FootnoteAnchor"/>
          <w:rtl w:val="true"/>
        </w:rPr>
        <w:footnoteReference w:id="328"/>
      </w:r>
      <w:r>
        <w:rPr>
          <w:rFonts w:ascii="IRNazanin" w:hAnsi="IRNazanin" w:eastAsia="IRNazanin"/>
          <w:color w:val="111111"/>
          <w:sz w:val="28"/>
          <w:sz w:val="28"/>
          <w:szCs w:val="28"/>
          <w:rtl w:val="true"/>
          <w:lang w:bidi="fa-IR"/>
        </w:rPr>
        <w:t xml:space="preserve">آقا ضیاء عراقی در قاعده لاضرر، </w:t>
      </w:r>
      <w:r>
        <w:rPr>
          <w:rStyle w:val="FootnoteAnchor"/>
          <w:rtl w:val="true"/>
        </w:rPr>
        <w:footnoteReference w:id="329"/>
      </w:r>
      <w:r>
        <w:rPr>
          <w:rFonts w:ascii="IRNazanin" w:hAnsi="IRNazanin" w:eastAsia="IRNazanin"/>
          <w:color w:val="111111"/>
          <w:sz w:val="28"/>
          <w:sz w:val="28"/>
          <w:szCs w:val="28"/>
          <w:rtl w:val="true"/>
          <w:lang w:bidi="fa-IR"/>
        </w:rPr>
        <w:t xml:space="preserve">مرحوم بجنوردی در قواعد الفقهيه، </w:t>
      </w:r>
      <w:r>
        <w:rPr>
          <w:rStyle w:val="FootnoteAnchor"/>
          <w:rtl w:val="true"/>
        </w:rPr>
        <w:footnoteReference w:id="330"/>
      </w:r>
      <w:r>
        <w:rPr>
          <w:rFonts w:ascii="IRNazanin" w:hAnsi="IRNazanin" w:eastAsia="IRNazanin"/>
          <w:color w:val="111111"/>
          <w:sz w:val="28"/>
          <w:sz w:val="28"/>
          <w:szCs w:val="28"/>
          <w:rtl w:val="true"/>
          <w:lang w:bidi="fa-IR"/>
        </w:rPr>
        <w:t>مرحوم سید احمد خوانساری در جامع المدارک</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519" w:name="__RefHeading___Toc3219861_2870459653"/>
      <w:bookmarkStart w:id="520" w:name="_Toc208"/>
      <w:bookmarkEnd w:id="519"/>
      <w:r>
        <w:rPr>
          <w:rtl w:val="true"/>
        </w:rPr>
        <w:t>دلیل شیخ انصاری و من تبع ایشان</w:t>
      </w:r>
      <w:bookmarkEnd w:id="520"/>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شرعیه اوّلیه مانند ادله صلاة، صيام، حج، زکات و غیر این احکام شرعیه وارد شده اند على نحو عموم استغراقی؛ که مقتضای آن انحلال هر یک از احکام شريعة به تكاليف متعدّده نسبت به مکلفین است؛ بنا بر این هر یک از مکلفین بخصوصه تکلیفی خاص متوجه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مکلف در حالت عادی و حالت عادی و اختیاری، مکلف به طهارت مائیه و رکوع و سجود اختیاری است و مکلَّفِ دیگر در حالت اضطرار مکلف به طهارت ترابیه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تکالیف متعدد شد به تکالیف متعدد شخصيه و احکام شرعية شخصیه شد و گفتیم که لاضرر حکومت دارد بر ادله احکام، و منظور از احکام احکام شخصیه باشد در نتیجه وقتی برای مکلف حکمی ضرری بشود و منظور از ضرر، ضرر شخصی باشد در نتیجه هر مکلّفی که حکمی از تکالیف برای او ضرری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لاضرر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ضرر مانند سائر الفاظ وضع شده است برای مفاهیم واقعیّه خارجیّه و این مفاهیم ظهورش در فعلیهٔ شخصیه است نه در اقتضائیۀ نوعیه بنا بر این وقتی حدیث لاضرر نفی ضرر می کند در واقع نفی موضوعیت می کند از عمل ضرری که ظاهر آن نفی ضرر فعلی است که وارد بر آن شخص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خوئی رحمه اللّه علیه در تقریرات بحث شان </w:t>
      </w:r>
      <w:r>
        <w:rPr>
          <w:rStyle w:val="FootnoteAnchor"/>
          <w:rtl w:val="true"/>
        </w:rPr>
        <w:footnoteReference w:id="332"/>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ضرر همانند بقیه عناوینی است که اخذ شده است موضوع برای احکام ایجابیّه یا سلبیّه به نحو </w:t>
      </w:r>
      <w:bookmarkStart w:id="521" w:name="pg9135_79703"/>
    </w:p>
    <w:p>
      <w:pPr>
        <w:pStyle w:val="BookText"/>
        <w:rPr/>
      </w:pPr>
      <w:bookmarkEnd w:id="521"/>
      <w:r>
        <w:rPr>
          <w:rFonts w:ascii="IRNazanin" w:hAnsi="IRNazanin" w:eastAsia="IRNazanin"/>
          <w:color w:val="111111"/>
          <w:sz w:val="28"/>
          <w:sz w:val="28"/>
          <w:szCs w:val="28"/>
          <w:rtl w:val="true"/>
          <w:lang w:bidi="fa-IR"/>
        </w:rPr>
        <w:t>قضيه حقیقیّه که اگر یک حکم شرعی که به نحو قضیّه حقیقیه است ضرری باشد دیگر این حکم فعلیت در موردی که ضرری باشد ندارد، بعد ایشان مثال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 وجوب اکرام در قضیه اکرم العلماء تابع این است که این شخص را که می خواهیم اکرام کنیم عالم باشد و اگر عالم نباشد هر چند در شهر غالب عالم هستند؛ امّا وجوب اکرام برای این شخص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اگر وضو یا غسل به خاطر سردی و برودت هوا برای نوع مکلفین ضرری باشد؛ امّا برای یک شخص خاص ضرری نباشد نمی توانیم حکم عدم وجوب غسل یا وضو برای این شخص خاص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حدیث رفع هم اگر نوع مردم جاهل هستند و یک شخص خاص عالم باشد از او رفع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عراقی در مقالات الأصول </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از القاء مثل این خطاب ظهورش بر اشخاص است؛ یعنی عنوان ضرر بر حق شخص منطبق بشود و این مصداق پیدا نمی کند، مگر این که شما اراده ضرر فعلی را داشته باشید که وارد بر اشخاص می شود و نه ضرری که وارد بر نوع می شود، اگر چه نسبت به بعضی اشخاص فعلیتی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تمسّک به ظهور می کنند، ظهور این خطابات ضرر شخصی است و ربطی به نوع ندارد؛ چون می خواهد ضرر فعلی را رفع کند و ضرر فعلی به شخص برمی گردد و ضرر نوعی ممکن است برای شخصی ضرر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از محقق نائینی مراد از ضرر ضرر شخصی است، چون حدیث لاضرر امتنانی است و به جهت امتنان لاضرر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ضرر، ضررِ شخصی باشد چون برای آن کسی که حکم ضرری است اگر حکم برداشته شود امتنان است و برای آن کسی که ضرری نیست امتنانی وجود ندارد</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522" w:name="__RefHeading___Toc3219863_2870459653"/>
      <w:bookmarkStart w:id="523" w:name="_Toc209"/>
      <w:bookmarkEnd w:id="522"/>
      <w:r>
        <w:rPr>
          <w:rtl w:val="true"/>
        </w:rPr>
        <w:t>نقد به کلام محقق نائینی</w:t>
      </w:r>
      <w:bookmarkEnd w:id="5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این که حدیث لاضرر مورد امتنان وارد شده است یا خیر محلّ </w:t>
      </w:r>
      <w:bookmarkStart w:id="524" w:name="pg9135_79704"/>
    </w:p>
    <w:p>
      <w:pPr>
        <w:pStyle w:val="BookText"/>
        <w:rPr/>
      </w:pPr>
      <w:bookmarkEnd w:id="524"/>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می فرمایند لاضرر امتنانی نیست و این غیر حدیث رفع است که </w:t>
      </w:r>
      <w:r>
        <w:rPr>
          <w:rFonts w:ascii="Amiri" w:hAnsi="Amiri" w:eastAsia="Amiri" w:cs="Amiri"/>
          <w:color w:val="111111"/>
          <w:sz w:val="28"/>
          <w:sz w:val="28"/>
          <w:szCs w:val="28"/>
          <w:rtl w:val="true"/>
          <w:lang w:bidi="ar-SA"/>
        </w:rPr>
        <w:t>وَرَدَ مَوْرِدَ اَلْإِمْتَنَانِ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لاضرر امتنانی باشد و مراد از ضرر ضررِ نوعی باشد و این جا امتنان بر 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امتنانی بودن لازمه اش ضرر شخصی بودن لاضرر نیست به دلیل این که امتنان، همیشه بر شخص نیست و ممکن است بر نوع باشد</w:t>
      </w:r>
      <w:r>
        <w:rPr>
          <w:rFonts w:eastAsia="IRNazanin" w:cs="IRNazanin"/>
          <w:color w:val="111111"/>
          <w:sz w:val="28"/>
          <w:szCs w:val="28"/>
          <w:rtl w:val="true"/>
          <w:lang w:bidi="fa-IR"/>
        </w:rPr>
        <w:t>.</w:t>
      </w:r>
    </w:p>
    <w:p>
      <w:pPr>
        <w:pStyle w:val="Heading3"/>
        <w:numPr>
          <w:ilvl w:val="2"/>
          <w:numId w:val="1"/>
        </w:numPr>
        <w:rPr/>
      </w:pPr>
      <w:bookmarkStart w:id="525" w:name="__RefHeading___Toc3219865_2870459653"/>
      <w:bookmarkStart w:id="526" w:name="_Toc210"/>
      <w:bookmarkEnd w:id="525"/>
      <w:r>
        <w:rPr>
          <w:rtl w:val="true"/>
        </w:rPr>
        <w:t>دلیل کسانی که مراد از ضرر را ضرر نوعی گرفته اند</w:t>
      </w:r>
      <w:bookmarkEnd w:id="526"/>
    </w:p>
    <w:p>
      <w:pPr>
        <w:pStyle w:val="Heading3"/>
        <w:numPr>
          <w:ilvl w:val="2"/>
          <w:numId w:val="1"/>
        </w:numPr>
        <w:rPr/>
      </w:pPr>
      <w:bookmarkStart w:id="527" w:name="__RefHeading___Toc3219867_2870459653"/>
      <w:bookmarkStart w:id="528" w:name="_Toc211"/>
      <w:bookmarkEnd w:id="527"/>
      <w:r>
        <w:rPr>
          <w:rtl w:val="true"/>
        </w:rPr>
        <w:t>دلیل اوّل</w:t>
      </w:r>
      <w:bookmarkEnd w:id="528"/>
    </w:p>
    <w:p>
      <w:pPr>
        <w:pStyle w:val="BookText"/>
        <w:rPr/>
      </w:pPr>
      <w:r>
        <w:rPr>
          <w:rFonts w:ascii="IRNazanin" w:hAnsi="IRNazanin" w:eastAsia="IRNazanin"/>
          <w:color w:val="111111"/>
          <w:sz w:val="28"/>
          <w:sz w:val="28"/>
          <w:szCs w:val="28"/>
          <w:rtl w:val="true"/>
          <w:lang w:bidi="fa-IR"/>
        </w:rPr>
        <w:t>فقها برای اثبات خیار غبن به حدیث لاضرر تمسک کرده اند و حال آن که غبن در بعضی از موارد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معامله شخص مغبون می شود، امّا ضرر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مشتری مغبون شده باشد در این معامله امّا بعداً به جهت افزایش قیمت سود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ضرر، ضررِ نوعی است چون در خیار غبن نوعاً ضرر است و مواردی خاص ممکن است باشد که نه تنها ضرر نیست؛ بلکه نفع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دلیل خیار غبن لاضرر باشد بلکه دلیل آن تخلفِ شرط ارتكازي ضمنی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شرط ارتکازی ضمنی در معاملات؛ تساوی عوضین در مالیت است یعنی به همان مقداری که پول بدهد در مقابل جنس دریافت کند عقلا به این شرط ارتکازی عمل می کنند</w:t>
      </w:r>
      <w:r>
        <w:rPr>
          <w:rFonts w:eastAsia="IRNazanin" w:cs="IRNazanin"/>
          <w:color w:val="111111"/>
          <w:sz w:val="28"/>
          <w:szCs w:val="28"/>
          <w:rtl w:val="true"/>
          <w:lang w:bidi="fa-IR"/>
        </w:rPr>
        <w:t>.</w:t>
      </w:r>
    </w:p>
    <w:p>
      <w:pPr>
        <w:pStyle w:val="Heading3"/>
        <w:numPr>
          <w:ilvl w:val="2"/>
          <w:numId w:val="1"/>
        </w:numPr>
        <w:rPr/>
      </w:pPr>
      <w:bookmarkStart w:id="529" w:name="__RefHeading___Toc3219869_2870459653"/>
      <w:bookmarkStart w:id="530" w:name="_Toc212"/>
      <w:bookmarkEnd w:id="529"/>
      <w:r>
        <w:rPr>
          <w:rtl w:val="true"/>
        </w:rPr>
        <w:t>دلیل دوّم</w:t>
      </w:r>
      <w:r>
        <w:rPr>
          <w:rtl w:val="true"/>
        </w:rPr>
        <w:t xml:space="preserve">: </w:t>
      </w:r>
      <w:r>
        <w:rPr>
          <w:rtl w:val="true"/>
        </w:rPr>
        <w:t>استناد به حدیث شفعه</w:t>
      </w:r>
      <w:bookmarkEnd w:id="53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ادله قاعده لاضرر ، حدیث شفعه بود که گفتیم سند آن ضعیف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الْكُلَيْنِيُّ عَنْ مُحَمَّدِ بْنِ يَحْيَى عَنْ مُحَمَّدِ بْنِ الْحُسَيْنِ عَنْ مُحَمَّدِ بْنِ عَبْدِ اللَّهِ عَنْ عُقْبَةَ بْنِ خَالِدٍ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صُلِّيَ اللَّهُ عَلَيْهِ وَ آلِهِ وَ سَلَّمَ بالشفعه بَيْنَ الشُّرَكَاءِ فِي الْأَرَضِينَ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رُفَّتِ الْأُرَفُ وَحْدَةَ الْحُدُودِ</w:t>
      </w:r>
      <w:bookmarkStart w:id="531" w:name="pg9135_79705"/>
    </w:p>
    <w:p>
      <w:pPr>
        <w:pStyle w:val="BookText"/>
        <w:rPr/>
      </w:pPr>
      <w:bookmarkEnd w:id="531"/>
      <w:r>
        <w:rPr>
          <w:rFonts w:ascii="Amiri" w:hAnsi="Amiri" w:eastAsia="Amiri" w:cs="Amiri"/>
          <w:color w:val="111111"/>
          <w:sz w:val="28"/>
          <w:sz w:val="28"/>
          <w:szCs w:val="28"/>
          <w:rtl w:val="true"/>
          <w:lang w:bidi="ar-SA"/>
        </w:rPr>
        <w:t>فَلاَشَفَعْتُۀ</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حکم به شفعه کردند بین شرکاء در زمین و زمین های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ضرری وجود دارد و نه اضراری وقتی زمین حدود و مرز آن مشخص شد و سهم هر کدام مشخص شد دیگر شراکتی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شفعه را تعلیل فرمودند به لاضرر و لاضرار در حالی که این حق شفعه ضرر نوعی است؛ چون ممکن است با اعمال حق شفعه شریک متضرر شود، پس بنا بر این این لاضرری که تعلیل شده است، ضرر نوعی را بیان می کند و ضرر شخصی نیست؛ زیرا ممکن است شریک اعمال حق شفعه نکند و ضرر 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بیان کردیم سندِ این روایت به محمّد بن عبد اللّه بن هلال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لاضرری که در روایت ذکر شده است علّتِ تشریعِ حکم نیست بلکه لاضرر حکمتِ تشریع حکم است و بیان کردیم وقتی چیزی حکمت تشریع حکم باشد می تواند در مواردی باشد و در مواردی نباشد مثل بحث عده که حکمت آن را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اخْتِلَاطٍ مِيَاهُ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جایی اختلاط میاه نباشد امّا وجوب عده هنوز باشد</w:t>
      </w:r>
      <w:r>
        <w:rPr>
          <w:rFonts w:eastAsia="IRNazanin" w:cs="IRNazanin"/>
          <w:color w:val="111111"/>
          <w:sz w:val="28"/>
          <w:szCs w:val="28"/>
          <w:rtl w:val="true"/>
          <w:lang w:bidi="fa-IR"/>
        </w:rPr>
        <w:t>.</w:t>
      </w:r>
    </w:p>
    <w:p>
      <w:pPr>
        <w:pStyle w:val="Heading3"/>
        <w:numPr>
          <w:ilvl w:val="2"/>
          <w:numId w:val="1"/>
        </w:numPr>
        <w:rPr/>
      </w:pPr>
      <w:bookmarkStart w:id="532" w:name="__RefHeading___Toc3219871_2870459653"/>
      <w:bookmarkStart w:id="533" w:name="_Toc213"/>
      <w:bookmarkEnd w:id="532"/>
      <w:r>
        <w:rPr>
          <w:rtl w:val="true"/>
        </w:rPr>
        <w:t>قول مرحوم مامقانی در حاشیه بر لاضرر شیخ انصاری رحمه اللّه علیه</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مرحوم مامقانی در حاشیه بر لاضرر شیخ انصاری رحمه اللّه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می فرمایند منظور از ضرر در قاعده لاضرر اگر در معاملات باشد ضرر نوعی است؛ امّا اگر در احکام عبادی باشد ضرر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همین دو دلیل است که اقامه شد در بحث ضرر نوعی یعنی دلیل ایشان مرکب است از دلیل خیار غبن و حدیث شفعه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به نقودی که به دو دلیل وارد شده است باطل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ضرر در قاعده لاضرر، ضرر شخصی است چه در عبادات چه در معاملات</w:t>
      </w:r>
      <w:r>
        <w:rPr>
          <w:rFonts w:eastAsia="IRNazanin" w:cs="IRNazanin"/>
          <w:color w:val="111111"/>
          <w:sz w:val="28"/>
          <w:szCs w:val="28"/>
          <w:rtl w:val="true"/>
          <w:lang w:bidi="fa-IR"/>
        </w:rPr>
        <w:t xml:space="preserve">. </w:t>
      </w:r>
      <w:bookmarkStart w:id="534" w:name="pg9135_79706"/>
    </w:p>
    <w:p>
      <w:pPr>
        <w:pStyle w:val="Heading2"/>
        <w:numPr>
          <w:ilvl w:val="1"/>
          <w:numId w:val="1"/>
        </w:numPr>
        <w:rPr/>
      </w:pPr>
      <w:bookmarkStart w:id="535" w:name="__RefHeading___Toc3219873_2870459653"/>
      <w:bookmarkStart w:id="536" w:name="_Toc214"/>
      <w:bookmarkEnd w:id="534"/>
      <w:bookmarkEnd w:id="535"/>
      <w:r>
        <w:rPr>
          <w:rtl w:val="true"/>
        </w:rPr>
        <w:t>تنبیه پنجم</w:t>
      </w:r>
      <w:r>
        <w:rPr>
          <w:rtl w:val="true"/>
        </w:rPr>
        <w:t xml:space="preserve">: </w:t>
      </w:r>
      <w:r>
        <w:rPr>
          <w:rtl w:val="true"/>
        </w:rPr>
        <w:t>تعارض ضررین</w:t>
      </w:r>
      <w:bookmarkEnd w:id="536"/>
    </w:p>
    <w:p>
      <w:pPr>
        <w:pStyle w:val="Heading3"/>
        <w:numPr>
          <w:ilvl w:val="2"/>
          <w:numId w:val="1"/>
        </w:numPr>
        <w:rPr/>
      </w:pPr>
      <w:bookmarkStart w:id="537" w:name="__RefHeading___Toc3219875_2870459653"/>
      <w:bookmarkStart w:id="538" w:name="_Toc215"/>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محقق نائینی در تنبیه ششم از تقریرات بحث لاضرر این بحث را بیان می کنند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لا ضرر وارد شده است در مقام امتنان بنا بر این واجب نیست که انسان تحمّل ضرری را بکند که متوجه به غیر است و از او دفع یا رفعِ ضرر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ضرری به شخصی متوجّه شد جایز نیست ضرر را هدایت به سمت غیر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جایز نیست مَسیل را عوض کند تا وارد خانه همسایه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را می فرماید به جهت تعارض ضررین و عدم مُرَجِّحٍ فِي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امر دائر شود بین این که شخصی مخیر شود بین ضررین، در این جا واجب است اقل ضرراً را قبول کند، این در فرضی است که دو ضرر متوجه یک شخص باشد حال اگر دو ضرر متوجّه دو شخص باشد به نحوی که یک ضرر اقل و دیگری اکثر باشد اقلُّ الضررین را باید اختیار کند و بنا بر این اگر بین دو ضرر ترجیحی نباشد مقتضای قاعده، تخییر است نه این که رجوع شود به سایر قواعد زیرا عدمِ امکان جمع دلیلین ناشی نشده است از عدمِ امکانِ جمعِ در جعل، بلکه ناشی شده است از تزاحمِ دو حق مثل تزاحم غریقین که باید اهم نجات داده شود یا محتمل الأهمية را، پس در دوران بین دو ضرر باید آن ضرری را که اهمّ است دفع کند با تَقَبُّل ضرر مهم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اشکال کند که سخن شما در فرضی که دو ضرر متوجه به یک شخص باشد و باید أقل ضرراً را اختیار کرد و ضرر بیشتر را دفع کرد و در صورت تساوی ضررین حکم به تخییر کرد، صحیح است </w:t>
      </w:r>
    </w:p>
    <w:p>
      <w:pPr>
        <w:pStyle w:val="BookText"/>
        <w:rPr/>
      </w:pPr>
      <w:r>
        <w:rPr>
          <w:rFonts w:ascii="IRNazanin" w:hAnsi="IRNazanin" w:eastAsia="IRNazanin"/>
          <w:color w:val="111111"/>
          <w:sz w:val="28"/>
          <w:sz w:val="28"/>
          <w:szCs w:val="28"/>
          <w:rtl w:val="true"/>
          <w:lang w:bidi="fa-IR"/>
        </w:rPr>
        <w:t xml:space="preserve">امّا در صورتی که ضررین متوجّه دو شخص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مِنْ قِبَلِ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حيث که جائر مجبور می کند شخصی را که متولی ضرر بر غیر شود که در صورت عدم انجام، ضرر متوجه آن شخص شود، در این فرض محقق نائینی می فرماید؛ هیچ وجهی برای ترجیح و تخییر وجود ندارد؛ زیرا داخل می شود این فرض در آن صورتی که گفتیم واجب نیست تحمل ضرر از غیر تا ضرر از غیر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شخص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مِنْ قِبَلِ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کند تا ضرر را از خود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جائر و ظالم شخص را مجبور کند بر این که سالیانه فلان مبلغ را از مال خود به او بدهد در این فرض جایز نیست آن مبلغ را از مردم بگیرد تا ضرر مالی را از خود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مسئله توليت من قبل الجائر یعنی پذیرش مقامات از طرف ظالم داخل در قسم اوّل است؛ یعنی واجب نیست ضرری را که به غیر متوجه شده است، من دفع کنم در نتیجه اقل الضررین لحاظ نمی شود به دلیل این که توجّه ضرر اوّلاً الى الغیر است و واجب نیست ضرر به غیر را من تحمل کنم و از او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اجبار بر دفع اموال داخل می شود در مسئله قبل که رفع ضرر از نفس به ادخال ضرر بر غیر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مرحوم محقق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شیخ انصاری رحمه اللّه علیه در مسئله تولّی من قبل الجائر در کتاب مکاسب </w:t>
      </w:r>
      <w:r>
        <w:rPr>
          <w:rStyle w:val="FootnoteAnchor"/>
          <w:rtl w:val="true"/>
        </w:rPr>
        <w:footnoteReference w:id="337"/>
      </w:r>
      <w:r>
        <w:rPr>
          <w:rFonts w:ascii="IRNazanin" w:hAnsi="IRNazanin" w:eastAsia="IRNazanin"/>
          <w:color w:val="111111"/>
          <w:sz w:val="28"/>
          <w:sz w:val="28"/>
          <w:szCs w:val="28"/>
          <w:rtl w:val="true"/>
          <w:lang w:bidi="fa-IR"/>
        </w:rPr>
        <w:t>اختیار کرده است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که در رساله لاضرر شیخ </w:t>
      </w:r>
      <w:r>
        <w:rPr>
          <w:rStyle w:val="FootnoteAnchor"/>
          <w:rtl w:val="true"/>
        </w:rPr>
        <w:footnoteReference w:id="338"/>
      </w:r>
      <w:r>
        <w:rPr>
          <w:rFonts w:ascii="IRNazanin" w:hAnsi="IRNazanin" w:eastAsia="IRNazanin"/>
          <w:color w:val="111111"/>
          <w:sz w:val="28"/>
          <w:sz w:val="28"/>
          <w:szCs w:val="28"/>
          <w:rtl w:val="true"/>
          <w:lang w:bidi="fa-IR"/>
        </w:rPr>
        <w:t>آمده صحیح نیست، ایشان مسئله تولى من قبل الجائر را می برد در بحث توارد ضررین بر شخص واحد و می فرماید؛ توارد ضررين بشخصين حکم توارد ضررين بشخص واحد را دارد که باید اقَلّ ضررین را اخذ کرد و اگر اقل ضرر نبود رجوع به عمومات دیگر می شود و اگر عمومات نبود قرعه انداخته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فرمایند؛ شیخ متفرع کرده است بر این مسئله، ضررِ وارده به </w:t>
      </w:r>
      <w:bookmarkStart w:id="539" w:name="pg9135_79708"/>
    </w:p>
    <w:p>
      <w:pPr>
        <w:pStyle w:val="BookText"/>
        <w:rPr/>
      </w:pPr>
      <w:bookmarkEnd w:id="539"/>
      <w:r>
        <w:rPr>
          <w:rFonts w:ascii="IRNazanin" w:hAnsi="IRNazanin" w:eastAsia="IRNazanin"/>
          <w:color w:val="111111"/>
          <w:sz w:val="28"/>
          <w:sz w:val="28"/>
          <w:szCs w:val="28"/>
          <w:rtl w:val="true"/>
          <w:lang w:bidi="fa-IR"/>
        </w:rPr>
        <w:t>ملاحظه حال اشخاص را به این بیان که ممکن است ضرر یک درهم بر یک شخص اعظم از ضرر یک دینار بر شخص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می فرماید دفع ضرر از غیر واجب نیست هر چند ضرر یک درهم اعظم از ضرر یک دیناری است که متوجه 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ضرر اوّلاً متوجّه شخص شد، نمی توان این ضرر را هدایت به سمت غیر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بخواهیم بر اساس آن چه شیخ در رسالة لاضرر فرموده اند مَشي کنیم؛ در صورتی که ضرر، ضررِ سَماوی باشد و ضرر متوجه شخصين باشد مانند فرض این که حیوان شخصی سر خود را در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داخل کرده باشد بدون تفریط و امر دائر است بین ذبح دابّه یا شکستن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فرمایند؛ اگر ما در این فرض قول شیخ انصاری را اختیار کنیم که أخذ به اقل الضررین باشد به صواب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عبارت شیخ در فرائد </w:t>
      </w:r>
      <w:r>
        <w:rPr>
          <w:rStyle w:val="FootnoteAnchor"/>
          <w:rtl w:val="true"/>
        </w:rPr>
        <w:footnoteReference w:id="339"/>
      </w:r>
      <w:r>
        <w:rPr>
          <w:rFonts w:ascii="IRNazanin" w:hAnsi="IRNazanin" w:eastAsia="IRNazanin"/>
          <w:color w:val="111111"/>
          <w:sz w:val="28"/>
          <w:sz w:val="28"/>
          <w:szCs w:val="28"/>
          <w:rtl w:val="true"/>
          <w:lang w:bidi="fa-IR"/>
        </w:rPr>
        <w:t>را نمی شود بر این مورد یعنی ضرر سماوی حمل کرد چون ایشان خود شان مثال زده اند به داستان تولّی من قبل الجائر و دیگر قابل 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فرمایند در تعارض ضررین نسبت به شخصین اگر سماوی باشد اقل الضررين را اخذ می کنیم؛ امّا اگر از قبیل تولّى من قبل جائر باشد، نمی شود آن را از باب توارد ضررین بر شخصین و اخذ به اقل الضررين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مثالی که در فرائد می آورد، صحیح نیست</w:t>
      </w:r>
      <w:r>
        <w:rPr>
          <w:rFonts w:eastAsia="IRNazanin" w:cs="IRNazanin"/>
          <w:color w:val="111111"/>
          <w:sz w:val="28"/>
          <w:szCs w:val="28"/>
          <w:rtl w:val="true"/>
          <w:lang w:bidi="fa-IR"/>
        </w:rPr>
        <w:t>.</w:t>
      </w:r>
    </w:p>
    <w:p>
      <w:pPr>
        <w:pStyle w:val="Heading3"/>
        <w:numPr>
          <w:ilvl w:val="2"/>
          <w:numId w:val="1"/>
        </w:numPr>
        <w:rPr/>
      </w:pPr>
      <w:bookmarkStart w:id="540" w:name="__RefHeading___Toc3219877_2870459653"/>
      <w:bookmarkStart w:id="541" w:name="_Toc216"/>
      <w:bookmarkEnd w:id="540"/>
      <w:r>
        <w:rPr>
          <w:rtl w:val="true"/>
        </w:rPr>
        <w:t>بررسی کلام محقق نائینی در بحث تعارض ضررین</w:t>
      </w:r>
      <w:bookmarkEnd w:id="541"/>
    </w:p>
    <w:p>
      <w:pPr>
        <w:pStyle w:val="BookText"/>
        <w:rPr/>
      </w:pPr>
      <w:r>
        <w:rPr>
          <w:rFonts w:ascii="IRNazanin" w:hAnsi="IRNazanin" w:eastAsia="IRNazanin"/>
          <w:color w:val="111111"/>
          <w:sz w:val="28"/>
          <w:sz w:val="28"/>
          <w:szCs w:val="28"/>
          <w:rtl w:val="true"/>
          <w:lang w:bidi="fa-IR"/>
        </w:rPr>
        <w:t>فروضی را که محقق نائینی فرمودند به طور جدا گانه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ضرر به غیر متوجّه است، آیا واجب است ضرر به غیر را دفع یا رفع کنیم؟ مرحوم محقق در این فرض فرمودند حدیث لاضرر وارد شده است در مقام امتنان پس دفع و رفع ضرر از غیر واجب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فرض می گوییم ولو حدیث لاضرر امتنانی نباشد کما این که بعضی منکرِ امتنانی بودن قاعده لاضرر هستند، این فرض محل جریان قاعده لاضرر نیست؛ زیرا بیان کردیم قاعده لاضرر نظر دارد به احکام وجودیّه ضرریّه و این </w:t>
      </w:r>
      <w:bookmarkStart w:id="542" w:name="pg9135_79709"/>
    </w:p>
    <w:p>
      <w:pPr>
        <w:pStyle w:val="BookText"/>
        <w:rPr/>
      </w:pPr>
      <w:bookmarkEnd w:id="542"/>
      <w:r>
        <w:rPr>
          <w:rFonts w:ascii="IRNazanin" w:hAnsi="IRNazanin" w:eastAsia="IRNazanin"/>
          <w:color w:val="111111"/>
          <w:sz w:val="28"/>
          <w:sz w:val="28"/>
          <w:szCs w:val="28"/>
          <w:rtl w:val="true"/>
          <w:lang w:bidi="fa-IR"/>
        </w:rPr>
        <w:t>احکام را از مکلف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واضح است که اصلاً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ضرر می خواهد به غیر متوجّه بشود یا متوجّه شده است، آیا بر مکلف واجب است این ضررِ بر غیر را دفع یا رفع کند، ظاهراً نمی شود چنین وجوبی را بر مکلّف ثابت کرد؛ زیرا در این فرضی که ضرر بر غیر وارد می شود، و از این عدم الحکم به غیر ضرر ناشی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خود محقق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حکمی نداشته باشد قاعده لاضرر نمی تواند بر احکام عدمیه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ضرری متوجه به شخصی است و او این ضرر را از خود دفع می کند و هدایت به سمت غیر کند، محقق نائینی قائل به عدم جواز است و می فرماید به جهت تعارض ضررین قاعده لاضرر در این فرض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این است که مَا نَحْنُ فِيهِ از موارد تعارض نیست به دلیل این که تعارض در جایی تصوّر می شود که دو حکم متوجه مکلّف باشد و آن دو حکم با هم متنافی باشند و این دو حکم متنافی هر کدام مترتب بشوند بر ضرر به گونه ای که تطبیق قاعده لاضرر نسبت به این دو حکم ممکن نباشد مانند داستان دابّه قدر كه في ما بعد متعرض آن می شویم و از باب تعارض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حكم وجود ندارد و یک حکم بیشتر نیست و آن حکم حرمتِ توجّه ضرر به غیر است پس تعارض معنا ندارد</w:t>
      </w:r>
      <w:r>
        <w:rPr>
          <w:rFonts w:eastAsia="IRNazanin" w:cs="IRNazanin"/>
          <w:color w:val="111111"/>
          <w:sz w:val="28"/>
          <w:szCs w:val="28"/>
          <w:rtl w:val="true"/>
          <w:lang w:bidi="fa-IR"/>
        </w:rPr>
        <w:t>.</w:t>
      </w:r>
    </w:p>
    <w:p>
      <w:pPr>
        <w:pStyle w:val="Heading3"/>
        <w:numPr>
          <w:ilvl w:val="2"/>
          <w:numId w:val="1"/>
        </w:numPr>
        <w:rPr/>
      </w:pPr>
      <w:bookmarkStart w:id="543" w:name="__RefHeading___Toc3219879_2870459653"/>
      <w:bookmarkStart w:id="544" w:name="_Toc217"/>
      <w:bookmarkEnd w:id="543"/>
      <w:r>
        <w:rPr>
          <w:rtl w:val="true"/>
        </w:rPr>
        <w:t>آیا قاعده لاضرر می تواند حرمتِ توجه به غیر را بردارد یا خیر؟</w:t>
      </w:r>
      <w:bookmarkEnd w:id="544"/>
    </w:p>
    <w:p>
      <w:pPr>
        <w:pStyle w:val="BookText"/>
        <w:rPr/>
      </w:pPr>
      <w:r>
        <w:rPr>
          <w:rFonts w:ascii="IRNazanin" w:hAnsi="IRNazanin" w:eastAsia="IRNazanin"/>
          <w:color w:val="111111"/>
          <w:sz w:val="28"/>
          <w:sz w:val="28"/>
          <w:szCs w:val="28"/>
          <w:rtl w:val="true"/>
          <w:lang w:bidi="fa-IR"/>
        </w:rPr>
        <w:t>در این جا باید دو مطلب بحث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حرمت تکلیفی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وقتی ضرر به وسیله مکلّف به سمت غیر هدایت شد و متوجّه غیر شد و از اموال غیر چیزی تلف شد در این جا بحث ضمان پیش می آید تحت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لَهُ ضَامِنُ</w:t>
      </w:r>
      <w:r>
        <w:rPr>
          <w:rFonts w:eastAsia="IRNazanin" w:cs="IRNazanin"/>
          <w:color w:val="111111"/>
          <w:sz w:val="28"/>
          <w:szCs w:val="28"/>
          <w:rtl w:val="true"/>
          <w:lang w:bidi="fa-IR"/>
        </w:rPr>
        <w:t>».</w:t>
      </w:r>
    </w:p>
    <w:p>
      <w:pPr>
        <w:pStyle w:val="Heading3"/>
        <w:numPr>
          <w:ilvl w:val="2"/>
          <w:numId w:val="1"/>
        </w:numPr>
        <w:rPr/>
      </w:pPr>
      <w:bookmarkStart w:id="545" w:name="__RefHeading___Toc3219881_2870459653"/>
      <w:bookmarkStart w:id="546" w:name="_Toc218"/>
      <w:bookmarkEnd w:id="545"/>
      <w:r>
        <w:rPr>
          <w:rtl w:val="true"/>
        </w:rPr>
        <w:t>بحث حرمت تکلیفی</w:t>
      </w:r>
      <w:bookmarkEnd w:id="54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حرمت به وسیله قاعده لاضرر برداشته می شود یا خیر؟ </w:t>
      </w:r>
      <w:bookmarkStart w:id="547" w:name="pg9135_79710"/>
    </w:p>
    <w:p>
      <w:pPr>
        <w:pStyle w:val="BookText"/>
        <w:rPr/>
      </w:pPr>
      <w:bookmarkEnd w:id="547"/>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ضرر به مکلف متوجّه شده است و او می خواهد این ضرر را از خود دفع کند و هر چند توجّه ضرر به غیر حرام است؛ امّا قاعده لاضرر این حرمت را بر می دارد</w:t>
      </w:r>
    </w:p>
    <w:p>
      <w:pPr>
        <w:pStyle w:val="BookText"/>
        <w:rPr/>
      </w:pPr>
      <w:r>
        <w:rPr>
          <w:rFonts w:ascii="IRNazanin" w:hAnsi="IRNazanin" w:eastAsia="IRNazanin"/>
          <w:color w:val="111111"/>
          <w:sz w:val="28"/>
          <w:sz w:val="28"/>
          <w:szCs w:val="28"/>
          <w:rtl w:val="true"/>
          <w:lang w:bidi="fa-IR"/>
        </w:rPr>
        <w:t>ظاهراً نمی شود این مطلب را پذیرفت به دلیل این که لاضرر در مواردی متوجه به دو نفر باشد و بخواهیم با قاعده لاضرر حرمت را برداریم و حُرمت را متوجّه غیر کنیم در این فرض چون غیر متضرر می شود، پس فقها فرمودند در چنین مواردی قاعده لاضرر جاری نمی شود،</w:t>
      </w:r>
    </w:p>
    <w:p>
      <w:pPr>
        <w:pStyle w:val="BookText"/>
        <w:rPr/>
      </w:pPr>
      <w:r>
        <w:rPr>
          <w:rFonts w:ascii="IRNazanin" w:hAnsi="IRNazanin" w:eastAsia="IRNazanin"/>
          <w:color w:val="111111"/>
          <w:sz w:val="28"/>
          <w:sz w:val="28"/>
          <w:szCs w:val="28"/>
          <w:rtl w:val="true"/>
          <w:lang w:bidi="fa-IR"/>
        </w:rPr>
        <w:t>دلیل این که چرا نمی شود به وسیله لاضرر، حکم را از خود برداریم و متوجّه غیر کنیم چون در حق غير هم قاعده لاضرر جاری است پس حکم تکلیفی حرمت به وسیلة لاضرر برداشته نمی شود</w:t>
      </w:r>
      <w:r>
        <w:rPr>
          <w:rFonts w:eastAsia="IRNazanin" w:cs="IRNazanin"/>
          <w:color w:val="111111"/>
          <w:sz w:val="28"/>
          <w:szCs w:val="28"/>
          <w:rtl w:val="true"/>
          <w:lang w:bidi="fa-IR"/>
        </w:rPr>
        <w:t>.</w:t>
      </w:r>
    </w:p>
    <w:p>
      <w:pPr>
        <w:pStyle w:val="Heading3"/>
        <w:numPr>
          <w:ilvl w:val="2"/>
          <w:numId w:val="1"/>
        </w:numPr>
        <w:rPr/>
      </w:pPr>
      <w:bookmarkStart w:id="548" w:name="__RefHeading___Toc3219883_2870459653"/>
      <w:bookmarkStart w:id="549" w:name="_Toc219"/>
      <w:bookmarkEnd w:id="548"/>
      <w:r>
        <w:rPr>
          <w:rtl w:val="true"/>
        </w:rPr>
        <w:t>بحث ضمان</w:t>
      </w:r>
      <w:bookmarkEnd w:id="549"/>
    </w:p>
    <w:p>
      <w:pPr>
        <w:pStyle w:val="BookText"/>
        <w:rPr/>
      </w:pPr>
      <w:r>
        <w:rPr>
          <w:rFonts w:ascii="IRNazanin" w:hAnsi="IRNazanin" w:eastAsia="IRNazanin"/>
          <w:color w:val="111111"/>
          <w:sz w:val="28"/>
          <w:sz w:val="28"/>
          <w:szCs w:val="28"/>
          <w:rtl w:val="true"/>
          <w:lang w:bidi="fa-IR"/>
        </w:rPr>
        <w:t>به فرض شخص این حرمت را انجام داد و این ضرر را متوجّه به غیر کرد و مالی از غیر تلف شد آیا این توجّه ضرر به غیر ضمان دارد و علی فرض جریان لاضرر، در نفی ضمان جاری می شود یا خیر؟</w:t>
      </w:r>
    </w:p>
    <w:p>
      <w:pPr>
        <w:pStyle w:val="BookText"/>
        <w:rPr/>
      </w:pPr>
      <w:r>
        <w:rPr>
          <w:rFonts w:ascii="IRNazanin" w:hAnsi="IRNazanin" w:eastAsia="IRNazanin"/>
          <w:color w:val="111111"/>
          <w:sz w:val="28"/>
          <w:sz w:val="28"/>
          <w:szCs w:val="28"/>
          <w:rtl w:val="true"/>
          <w:lang w:bidi="fa-IR"/>
        </w:rPr>
        <w:t xml:space="preserve">جزء مسلمات است که لاضرر در نفی ضمان جاری نمی شود به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علی فرض این که حرمت تکلیفی</w:t>
      </w:r>
    </w:p>
    <w:p>
      <w:pPr>
        <w:pStyle w:val="BookText"/>
        <w:rPr/>
      </w:pPr>
      <w:r>
        <w:rPr>
          <w:rFonts w:ascii="IRNazanin" w:hAnsi="IRNazanin" w:eastAsia="IRNazanin"/>
          <w:color w:val="111111"/>
          <w:sz w:val="28"/>
          <w:sz w:val="28"/>
          <w:szCs w:val="28"/>
          <w:rtl w:val="true"/>
          <w:lang w:bidi="fa-IR"/>
        </w:rPr>
        <w:t>با قاعده لاضرر برداشته شود، حرمت تکلیفی با حرمت وضعی تلازُمی ندارد، ممکن است شیء حرام نباشد تكليفا حتى واجب باشد امّا ضمان هم داشته باشد به عنوان مثال اگر شخصی به جهت حفظ جان و عدم اتلاف نفس مجبور شد از مال غیر غاصبانه بردارد هر چند حفظ جان واجب است امّا او ضامن است نسبت به مال غیر و این وجوبِ حفظ جان ضمان را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تولّى من قبل الجائر که خود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مُكْرَه است در این که به غیر ضرری وارد کند و ضرر هم از ابتدا متوجّه به غیر است مثلاً ظالم مجبور کرده شخصی را که به غیر ضرر وارد کند و در صورت عدم اطاعت ضرر متوجه خودِ او 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دیگر این است که ضرر متوجه خودِ مُكْرَه است ابتداءاً امّا مُكْرَه می تواند ضرر را از خود دفع کند و متوجّه غیر کند، حکم این صورت دوّم </w:t>
      </w:r>
    </w:p>
    <w:p>
      <w:pPr>
        <w:pStyle w:val="BookText"/>
        <w:rPr/>
      </w:pPr>
      <w:r>
        <w:rPr>
          <w:rFonts w:ascii="IRNazanin" w:hAnsi="IRNazanin" w:eastAsia="IRNazanin"/>
          <w:color w:val="111111"/>
          <w:sz w:val="28"/>
          <w:sz w:val="28"/>
          <w:szCs w:val="28"/>
          <w:rtl w:val="true"/>
          <w:lang w:bidi="fa-IR"/>
        </w:rPr>
        <w:t>همان طور که مرحوم محقق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ندارد کسی این ضرر را متوجّه به غیر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شخصی مالی ندارد می تواند برای حفظ جان این مال را از غیر بگیرد و به ظالم بدهد؛ امّا ضمان به گردن او است و حکم تکلیفی فقط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 که ضرر ابتداءاً متوجه به غیر است؛ این فرض هم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تولّى من قبل الجائر منحصر در این شخص است و هیچ کس انجام نمی دهد و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 من قبل الجائر منحصر در این شخص نیست و کس دیگری می تواند این ضرر را وارد کند بر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که مُنحصر در این شخص است و اگر انجام ندهد ضرر متوجّه او می شود آیا می توانیم بگوییم لاضرر حکومت دارد؟</w:t>
      </w:r>
    </w:p>
    <w:p>
      <w:pPr>
        <w:pStyle w:val="BookText"/>
        <w:rPr/>
      </w:pPr>
      <w:r>
        <w:rPr>
          <w:rFonts w:ascii="IRNazanin" w:hAnsi="IRNazanin" w:eastAsia="IRNazanin"/>
          <w:color w:val="111111"/>
          <w:sz w:val="28"/>
          <w:sz w:val="28"/>
          <w:szCs w:val="28"/>
          <w:rtl w:val="true"/>
          <w:lang w:bidi="fa-IR"/>
        </w:rPr>
        <w:t>دو بحث مطرح است یکی جریان حکم تکلیفی و دیگری بحث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ضمان به عهده شخصی وجود دارد مناقشه ای نیست، امّا در مورد حرمت تکلیفی جماعتی گفته اند قاعده لاضرر این جا جاری است و حال آن که از ما ذکرنا معلوم شد قاعده لاضرر این 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جایی که ترتب ضررین باشد لاضرر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ضرر اقوی از دیگری باشد آن ضرر به قاعده لاضرر دفع می شود و حرمتی نیست برای دفع ضرر اهم، امّا در صورت تساوی ضررین و در جایی که ترتب ضررین باشد و دیگری اقوی نباشد می رود در باب تزاحم و در این فرض حرام است به غیر ضرر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منحصر به این شخص نباشد آیا در این اضرار به غیر، لاضرر جاری می شود در صورتی که تساوی ضررین باشد؟</w:t>
      </w:r>
    </w:p>
    <w:p>
      <w:pPr>
        <w:pStyle w:val="BookText"/>
        <w:rPr/>
      </w:pPr>
      <w:r>
        <w:rPr>
          <w:rFonts w:ascii="IRNazanin" w:hAnsi="IRNazanin" w:eastAsia="IRNazanin"/>
          <w:color w:val="111111"/>
          <w:sz w:val="28"/>
          <w:sz w:val="28"/>
          <w:szCs w:val="28"/>
          <w:rtl w:val="true"/>
          <w:lang w:bidi="fa-IR"/>
        </w:rPr>
        <w:t>در مورد این که به گردن او ضمان است مناقشه ای نیست؛ امّا در مورد حرمت تکلیفی؛ آیا می شود گفت به جهت این که این امر که ضرر به غیر باشد لا محاله در خارج واقع می شود و شخص برای دفع ضرر از خود این اضرار به غیر را انجام دهد و حرمتی نباشد؟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سخن صحیح نیست و حکم این صورت با صورت قبل یکسان است که در صورت تساوی ضررین، چون ضرر متوجه دو شخص است قاعده لاضرر جاری نمی شود و حرمت تکلیفی را بر نمی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فرض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فروضی که محقق نائینی بیان فرمودند به مَسْأَلَةُ القِدْرِيَّه معروف است که داستان حیوانی است از یک مالک دابّه که سر آن داخل قِدر و خُمره ای از مالک دیگر گیر کرده است این جا 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حیوان خود این کار را کرده باشد یا به یک حادثه طبیعی مثل زلزله این دیگ داخل سر حیوان قرار بگیرد و عامل انسانی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احد المالكين، صاحب قدر یا صاحب دابه این کار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ثالثی این کار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تفریطِ صاحبِ حیوان یا صاحبِ قدر سر حیوان داخل قدر قرار بگیرد و فرض این است که سَرِ حیوان را نمی شود بدون اتلاف یکی از این دو مال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ضرر به هر دو مالک وارد شده است و هر دو مال معیوب شده است و این عیب به هر دو مال وارد شده است بنا بر این ضرر باید بالسّویه به هر دو مالک مترتب شود؛ یعنی دو مالک توافق می کنند که یکی از دو مال را اتلاف کنند و آن مالی را که اتلاف کرده اند، هر دو ضررش را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قاعدتاً قيمت دابه بیشتر است، اقل قیمت را که قِدر باشد اتلاف می شود و ضرر به هر دو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در فرضی بود که اختلاف قیمت داشته باشند؛ امّا در فرضی که اختلاف قیمت نداشته باشند مُخيَّر هستند بین اتلاف یکی از دو مال مانند و صورت قبل، آن کسی که مال او تلف می شود ضرر آن مال بالسّويه بين مالكين تقسیم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بعضی گفته اند ما از قاعده عدل و انصاف استفاده می کنیم که این قاعده نزد عقلا ثابت است و روایت معتبره سکونی هم آن را تأیید می کند که در آن روایت حکم به تنصیف دیناری که از دو نفر صاحب دو دینار و صاحب یک دینار نزد شخصی به امانت گذاشته شده است و یک دینار تلف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عَلِيِّ بْنِ الْحُسَيْنِ بِإِسْنَادِهِ عَنِ السَّكُونِيِّ عَنِ الصَّادِقِ عَلَيْهِ السَّلَامُ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اسْتَوْدَعَ رَجُلًا دِينَارَيْنِ فَاسْتَوْدَعَهُ آخَرُ دِينَاراً فَضَاعَ مِنْهَا قَالَ يُعْطِي صَاحِبَ الدِّينَارَيْنِ دِينَاراً وَ يُقْسَمُ الْآخَرُ بَيْنَهُمَا نِصْفَيْنِ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دو دینار و نفر دیگر یک دینار به امانت پیش شخص امین گذاشتند و یک دینار تلف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دو دینار یک دینار داده شود و دینار دیگر بالسویه بین آن دو نفر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قاعده عدل و انصاف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قبول نداریم این قاعده با سیرۀ قطعیهٔ عقلا ثابت باشد و ثانیاً این روایت معتبرهٔ سکونی از حیث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در این جا به این صورت است که نسبت ضرر بین این دو مساوی است و نمی شود ضرر را به یکی دون دیگری تحمیل کرد به دلیل این که قاعده لاضرر که ضرر به دو نفر وارد شده است جاری نمی شود پس چاره ای نیست از تقسیم ضرر بالسّویه بین مالکین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قیمت دو مال مساوی باشد و باید یکی اتلاف بشود رجوع به حاکم شرع می شود و حاکم شرع یکی از دو مال را تعیین می کند و خسارت بالسویه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 در جایی بود که بدون تفریط یا در اثر حادثه طبیعی اتفاق افتاده است و اگر در فرض صور قبل به جای دابّه یک نفس محترمه مثل عبد باشد و به جهت این که نمی شود اتلاف نفس کرد، در همه فروضی که حکم به تخییر کردیم، در مورد نفس محترمه این تخییر وجود ندارد و باید آن مال را اتلاف کرد و در بحث ضرر همان مطالب قبل جاری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یکی از دو مالک سبب این واقعه شده باشد، طبیعی است آن کسی که این کار را کرده است او باعث معیب شدن دو مال شده است حال در فرضی که قیمت دو مال مساوی باشد توافق می کنند یکی از دو مال را تلف کنند و آن مالکی که باعث معیب شدن شده است، باید به دلیل این که عامل ایجاد این عیب و اتلاف به دیگری بوده است باید تمام ضرر را بدهد چون عرف تصدیق می کند که او عمداً اتلاف کرده است و باید خسارت را هم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سؤال این جاست که کدام مال باید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رحمه اللّه علیه می فرماید آن مالکی که باعث ایجاد این واقعه و معیب شدن دو مال شده است باید مالش تلف شود زیرا این شخص با این کار در واقع مال طرف مقابل را غصب کرده است و چون عین مال نزد اوست باید مالِ خود را اتلاف کند و عین را به صاحبش برگرداند هر چند اقل قیمت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کرده اند که؛ در این صورت و پذیرش قول محقق خوئی رحمه اللّه علیه صاحب دابّه با اتلاف مال خودش متضرر می شود و حال این که ضرر اقل را می شود با پرداخت مثل یا قیمت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الْغَاصِبُ يُؤْخَذُ بِاَشق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ما سبق بحث کردیم که این روایت سندش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این فرض اقل قیمت را اتلاف کرد و آن شخص مالک اقل قیمت را جبران کند و قبلاً بحث کردیم که این فرض در حکم اتلاف مالِ غیر است و باید به قیمت یا مثل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فروض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وجوبش عقلی است و قاعده لاضرر نمی تواند چیزی را بردارد که وجوبش عقلی است؛ چون لاضرر در مواردی که وجوبش شرعی است، می تواند حکومت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منشأ حکم عقل را بر می دارد وقتی شارع حکم کرد به حُرمتِ تصرف در مالِ غیر، عقل حکم می کند به وجوب ردّ و ضمان، که اگر می خواهی مُرتکب حرام نشوی باید مال غیر را به صاحب آن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حکم عقل ناشی شده است از حرمت تصرّف و لاضرر این حرمتِ تصرّف را بر می دارد که اگر تصرّف نکردی متضرِّر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امتنانی است و جایی که امتنانی بر امت نباشد جاری نمی شود و در مَا نَحْنُ فِيهِ جريان قاعده لاضرر امتنانی است برای صاحب دابّه امّا برای صاحب قدر امتنانی نیست و اگر در یک طرف امتنانی نباشد، لاضرر جاری نمی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لاضرر امتنانی باشد علی فرض این که امتنانی باشد همه جا امتنانی نیست و ثانیاً صاحب دابّه اگر بخواهد عین قدر را برگرداند و خمره </w:t>
      </w:r>
    </w:p>
    <w:p>
      <w:pPr>
        <w:pStyle w:val="BookText"/>
        <w:rPr/>
      </w:pPr>
      <w:r>
        <w:rPr>
          <w:rFonts w:ascii="IRNazanin" w:hAnsi="IRNazanin" w:eastAsia="IRNazanin"/>
          <w:color w:val="111111"/>
          <w:sz w:val="28"/>
          <w:sz w:val="28"/>
          <w:szCs w:val="28"/>
          <w:rtl w:val="true"/>
          <w:lang w:bidi="fa-IR"/>
        </w:rPr>
        <w:t>سالم را برگرداند متضرر می شود و حال این که می شود مثل یا قیمت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خُمره در حکم تالف است و عقلاً به ارزش این خمره حکم نمی کنند و این قضیه ردّ عین خود به خود منتفی می شود و در این جا این ضرر به مثل یا قیمت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ثالث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یکی از مال ها تلف شود و ضرر را شخص ثالث ضامن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آن که اقلُّ قیمةً است را اتلاف می کنند و اگر دو مال مساوی باشد هر کدام را که خواستند تلف می کنند و آن چه که تلف شده است را آن شخص ثالث ضامن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تتمّه ای از بحث تعارض ضررین باقی ماند چون بحث طويل الذیلی است به تبع محقق نائینی آن را در تنبیه مستقل بحث خواهیم کرد</w:t>
      </w:r>
      <w:r>
        <w:rPr>
          <w:rFonts w:eastAsia="IRNazanin" w:cs="IRNazanin"/>
          <w:color w:val="111111"/>
          <w:sz w:val="28"/>
          <w:szCs w:val="28"/>
          <w:rtl w:val="true"/>
          <w:lang w:bidi="fa-IR"/>
        </w:rPr>
        <w:t xml:space="preserve">. </w:t>
      </w:r>
      <w:bookmarkStart w:id="550" w:name="pg9135_79716"/>
    </w:p>
    <w:p>
      <w:pPr>
        <w:pStyle w:val="Heading2"/>
        <w:numPr>
          <w:ilvl w:val="1"/>
          <w:numId w:val="1"/>
        </w:numPr>
        <w:rPr/>
      </w:pPr>
      <w:bookmarkStart w:id="551" w:name="__RefHeading___Toc3219885_2870459653"/>
      <w:bookmarkStart w:id="552" w:name="_Toc220"/>
      <w:bookmarkEnd w:id="550"/>
      <w:bookmarkEnd w:id="551"/>
      <w:r>
        <w:rPr>
          <w:rtl w:val="true"/>
        </w:rPr>
        <w:t>تنبیه ششم</w:t>
      </w:r>
      <w:r>
        <w:rPr>
          <w:rtl w:val="true"/>
        </w:rPr>
        <w:t xml:space="preserve">: </w:t>
      </w:r>
      <w:r>
        <w:rPr>
          <w:rtl w:val="true"/>
        </w:rPr>
        <w:t>شمول قاعده برای ضرر اعتباری</w:t>
      </w:r>
      <w:bookmarkEnd w:id="552"/>
    </w:p>
    <w:p>
      <w:pPr>
        <w:pStyle w:val="BookText"/>
        <w:rPr/>
      </w:pPr>
      <w:r>
        <w:rPr>
          <w:rFonts w:ascii="IRNazanin" w:hAnsi="IRNazanin" w:eastAsia="IRNazanin"/>
          <w:color w:val="111111"/>
          <w:sz w:val="28"/>
          <w:sz w:val="28"/>
          <w:szCs w:val="28"/>
          <w:rtl w:val="true"/>
          <w:lang w:bidi="fa-IR"/>
        </w:rPr>
        <w:t>آیا قاعده لاضرر مشمول ضرر اعتباری هم می شود، قبل از بیان بحث مقدمه ای ذکر می کنیم، ضرر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حقیقی، نقصی است که به متضَرّر در شیئی به حَسَبِ طبیعت واقعی آن شیء وارد می شود؛ مثل این که نقص در مال یا نفس یا در یکی از اعضای بدن یا در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خواهد این نقص در کمیّات باشد؛ مثل ضيق مکان یا در کیفیّات باشد مانند مریض شدن شخص یا در اعیان باشد مثل نقص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اعتباری، آن نقصی است که به متضرر در شیئی به حسب اعتبار آن شیء وارد می شود، به گونه ای که این اعتبار جنبه عقلائی دارد حال این اعتبار می تواند جنبه اجتماعی داشته باشد یا اعتبار اقتصادی باشد یا حتی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مشتری جنسی را خریده و ثمن آن مؤجل است و زمان پرداخت رسیده امّا بایع امتناع می کند از قبول ثمن تا ذمه مشتری فارغ نشود و عِنْدَ اَلنَّاسِ مدیون باقی بماند و وجاهت و اعتبار او در نزد مردم کم شود یا از بعضی از حقوق عرفيه مثل حق تأليف و حق طبع منع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شکی نداریم که لاضرر، ضرر حقیقی را می گیرد؛ امّا بحث در این است که لاضرر، ضرر اعتباری را می تواند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متعرّض این بحث شده است؛ شهید صدر رحمه اللّه علیه </w:t>
      </w:r>
      <w:r>
        <w:rPr>
          <w:rStyle w:val="FootnoteAnchor"/>
          <w:rtl w:val="true"/>
        </w:rPr>
        <w:footnoteReference w:id="341"/>
      </w:r>
      <w:r>
        <w:rPr>
          <w:rFonts w:ascii="IRNazanin" w:hAnsi="IRNazanin" w:eastAsia="IRNazanin"/>
          <w:color w:val="111111"/>
          <w:sz w:val="28"/>
          <w:sz w:val="28"/>
          <w:szCs w:val="28"/>
          <w:rtl w:val="true"/>
          <w:lang w:bidi="fa-IR"/>
        </w:rPr>
        <w:t>بوده است و او بر این عقیده است که لاضرر، ضررِ اعتباری را نیز می گیرد، ماحصل آن چه که فرموده اند به این بیان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و تحقیق در این وجه شمول قاعده لاضرر لازم است در دو ناحیه بحث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ناحیه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چگونگی شمول قاعده لاضرر برای این نوع ضرر اعتباری در حالی که ضرر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این که لاضرر شامل افراد اعتباری بشود، آیا شامل افراد اعتباری جدید و مُستَجدّه در عصور متأخره نیز می شود؟</w:t>
      </w:r>
    </w:p>
    <w:p>
      <w:pPr>
        <w:pStyle w:val="BookText"/>
        <w:rPr/>
      </w:pPr>
      <w:r>
        <w:rPr>
          <w:rFonts w:ascii="IRNazanin" w:hAnsi="IRNazanin" w:eastAsia="IRNazanin"/>
          <w:color w:val="111111"/>
          <w:sz w:val="28"/>
          <w:sz w:val="28"/>
          <w:szCs w:val="28"/>
          <w:rtl w:val="true"/>
          <w:lang w:bidi="fa-IR"/>
        </w:rPr>
        <w:t>ناحیه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شمول قاعده برای ضرر های اعتباری دو طریق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به اعتبار این که در مقام تکلّم و بیان طریقه ای به جز طريقة اهل محاوره اتخاذ نکرده است و خود را در مقام تکلّم فردی از افراد عرف لحاظ کرده است؛ بنا بر این شارع وقتی به وسیله یک لفظی خطاب می کند او از آن لفظ همان چیزی را قصد می کند که عرف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لفظ ضرر را استعمال کرده است مراد او از ضرر همان چیزی است که عرف می فهمد پس وقتی مفهوم از ضرر نزد عرف اعم از ضرر حقیقی و ضرر اعتباری باشد، شارع اقدس نیز ضرر را اعم از ضرر حقیقی و ضرر اعتباری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مقامی به لفظ تمسک نمی شود؛ بلکه تمسک به اطلاق مقام متکلم است که متکلم در مقام بیان تمام موضوع است؛ لكن باید احراز شود که متکلم در مقام بیان تمام موضوع است نه جزء موضوع به بیان دیگر در اطلاق مقامی لفظ نیست، بلکه خودِ عمل است، اگر مولا وظیفه شرعی را در قالب عمل بیان کند و احراز شود که مولا در مقام بیان تمام الموضوع و در مقام بیان وظیفه باشد هر مقداری را که عملاً فرمود به همان مقدار اکتفا می شود و شک در زائد به وسیله اطلاق مقامی رفع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روایاتی داریم در باب وضو و نماز که به این روایات گفته می شود روایات بیانی که شخصی خدمت امام معصوم علیهم السلام می رسد و تقاضا می کند که امام نحوه وضو گرفتن و نماز خواندن را به او آموزش دهد تا او یاد بگیرد و امام تمام واجبات وضو و نماز را برای او می گوید حتی برخی مستحبات را و این جا چون امام در مقام بیان واجبات وضو است اگر شک کردیم که آیا جزء دیگری هست یا خیر به اطلاق مقامی روایات تمسک می کنیم که اگر چیز دیگری بود امام بیان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تفاوت اطلاق لفظی و اطلاق مقامی عبارتند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از لفظ گرفته می شود، امّا اطلاق مقامی از فعل متکلم استفاده می شود در صورتی که در مقام بیان تمام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از حاقِّ لفظ است و خودِ لفظ ساری و جاری می شود و مصادیقش را می گیرد امّا در اطلاق مقامی تمسک به لفظ نیست؛ بلکه فعل متکلم است و چون چیزی غیر از این مواردی را که گفته در بیان نیاورده است پس در موضوع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اطلاق مقامی در باب ضرر اعتباری جاری می شود چون وقتی شارع ضرر را بیان می کند و نفی می کند در مقامِ بیان نفیِ همةِ اقسامِ ضرر است که در شریعت مقدسه هیچ گونه از اقسام ضرر وجود ندارد پس ضرر اعتباری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طریق اطلاق لفظی و هم از طریق اطلاق مقامی ضرر شامل ضرر اعتباری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 جا ثابت شد ادله لاضرر شامل ضرر اعتباری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اعتباری دارای اقسامی است، اقسامی از ضرر اعتباری در قدیم بوده و نزدیک به زمان ائمه علیهم السلامو اقسامی دیگر مستحدثه و مُسْتَجدّه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ضرر اعتباری همه اقسام را می گیرد یا فقط اقسامی را که در عصر رسالت است می گیرد؟</w:t>
      </w:r>
    </w:p>
    <w:p>
      <w:pPr>
        <w:pStyle w:val="BookText"/>
        <w:rPr/>
      </w:pPr>
      <w:r>
        <w:rPr>
          <w:rFonts w:ascii="IRNazanin" w:hAnsi="IRNazanin" w:eastAsia="IRNazanin"/>
          <w:color w:val="111111"/>
          <w:sz w:val="28"/>
          <w:sz w:val="28"/>
          <w:szCs w:val="28"/>
          <w:rtl w:val="true"/>
          <w:lang w:bidi="fa-IR"/>
        </w:rPr>
        <w:t>برای بررسی مطلب چند نکته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عنوانی که در کلام شارع وارد می شود و برای آن عنوان یک افراد و مصادیق حقیقی وجود دارد و یک اقسام و افراد اعتباری؛ یعنی افرادی که با عنایت و مجاز، فرد و مصداق آن عنوان قرار گرفته اند این افراد و مصادیق بر سه قسم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فرد گرفته می شود برای آن عنوان از جهت خطاء در تطبيق مثلاً عرف کسی را فرد می گیرد برای کلمه عالم در حالی که خطا کرده است در تطبیقش و در واقع آن فرد عالم نیست و عرف گمان کرده است که عالم است و وقتی به عرف متذّکّر می شویم از این خطا مُتِنَبّه می شود 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عرفی اعتباری ندارد؛ چون در آن خطاء در تطبیق است و قابلیت این را دارد که عرف مُتَنبه گردد و از خطا باز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ارتكازِ 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عنوان از باب إنشاء نه اخبار به حيث که عُرف آن فرد را فردِ حقیقی برای عنوان می داند؛ لكن عنوان، عنوانِ انشائی است نه اِخباری، مثلاً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احترام پدر و مادر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یک افراد حقیقی دارد مانند امتثال امر کردن و یک افراد عرفی دارد که با عنایت خارجيه و إرتكازات عرفيه داخل در عنوانِ احترام می شود مثلاً بلند شدن در مقابل کسی، این احترام حقیقی نیست و عرفی است و با عنایت داخلِ در احترام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افرادِ اعتباری شکی نیست که در جایی که گفته می شود احترام واجب است این مصادیق داخل در عنوان احترام می شوند، ولو این مصادیق بعد از عصر رسالت غرف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فردی داریم که این فرد فردیست برای یک عنوانِ انشائى و إرتكازِ فردیت برای آن عنوان إنشائى مُحْرز است ولو آن عنوان عنوانِ مستَحدِثی است؛ چون انشائی است می گوییم شامل آن فرد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این فرد برای عنوان به دلیل ارتکازِ عرفی فرد است برای عنوان انشائی امّا این فردیت برای این عنوان اختصاص دارد به آن عرفی که آن را إنشاء کرده است؛ امّا در نزد عرفِ عام این فرد مصداق برای آن عنوان نیست، برخلاف صورت قبل که عرف عام آن را مصداق می دانست در این قسم ما تفصیل قائل می شویم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عرفِ خاص زمانِ صدور روایات بوده است می گوییم شامل حال آن فرد می شود و اگر این عرفِ خاص زمان صدور روایات نبوده است می گوییم نه اطلاق لفظی می تواند آن را بگیرد و نه اطلاقِ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روایات داریم زنانی که شما امر به حجاب می کنید و حجاب را رعایت نمی کنند، نظر بلاریبٍ اشکال ندارد مانند زنان عشائر، این عرفِ زمان صدورِ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الان جایی حجاب به این شکل عرف شود در این جا می گوییم چون این حجاب مانند حجابِ زمانِ صدور است، اشکال ندارد و امّا اگر یک عرفِ جدیدی حادث شد که در زمان رسالت نبوده است مانند نیمه برهنگی مثل کشور های غربی اطلاق آن را نمی 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اعتباری داخل در قاعده لاضرر می شود، هم به اطلاق لفظی و هم به اطلاق مقامی</w:t>
      </w:r>
      <w:r>
        <w:rPr>
          <w:rFonts w:eastAsia="IRNazanin" w:cs="IRNazanin"/>
          <w:color w:val="111111"/>
          <w:sz w:val="28"/>
          <w:szCs w:val="28"/>
          <w:rtl w:val="true"/>
          <w:lang w:bidi="fa-IR"/>
        </w:rPr>
        <w:t xml:space="preserve">. </w:t>
      </w:r>
      <w:bookmarkStart w:id="553" w:name="pg9135_79720"/>
    </w:p>
    <w:p>
      <w:pPr>
        <w:pStyle w:val="Heading2"/>
        <w:numPr>
          <w:ilvl w:val="1"/>
          <w:numId w:val="1"/>
        </w:numPr>
        <w:rPr/>
      </w:pPr>
      <w:bookmarkStart w:id="554" w:name="__RefHeading___Toc3219887_2870459653"/>
      <w:bookmarkStart w:id="555" w:name="_Toc221"/>
      <w:bookmarkEnd w:id="553"/>
      <w:bookmarkEnd w:id="554"/>
      <w:r>
        <w:rPr>
          <w:rtl w:val="true"/>
        </w:rPr>
        <w:t>تنبیه هفتم</w:t>
      </w:r>
      <w:r>
        <w:rPr>
          <w:rtl w:val="true"/>
        </w:rPr>
        <w:t xml:space="preserve">: </w:t>
      </w:r>
      <w:r>
        <w:rPr>
          <w:rtl w:val="true"/>
        </w:rPr>
        <w:t>دلالت قاعده لاضرر بر حرمت اضرار به نفس</w:t>
      </w:r>
      <w:bookmarkEnd w:id="555"/>
    </w:p>
    <w:p>
      <w:pPr>
        <w:pStyle w:val="BookText"/>
        <w:rPr/>
      </w:pPr>
      <w:r>
        <w:rPr>
          <w:rFonts w:ascii="IRNazanin" w:hAnsi="IRNazanin" w:eastAsia="IRNazanin"/>
          <w:color w:val="111111"/>
          <w:sz w:val="28"/>
          <w:sz w:val="28"/>
          <w:szCs w:val="28"/>
          <w:rtl w:val="true"/>
          <w:lang w:bidi="fa-IR"/>
        </w:rPr>
        <w:t>اشکالی در حرمت اضرار به نفس و اضرار به غیر نیست؛ امّا مطلب در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اضرار به نفس مطلقاً حرام است، خواه این ضرر شدید باشد به حیث این که برسد به حدِّ خوفِ وقوع در هلاکت و خواه شدید نباشد و به حدّ وقوع در هلاکت نرسد یا این که بگوییم فقط در صورتی اضرار به نفس حرام است که ضرر شدید باشد و به همراه آن خوف وقوع در هلاکت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قائلند به این که ضرر مطلقاً حرام است؛ از جمله شهید ثانی رحمه اللّه علیه در كتاب شرح لمعه </w:t>
      </w:r>
      <w:r>
        <w:rPr>
          <w:rStyle w:val="FootnoteAnchor"/>
          <w:rtl w:val="true"/>
        </w:rPr>
        <w:footnoteReference w:id="342"/>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ضَابِطَةٌ الْمُحْرِمُ مَا يَحْصُلُ بِهِ الضَّرَرِ عَلَى الْبَدَنِ وَ إِفْسَادِ الْمِزَاجِ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در آن چه که حرام است این است که هر چه منجر به ضرر به بدن شود و فاسد شدن 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ایشان با این عبارت مطلق ضرر به نفس را حرام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اردبیلی رحمه اللّه علیه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المتفقهة انْهَ يَحْرُمُ التُّرَابِ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فِيهِ الْإِضْرَارِ بِالْبَدَنِ وَ الْإِضْرَارُ مُطْلَقاً غَيْرَ وَاضِحُ</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بین فقها این است که خوردن خاک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آن اضرار بدن است و این گفته شود اضرار به بدن مطلقاً حرام است برای ما واضح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صغری را می پذیرند که اضرار به بدن حرام است؛ امّا در کبری که هر نوع خاکی را خوردن حرام باشد، واضح نمی 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دو صفحه بعد بیان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لَا يُقْتَلُ قَلِيلُهُ وَ لَكِنْ يَؤُولُ إِلَى الضَّرَرِ الْكَثِيرَ مِنَ الْمَرَضِ وَغَيْرُهُ يُمْكِنُ تَحْرِيمِ قَلِيلُهُ أَيْضاً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 چه که کم آن نمی کشد ولکن منجرّ به ضرر کثیر می شود از مرض و غير مرض ممکن است گفته شود که کم و قلیل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عبارت ایشان بشود استفاده کرد که ضرر مطلقاً حرام است، مگر این که گفته شود منظور ایشان این است که ضرر کثیر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ریاض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ضَابِطٌ الْمُحْرِمُ مَا يَحْصُلُ بِهِ الضَّرَرِ عَلَى الْبَدَنِ وَ إِفْسَادِ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بَعْدَ الْإِجْمَاعِ حَدِيثٍ نَفْيِ الضَّرَرِ وَ الْإِضْرَارِ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در حرام آن است که آن چه که به وسیله آن ضرر بر بدن حاصل شود و باعث افساد مزاج شود و اصل در این ضابطه و قاعده بعد از اجماع حدیث نفی ضرر و ضرار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کلام شان می پذیرند که حدیث لاضرر دال بر حرمت اضرار به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انصاری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إِضْرَارٍ بِالنَّفْسِ أَوِ الْغَيْرِ مُحْرِمُ غَيْرِ مَاضٍ عَلَى مِنْ أَضُرِّهِ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اضرار به نفس و غیر حرام است بر کسی که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عباراتی که آورده شد حرمت مطلق اضرار به نفس است، مگر عبارت آخر محقق اردبیلی 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معاصرین ضرر کثیر و شدید که به همراه آن خوف وقوع در هلاکت باشد را حرام می دانند امّا در سایر موارد می فرمایند که دلیلی بر حرمت نداریم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خوئى </w:t>
      </w:r>
      <w:r>
        <w:rPr>
          <w:rStyle w:val="FootnoteAnchor"/>
          <w:rtl w:val="true"/>
        </w:rPr>
        <w:footnoteReference w:id="347"/>
      </w:r>
      <w:r>
        <w:rPr>
          <w:rFonts w:ascii="IRNazanin" w:hAnsi="IRNazanin" w:eastAsia="IRNazanin"/>
          <w:color w:val="111111"/>
          <w:sz w:val="28"/>
          <w:sz w:val="28"/>
          <w:szCs w:val="28"/>
          <w:rtl w:val="true"/>
          <w:lang w:bidi="fa-IR"/>
        </w:rPr>
        <w:t xml:space="preserve">و بعض من تبع ایشان مانند آیة اللّه سیستانی </w:t>
      </w:r>
      <w:r>
        <w:rPr>
          <w:rStyle w:val="FootnoteAnchor"/>
          <w:rtl w:val="true"/>
        </w:rPr>
        <w:footnoteReference w:id="348"/>
      </w:r>
      <w:r>
        <w:rPr>
          <w:rFonts w:ascii="IRNazanin" w:hAnsi="IRNazanin" w:eastAsia="IRNazanin"/>
          <w:color w:val="111111"/>
          <w:sz w:val="28"/>
          <w:sz w:val="28"/>
          <w:szCs w:val="28"/>
          <w:rtl w:val="true"/>
          <w:lang w:bidi="fa-IR"/>
        </w:rPr>
        <w:t xml:space="preserve">حفظه اللّه به این </w:t>
      </w:r>
    </w:p>
    <w:p>
      <w:pPr>
        <w:pStyle w:val="BookText"/>
        <w:rPr/>
      </w:pPr>
      <w:r>
        <w:rPr>
          <w:rFonts w:ascii="IRNazanin" w:hAnsi="IRNazanin" w:eastAsia="IRNazanin"/>
          <w:color w:val="111111"/>
          <w:sz w:val="28"/>
          <w:sz w:val="28"/>
          <w:szCs w:val="28"/>
          <w:rtl w:val="true"/>
          <w:lang w:bidi="fa-IR"/>
        </w:rPr>
        <w:t>مطلب قائلند که ضرر کثیر و شدید حرمت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نمی توان قائل به حرمت مطلق ضرر شد زیرا لازم می آید انسان در کار های روزمره اش و حتی کار های عادی اش به مشکل برخورد کند؛ زیرا در شبانه روز با اقسام ضرر ها ممکن است روبه رو شود حتی در أطعَمه و اشربه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به این که اضرار به نفس حرام است مطلقاً که منجر بشود تمام فعالیت های انسان را تعطیل کند قابل قبول نیست و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اضراری است که شدید و قابل توجّه باشد قائل به حرمت آن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دیگر غیر از قاعده لاضرر حکم حرمت اضرار به نفس و غیر را می دانیم؛ امّا آیا می توانیم از قاعده لاضرر حرمتِ اضرار به نفس و اضرار به غیر را استفاده کنیم وجوهٌ بل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قائلند که از قاعده لاضرر می توان استفاده حرمت کرد مانند سید ریاض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الْأَصْلُ فِيهِ بَعْدَ الْإِجْمَاعِ حَدِيثٍ نَفْيِ الضَّرَرِ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لاضرر را دال بر حرمت ضرر به نفس گرفته اند که وقتی دال بر حرمت ضرر به نفس باشد به طریق اولی دال بر حرمت ضرر بر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از این قاعده استفاده حرمت اضرار به نفس و غیر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لاضرر و لاضرار الاضرار ضرر به غیر است و لا در لاضرار نهی است و لا در لاضرر نفی است و وقتی لاضرار نهی شد و ضرار هم به معنای اضرار شد معنای آن می شود نهی از اضرار که هم شامل ضرر به غیر و هم شامل ضرر به نفس می شود و نهی دال بر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شیخ الشریعه اصفهانی که ایشان قائلند هم لا در لاضرر و هم لا در لاضرار نهی است، وقتی روی فرمایش ایشان لا نهی شد، می شود استفاده حرمت اضرار به نفس و اضرار به غیر را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انصاری رحمه اللّه علیه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لَمْ يُفَرَّقُوا فِي اَلْإِسْتَدْلاَلُ بِالْقَاعِدِهِ بَيْنَ الْإِضْرَارِ بِالنَّفْسِ وَ الْإِضْرَارُ بِالْغِيَرِ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علماء در استدلال به قاعده لاضرر بین اضرار به نفس و اضرار به غیر فرقی قائل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يُمْكِنُ انَّ يُسْتَفَادُ مِنْهُ تَحْرِيمِ الْإِضْرَارِ بِالْغِيَرِ مِنْ حَيْثُ انَّ الْحَكَمِ بِالْإِبَاحَةِ حُكْمِ ضررى فَيَكُونُ مَنْفِيّاً فِي الشَّرْعِ بِخِلَافِ الْإِضْرَارِ بِالنَّفْسِ فَإِنْ اباحته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طَلَبِهِ عَلَى وَجْهِ الإستحباب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حَكَماً ضررياً وَ لَا يَلْزَمُ مِنْ جَعَلَهُ ضَرَرٍ عَلَى الْمُكَلَّفِينَ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اسْتُفِيدَ مِنَ الأدله العقليه وَ اَلنَّقْلَيْهِ تَحْرِيمِ الْإِضْرَارِ بِالنَّفْسِ</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استفاده شود از این قاعده حرمت اضرار به غیر را زیرا اگر قائل به اباحه ضررِ به غیر شویم این در نزد شارع منفی است به خلاف اضرار به نفس پس همانا اباحه آن یا کسی به خاطر امر مستحبی به نفس ضرر برساند این مطلب حکمی ضرری نیست و لازم نمی آید از جعل آن ضرری بر مکلفین بلکه می توان از ادله عقلیه و نقلیه حکم تحریم اضرار به نفس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 دیگر می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 الْحَكَمَانِ الضرريان وَ فَرْضِ عَدَمِ الْأَوْلَوِيَّةِ لِإِثْبَاتِ أَحَدُهُمَا وَ نَفْيِ الْآخَرُ كَانَ الْمَرْجِعُ أَدِلَّةَ الْإِضْرَارِ بِالْغِيَرِ لِأَنَّ حُرْمَتُهُ كَحُرْمَةِ الْإِضْرَارِ بِالنَّفْسِ ثَابِتَةُ بِأَدِلَّةٍ أَخَّرَ غَيْرِ قَاعِدَةً نَفْيِ الْحَكَمِ الضرري وَ إِنْ كَانَتْ هِيَ مِنْ أدلّتها</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دو حکم ضرری با هم تعارض کردند و فرض هم این باشد که هیچ الویتی برای اثبات یکی و منع دیگری نیست، مرجع و ملاک ارجحیت ادله اضرار به غیر است به جهت این که اضرار به غیر مانند اضرار به نفس، حرمت آن ثابت شده است با ادله دیگر غیر از قاعده لاضرر و هر چند که قاعده لاضرر هم یکی از ادله اثبات حرمت اضرار به غیر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مبنایی که ما در قاعده لاضرر اختیار کردیم از لاضرر حکم حرمت اضرار به نفس و اضرار به غیر استفاده نمی شود؛ زیرا روی مبنایی که ما اتّخاذ کردیم هر دو لا را در لاضرر و لاضرار نفی گرفتیم و ضرر و ضرار را از حیث معنا یکی گرفتیم و لاضرار را تأکید برای لاضرر گرفتیم</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لاضرر به این معنا شد که احکام مجعولة در شریعت تکلیفی باشد یا وضعی اگر به حد ضرر برسد از عهده مکلف برداشته می شود؛ زیرا از نفی نمی شود استفاده حرمت کرد و لسان لاضرر لسان نفی است و حکم را بر می دارد چگونه بعض از آقایان استفاده حرمت کرده اند</w:t>
      </w:r>
      <w:r>
        <w:rPr>
          <w:rFonts w:eastAsia="IRNazanin" w:cs="IRNazanin"/>
          <w:color w:val="111111"/>
          <w:sz w:val="28"/>
          <w:szCs w:val="28"/>
          <w:rtl w:val="true"/>
          <w:lang w:bidi="fa-IR"/>
        </w:rPr>
        <w:t xml:space="preserve">. </w:t>
      </w:r>
      <w:bookmarkStart w:id="556" w:name="pg9135_79725"/>
    </w:p>
    <w:p>
      <w:pPr>
        <w:pStyle w:val="Heading2"/>
        <w:numPr>
          <w:ilvl w:val="1"/>
          <w:numId w:val="1"/>
        </w:numPr>
        <w:rPr/>
      </w:pPr>
      <w:bookmarkStart w:id="557" w:name="__RefHeading___Toc3219889_2870459653"/>
      <w:bookmarkStart w:id="558" w:name="_Toc222"/>
      <w:bookmarkEnd w:id="556"/>
      <w:bookmarkEnd w:id="557"/>
      <w:r>
        <w:rPr>
          <w:rtl w:val="true"/>
        </w:rPr>
        <w:t>تنبیه هشتم</w:t>
      </w:r>
      <w:r>
        <w:rPr>
          <w:rtl w:val="true"/>
        </w:rPr>
        <w:t xml:space="preserve">: </w:t>
      </w:r>
      <w:r>
        <w:rPr>
          <w:rtl w:val="true"/>
        </w:rPr>
        <w:t>تعارض ضرر مالک و غیر مالک</w:t>
      </w:r>
      <w:bookmarkEnd w:id="558"/>
    </w:p>
    <w:p>
      <w:pPr>
        <w:pStyle w:val="Heading3"/>
        <w:numPr>
          <w:ilvl w:val="2"/>
          <w:numId w:val="1"/>
        </w:numPr>
        <w:rPr/>
      </w:pPr>
      <w:bookmarkStart w:id="559" w:name="__RefHeading___Toc3219891_2870459653"/>
      <w:bookmarkStart w:id="560" w:name="_Toc223"/>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صورت چهارم در تعارض ضررین صورتی است که تعارض کند ضررِ مالک با ضررِ غیرِ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ملک خود تصرفی می کند و این تصرّف در ملک خود باعث ضرر به همسایه خود می شود مثلاً همسایه چاه آبی دارد، مالک، چاه آب را حفر می کند، چاهِ آبِ همسایه کم می شود یا این که مالک یک چاه بالوعه حفر می کند باعث می شود چاهِ آبِ همسایه غیرِ قابلِ استفاده شود و قس عَلَى هَذَا تَصَرُّفَاتٌ دیگر مالک در ملک خود مانند ساخت و ساز و غیره که باعث ضرر به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در دو امر است</w:t>
      </w:r>
      <w:r>
        <w:rPr>
          <w:rFonts w:eastAsia="IRNazanin" w:cs="IRNazanin"/>
          <w:color w:val="111111"/>
          <w:sz w:val="28"/>
          <w:szCs w:val="28"/>
          <w:rtl w:val="true"/>
          <w:lang w:bidi="fa-IR"/>
        </w:rPr>
        <w:t>:</w:t>
      </w:r>
    </w:p>
    <w:p>
      <w:pPr>
        <w:pStyle w:val="Heading3"/>
        <w:numPr>
          <w:ilvl w:val="2"/>
          <w:numId w:val="1"/>
        </w:numPr>
        <w:rPr/>
      </w:pPr>
      <w:bookmarkStart w:id="561" w:name="__RefHeading___Toc3219893_2870459653"/>
      <w:bookmarkStart w:id="562" w:name="_Toc224"/>
      <w:bookmarkEnd w:id="561"/>
      <w:r>
        <w:rPr>
          <w:rtl w:val="true"/>
        </w:rPr>
        <w:t>امرِ اوّل</w:t>
      </w:r>
      <w:r>
        <w:rPr>
          <w:rtl w:val="true"/>
        </w:rPr>
        <w:t xml:space="preserve">: </w:t>
      </w:r>
      <w:r>
        <w:rPr>
          <w:rtl w:val="true"/>
        </w:rPr>
        <w:t>دلیلِ سَلطنت مالک بر اموالش چیست؟</w:t>
      </w:r>
      <w:bookmarkEnd w:id="562"/>
    </w:p>
    <w:p>
      <w:pPr>
        <w:pStyle w:val="BookText"/>
        <w:rPr/>
      </w:pPr>
      <w:r>
        <w:rPr>
          <w:rFonts w:ascii="IRNazanin" w:hAnsi="IRNazanin" w:eastAsia="IRNazanin"/>
          <w:color w:val="111111"/>
          <w:sz w:val="28"/>
          <w:sz w:val="28"/>
          <w:szCs w:val="28"/>
          <w:rtl w:val="true"/>
          <w:lang w:bidi="fa-IR"/>
        </w:rPr>
        <w:t xml:space="preserve">شکی نیست که مالک بر اموالش سلطنت دارد و ثبوتِ این سلطنت اموالِ مالک هیچ احتیاجی به دلیل خارجی نیست و دلیل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أَموَالِهِم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خود ملک است، وقتی کسی مالک شد، لا محاله مالِک، سلطنت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نقاش ما بر مرحوم شهید صدر رحمه اللّه علیه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صدر در تقريرات بحث اصول شان به قلم آیة اللّه سیّد محمود شاهرودی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قاعده سلطنت یک قاعده ای است که صید شده است از امور مختلفی که عبارتاً از اجماع و ارتکاز عقلائي و سيرۀ جارية بين الناس و از این سه اصطياد </w:t>
      </w:r>
      <w:bookmarkStart w:id="563" w:name="pg9135_79726"/>
    </w:p>
    <w:p>
      <w:pPr>
        <w:pStyle w:val="BookText"/>
        <w:rPr/>
      </w:pPr>
      <w:bookmarkEnd w:id="563"/>
      <w:r>
        <w:rPr>
          <w:rFonts w:ascii="IRNazanin" w:hAnsi="IRNazanin" w:eastAsia="IRNazanin"/>
          <w:color w:val="111111"/>
          <w:sz w:val="28"/>
          <w:sz w:val="28"/>
          <w:szCs w:val="28"/>
          <w:rtl w:val="true"/>
          <w:lang w:bidi="fa-IR"/>
        </w:rPr>
        <w:t>شده قاعده سلطنت</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می گوییم برای اثبات سلطنتِ مالک هیچ احتیاجی به این موارد نداریم؛ زیرا خود ملک سلطنت می آورد و اقتضای ملکیت سلطنتِ مالک است بر ملکِ خود</w:t>
      </w:r>
      <w:r>
        <w:rPr>
          <w:rFonts w:eastAsia="IRNazanin" w:cs="IRNazanin"/>
          <w:color w:val="111111"/>
          <w:sz w:val="28"/>
          <w:szCs w:val="28"/>
          <w:rtl w:val="true"/>
          <w:lang w:bidi="fa-IR"/>
        </w:rPr>
        <w:t>.</w:t>
      </w:r>
    </w:p>
    <w:p>
      <w:pPr>
        <w:pStyle w:val="Heading3"/>
        <w:numPr>
          <w:ilvl w:val="2"/>
          <w:numId w:val="1"/>
        </w:numPr>
        <w:rPr/>
      </w:pPr>
      <w:bookmarkStart w:id="564" w:name="__RefHeading___Toc3219895_2870459653"/>
      <w:bookmarkStart w:id="565" w:name="_Toc225"/>
      <w:bookmarkEnd w:id="564"/>
      <w:r>
        <w:rPr>
          <w:rtl w:val="true"/>
        </w:rPr>
        <w:t>امر دوّم</w:t>
      </w:r>
      <w:bookmarkEnd w:id="565"/>
    </w:p>
    <w:p>
      <w:pPr>
        <w:pStyle w:val="BookText"/>
        <w:rPr/>
      </w:pPr>
      <w:r>
        <w:rPr>
          <w:rFonts w:ascii="IRNazanin" w:hAnsi="IRNazanin" w:eastAsia="IRNazanin"/>
          <w:color w:val="111111"/>
          <w:sz w:val="28"/>
          <w:sz w:val="28"/>
          <w:szCs w:val="28"/>
          <w:rtl w:val="true"/>
          <w:lang w:bidi="fa-IR"/>
        </w:rPr>
        <w:t>بعد از اثبات سلطنت برای مالک این تسلّط و سلطنتِ بر اموال به صورتِ مطلقه است یا محدود است؟</w:t>
      </w:r>
    </w:p>
    <w:p>
      <w:pPr>
        <w:pStyle w:val="BookText"/>
        <w:rPr/>
      </w:pPr>
      <w:r>
        <w:rPr>
          <w:rFonts w:ascii="IRNazanin" w:hAnsi="IRNazanin" w:eastAsia="IRNazanin"/>
          <w:color w:val="111111"/>
          <w:sz w:val="28"/>
          <w:sz w:val="28"/>
          <w:szCs w:val="28"/>
          <w:rtl w:val="true"/>
          <w:lang w:bidi="fa-IR"/>
        </w:rPr>
        <w:t>سلطنت مطلقه نیست؛ بلکه محدود است به شروط و حدودی؛ مثلاً از شروط سطنتِ مالک این است که مالک صغیر نباشد، مجنون یا سفیه یا مُفَلّس نباشد چون شارع این افراد را حَجْر کرده است و برای بعضی تعیین ولی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این که مالک حق ندارد اموال خود را در راه حرام صرف کند، به بیان دیگر سلطنت مالک هم وضعاً و هم تكليفاً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مواردی است که شارع الغاء سلطنت کرده است و سلطنت به يدِ غیر داده است مانند صغیر و مجنون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تكليفاً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مالک حق ندارد از مالِ خود هزینه کند، چون مُبتلایِ به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ثابت کردیم و بحث کردیم که مالک سلطنت بر اموال خود دارد به دلیلِ خود مِلک و محدود است به الغاء سلطنت از طرف شارع یعنی هر جا شارع حدّی گذاشته است باید مالک مراعات کند و هر جا به صورت مطلق گذاشته است مالک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این جاست که اگر مالک بخواهد این سلطنت را در مال خود اعمال کند، موجب اضرار به همسایه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گفت که یکی از قیود و حدودی که به سلطنتِ مالک می خورد عدم إضرارِ به غیر است؟ آیا این سلطنت چنین اقتضائی دارد؟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صدر رحمه اللّه علیه در این باره این چنین مطلب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قاعده سلطنت قصور دارد از این که موردی را که موجبِ ضرر به دیگران </w:t>
      </w:r>
    </w:p>
    <w:p>
      <w:pPr>
        <w:pStyle w:val="BookText"/>
        <w:rPr/>
      </w:pPr>
      <w:r>
        <w:rPr>
          <w:rFonts w:ascii="IRNazanin" w:hAnsi="IRNazanin" w:eastAsia="IRNazanin"/>
          <w:color w:val="111111"/>
          <w:sz w:val="28"/>
          <w:sz w:val="28"/>
          <w:szCs w:val="28"/>
          <w:rtl w:val="true"/>
          <w:lang w:bidi="fa-IR"/>
        </w:rPr>
        <w:t>بشود را بگیرد؛ یعنی قاعده سلطنت مقتضی ندارد در موردی که موجب اضرارِ به غیر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قاعده سلطنت دلیل آن عبارتاً از اجماع، ارتکازِ عقلائیه و سیرّ جاریهٔ مستمرهٔ بین النّاس، این سه دلیل، هر سه دلیلِ لُبّی است وقتی دلیل لُبّی باشد مدلول که قاعده سلطنت باشد، آن هم لُبّی می شود، پس اطلاق ندارد در جایی که موجب 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ذکرنَا معلوم شد که ما دلیل قاعده سلطنت را مِلک می دانیم نه اجماع و ارتکاز و سیرهٔ مستمره بین الناس و حال که دلیل قاعده ملک شد پس مقتضی موجود است و مواردی که باعث اضرار به غیر است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مقتضی برای سلطنت موجود است و بنا بر این اگر بخواهیم سلطنت را محدود کنیم باید اثبات مانع کنیم؛ یعنی باید شارع بگوید در صورتی که این سلطنت منجر به اضرار به غیر است محدود می شود نظر ما این است که این مانع موجود است و آن عبارت است از نصوصی که در قاعده لاضرر بیان شد و همه دال بر این است که سلطنت مالک محدود است تا جایی که منجر به اضرار به غیر نباشد به عنوانِ نمونه چند روایت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کتاب وسائل الشيعة بابی دارد به نام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حَرِيمِ الْبِئْرِ وَ الْعَيْنِ وَ الطَّرِيقِ وَ الْمَعْطَنِ وَ النَّاضِحِ وَ النَّهْرِ وَ الْمَسْجِدِ 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يَحْيَى عَنْ مُحَمَّدِ بْنِ الْحُسَيْنِ عَنْ مُحَمَّدِ بْنِ عبد اللّه بْنِ هِلَالٍ عَنْ عُقْبَةَ بْنِ خَالِدٍ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الْبِئْرَيْنِ إِذَا كَانَتْ أَرْضاً صُلْبَةً خَمْسُ مِائَةِ ذِرَاعٍ وَ 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رِخْوَةً فَأَلْفُ ذِرَاعٍ</w:t>
      </w:r>
      <w:r>
        <w:rPr>
          <w:rFonts w:eastAsia="Amiri" w:cs="Amiri" w:ascii="Amiri" w:hAnsi="Amiri"/>
          <w:color w:val="111111"/>
          <w:sz w:val="28"/>
          <w:szCs w:val="28"/>
          <w:rtl w:val="true"/>
          <w:lang w:bidi="ar-SA"/>
        </w:rPr>
        <w:t xml:space="preserve">) .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چاه در صورتی که در زمین سخت باشند پانصد ذراع و در زمین نرم هزار زراع 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أَبِيهِ عَنِ النَّوْفَلِيِّ عَنِ السَّكُونِيِّ عَنْ أَبِي عَبْدِ اللَّهِ عَلَيْهِ اَلسَّلاَمُ أَنَّ رَسُولَ اللَّهِ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بِئْرِ الْمَعْطِنِ إِلَى بِئْرِ الْمَعْطِنِ أَرْبَعُونَ ذِرَاعاً وَ مَا بَيْنَ بِئْرِ النَّاضِحِ إِلَى بِئْرِ النَّاضِحِ سِتُّونَ ذِرَاعُ وَ مَا بَيْنَ الْعَيْنِ إِلَى الْعَيْنِ يَعْنِي الْقَنَاةَ خَمْسُ مِائَةِ ذِرَاعٍ وَ الطَّرِيقُ يَتَشَاحُّ عَلَيْهِ</w:t>
      </w:r>
    </w:p>
    <w:p>
      <w:pPr>
        <w:pStyle w:val="BookText"/>
        <w:rPr/>
      </w:pPr>
      <w:r>
        <w:rPr>
          <w:rFonts w:ascii="Amiri" w:hAnsi="Amiri" w:eastAsia="Amiri" w:cs="Amiri"/>
          <w:color w:val="111111"/>
          <w:sz w:val="28"/>
          <w:sz w:val="28"/>
          <w:szCs w:val="28"/>
          <w:rtl w:val="true"/>
          <w:lang w:bidi="ar-SA"/>
        </w:rPr>
        <w:t>أَهْلُهُ فَحَدُّهُ سَبْعَةُ أَذْرُعٍ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دو چاه معطن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که برای آبشخور شتران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ذراع است و بین دو چاهی که می کشند شصت ذراع و بین دو قنات پانصد ذراع است و راهی که مردم در آن ازدحام دارند حد آن و حریم آن هفت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مَسافَتِ مشخص شده در روایات مذکور تعبّد نیست، ممکن است یک جا حریم جادّه به این اندازه باشد جایی دیگر به خاطر منطقه خاص مثلاً نظامی بودن حریم بیشتر است و این که رسول خدا صلی اللّه علیه و آله و سلم حدّ و مرز را نشان می دهد علّت متداوِل بودن زمان رسول خداست و ربطی به زمان ما ندارد به جهت این که در زمان رسول خدا صلی اللّه علیه و آله و سلم و عقاید غالب به این اندازه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عَنْ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الرَّجُلُ كَانَتْ لَهُ قَنَاةُ فِي قَرْيَةٍ فَأَرَادَ رَجُلُ أَنْ يَحْفِرَ قَنَاةً أُخْرَى إِلَى قَرْيَةٍ لَهُ كَمْ يَكُونُ بَيْنَهُمَا فِي الْبُعْدِ حَتَّى لَا تُضِرَّ إِحْدَاهُمَا بِالْأُخْرَى فِي الْأَرْضِ إِذَا كَانَتْ صُلْبَةً أَوْ رِخْوَةً فَوَقَّعَ عَلَيْهِ السَّلَامُ عَلَى حَسَبِ أَنْ لَا تُضِرَّ إِحْدَاهُمَا بِالْأُخْرَى</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شخصی در روستایی قناتی دارد و شخصی دیگر می خواهد قناتی حفر کند فاصله بین دو قنات در زمین سخت و نرم به چه مقدار می تواند باشد که به یک دیگر ضرر نزنند؟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باشد که به یک دیگر ضرر نزنند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ملاک را ضرر گرفته است از همین روایت استفاده می کنیم؛ سلطنت مالک بر مالش اقتضاء دارد که شامل جایی بشود که اضرار به غیر نیز باشد ولی شارع نهی کرده است از این اضرار و سلطنتِ مالک محدود است به عدم اضرار به غیر و شاهد آن این روایات حریم که گفته شده است احداث بر جدید ولو در ملک خود مالک است و سلطنت دارد؛ امّا این احداث جدید نباید موجب اضرار به همسایه شود و هم چنین نصوص و روایاتی که دالّ بر قاعده لاضرر است می توان شاهد بر این مطلب گرفت</w:t>
      </w:r>
      <w:r>
        <w:rPr>
          <w:rFonts w:eastAsia="IRNazanin" w:cs="IRNazanin"/>
          <w:color w:val="111111"/>
          <w:sz w:val="28"/>
          <w:szCs w:val="28"/>
          <w:rtl w:val="true"/>
          <w:lang w:bidi="fa-IR"/>
        </w:rPr>
        <w:t xml:space="preserve">. </w:t>
      </w:r>
      <w:bookmarkStart w:id="566" w:name="pg9135_79729"/>
    </w:p>
    <w:p>
      <w:pPr>
        <w:pStyle w:val="Heading3"/>
        <w:numPr>
          <w:ilvl w:val="2"/>
          <w:numId w:val="1"/>
        </w:numPr>
        <w:rPr/>
      </w:pPr>
      <w:bookmarkStart w:id="567" w:name="__RefHeading___Toc3219897_2870459653"/>
      <w:bookmarkStart w:id="568" w:name="_Toc226"/>
      <w:bookmarkEnd w:id="566"/>
      <w:bookmarkEnd w:id="567"/>
      <w:r>
        <w:rPr>
          <w:rtl w:val="true"/>
        </w:rPr>
        <w:t>قول مرحوم آیة اللّه آقا ضیاء الدین عراقی در مقالات الأصول</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مرحوم آیة اللّه آقا ضیاء الدین عراقی در مقالات الأصول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قاعده سلطنتِ مالک اطلاق دارد و شامل مواردی که ضرر به همسایه بخورد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که همسایه باشد قاعده سلطنتی دارد که این سلطنت اقتضا دارد به این که اگر کسی بخواهد کسی به مالِ او ضرر و زیانی وارد کند حق دارد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 فرمایند ما دو قاعده سلطنت داریم یکی سلطنت مالک که اطلاق دارد ولو موجب إضرار بهجار بشود و دیگر قاعده سلطنت جار به این که اگر کسی بخواهد به جار ضرر و زیانی وارد کند همسایه بتواند توسط این سلطنت جلو ضرر غیر را به مالِ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اطلاق قاعده سلطنت با هم تعارض می کنند اطلاق مالک می گوید می تواند ضرر بزند و اطلاق جار می گوید می تواند جلوِ این ضرر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اطلاق با هم تعارض می کنند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باید رجوع شود به اصل عملی که اصالة الجواز است؛ یعنی اصل این است که مالک می تواند تصرف در ملک خود کند ولو این تصرف مُنجَرِّ ضرر به غیر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علیه در تقریرات اصول شان به کلام آقا ضیاء اشکال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 یک قاعده لبّی است که از اجماع، ارتکاز و سیره مستمرّه بين الناس اصطياد شده است حال وقتی قاعده شد یک قاعده متصيّده پس این قاعده دلیل لفظی ندارد و یک قاعده لبّی است و اطلاقی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شهید صدر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دلیل قاعده سلطنت قاعده متصیّده ای که شهید صدر ادعا کردند نیست؛ زیرا دلیل قاعده سلطنت ملک است، کسی که مالک چیزی باشد لا محاله مالک، سلطنتِ مالش دارد پس چون ملک اطلاق دارد سلطنت هم اطلاق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ما بپذیریم که قاعده سلطنت اطلاق دارد؛ مشهور قاعده سلطنت را تمسّک می کنند به حدیث نبوی صلی اللّه علیه و آله و سلم </w:t>
      </w:r>
      <w:r>
        <w:rPr>
          <w:rFonts w:ascii="Amiri" w:hAnsi="Amiri" w:eastAsia="Amiri" w:cs="Amiri"/>
          <w:color w:val="111111"/>
          <w:sz w:val="28"/>
          <w:sz w:val="28"/>
          <w:szCs w:val="28"/>
          <w:rtl w:val="true"/>
          <w:lang w:bidi="ar-SA"/>
        </w:rPr>
        <w:t>النَّاسُ مُسَلَّطُونَ عَلَى أَمْوَالِهِمْ</w:t>
      </w:r>
      <w:r>
        <w:rPr>
          <w:rStyle w:val="FootnoteAnchor"/>
          <w:rtl w:val="true"/>
        </w:rPr>
        <w:footnoteReference w:id="358"/>
      </w:r>
      <w:r>
        <w:rPr>
          <w:rFonts w:ascii="IRNazanin" w:hAnsi="IRNazanin" w:eastAsia="IRNazanin"/>
          <w:color w:val="111111"/>
          <w:sz w:val="28"/>
          <w:sz w:val="28"/>
          <w:szCs w:val="28"/>
          <w:rtl w:val="true"/>
          <w:lang w:bidi="fa-IR"/>
        </w:rPr>
        <w:t xml:space="preserve">و </w:t>
      </w:r>
      <w:r>
        <w:rPr>
          <w:rStyle w:val="FootnoteAnchor"/>
          <w:rtl w:val="true"/>
        </w:rPr>
        <w:footnoteReference w:id="359"/>
      </w:r>
      <w:r>
        <w:rPr>
          <w:rFonts w:ascii="IRNazanin" w:hAnsi="IRNazanin" w:eastAsia="IRNazanin"/>
          <w:color w:val="111111"/>
          <w:sz w:val="28"/>
          <w:sz w:val="28"/>
          <w:szCs w:val="28"/>
          <w:rtl w:val="true"/>
          <w:lang w:bidi="fa-IR"/>
        </w:rPr>
        <w:t xml:space="preserve">و معنا می کنند به این که مردم مسلط بر اموالِ </w:t>
      </w:r>
    </w:p>
    <w:p>
      <w:pPr>
        <w:pStyle w:val="BookText"/>
        <w:rPr/>
      </w:pPr>
      <w:r>
        <w:rPr>
          <w:rFonts w:ascii="IRNazanin" w:hAnsi="IRNazanin" w:eastAsia="IRNazanin"/>
          <w:color w:val="111111"/>
          <w:sz w:val="28"/>
          <w:sz w:val="28"/>
          <w:szCs w:val="28"/>
          <w:rtl w:val="true"/>
          <w:lang w:bidi="fa-IR"/>
        </w:rPr>
        <w:t>خود هستند و هر تصرّفی می توانند در اموال خود انجام دهند چه از تصرّفات اعتباری مثل بیع، هبه، صلح و چه از تصرفات تکوینی مثل ساخت و ساز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تصرفات از باب </w:t>
      </w:r>
      <w:r>
        <w:rPr>
          <w:rFonts w:ascii="Amiri" w:hAnsi="Amiri" w:eastAsia="Amiri" w:cs="Amiri"/>
          <w:color w:val="111111"/>
          <w:sz w:val="28"/>
          <w:sz w:val="28"/>
          <w:szCs w:val="28"/>
          <w:rtl w:val="true"/>
          <w:lang w:bidi="ar-SA"/>
        </w:rPr>
        <w:t>مُسَلَّطُونَ عَلَى أَمْوَالِهِمْ</w:t>
      </w:r>
      <w:r>
        <w:rPr>
          <w:rFonts w:ascii="IRNazanin" w:hAnsi="IRNazanin" w:eastAsia="IRNazanin"/>
          <w:color w:val="111111"/>
          <w:sz w:val="28"/>
          <w:sz w:val="28"/>
          <w:szCs w:val="28"/>
          <w:rtl w:val="true"/>
          <w:lang w:bidi="fa-IR"/>
        </w:rPr>
        <w:t xml:space="preserve"> استفاده شده است و و در قاعده </w:t>
      </w:r>
      <w:r>
        <w:rPr>
          <w:rFonts w:ascii="Amiri" w:hAnsi="Amiri" w:eastAsia="Amiri" w:cs="Amiri"/>
          <w:color w:val="111111"/>
          <w:sz w:val="28"/>
          <w:sz w:val="28"/>
          <w:szCs w:val="28"/>
          <w:rtl w:val="true"/>
          <w:lang w:bidi="ar-SA"/>
        </w:rPr>
        <w:t>مُسَلَّطُونَ لِأَمْوَالِهِمْ</w:t>
      </w:r>
      <w:r>
        <w:rPr>
          <w:rFonts w:ascii="IRNazanin" w:hAnsi="IRNazanin" w:eastAsia="IRNazanin"/>
          <w:color w:val="111111"/>
          <w:sz w:val="28"/>
          <w:sz w:val="28"/>
          <w:szCs w:val="28"/>
          <w:rtl w:val="true"/>
          <w:lang w:bidi="fa-IR"/>
        </w:rPr>
        <w:t xml:space="preserve"> ندارد؛ چون اگر عبارت به این طریق آمده بود معنا می شد به</w:t>
      </w:r>
    </w:p>
    <w:p>
      <w:pPr>
        <w:pStyle w:val="BookText"/>
        <w:rPr/>
      </w:pPr>
      <w:r>
        <w:rPr>
          <w:rFonts w:ascii="IRNazanin" w:hAnsi="IRNazanin" w:eastAsia="IRNazanin"/>
          <w:color w:val="111111"/>
          <w:sz w:val="28"/>
          <w:sz w:val="28"/>
          <w:szCs w:val="28"/>
          <w:rtl w:val="true"/>
          <w:lang w:bidi="fa-IR"/>
        </w:rPr>
        <w:t>این که مردم تسلّط بر منافع مِلْکِ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دلیلی باعث شود که به این منافع ضرر وارد شود می تواند جلوگیری کند؛ یعنی همان اطلاقی که مرحوم آقا ضیاء به آن تمسک کردند برای سلطنت همسایه یعنی همسایه حق دارد از اضرار مالک جلوگیری کند به دلیل تصرّفی که در ملکش کرده است و ضرری که به منافع همسایه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حقّ جَرِّ منفعت برای مال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کاری کند که ضرر به منفعت او وارد شود می تواند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قاعده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مالک هر نوع تصرف اعتباری یا تکوینی می تواند در مالش انجام دهد و همسایه حق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قدرت ندارد که همسایه جلوی تصرفات مالک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مرحوم صدر می فرماید به فرض اگر اطلاقی در این جا باشد اطلاق سلطنت برای مالک است که می تواند هر تصرفی در مِلکش انجام دهد ولو به همسایه ضرر وارد شود؛ امّا اطلاق سلطنت برای همسایه که بتواند جلو تصرفات مالک را بگیرد تا به منافع او ضرر وارد نشود چنین اطلاقی را نمی پذیریم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شهید صدر تمام نیست، زیرا ایشان تفاوت قائل شدند بین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شدند به این که در عبارت عَلَى أَمْوَالِهِمْ به این معنا است که مالک هر گونه تصرف اعتباری و تکوینی در مالش می تواند انجام دهد؛ امّا برای مراقبت و حفظ مال نباید کاری و فعالیتی انجام دهد حال آن که همان دلیلی که دال بر ملک و سلطنت مالک است، می گوید قدرت بر حفظ و مراقبت از مالِ خود را دارد پس وقتی قدرت و سلطنت بر مال را دارد اقتضا دارد که مالک ولایتِ بر حفظ مال خود را داشته باشد و مالک </w:t>
      </w:r>
      <w:bookmarkStart w:id="569" w:name="pg9135_79731"/>
    </w:p>
    <w:p>
      <w:pPr>
        <w:pStyle w:val="BookText"/>
        <w:rPr/>
      </w:pPr>
      <w:bookmarkEnd w:id="569"/>
      <w:r>
        <w:rPr>
          <w:rFonts w:ascii="IRNazanin" w:hAnsi="IRNazanin" w:eastAsia="IRNazanin"/>
          <w:color w:val="111111"/>
          <w:sz w:val="28"/>
          <w:sz w:val="28"/>
          <w:szCs w:val="28"/>
          <w:rtl w:val="true"/>
          <w:lang w:bidi="fa-IR"/>
        </w:rPr>
        <w:t>می تواند برای حفظ اموالش یک تدابیری را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قاعده </w:t>
      </w:r>
      <w:r>
        <w:rPr>
          <w:rFonts w:ascii="Amiri" w:hAnsi="Amiri" w:eastAsia="Amiri" w:cs="Amiri"/>
          <w:color w:val="111111"/>
          <w:sz w:val="28"/>
          <w:sz w:val="28"/>
          <w:szCs w:val="28"/>
          <w:rtl w:val="true"/>
          <w:lang w:bidi="ar-SA"/>
        </w:rPr>
        <w:t>النَّاسُ مُسَلَّطُونَ عَلَى أَمْوَالِهِمْ</w:t>
      </w:r>
      <w:r>
        <w:rPr>
          <w:rStyle w:val="FootnoteAnchor"/>
          <w:rtl w:val="true"/>
        </w:rPr>
        <w:footnoteReference w:id="360"/>
      </w:r>
      <w:r>
        <w:rPr>
          <w:rFonts w:ascii="IRNazanin" w:hAnsi="IRNazanin" w:eastAsia="IRNazanin"/>
          <w:color w:val="111111"/>
          <w:sz w:val="28"/>
          <w:sz w:val="28"/>
          <w:szCs w:val="28"/>
          <w:rtl w:val="true"/>
          <w:lang w:bidi="fa-IR"/>
        </w:rPr>
        <w:t xml:space="preserve">ولو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یعنی مالک مسلط بر اموال خود است و حق محافظت از اموال خود را دارد؛ یعنی حق دارد نگذارد مالش متضرر شود و می تواند از تصرفات همسایه که باعث ضررِ او می شود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به فرض قاعده سلطنت را کنار بگذاریم حق ولایت و حفظ نگهداری از اموال به عهده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 اقتضا دارد که مالک در ملک خود تصرّفاتی انجام بدهد، ولو به همسایه خود ضرر وارد کند و اگر بخواهیم جلو این اقتضا را بگیریم، باید اثبات مانع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برای مالک مقتضی سلطنتِ بر مال وجود دارد، حال آیا مانع از جریان قاعده سلطنت را می توانیم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می تواند از قاعده سلطنت مانع باشد، قاعده لاضرر است به این بیان که قاعده لاضرر حکومت دارد بر قاعده سلطنت و آن را تضییق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برای قاعده سلطنت موجود است؛ امّا مانع که قاعده لاضرر باشد نیز وجود دارد</w:t>
      </w:r>
      <w:r>
        <w:rPr>
          <w:rFonts w:eastAsia="IRNazanin" w:cs="IRNazanin"/>
          <w:color w:val="111111"/>
          <w:sz w:val="28"/>
          <w:szCs w:val="28"/>
          <w:rtl w:val="true"/>
          <w:lang w:bidi="fa-IR"/>
        </w:rPr>
        <w:t>.</w:t>
      </w:r>
    </w:p>
    <w:p>
      <w:pPr>
        <w:pStyle w:val="Heading3"/>
        <w:numPr>
          <w:ilvl w:val="2"/>
          <w:numId w:val="1"/>
        </w:numPr>
        <w:rPr/>
      </w:pPr>
      <w:bookmarkStart w:id="570" w:name="__RefHeading___Toc3219899_2870459653"/>
      <w:bookmarkStart w:id="571" w:name="_Toc227"/>
      <w:bookmarkEnd w:id="570"/>
      <w:r>
        <w:rPr>
          <w:rtl w:val="true"/>
        </w:rPr>
        <w:t>صور سلطنت مالک با اضرار بر غیر</w:t>
      </w:r>
      <w:bookmarkEnd w:id="571"/>
    </w:p>
    <w:p>
      <w:pPr>
        <w:pStyle w:val="BookText"/>
        <w:rPr/>
      </w:pPr>
      <w:r>
        <w:rPr>
          <w:rFonts w:ascii="IRNazanin" w:hAnsi="IRNazanin" w:eastAsia="IRNazanin"/>
          <w:color w:val="111111"/>
          <w:sz w:val="28"/>
          <w:sz w:val="28"/>
          <w:szCs w:val="28"/>
          <w:rtl w:val="true"/>
          <w:lang w:bidi="fa-IR"/>
        </w:rPr>
        <w:t>محقق نائینی داستان سلطنت مالک را با اضرار به غیر چهار صورت تصور کرده اند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مالک در مِلکِ خود تصرفی انجام می دهد؛ لكن به داعي اضرارِ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هر چند قاعده سلطنت موجود است؛ امّا قاعده لاضرر حکومت دارد و مانع می شود که مالک، یک چنین سلطنتی داشته باشد که بخواهد تصرّفی در مال خود انجام دهد و با آن تصرّف إضرارِ به غیر وارد کند</w:t>
      </w:r>
      <w:r>
        <w:rPr>
          <w:rFonts w:eastAsia="IRNazanin" w:cs="IRNazanin"/>
          <w:color w:val="111111"/>
          <w:sz w:val="28"/>
          <w:szCs w:val="28"/>
          <w:rtl w:val="true"/>
          <w:lang w:bidi="fa-IR"/>
        </w:rPr>
        <w:t xml:space="preserve">. </w:t>
      </w:r>
      <w:bookmarkStart w:id="572" w:name="pg9135_79732"/>
    </w:p>
    <w:p>
      <w:pPr>
        <w:pStyle w:val="BookText"/>
        <w:rPr/>
      </w:pPr>
      <w:bookmarkEnd w:id="572"/>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مالک در ملکِ خود تصرّفی انجام می دهد و این تصرّف به داعی دفع ضرر از خود است و این تصرّف موجب می شود إضرارِ قابلِ توجهی به همسایه و غیر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ضرری که به مالک وارد می شود ضرر مختصر و بسیطی است و برای دفع آن موجب می شود به غیر ضررِ کثیر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مالک تصرّف می کند در ملکِ خودش به غرض انتفاع، لكن این نفع موجبِ اضرارِ مُعْتَدُّ به،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صورت دوّم که مالک به جهت دفع ضرر مختصر و بسیطی،ضررِ قابل توجهی به همسایه و غیر وارد کند می گوییم قاعده سلطنت جاری نیست و قاعده لاضرر حاکم است و مانع است از اضرار به غیر و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صورت سوّم که مالک می خواهد منفعتی را کَسب کند و این جَلبِ منفعت منجر به اضرار به غیر می،شود قاعده لاضرر حاکم است و مانع از اضرار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و سوّم علاوه بر این که لاضرر بر قاعده سلطنت حاکم است نصوصی را از باب حدّ حريم بئر و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کردیم که ملاک حفر بئر را عدم اضرار به غیر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استفاده می شود که فعل شخص که موجب اضرارِ به غیر است ولو این کار را به داعیِ جلبِ منفعت یا دفعِ ضرر مختصر انجام می دهد امّا لاضرر حکومت دارد و مانع می شود پس در این صورت قائل به وجود مقتضی و اثباتِ مانع می شویم</w:t>
      </w:r>
      <w:r>
        <w:rPr>
          <w:rFonts w:eastAsia="IRNazanin" w:cs="IRNazanin"/>
          <w:color w:val="111111"/>
          <w:sz w:val="28"/>
          <w:szCs w:val="28"/>
          <w:rtl w:val="true"/>
          <w:lang w:bidi="fa-IR"/>
        </w:rPr>
        <w:t>.</w:t>
      </w:r>
    </w:p>
    <w:p>
      <w:pPr>
        <w:pStyle w:val="Heading3"/>
        <w:numPr>
          <w:ilvl w:val="2"/>
          <w:numId w:val="1"/>
        </w:numPr>
        <w:rPr/>
      </w:pPr>
      <w:bookmarkStart w:id="573" w:name="__RefHeading___Toc3219901_2870459653"/>
      <w:bookmarkStart w:id="574" w:name="_Toc228"/>
      <w:bookmarkEnd w:id="573"/>
      <w:r>
        <w:rPr>
          <w:rtl w:val="true"/>
        </w:rPr>
        <w:t>نظر فقها در مورد این صور و فروض</w:t>
      </w:r>
      <w:bookmarkEnd w:id="574"/>
    </w:p>
    <w:p>
      <w:pPr>
        <w:pStyle w:val="BookText"/>
        <w:rPr/>
      </w:pPr>
      <w:r>
        <w:rPr>
          <w:rFonts w:ascii="IRNazanin" w:hAnsi="IRNazanin" w:eastAsia="IRNazanin"/>
          <w:color w:val="111111"/>
          <w:sz w:val="28"/>
          <w:sz w:val="28"/>
          <w:szCs w:val="28"/>
          <w:rtl w:val="true"/>
          <w:lang w:bidi="fa-IR"/>
        </w:rPr>
        <w:t>اما آقایان و بزرگان در این فروض دو قول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قاعده سلطنت را جاری کرده اند و مالک می تواند تصرّف کند ولو اضرار به غیر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مرجع دو مقام را حکومتِ قاعده لاضرر بر قاعده سلطنت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مستند این دو قول چیست</w:t>
      </w:r>
      <w:r>
        <w:rPr>
          <w:rFonts w:eastAsia="IRNazanin" w:cs="IRNazanin"/>
          <w:color w:val="111111"/>
          <w:sz w:val="28"/>
          <w:szCs w:val="28"/>
          <w:rtl w:val="true"/>
          <w:lang w:bidi="fa-IR"/>
        </w:rPr>
        <w:t xml:space="preserve">: </w:t>
      </w:r>
      <w:bookmarkStart w:id="575" w:name="pg9135_79733"/>
    </w:p>
    <w:p>
      <w:pPr>
        <w:pStyle w:val="Heading3"/>
        <w:numPr>
          <w:ilvl w:val="2"/>
          <w:numId w:val="1"/>
        </w:numPr>
        <w:rPr/>
      </w:pPr>
      <w:bookmarkStart w:id="576" w:name="__RefHeading___Toc3219903_2870459653"/>
      <w:bookmarkStart w:id="577" w:name="_Toc229"/>
      <w:bookmarkEnd w:id="575"/>
      <w:bookmarkEnd w:id="576"/>
      <w:r>
        <w:rPr>
          <w:rtl w:val="true"/>
        </w:rPr>
        <w:t>مستند قول اوّل</w:t>
      </w:r>
      <w:r>
        <w:rPr>
          <w:rtl w:val="true"/>
        </w:rPr>
        <w:t xml:space="preserve">: </w:t>
      </w:r>
      <w:r>
        <w:rPr>
          <w:rtl w:val="true"/>
        </w:rPr>
        <w:t>شیخ انصاری رحمه اللّه علیه می فرماید</w:t>
      </w:r>
      <w:r>
        <w:rPr>
          <w:rtl w:val="true"/>
        </w:rPr>
        <w:t>:</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علیه می فرماید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قاعده سلطنت جاری می شود ولو منجَرِّبه اضرار به غیر بشود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ایشان دو دلیل اقامه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قاعده سلطنت برای مالک نیست، مالک را منع کرده ایم از تصرّف در مالش و این منع مالک از تصرف در مالش موجب ضیق و حَرَج برای اوست و قاعده لاحَرَج این جا می گوید حق منع مالک از تصرف در مالش را نداریم، و اگر کسی سؤال کند جایگاه قاعده لاضرر در این فروض کجاست، می گوییم قاعده لاحرج حاکم بر قاعده لاضرر است همان گونه که لاحرج حاکم بر ادله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فروض اصلاً قاعده لاضرر جاری نمی شود؛ چون قاعده لاضرر امتنانی است و نباید جریانش خلافِ امتنان برای کسی باشد و در این فروض قاعده لاضرر برای همسایه و غیر به جهت دفع ضرر امتنانی است؛ امّا برای مالک به جهت این که متضرر می شود، خلافِ امتنان است پس قاعده لاضرر جایی که خلاف امتنان باشد جاری نمی شود پس مالک قاعده سلطنت را دارد و می تواند در مالش تصرف کند ولو این که منجر به ضرر به غیر شود</w:t>
      </w:r>
      <w:r>
        <w:rPr>
          <w:rFonts w:eastAsia="IRNazanin" w:cs="IRNazanin"/>
          <w:color w:val="111111"/>
          <w:sz w:val="28"/>
          <w:szCs w:val="28"/>
          <w:rtl w:val="true"/>
          <w:lang w:bidi="fa-IR"/>
        </w:rPr>
        <w:t>.</w:t>
      </w:r>
    </w:p>
    <w:p>
      <w:pPr>
        <w:pStyle w:val="Heading3"/>
        <w:numPr>
          <w:ilvl w:val="2"/>
          <w:numId w:val="1"/>
        </w:numPr>
        <w:rPr/>
      </w:pPr>
      <w:bookmarkStart w:id="578" w:name="__RefHeading___Toc3219905_2870459653"/>
      <w:bookmarkStart w:id="579" w:name="_Toc230"/>
      <w:bookmarkEnd w:id="578"/>
      <w:r>
        <w:rPr>
          <w:rtl w:val="true"/>
        </w:rPr>
        <w:t>مناقشه قول شیخ انصاری</w:t>
      </w:r>
      <w:bookmarkEnd w:id="579"/>
    </w:p>
    <w:p>
      <w:pPr>
        <w:pStyle w:val="BookText"/>
        <w:rPr/>
      </w:pPr>
      <w:r>
        <w:rPr>
          <w:rFonts w:ascii="IRNazanin" w:hAnsi="IRNazanin" w:eastAsia="IRNazanin"/>
          <w:color w:val="111111"/>
          <w:sz w:val="28"/>
          <w:sz w:val="28"/>
          <w:szCs w:val="28"/>
          <w:rtl w:val="true"/>
          <w:lang w:bidi="fa-IR"/>
        </w:rPr>
        <w:t>دو دلیلی که اقامه شد قابل مناقشه است؛</w:t>
      </w:r>
    </w:p>
    <w:p>
      <w:pPr>
        <w:pStyle w:val="Heading3"/>
        <w:numPr>
          <w:ilvl w:val="2"/>
          <w:numId w:val="1"/>
        </w:numPr>
        <w:rPr/>
      </w:pPr>
      <w:bookmarkStart w:id="580" w:name="__RefHeading___Toc3219907_2870459653"/>
      <w:bookmarkStart w:id="581" w:name="_Toc231"/>
      <w:bookmarkEnd w:id="580"/>
      <w:r>
        <w:rPr>
          <w:rtl w:val="true"/>
        </w:rPr>
        <w:t>مناقشه دلیل اول</w:t>
      </w:r>
      <w:bookmarkEnd w:id="58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را محقق خوئی در مصباح الأصول </w:t>
      </w:r>
      <w:r>
        <w:rPr>
          <w:rStyle w:val="FootnoteAnchor"/>
          <w:rtl w:val="true"/>
        </w:rPr>
        <w:footnoteReference w:id="364"/>
      </w:r>
      <w:r>
        <w:rPr>
          <w:rFonts w:ascii="IRNazanin" w:hAnsi="IRNazanin" w:eastAsia="IRNazanin"/>
          <w:color w:val="111111"/>
          <w:sz w:val="28"/>
          <w:sz w:val="28"/>
          <w:szCs w:val="28"/>
          <w:rtl w:val="true"/>
          <w:lang w:bidi="fa-IR"/>
        </w:rPr>
        <w:t>مناقشه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فرمودید اگر مالک منع شود از تصرف محدود که منجر شود به ضرر بسیط و مختصر این منع باعث حرج برای مالک می شود و حال این که آن حَرَجی که در شریعت منع </w:t>
      </w:r>
      <w:bookmarkStart w:id="582" w:name="pg9135_79734"/>
    </w:p>
    <w:p>
      <w:pPr>
        <w:pStyle w:val="BookText"/>
        <w:rPr/>
      </w:pPr>
      <w:bookmarkEnd w:id="582"/>
      <w:r>
        <w:rPr>
          <w:rFonts w:ascii="IRNazanin" w:hAnsi="IRNazanin" w:eastAsia="IRNazanin"/>
          <w:color w:val="111111"/>
          <w:sz w:val="28"/>
          <w:sz w:val="28"/>
          <w:szCs w:val="28"/>
          <w:rtl w:val="true"/>
          <w:lang w:bidi="fa-IR"/>
        </w:rPr>
        <w:t xml:space="preserve">شده است، حَرَجی است که عادتاً قابل تحمل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مناقشه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صورت صغری را بپذیریم که منع مالک از تصرف باعث حَرَج می شود امّا چگونه لاحَرَج می تواند بر قاعده لاضرر حکومت داشته باشد و حال آن که نسبت لاضرر و لاحرج بر احکام اولیّه حکومت است امّا این دو قاعده نسبت به هم در یک ردیف قرار دارند و یکی بر دیگری حکومت ندارد چون دلیل حاکم باید ناظر بر دلیل محکوم باشد و چنین نظارتی برای قاعده لاحرج نسبت به لاضرر تصوّر نمی شود حال وقتی این دو قاعده در مقابل هم قرار گرفتند تعارض و تساقط می کنند و وقتی تساقط کردند یا می گویید قاعده سلطنت هنوز مقتضی دارد و جاری می شود یا این که قاعده سلطنت مقتضی ندارد و نوبت به اصل عملی می رسد و اصل عملی در مقام، برائتِ حرمتِ تصرّفِ مالک است در ملک خودش، پس اصل جوازِ تصرّف مالک است</w:t>
      </w:r>
      <w:r>
        <w:rPr>
          <w:rFonts w:eastAsia="IRNazanin" w:cs="IRNazanin"/>
          <w:color w:val="111111"/>
          <w:sz w:val="28"/>
          <w:szCs w:val="28"/>
          <w:rtl w:val="true"/>
          <w:lang w:bidi="fa-IR"/>
        </w:rPr>
        <w:t>.</w:t>
      </w:r>
    </w:p>
    <w:p>
      <w:pPr>
        <w:pStyle w:val="Heading3"/>
        <w:numPr>
          <w:ilvl w:val="2"/>
          <w:numId w:val="1"/>
        </w:numPr>
        <w:rPr/>
      </w:pPr>
      <w:bookmarkStart w:id="583" w:name="__RefHeading___Toc3219909_2870459653"/>
      <w:bookmarkStart w:id="584" w:name="_Toc232"/>
      <w:bookmarkEnd w:id="583"/>
      <w:r>
        <w:rPr>
          <w:rtl w:val="true"/>
        </w:rPr>
        <w:t>مناقشه دلیل دوّم</w:t>
      </w:r>
      <w:bookmarkEnd w:id="584"/>
    </w:p>
    <w:p>
      <w:pPr>
        <w:pStyle w:val="BookText"/>
        <w:rPr/>
      </w:pPr>
      <w:r>
        <w:rPr>
          <w:rFonts w:ascii="IRNazanin" w:hAnsi="IRNazanin" w:eastAsia="IRNazanin"/>
          <w:color w:val="111111"/>
          <w:sz w:val="28"/>
          <w:sz w:val="28"/>
          <w:szCs w:val="28"/>
          <w:rtl w:val="true"/>
          <w:lang w:bidi="fa-IR"/>
        </w:rPr>
        <w:t>در دلیل دوّم فرمودند که لاضرر امتنانی است و جایی که جریان لاضرر خلافِ امتنان باشد مثل جایی که لاضرر باعث شود مالک نتواند تصرّف در ملک کند این خلافِ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قاعده لاضرر جریانش مبتنی بر امتنان نیست لذا در قضيه سمرة بن جندب ،که رسول خدا صلی اللّه علیه و آله و سلم حکم کردند به کندن نخلِ سمره برای این شخص امتنانی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لاضرر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قائل شویم لاضرر امتنانی است باید بدانیم که در امتنان دو نکته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برای شخص که لاضرر در حق او جاری می شود امتنانی باشد و دوّم این که منجرّ به ضرر به غیر نشود؛ زیرا این خلاف امتنان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دو نکته در مَا نَحْنُ فِيهِ وجود دارد زیرا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لاضرر هم برای همسایه ای که متضرر می شود و هم برای مالکی که نهی می شود هر دو امتنان است؛ بلکه در صورت ثانیه هر چند جریان قاعده لاضرر مُنجَرّ می شود که یک ضرر کمی و بسیطی به مالک وارد شود امّا این ضرر مُعْتَد به نیست که مانع از جریان قاعده لاضرر بشود و در صورت سوّم می گوید جریان قاعده لاضرر باعث می شود که مالک نفعی نبرد و حال آن که عدمُ الإنتفاع غیر از ضرر است؛ بنا بر این حتی در فرض امتنانیتِ قاعده لاضرر، در صورت دوّم و سوم </w:t>
      </w:r>
    </w:p>
    <w:p>
      <w:pPr>
        <w:pStyle w:val="BookText"/>
        <w:rPr/>
      </w:pPr>
      <w:r>
        <w:rPr>
          <w:rFonts w:ascii="IRNazanin" w:hAnsi="IRNazanin" w:eastAsia="IRNazanin"/>
          <w:color w:val="111111"/>
          <w:sz w:val="28"/>
          <w:sz w:val="28"/>
          <w:szCs w:val="28"/>
          <w:rtl w:val="true"/>
          <w:lang w:bidi="fa-IR"/>
        </w:rPr>
        <w:t>لاضرر جاری می شود و وقتی جاری شد مانع از جریان قاعده سلطنت در حق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مالک تصرفی در مال خود انجام می دهد و این تصرّف منجر به ضرر به همسایه می شود و ضرر هم ضرر قابل توجهی است و اگر مالک این تصرّف را در مالِ خود انجام ندهد ضررِ قابل توجهی به او می رسد؛ یعنی در این فرض امر دائر است بین ضررین قاعده سلطنت می گوید مالک می تواند در مال خود تصرف کند ولو به همسایه ضرر وارد شود و قاعده لاضرر می گوید حق اضرار به غیر را نداری و حال این که اگر مالک تصرف نکند خود متضرّر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در این فرض قاعده لاضرر حاکم قاعده سلطنت مالک است چون سلطنت مالک باعث اضرار به غیر می شود، مالک سلطنتی ندارد و آیا قاعده لاضرر برای مالکی که متضرّر شده جاری می شود و بگوییم مالک چون متضرّر می شود پس سلطنت مالک جای خود هست؛ سؤال این است که آیا برای هر سر کدام قاعده لاضرر جاری می شود یا فقط در حق همسایه قاعده لاضرر جاری می شود و قاعده سلطنتِ مالک مقید می شود؟</w:t>
      </w:r>
    </w:p>
    <w:p>
      <w:pPr>
        <w:pStyle w:val="BookText"/>
        <w:rPr/>
      </w:pPr>
      <w:r>
        <w:rPr>
          <w:rFonts w:ascii="IRNazanin" w:hAnsi="IRNazanin" w:eastAsia="IRNazanin"/>
          <w:color w:val="111111"/>
          <w:sz w:val="28"/>
          <w:sz w:val="28"/>
          <w:szCs w:val="28"/>
          <w:rtl w:val="true"/>
          <w:lang w:bidi="fa-IR"/>
        </w:rPr>
        <w:t>محقق نائینی رحمه اللّه علیه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سلطنت اطلاق دارد و هر تصرّفی را می تواند انجام دهد؛ امّا چون تصرّف مالک باعث ضرر به همسایه می شود قاعده سلطنت مالک مقید و مضیق می شود به قاعده لاضرر و مالک حق ندارد تصرفی انجام دهد که منجر اضرار به غیر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 شود که اگر قاعده لاضرر در حق همسایه جاری شد و این جا مانع بشود از تصرّفِ مالک، این منع از تصرّف باعث می شود که مالک خود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فرض در حق مالک قاعده لاضرر جاری نمی شود و لاضرر نمی تواند ضررِ مالک به خودش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قاعده لاضرر وقتی حکم اوّلیه ای مانند قاعده سلطنت را تقیید زد اگر از این تقیید ضرری مترتب بشود، لاضرر نمی تواند این ضرر را بردارد، چون ضررِ دوّم متولّدِ از قاعده لاضرر است و لاضرر نمی تواند شاملِ مواردی بشود که خود علّتِ آن ضرر است، ضررِ به مالک از جریانِ قاعده لاضرر نسبتِ به همسایه ایجاد شده است و ضرری را که قاعده لاضرر خود علّت پیدایشِ آن شده است، اگر بخواهد خود آن را </w:t>
      </w:r>
    </w:p>
    <w:p>
      <w:pPr>
        <w:pStyle w:val="BookText"/>
        <w:rPr/>
      </w:pPr>
      <w:r>
        <w:rPr>
          <w:rFonts w:ascii="IRNazanin" w:hAnsi="IRNazanin" w:eastAsia="IRNazanin"/>
          <w:color w:val="111111"/>
          <w:sz w:val="28"/>
          <w:sz w:val="28"/>
          <w:szCs w:val="28"/>
          <w:rtl w:val="true"/>
          <w:lang w:bidi="fa-IR"/>
        </w:rPr>
        <w:t>بردارد، خُلف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که موجب پیدایش معلول شده است، همان علت باعث معدوم شدنِ آن معلول شده است و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لاضرر بیشتر جاری نمی شود و آن در حقّ همسایه است مانند قضيه سمرة بن جندب که رسول خدا صلی اللّه علیه و آله و سلم حکم کردند به نَزع و کندنِ درخت نخل هر چند سمرة بن جندب متضرّر شد؛ امّا لاضرر در حق سمره جاری نمی شود؛ زیرا ضررِ نسبت به سمره متولّد از جریان قاعده لاضرر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محقق نائینی این جا یک اشکال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همان طور که در حقّ همسایه جاری می شود نسبت به مالک نیز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لاضرر على نحوِ قضایای حقیقیه است؛ چون احکام شرعیه علی نحوِ قضایای حقیقیه است؛ یعنی حاکم شرع آن ها را جعل کرده است و هر گاه حکمی در خارج موضوع پیدا کند آن حکم مترتب می شود، برای روشن شدن مطلب، بحثِ ما مانند داستانِ حجّیتِ خبرِ واحد است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حجیت خبر واحد، اخبار آحاد مَعَ اَلْوَاسِطِهِ را نیز گفتیم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صدوق نقل می کند از محمّد بن حسن بن ولید از محمّد بن حسن صفّار از برقی از پدر شان حال در حجیت خبر واحد وقتی گفته می شود صدق العادل و خبر صدوق را که از ابن ولید نقل کرده است را قبول می کنیم خبر صدوق که حجّت شد چون از ابن ولید نقل می کند خبر ابن ولید حجّت می شود هَكَذَا خبر سفار و برقی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می گوییم چگونه برای اخبار آحاد می گویید صدّق العادل و تمام راويان مَعَ اَلْوَاسِطِهِ را می گیرد و حجّت است؛ یعنی هم قول إبن ولید از حجیتِ خبر واحد به دست می آید و همین صدّق العادل ابن ولید را هم می گیرد به دلیل این که علی نحو قضایایِ حقیقیه است؛ یعنی هر وقت موضوع محقق شد حکم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فِيهِ نیز می گوییم قاعده سلطنت موجبِ ضرر به جار می شود و قاعده لاضرر این ضرر به جار را نفی می کند و از نفی از ضررِ به را جار یک ضرر دیگری که ضرر به مالک باشد متولّد می شود حال که موضوع ضرر ایجاد شد، قاعده لاضرر می تواند آن را بردارد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قاعده لاضرر على نحو قضایای حقیقیه نیست؛ بلکه این قاعده یک حکمی است که شارع آن را جعل کرده است که حاکم باشد </w:t>
      </w:r>
    </w:p>
    <w:p>
      <w:pPr>
        <w:pStyle w:val="BookText"/>
        <w:rPr/>
      </w:pPr>
      <w:r>
        <w:rPr>
          <w:rFonts w:ascii="IRNazanin" w:hAnsi="IRNazanin" w:eastAsia="IRNazanin"/>
          <w:color w:val="111111"/>
          <w:sz w:val="28"/>
          <w:sz w:val="28"/>
          <w:szCs w:val="28"/>
          <w:rtl w:val="true"/>
          <w:lang w:bidi="fa-IR"/>
        </w:rPr>
        <w:t xml:space="preserve">بر احکام اولیه یعنی وقتی شارع می فرماید؛ لاضَرَر یعنی احکام اولیه وقتی برسد به حد ضرر برداشته می شوند؛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احکام، یک حکم نیست بلکه حاکم بر احکام اوّلیه است یعنی باید یک حکمِ اوّلی باشد تا لاضرر حاکم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فرض قاعده سلطنت وقتی می خواهد جاری شود ضررِ به جار وارد می کند پس حکمِ اوّلی است که به حدّ ضرر رسیده است و لاضرر این جا حاکم می شود و قاعده سلطنت را قید می زند که مالک حق تصرّفی را که منجر به ضررِ به جار بشود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جریان این لاضرر یک ضرر به مالک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متولد شده از لاضرر حکمِ اوّلیه شرعیه نیست و شارع به آن حکم نکرده است؛ بلکه حکمی است که يَتَوَلَّدُ مِنْ قَاعِدَةً لَا ضَرَرُ پس قاعده لاضرر نمی تواند بر آن حکومت داشته باشد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فرمایش محقق نائینی را می 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کلام ایشان صحیح نیست؛ زیرا لاضرر یک حکم شرعی است مثلِ بقیه احکام شرعيّه بله در احکام شرعیه ممکن است حاکم و محکوم وجود داشته باشد و لاضرر حکومت دارد و موضوع حکم اوّلی را سعه یا ضیق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یک قضية حقیقیه است شارع می فرماید که هر جا به حدّ ضرر رسید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سلطنت دارای اطلاق است؛ امّا وقتی سلطنتِ مالک به حد ضرری برسد قاعده لاضرر آن را مقید و مضیق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خود مالک متضرر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قاعده لاضرر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قاعدۀ لاضرر على خلاف هم بخواهد جاری بشود با هم تعارض می کنند و تساقط می کنند و قاعده سلطنت دوباره زنده می شود و به اطلاق خود باقی می ماند و مالک حق دارد در ملک خود تصرف کند ولو مُنجرِّ به ضرر به 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لاضرر حکم شرعی است علی نحوی قضایای حقیقیه و هر جا ضرری باشد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ممکن است کسی بگوید قاعده سلطنت چون دلیل لبّی است اطلاق ندارد مانند شهید صدر که آن را یک قاعده عقلائیه در نظر می گیرد</w:t>
      </w:r>
      <w:r>
        <w:rPr>
          <w:rFonts w:eastAsia="IRNazanin" w:cs="IRNazanin"/>
          <w:color w:val="111111"/>
          <w:sz w:val="28"/>
          <w:szCs w:val="28"/>
          <w:rtl w:val="true"/>
          <w:lang w:bidi="fa-IR"/>
        </w:rPr>
        <w:t xml:space="preserve">. </w:t>
      </w:r>
      <w:bookmarkStart w:id="585" w:name="pg9135_79738"/>
    </w:p>
    <w:p>
      <w:pPr>
        <w:pStyle w:val="BookText"/>
        <w:rPr/>
      </w:pPr>
      <w:bookmarkEnd w:id="585"/>
      <w:r>
        <w:rPr>
          <w:rFonts w:ascii="IRNazanin" w:hAnsi="IRNazanin" w:eastAsia="IRNazanin"/>
          <w:color w:val="111111"/>
          <w:sz w:val="28"/>
          <w:sz w:val="28"/>
          <w:szCs w:val="28"/>
          <w:rtl w:val="true"/>
          <w:lang w:bidi="fa-IR"/>
        </w:rPr>
        <w:t xml:space="preserve">برخلاف ما که قائل هستیم به این که قاعده سلطنت دلیل لفظی است </w:t>
      </w:r>
      <w:r>
        <w:rPr>
          <w:rStyle w:val="FootnoteAnchor"/>
          <w:rtl w:val="true"/>
        </w:rPr>
        <w:footnoteReference w:id="366"/>
      </w:r>
      <w:r>
        <w:rPr>
          <w:rFonts w:ascii="IRNazanin" w:hAnsi="IRNazanin" w:eastAsia="IRNazanin"/>
          <w:color w:val="111111"/>
          <w:sz w:val="28"/>
          <w:sz w:val="28"/>
          <w:szCs w:val="28"/>
          <w:rtl w:val="true"/>
          <w:lang w:bidi="fa-IR"/>
        </w:rPr>
        <w:t xml:space="preserve">و اطلاق دارد هر چند روایت نبوى </w:t>
      </w:r>
      <w:r>
        <w:rPr>
          <w:rFonts w:ascii="Amiri" w:hAnsi="Amiri" w:eastAsia="Amiri" w:cs="Amiri"/>
          <w:color w:val="111111"/>
          <w:sz w:val="28"/>
          <w:sz w:val="28"/>
          <w:szCs w:val="28"/>
          <w:rtl w:val="true"/>
          <w:lang w:bidi="ar-SA"/>
        </w:rPr>
        <w:t>النَّاسُ مُسَلَّطُونَ عَلَى أَمْوَالِهِمْ</w:t>
      </w:r>
      <w:r>
        <w:rPr>
          <w:rFonts w:ascii="IRNazanin" w:hAnsi="IRNazanin" w:eastAsia="IRNazanin"/>
          <w:color w:val="111111"/>
          <w:sz w:val="28"/>
          <w:sz w:val="28"/>
          <w:szCs w:val="28"/>
          <w:rtl w:val="true"/>
          <w:lang w:bidi="fa-IR"/>
        </w:rPr>
        <w:t xml:space="preserve"> از حيث سند ضعیف است؛ امّا عمل اصحاب جابر ضعف سند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تعارض ضررین اخذ به اطلاق روایت می شود و قائل به جوازِ تصرّف مالک می شویم؛ امّا اگر مبنای شهید صدر را پذیرفتیم و قائل شدیم به این که قاعده سلطنت دليل لبّی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و تساقط رجوع به اصلِ عملی می شود؛ یعنی شک می کنیم آیا این تصرف مالک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از حُرمتِ تصرّف مالک است و نتیجه همان اطلاق حدیث سلطنت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در باب حکم تکلیفی که قائل به جواز تصرّف مالک و عدم حُرمتِ آن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دوّم در باب حکم وضعی است که آیا مالک در صورت تصرف و ضررِ به همسایه، آیا ضامن است و باید جبران کند یا خیر</w:t>
      </w:r>
      <w:r>
        <w:rPr>
          <w:rFonts w:eastAsia="IRNazanin" w:cs="IRNazanin"/>
          <w:color w:val="111111"/>
          <w:sz w:val="28"/>
          <w:szCs w:val="28"/>
          <w:rtl w:val="true"/>
          <w:lang w:bidi="fa-IR"/>
        </w:rPr>
        <w:t>.</w:t>
      </w:r>
    </w:p>
    <w:p>
      <w:pPr>
        <w:pStyle w:val="Heading3"/>
        <w:numPr>
          <w:ilvl w:val="2"/>
          <w:numId w:val="1"/>
        </w:numPr>
        <w:rPr/>
      </w:pPr>
      <w:bookmarkStart w:id="586" w:name="__RefHeading___Toc3219911_2870459653"/>
      <w:bookmarkStart w:id="587" w:name="_Toc233"/>
      <w:bookmarkEnd w:id="586"/>
      <w:r>
        <w:rPr>
          <w:rtl w:val="true"/>
        </w:rPr>
        <w:t>آیا قاعده ضمان شامل ضرر مالک به همسایه می شود؟</w:t>
      </w:r>
      <w:bookmarkEnd w:id="587"/>
    </w:p>
    <w:p>
      <w:pPr>
        <w:pStyle w:val="BookText"/>
        <w:rPr/>
      </w:pPr>
      <w:r>
        <w:rPr>
          <w:rFonts w:ascii="IRNazanin" w:hAnsi="IRNazanin" w:eastAsia="IRNazanin"/>
          <w:color w:val="111111"/>
          <w:sz w:val="28"/>
          <w:sz w:val="28"/>
          <w:szCs w:val="28"/>
          <w:rtl w:val="true"/>
          <w:lang w:bidi="fa-IR"/>
        </w:rPr>
        <w:t>باید توجّه داشت که بحث ضمان از حکم تکلیفی جداست؛ ممکن است فعلی جایز باشد، امّا ضمان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شدیم به جواز ضرب همسر در آخرین مرحله در باب نشوز به دلیل ظاهر آیه </w:t>
      </w:r>
      <w:r>
        <w:rPr>
          <w:rFonts w:ascii="Amiri" w:hAnsi="Amiri" w:eastAsia="Amiri" w:cs="Amiri"/>
          <w:color w:val="111111"/>
          <w:sz w:val="28"/>
          <w:sz w:val="28"/>
          <w:szCs w:val="28"/>
          <w:rtl w:val="true"/>
          <w:lang w:bidi="ar-SA"/>
        </w:rPr>
        <w:t>وَ اضْرِبُوهُنَّ</w:t>
      </w:r>
      <w:r>
        <w:rPr>
          <w:rStyle w:val="FootnoteAnchor"/>
          <w:rtl w:val="true"/>
        </w:rPr>
        <w:footnoteReference w:id="367"/>
      </w:r>
      <w:r>
        <w:rPr>
          <w:rFonts w:ascii="IRNazanin" w:hAnsi="IRNazanin" w:eastAsia="IRNazanin"/>
          <w:color w:val="111111"/>
          <w:sz w:val="28"/>
          <w:sz w:val="28"/>
          <w:szCs w:val="28"/>
          <w:rtl w:val="true"/>
          <w:lang w:bidi="fa-IR"/>
        </w:rPr>
        <w:t>، اگر دلالت داشته باشد بر جواز ضرب، و به جهت ضرب رنگ پوست تغییر کند، شوهر دیه را ضامن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حکم تکلیفی با ضمان تنافی ندارد و جواز، نافیِ ضمان نیست مانند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مالک موجب اضرار به همسایه باشد، این اضرار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جایی که نقص در مال ایجاد شود عیناً و صفتاً متیقن در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حفر چاه باعث کم شدن آب چاهِ همسایه بشود، ضمان دارد یا در اثر حفرِ چاه بالوعه موجب تغیر آب چاه همسایه شد یعنی موجب تغییر طعم و رنگ آب شد این مورد نیز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قاعدة ضمان یا روایات و نصوص، و اگر از روایات و نصوص صرف نظر کنیم به دلیل سیرةُ </w:t>
      </w:r>
      <w:bookmarkStart w:id="588" w:name="pg9135_79739"/>
    </w:p>
    <w:p>
      <w:pPr>
        <w:pStyle w:val="BookText"/>
        <w:rPr/>
      </w:pPr>
      <w:bookmarkEnd w:id="588"/>
      <w:r>
        <w:rPr>
          <w:rFonts w:ascii="IRNazanin" w:hAnsi="IRNazanin" w:eastAsia="IRNazanin"/>
          <w:color w:val="111111"/>
          <w:sz w:val="28"/>
          <w:sz w:val="28"/>
          <w:szCs w:val="28"/>
          <w:rtl w:val="true"/>
          <w:lang w:bidi="fa-IR"/>
        </w:rPr>
        <w:t>العقلاء، اگر نقصی به عین مال کسی یا صفتِ آن وارد کردید ضامن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نقص به عین یا صفتِ مال کسی نباشد؛ بلکه نقص در منفعتِ مال باشد آیا این مورد نیز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چاهِ بالوعه مالک در کنارِ چاهِ آبِ همسایه نه باعث کم شدن آب چاه همسایه شده نه موجب تغییر رنگ و طعم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چاه در کنار چاه بالوعه هست طبع انسان اجازه نمی دهد که از آن آب بنوشد یعنی تنفُّرِ طبع ایجاد می شود آیا این مورد را ضمان می گیرد یا خیر؟ آیا تقلیل منفعت موجب ضمان است؟</w:t>
      </w:r>
    </w:p>
    <w:p>
      <w:pPr>
        <w:pStyle w:val="BookText"/>
        <w:rPr/>
      </w:pPr>
      <w:r>
        <w:rPr>
          <w:rFonts w:ascii="IRNazanin" w:hAnsi="IRNazanin" w:eastAsia="IRNazanin"/>
          <w:color w:val="111111"/>
          <w:sz w:val="28"/>
          <w:sz w:val="28"/>
          <w:szCs w:val="28"/>
          <w:rtl w:val="true"/>
          <w:lang w:bidi="fa-IR"/>
        </w:rPr>
        <w:t>قبل از بیانِ حکم این مورد یک مبحث را باید توضیح دهیم که بحث سیّال و مهمی است</w:t>
      </w:r>
      <w:r>
        <w:rPr>
          <w:rFonts w:eastAsia="IRNazanin" w:cs="IRNazanin"/>
          <w:color w:val="111111"/>
          <w:sz w:val="28"/>
          <w:szCs w:val="28"/>
          <w:rtl w:val="true"/>
          <w:lang w:bidi="fa-IR"/>
        </w:rPr>
        <w:t>:</w:t>
      </w:r>
    </w:p>
    <w:p>
      <w:pPr>
        <w:pStyle w:val="Heading3"/>
        <w:numPr>
          <w:ilvl w:val="2"/>
          <w:numId w:val="1"/>
        </w:numPr>
        <w:rPr/>
      </w:pPr>
      <w:bookmarkStart w:id="589" w:name="__RefHeading___Toc3219913_2870459653"/>
      <w:bookmarkStart w:id="590" w:name="_Toc234"/>
      <w:bookmarkEnd w:id="589"/>
      <w:r>
        <w:rPr>
          <w:rtl w:val="true"/>
        </w:rPr>
        <w:t>آیا نقصِ در قیمتِ سوقیه موجبِ ضمان است؟</w:t>
      </w:r>
      <w:bookmarkEnd w:id="590"/>
    </w:p>
    <w:p>
      <w:pPr>
        <w:pStyle w:val="BookText"/>
        <w:rPr/>
      </w:pPr>
      <w:r>
        <w:rPr>
          <w:rFonts w:ascii="IRNazanin" w:hAnsi="IRNazanin" w:eastAsia="IRNazanin"/>
          <w:color w:val="111111"/>
          <w:sz w:val="28"/>
          <w:sz w:val="28"/>
          <w:szCs w:val="28"/>
          <w:rtl w:val="true"/>
          <w:lang w:bidi="fa-IR"/>
        </w:rPr>
        <w:t>قیمت سوقيّه دائر مدار عرضه و تقاضاست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عرضه زیاد باشد، قیمت اجناس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تقاضا بیشتر باشد یا عرضه کم باشد، قیمت کالا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عللی که در قیمت سوقیه تأثیر دارد عرضه و تقاضاست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دیگر که باعث تغییر قیمت می شود زمان و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الآن زمان برداشتِ برنج باشد، قیمت برنج کم می شود؛ امّا چند ماه بعد قیمت برنج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علل تغییر قیمت؛ ضعف و قوّت اقتصادی در یک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این است اگر ذمه کسی به جهت قرض یا دین یا مهریه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مبلغی مشغول باشد بعد از چند سال ارزش آن پول کم می شود آیا همان پول را باید بپردازد یا مقدار ارزشی که از پول کم شده است را باید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بحث شود که اوراق نقدیه مثلی است یا قیمی؟</w:t>
      </w:r>
    </w:p>
    <w:p>
      <w:pPr>
        <w:pStyle w:val="BookText"/>
        <w:rPr/>
      </w:pPr>
      <w:r>
        <w:rPr>
          <w:rFonts w:ascii="IRNazanin" w:hAnsi="IRNazanin" w:eastAsia="IRNazanin"/>
          <w:color w:val="111111"/>
          <w:sz w:val="28"/>
          <w:sz w:val="28"/>
          <w:szCs w:val="28"/>
          <w:rtl w:val="true"/>
          <w:lang w:bidi="fa-IR"/>
        </w:rPr>
        <w:t>اگر اوراق نقديّه جزء مثليّات باشد باید همان پول را که مدیون است بپردازد حال چه این پول ترقی کرده باشد یا خیر و ضمانی در کار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جزء قیمیّات باشد باید محاسبه شود قیمت و قدرت خرید در آن زمان 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ارزش پول کم شده باشد، مقدار ارزش کم شده را باید جبران کند نظر ما این است که کم و زیاد شدن ارزش پول و قدرت خرید ربطی به کسی که ذمه اش مشغول است ندارد و اوراق نقدیه داخل در مثلیّات است، ملاک </w:t>
      </w:r>
    </w:p>
    <w:p>
      <w:pPr>
        <w:pStyle w:val="BookText"/>
        <w:rPr/>
      </w:pPr>
      <w:r>
        <w:rPr>
          <w:rFonts w:ascii="IRNazanin" w:hAnsi="IRNazanin" w:eastAsia="IRNazanin"/>
          <w:color w:val="111111"/>
          <w:sz w:val="28"/>
          <w:sz w:val="28"/>
          <w:szCs w:val="28"/>
          <w:rtl w:val="true"/>
          <w:lang w:bidi="fa-IR"/>
        </w:rPr>
        <w:t>این است که وقتی این پول را به عرف عرضه می کنیم، این پول را همان پولِ چند سالِ قبل می بیند و یکی حساب می کند پس قیمی نیست که صعود و نزولش روی قیمت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مدت زمان به گونه ای است که عرف مثل بودن را قبول نمی کند و این پول مالیتِ خود را از دست داده است، در این جا ذمّه مشغول می شود به قیمت آن پول یعنی محاسبه می شود که آن پول در آن زمان چه قدرتِ خریدی داشته است و الآن اگر بخواهیم همان قدرت خرید را داشته باشیم، قیمت آن چقدر می شود و محاسبه می شود و ما می گوییم در این فرض، به جهت احتياط من الطرفين با هم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مثلیت را عرف بپذیرد و نوسانات در بازار متعارف باشد، ذمه به همان پول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ذمّه مشغول به قیمت سوقیّه نیست هر چند ارزش پول بالا و پایین شود چون اسکناس داخلِ در مثلیات است مگر جایی که صدق مثل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في مَا نَحْنُ فِيهِ اگر نقصی وارد شده است به غیر؛ در عین و صفت گفتیم ضمان وجود دارد امّا در منفعت؛</w:t>
      </w:r>
    </w:p>
    <w:p>
      <w:pPr>
        <w:pStyle w:val="BookText"/>
        <w:rPr/>
      </w:pPr>
      <w:r>
        <w:rPr>
          <w:rFonts w:ascii="IRNazanin" w:hAnsi="IRNazanin" w:eastAsia="IRNazanin"/>
          <w:color w:val="111111"/>
          <w:sz w:val="28"/>
          <w:sz w:val="28"/>
          <w:szCs w:val="28"/>
          <w:rtl w:val="true"/>
          <w:lang w:bidi="fa-IR"/>
        </w:rPr>
        <w:t>مشهور می گویند تقلیلِ منفعت موجبِ ضمان نیست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ما این است که ضمان می آورد چون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چاهِ همسایه قبل از حفرِ چاهِ بالوعه توسط مالک برای شرُب بوده است و الآن برای مصارف صنعتی یا کشاورزی فقط به کار می رود، باید تفاوت ارزش و قیمت ها را محاسبه کرد چون به تغییر منفعت قیمت هم فرق می کند و همسایه متضرر می شود و مالک ضامن است</w:t>
      </w:r>
      <w:r>
        <w:rPr>
          <w:rFonts w:eastAsia="IRNazanin" w:cs="IRNazanin"/>
          <w:color w:val="111111"/>
          <w:sz w:val="28"/>
          <w:szCs w:val="28"/>
          <w:rtl w:val="true"/>
          <w:lang w:bidi="fa-IR"/>
        </w:rPr>
        <w:t xml:space="preserve">. </w:t>
      </w:r>
      <w:bookmarkStart w:id="591" w:name="pg9135_79741"/>
    </w:p>
    <w:p>
      <w:pPr>
        <w:pStyle w:val="Heading2"/>
        <w:numPr>
          <w:ilvl w:val="1"/>
          <w:numId w:val="1"/>
        </w:numPr>
        <w:rPr/>
      </w:pPr>
      <w:bookmarkStart w:id="592" w:name="__RefHeading___Toc3219915_2870459653"/>
      <w:bookmarkStart w:id="593" w:name="_Toc235"/>
      <w:bookmarkEnd w:id="591"/>
      <w:bookmarkEnd w:id="592"/>
      <w:r>
        <w:rPr>
          <w:rtl w:val="true"/>
        </w:rPr>
        <w:t>تنبیه نهم</w:t>
      </w:r>
      <w:r>
        <w:rPr>
          <w:rtl w:val="true"/>
        </w:rPr>
        <w:t xml:space="preserve">: </w:t>
      </w:r>
      <w:r>
        <w:rPr>
          <w:rtl w:val="true"/>
        </w:rPr>
        <w:t>برخی از تطبيقات قاعده لاضرر</w:t>
      </w:r>
      <w:bookmarkEnd w:id="593"/>
    </w:p>
    <w:p>
      <w:pPr>
        <w:pStyle w:val="BookText"/>
        <w:rPr/>
      </w:pPr>
      <w:r>
        <w:rPr>
          <w:rFonts w:ascii="IRNazanin" w:hAnsi="IRNazanin" w:eastAsia="IRNazanin"/>
          <w:color w:val="111111"/>
          <w:sz w:val="28"/>
          <w:sz w:val="28"/>
          <w:szCs w:val="28"/>
          <w:rtl w:val="true"/>
          <w:lang w:bidi="fa-IR"/>
        </w:rPr>
        <w:t>بعضی از مواردی که فقها به قاعده لاضرر تمسک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طوسی در خلاف كُلُّ قِسْمَةِ كَانَ فِيهِ ضَرَرُ عَلَى الْكُلَّ ، مَثَلُ الدُّورِ وَ الْعَقَارَاتُ وَ اَلدَّكَاكِينُ اَلضَّيقُهُ لَمْ يَجْبُرْ الْمُمْتَنِعِ عَلَى الْقِسْمَةِ وَ الضَّرَرِ، لِأَنَّ هَذَا لَا يُمْكِنُهُ الإنتفاع بِمَا يُفْرِدُ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دَلِيلُنَا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ذَلِكَ عَامٍ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قسمت کردن موجب ضرر بشود بر همه، مانند تقسیم خانه کوچک و زمین های کوچک و مغازه ای کوچک، آن کسی که ممتنع است را نمی توانند مجبور بر قسمت کنند به جهت قول رسول خدا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كانَتِ الْقِسْمَةِ يَسْتَضِرُّ بِهَا بَعْضُهُمْ دُونَ بَعْضٍ، مِثْلُ أَنْ كَانَتِ الدَّارُ لِإِثْنَيْنِ لِوَاحِدِ الْعُشْرِ، فاستضر بِهَا صَاحِبَ الْقَلِيلِ دُونَ الْكَثِيرِ، لَمْ يَخْلُ الطَّالِبُ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الْمُنْتَفِعُ بِهِ أَوْ الْمُسْتَضِرِّ فَإِنْ كَانَ الْمُنْتَفِعُ بِهِ لَمْ يَجْبُرْ الْمُمْتَنِعِ لِأَنَّهُ لَا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ضَرَرَ وَ لَا ضِرَارَ وَ فِي ذَلِكَ ضَرَرُ إِمَّا عَلَى الطَّالِبُ أَوِ الْمُمْتَنِعِ ، فَلَا يَجُوزُ ذَلِكَ لِعُمُومِ الْخَبَرَ﴾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تقسیم موجب ضرر به بعضی شود مانند جایی که خانه مال دو نفر باشد و یکی از آن ها سهم بیشتری داشته باشند و آن کسی که سهم کم تری دارد بیشتر متضرر می شود اگر متضرر می شود نمی توانند او را مجبور کنند به تقسیم به جهت </w:t>
      </w:r>
    </w:p>
    <w:p>
      <w:pPr>
        <w:pStyle w:val="BookText"/>
        <w:rPr/>
      </w:pPr>
      <w:r>
        <w:rPr>
          <w:rFonts w:ascii="Amiri" w:hAnsi="Amiri" w:eastAsia="Amiri" w:cs="Amiri"/>
          <w:color w:val="111111"/>
          <w:sz w:val="28"/>
          <w:sz w:val="28"/>
          <w:szCs w:val="28"/>
          <w:rtl w:val="true"/>
          <w:lang w:bidi="ar-SA"/>
        </w:rPr>
        <w:t>دليل لاضرر و لاضرار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نراقی در 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لِذَوِي الْأَعْذَارِ الْمُضْطَرِّينَ تَرَكَ الْمَبِيتِ بِمِنًى، إِذْ لَا حَرَجَ فِي الدِّينِ وَ لَا ضَرَرَ وَ لَا ضِرَارَ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عذر داشته باشد و مضطر باشد جایز است مبیت در منا را ترک کند زیرا حرجی در دین نیست و به جهت قاعده لاضرر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بحرانی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أَحَدِ الشَّرِيكَيْنِ عِمَارَتِهِ فَهَلْ يُتَوَقَّفُ عَلَى إِذْنِ شَرِيكُهُ الْمُمْتَنِعِ؟ أَمْ يَجُوزُ الْبِنَاءِ وَ إِنْ نَهَاهُ؟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یکی از دو شریک بخواهد زمین موردِ شراکت را بنا و ساختمان کند، آیا متوقف است بر اذن شریک دیگر که اجازه نمی دهد؟ یا بنا و ساختمان جایز است حتی اگر شریک نهی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شروع به بیان تفصیل می کنند و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إِرَادَةِ الشَّرِيكِ التعمير وَ امْتِنَاعِ شَرِيكُهُ مِنْ ذَلِكَ فَإِنْ كَانَ فِي امْتِنَاعِهِ ضَرَرٍ عَلَى شَرِيكِهِ فَإِنَّهُ يَجُوزُ لِلشَّرِيكِ التعمير مِنْ غَيْرِ إِعْتِبَارٌ إِذْنِهِ، فَيَسْقُطُ الْإِذْنِ هُنَا أَيْضاً وُقُوفاً عَلَى حَدِيثٍ نَفْيِ الضَّرَرِ وَ الْإِضْرَارُ وَ إِلَّا فَلَا، وُقُوفاً عَلَى عَدَمِ وُجُوبِ تَعْمِيرِ الْإِنْسَانُ مَالِهِ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ساختمانی دو نفر شریکند و یکی می خواهد تعمیر کند و دیگری ممتنع است اگر تجدید بنا نکند متضرر می شود این جا اجازه لازم نیست به دلیل قاعده لاضرر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محقق نراقی در مستند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يَسْتَثْنِي مِنْ تَحْرِيمِ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خَافَ مِنَ تَرَكَهُ ضَرَراً فِي مَالٍ أَوْ نَفَسٍ أَوْ عَرَضٍ مِنْ نَفْسِهِ أَوْ غَيْرِهِ 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عَلَيْهِ وَ لِعُمُومَاتٍ نَفْيِ الضَّرَرِ وَ انْتِفَاءِ الْعُسْرِ وَ الْحَرَجُ</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 در صورت اراده شریک تعمیر را و امتناع شریکش از این تعمیر پس اگر در این امتناع ضرری بر شریک وارد شود پس همانا جایز است برای شریک تعمیر بدون این که </w:t>
      </w:r>
    </w:p>
    <w:p>
      <w:pPr>
        <w:pStyle w:val="BookText"/>
        <w:rPr/>
      </w:pPr>
      <w:r>
        <w:rPr>
          <w:rFonts w:ascii="IRNazanin" w:hAnsi="IRNazanin" w:eastAsia="IRNazanin"/>
          <w:color w:val="111111"/>
          <w:sz w:val="28"/>
          <w:sz w:val="28"/>
          <w:szCs w:val="28"/>
          <w:rtl w:val="true"/>
          <w:lang w:bidi="fa-IR"/>
        </w:rPr>
        <w:t>اذن شریک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ساقط می شود اذن در این جا هم چنین بنا بر حدیث نفی ضرر و اگر ضرری وارد نشود بدون اذن نمی تواند تعمیر کند زیرا واجب نیست انسان مالش را تعمیر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 شده است از موارد تحریم قطع نماز جایی که بترسد از ترک قطع نماز ضرر جانی یا مالی یا نفس یا عرض یا غیر این موارد و ظاهر اتفاق فقها است بر این مطلب به جهت عمومات دلیل نفی ضرر و دلیل لاحرج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جواهر در بحث شهادت شاهد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كُلِّ حَالٍ فَلَا يَجُوزُ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التَّخَلُّفَ عَنْ أَدَاءِ الشَّهَادَةِ حَيْثُ تَجِبُ عَلَيْهِمَا إِلَّا أَنْ تَكُونَ لِشَهَادَةِ مَضَرَّةٍ بِهِمَا ضَرَراً معتدّاً بِهِ أَوْ بِأَحَدِ الْمُؤْمِنِينَ أَوِ الْمَشْهُودُ عَلَيْهِ أَوْ لَهُ غَيْرُ مُسْتَحِقِّ ، فَإِنَّهَا لَا تَجِبُ حِينَئِذٍ بِلَا خِلَافٍ أَجِدُهُ فِيهِ </w:t>
      </w:r>
      <w:r>
        <w:rPr>
          <w:rStyle w:val="FootnoteAnchor"/>
          <w:rtl w:val="true"/>
        </w:rPr>
        <w:footnoteReference w:id="373"/>
      </w:r>
      <w:r>
        <w:rPr>
          <w:rFonts w:ascii="Amiri" w:hAnsi="Amiri" w:eastAsia="Amiri" w:cs="Amiri"/>
          <w:color w:val="111111"/>
          <w:sz w:val="28"/>
          <w:sz w:val="28"/>
          <w:szCs w:val="28"/>
          <w:rtl w:val="true"/>
          <w:lang w:bidi="ar-SA"/>
        </w:rPr>
        <w:t>لقاعدة لَا ضَرَرُ</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کل حال جایز نیست برای شاهدین که تخلف کنند از اداء شهادت به آن که شهادت بر آن دو واجب است الا این که اداء شهادت برای آن دو ضرر</w:t>
      </w:r>
    </w:p>
    <w:p>
      <w:pPr>
        <w:pStyle w:val="BookText"/>
        <w:rPr/>
      </w:pPr>
      <w:r>
        <w:rPr>
          <w:rFonts w:ascii="IRNazanin" w:hAnsi="IRNazanin" w:eastAsia="IRNazanin"/>
          <w:color w:val="111111"/>
          <w:sz w:val="28"/>
          <w:sz w:val="28"/>
          <w:szCs w:val="28"/>
          <w:rtl w:val="true"/>
          <w:lang w:bidi="fa-IR"/>
        </w:rPr>
        <w:t>داشته باشد یا ضرری متوجه یک مؤمنی یا مشهود علیه یا مشهود له بشود در این صورت وجوب اداء شہادت برداشته می شود که در آن خلافی نیست به جهت قاعده لاضرر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همدانی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سَلَّمْنَا انَّ لِلْمَالِكِ إِلْزَامِ الرَّاهِنِ بِالْفَكِّ قَبْلَ حُلُولِ الْأَجَلِ فَإِنَّمَا هُوَ فِي كُلِّ مَوْرِدَ لَا يَتَضَرَّرَ بِذَلِكَ الرَّاهِنُ وَ لَوْ لصيرورة الدَّيْنِ الْمُؤَجَّلِ مُعَجّلاً لَوْ عَدَّ مِثْلَهُ ضَرَراً عَلَيْهِ عَرَفَا كَمَا فِي كَثِيرِ الْمَوَارِدِ وَ إِلَّا فَلَا لقاعدة نَفْيِ الضَّرَرِ وَ اَلْمَنَاقِشُهُ فِيهَا بِمُعَارَضَةٍ بضرر الْمَالِكِ مَرْفُوعَةُ بِإِقْدَامِهِ عَلَيْهِ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راهن می تواند مرتهن را الزام کند به فک ملک قبل از حلول اجل اگر جایی باشد که مرتهن متضرر می شود نمی تواند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اگر فک رهن نشود راهن متضرر می شود باید فک ملک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قاعده نفی ضرر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یزدی در عروة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اسْتَلْزَمَ الذَّهَابِ إِلَى الْحَجِّ تَلِفَ مَالَ لَهُ فِي بَلَدِهِ مُعْتَدٍ بِهِ لَمْ يَجِبْ</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 رفتن شخص موجب ضرر معتَدٌّ به شود به او و مالش تلف شود این حج وجوبی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ذیل این بحث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کسی اشکال کند که این شخص تمام شرایط استطاعت حجّ از زاد و راحله و صحّت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پس علّت عدم وجوب حج چیست؟ در جواب می گوییم ،بله، حج با این شرایط واجب می شود در صورتی که آن ضرر معتدّ به نباشد و این جا قاعده لاضرر حاکم است بر جميع ادله احکام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وجوب حج خود ضرری است به جهت هزینه هایی که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زکات، خمس،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این احکام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بر این احکام حکومت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،بله، حج ذات آن ضرری است؛ امّا به آن مقدار لازم و معهود که طبع حج اقتضا می کند و مشکلی ندارد امّا ضرر زائدی که از شؤون حج نیست و از مقتضیات طبع حجّ نیست، لاضرر حاکم می شود و وجوب حج را برمی دارد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خوئی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حَلَفَ شَخْصُ عَلَى أَنْ لَا يُحْلَفَ أَبَداً وَ لكِنَّ اتَّفَقَ تُوقَفُ إِثْبَاتِ حَقِّهِ عَلَى الْحَلْفِ جَازَ لَهُ ذَلِكَ</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قسم بخورد که دیگر قسم نخورد امّا اتفاق بیافتد اثبات حقی بر قسم جایز است آن قسم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را ایشان قاعده لاضرر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القواعد و الفوائد </w:t>
      </w:r>
      <w:r>
        <w:rPr>
          <w:rStyle w:val="FootnoteAnchor"/>
          <w:rtl w:val="true"/>
        </w:rPr>
        <w:footnoteReference w:id="379"/>
      </w:r>
      <w:r>
        <w:rPr>
          <w:rFonts w:ascii="IRNazanin" w:hAnsi="IRNazanin" w:eastAsia="IRNazanin"/>
          <w:color w:val="111111"/>
          <w:sz w:val="28"/>
          <w:sz w:val="28"/>
          <w:szCs w:val="28"/>
          <w:rtl w:val="true"/>
          <w:lang w:bidi="fa-IR"/>
        </w:rPr>
        <w:t>؛ بعضی از موارد تطبیقات قاعده لاضرر را ذکر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که ما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که به یکی از زوجین وارد </w:t>
      </w:r>
    </w:p>
    <w:p>
      <w:pPr>
        <w:pStyle w:val="BookText"/>
        <w:rPr/>
      </w:pPr>
      <w:r>
        <w:rPr>
          <w:rFonts w:ascii="IRNazanin" w:hAnsi="IRNazanin" w:eastAsia="IRNazanin"/>
          <w:color w:val="111111"/>
          <w:sz w:val="28"/>
          <w:sz w:val="28"/>
          <w:szCs w:val="28"/>
          <w:rtl w:val="true"/>
          <w:lang w:bidi="fa-IR"/>
        </w:rPr>
        <w:t>می شود در زندگی مشترک شان یعنی زوج یا زوجه اگر بخواهند طبق ضوابط شرع حرکت کنند متضرر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قائلیم که قاعده لاضرر جاری می شود، مثلاً زوجه یا زوج بیماری دارد که به مقاربت سرایت می کند در این جا وجوب مقاربت به قاعده لاضرر برداشته می شود و هم چنین وجوب تمکین برای زوجه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ترقی مالی زوج و پیشرفت او لازم می آید که در شهر خاصی زندگی کند و الّا و متضرر می شود حال زوجه اگر در عقد شرط سکنی کرده است لازم نیست زوج به این شرط متعهّد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 خروج زوجه بدون اذن زوج جائز نیست، ما می گوییم این در فرضی است که خروج زوجه با حقوق زوج تنافی داشته باشد و حق زوج شيء واحد است و آن استمتاع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حقوق زوج تنافی نداشته باشد خروج زوجه بدون إذن زوج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زوجه اگر تحصیل نکند متضرر می شود یا اگر بیرون نرود از خانه افسرده می شود، می تواند از خانه بیرون رود بدون إذن زوج امّا با حق استمتاع زوج نباید تنافی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شرع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الطَّلَاقُ بِيَدِ مَنْ أَخَذَ بِالسَّاقِ</w:t>
      </w:r>
      <w:r>
        <w:rPr>
          <w:rFonts w:ascii="IRNazanin" w:hAnsi="IRNazanin" w:eastAsia="IRNazanin"/>
          <w:color w:val="111111"/>
          <w:sz w:val="28"/>
          <w:sz w:val="28"/>
          <w:szCs w:val="28"/>
          <w:rtl w:val="true"/>
          <w:lang w:bidi="fa-IR"/>
        </w:rPr>
        <w:t xml:space="preserve"> امّا زوجه به جهت این عقد</w:t>
      </w:r>
    </w:p>
    <w:p>
      <w:pPr>
        <w:pStyle w:val="BookText"/>
        <w:rPr/>
      </w:pPr>
      <w:r>
        <w:rPr>
          <w:rFonts w:ascii="IRNazanin" w:hAnsi="IRNazanin" w:eastAsia="IRNazanin"/>
          <w:color w:val="111111"/>
          <w:sz w:val="28"/>
          <w:sz w:val="28"/>
          <w:szCs w:val="28"/>
          <w:rtl w:val="true"/>
          <w:lang w:bidi="fa-IR"/>
        </w:rPr>
        <w:t>نکاح متضرر می شود به ضرری معتدّ به، مثلاً به جهت تنفُّرِ از زوج، بیماری روحی می گیرد و به حدّ جنون می رسد و هیچ شرط وکالت بلا عزل در طلاق برای زوجه، وجود نداشته باشد این جا تکلیف چیست؟</w:t>
      </w:r>
    </w:p>
    <w:p>
      <w:pPr>
        <w:pStyle w:val="BookText"/>
        <w:rPr/>
      </w:pPr>
      <w:r>
        <w:rPr>
          <w:rFonts w:ascii="IRNazanin" w:hAnsi="IRNazanin" w:eastAsia="IRNazanin"/>
          <w:color w:val="111111"/>
          <w:sz w:val="28"/>
          <w:sz w:val="28"/>
          <w:szCs w:val="28"/>
          <w:rtl w:val="true"/>
          <w:lang w:bidi="fa-IR"/>
        </w:rPr>
        <w:t xml:space="preserve">یکی از علمای معاصر فتوی می دهند که زوجه مهرش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يَجِبُ عَلَى الزَّوْجِ طَلَاقِ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مشهور این قول را قبول ندارند، یا مرحوم مغنیه می فرماید که زن می تواند اعلام ارتداد کند و خود به خود بینونت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چه اشکال دارد لاضرر در این فروض جاری بشود و حاکم باشد امّا حق طلاق را از زوج به زوجه منتقل نمی کنیم بلکه این جا حاکم شرع حق طلاق دارد و می تواند زوجه را طلاق بدهد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قاعدة لاضرر </w:t>
      </w:r>
    </w:p>
    <w:p>
      <w:pPr>
        <w:pStyle w:val="BookText"/>
        <w:rPr/>
      </w:pPr>
      <w:r>
        <w:rPr>
          <w:rFonts w:ascii="Amiri" w:hAnsi="Amiri" w:eastAsia="Amiri" w:cs="Amiri"/>
          <w:color w:val="111111"/>
          <w:sz w:val="28"/>
          <w:sz w:val="28"/>
          <w:szCs w:val="28"/>
          <w:rtl w:val="true"/>
          <w:lang w:bidi="ar-SA"/>
        </w:rPr>
        <w:t>إِلَى هُنَا تَمَّ تَقْرِيرِ بَحْثِ قَاعِدَةً لَا ضَرَرَ للأستاذ آيَةِ اللَّهِ الشَّيْخُ هَادِيَ النَّجَفِيُّ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أَوَّلًا وَ آخِراً وَ ظَاهِراً وَ بَاطِناً وَ صَلِّي اللَّهُ عَلَى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 لِوالِدَيَّ وَ لَأُسَاتِذَتِي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السَّيِّدُ مُرْتَضَى اَلسَّجَّادِيُّ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9135_79748"/>
      <w:bookmarkStart w:id="595" w:name="pg9135_79748"/>
      <w:bookmarkEnd w:id="595"/>
    </w:p>
    <w:p>
      <w:pPr>
        <w:pStyle w:val="Heading2"/>
        <w:numPr>
          <w:ilvl w:val="1"/>
          <w:numId w:val="1"/>
        </w:numPr>
        <w:rPr/>
      </w:pPr>
      <w:bookmarkStart w:id="596" w:name="pg9135_79748"/>
      <w:bookmarkStart w:id="597" w:name="__RefHeading___Toc3219917_2870459653"/>
      <w:bookmarkStart w:id="598" w:name="_Toc236"/>
      <w:bookmarkEnd w:id="596"/>
      <w:bookmarkEnd w:id="597"/>
      <w:r>
        <w:rPr>
          <w:rtl w:val="true"/>
        </w:rPr>
        <w:t>فهرست منابع</w:t>
      </w:r>
      <w:bookmarkEnd w:id="59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الفقهية، شیخ هادی نجفی،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الأشباه و النظائر، جلال الدين 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البراءة، محمّد حسین نجفی اصفهانی، چاپ اول،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 دار مخطوطات العتبة العباسية المقدسة،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الطالبين على حل ألفاظ فتح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حَاشِيَةِ عَلَى فَتَحَ الْمُعِينُ بِشَرْحِ قُرَّةِ الْعَيْنِ بِمُهِمَّاتِ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محمّد شطا الدمياطي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 النشر و التوريع،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الإقناع في فقه الإمام أحمد بن حنبل، موسى بن أحمد بن موسى بن سالم بن عيسى بن سالم الحجاوي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محمّد موسى السبكي،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محمّد باقر بن محمّد تقی مجلسی،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الرائق شرح كنز الدقائق، زين الدين بن إبراهيم بن محمّد المعروف بابن نجيم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الثانية، دار الكتاب الإسلامي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الدرر في قاعدة نفي الضرر، امام سید روح اللّه خمینی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 قُدِّسَ سِرِّهِ،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قُدِّسَ سِرِّهِ،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في ترتيب الشرائع، علاء الدين أبو بكر بن مسعود بن أحمد الكاساني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محب الدین سیّد محمّد مرتضی حسینی واسطی زبیدی حنفی،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 الملوك، وصلة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بن يزيد بن كثير بن غالب الأملي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صلة تاريخ الطبري لعريب بن سعد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المذاهب الإسلامیه، محمود ابو زهرة،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ایمانی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دانشگاه ادیان و مذاهب،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تفسير القرآن، محمّد بن حسن طوسی، با مقدمه شیخ آقا بزرگ تهرانی و تحقیق احمد قصیر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حسن بن علی ابن شعبه حرانی،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محمّد بن الحسن طوسی،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الموسوي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اللغة، أبو منصور محمّد بن أحمد بن الأزهري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عوض مرعب، الطبعة الأولى،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محمّد بن علی ابن بابویه،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الشريف الرضي،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المقاصد في شرح القواعد، على بن حسین عاملی کرکی محقق ثانی،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مسسه آل البیت علیهم السلام،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ثوبه الجديد، محمّد حسن نجفی صاحب الجواهر، تحقيق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مؤسسه دائرة المعارف فقه اسلامی،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دائرة المعارف فقه اسلامی بر مذهب اهل بیت علیهم السلام،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كفاية الأصول، ابو الحسن مشکینی اردبیلی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في أحكام العترة الطاهرة، يوسف بن احمد بن ابراهیم بحرانی آل عصفور، تحقیق و تصحیح محمّد تقی ایروانی و سید عبد الرزاق مقرم،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ابو جعفر محمّد بن حسن طوسی،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خراسانی و سید جواد شهرستانی و مهدی طه نجف و مجتبی عراقی،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w:t>
      </w:r>
    </w:p>
    <w:p>
      <w:pPr>
        <w:pStyle w:val="BookText"/>
        <w:rPr/>
      </w:pPr>
      <w:r>
        <w:rPr>
          <w:rFonts w:ascii="IRNazanin" w:hAnsi="IRNazanin" w:eastAsia="IRNazanin"/>
          <w:color w:val="111111"/>
          <w:sz w:val="28"/>
          <w:sz w:val="28"/>
          <w:szCs w:val="28"/>
          <w:rtl w:val="true"/>
          <w:lang w:bidi="fa-IR"/>
        </w:rPr>
        <w:t xml:space="preserve">اسلامی وابسته به جامعه مدرسین حوزه علمیه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المختار شرح تنوير الأبصار و جامع البحار، محمّد بن علي بن محمّد الحِصني المعروف بعلاء الدين الحصكفي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خليل إبراهيم، الطبعة الأولى، دار الكتب العلمية،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نعمان بن محمّد مغربی ابن حیون،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فیضی،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قاعدة لاضرر، تقرير محقق میرزا محمّد حسین غروی نائینی،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نجفی خوانساری قم جامعه انتشارات اسلامی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 الضعيفة و الموضوعة و أثرها السيئ في الأمة، محمّد ناصر الدين الالباني،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للنشر و التوزيع،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أبو عبد اللّه محمّد بن يزيد القزويني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و عادل مرشد و محمّد كامل قره بللي و عبد اللطيف حرز اللّه،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الرسالة العالمية،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أبو داود، سليمان بن الأشعث بن إسحاق بن بشير بن شداد بن عمرو الْأَزْدِيُّ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و محَمَّد كامِل قره بللي،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الرسالة العالمية،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أبو عيسى محمّد بن عيسى بن سؤرة بن موسى بن الضحاك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 محمّد فؤاد عبد الباقي و إبراهيم عطوة عوض المدرس في الأزهر الشريف، الطبعة الثانية،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و مطبعة مصطفى البابي الحلبي،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 قطني أبو الحسن علي بن عمر بن أحمد بن مهدي بن مسعود بن النعمان بن دينار البغدادي الدار 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وضبط نصه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حسن عبد المنعم شلبي، عبد اللطيف حرز اللّه، أحمد برهوم، الطبعة الأولى،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أبي الحديد عبد الحميد بن هبة اللّه ابن أبي الحديد تحقيق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قم مكتبة آية اللّه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هداية 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نجفی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حماد جوهری،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الغفور عطار،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عناية الأصول في شرح كفاية الأصول، مرتضى حسينى فیروز آبادی، چاپ چهارم،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فیروز آبادی،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اللآلي العزيزية في الأحاديث الدينية، محمّد بن زين الدين ابن أبي جمهور، تحقیق و تصحیح مجتبی عراقی قم دار سید الشهداء للنشر،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خلیل بن احمد فراهیدی،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مخزومی و دکتر ابراهیم سامرائی،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لاجوردی تهران نشر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غالية الدرر في مصب قاعدة الضرر، سیّد ابو الفضل نبوی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عبد الحسین امینی،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في غريب الحديث، ابو القاسم محمود بن عمر زمخشری،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شمس الدین،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مرتضی بن محمّد امین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شیخ اعظم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لاضرر ، فتح اللّه نمازی شیرازی معروف به شیخ الشريعة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لاضرر و لا ضرار، تقریر سیّد علی حسینی سیستانی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سیستانی،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آية اللّه العظمى السيد السيستاني،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لاضرر و لا ضرار، تقریر بحث سيد محمّد حسين فضل اللّه، به قلم شیخ محمّد ادیب قبیسی،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الملاك،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الفقهية، ناصر مکارم شیرازی،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امیر المؤمنین علیه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الفقهية في فقه الإمامية، عباس علی زارعی سبزواری،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محمّد بن يعقوب بن اسحاق كلینی،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علی اکبر و 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القناع عن وجوه حجية الإجماع، اسد اللّه بن اسماعیل کاظمی،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شیرازی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محمّد كاظم بن حسین آخوند خراسانی،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محمّد کاظم بن حسین آخوند خراسانی،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 </w:t>
      </w:r>
    </w:p>
    <w:p>
      <w:pPr>
        <w:pStyle w:val="BookText"/>
        <w:rPr/>
      </w:pPr>
      <w:r>
        <w:rPr>
          <w:rFonts w:ascii="IRNazanin" w:hAnsi="IRNazanin" w:eastAsia="IRNazanin"/>
          <w:color w:val="111111"/>
          <w:sz w:val="28"/>
          <w:sz w:val="28"/>
          <w:szCs w:val="28"/>
          <w:rtl w:val="true"/>
          <w:lang w:bidi="fa-IR"/>
        </w:rPr>
        <w:t>زارعی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 الأفعال، علاء الدين علي بن حسام الدين ابن قاضي خان القادري الشاذلي الهندي البرهانفوري الشهير بالمتقي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وصفوة السقا، الطبعة الخامسة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محمّد بن مکرم ابن منظور،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میر دامادی،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في أسباب ورود الحديث، جلال الدین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بإشراف مكتب البحوث و الدراسات في دار الفكر للطباعة و النشر و التوزيع،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في فقه الإمامية، محمّد بن حسن ابو جعفر طوسی،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کشفی،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فخر الدین طریحی، تحقيق احمد الحسيني،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 فضل بن حسن طبرسی، با مقدمه محمّد جواد بلاغی،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أبو الحسن نور الدين علي بن أبي بكر بن سليمان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حسام الدين القدسي،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القدسي،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في شرح إرشاد الأذهان، احمد بن محمّد اردبیلی،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و علی پناه اشتهاردی و حسین یزدی اصفهانی،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الشيعة في أحكام الشريعة، حسن بن يوسف بن مطهر اسدی علّامه حلّی،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علميه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إلى السنن الكبرى، أحمد بن الحسين بن علي بن موسى الخُسْرَوجردي الخراساني،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ضياء الرحمن الأعظمي،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الخلفاء للكتاب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عليّ بن جعفر و مستدركاتها، علی بن جعفر 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أبو عبد اللّه الحاكم محمّد بن عبد اللّه بن محمّد بن </w:t>
      </w:r>
    </w:p>
    <w:p>
      <w:pPr>
        <w:pStyle w:val="BookText"/>
        <w:rPr/>
      </w:pPr>
      <w:r>
        <w:rPr>
          <w:rFonts w:ascii="Amiri" w:hAnsi="Amiri" w:eastAsia="Amiri" w:cs="Amiri"/>
          <w:color w:val="111111"/>
          <w:sz w:val="28"/>
          <w:sz w:val="28"/>
          <w:szCs w:val="28"/>
          <w:rtl w:val="true"/>
          <w:lang w:bidi="ar-SA"/>
        </w:rPr>
        <w:t xml:space="preserve">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الطبعة الأولى،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حسین بن محمّد تقی نوری،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 في أحكام الشريعة، مولى احمد بن محمّد مهدی نراقی،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البیت علیهم السلام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ابو عبد اللّه أحمد بن محمّد بن حنبل بن هلال بن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و عادل مرشد و آخرون،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التركي، الطبعة الأولى، مؤسسة الرسالة،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آیة اللّه ابو 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سرور واعظ حسینی بهسودی،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احياء آثار الامام الخوئي،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المنير في غريب الشرح الكبير للرافعي، احمد بن محمّد مقری فیومی، چاپ اوّل، قم منشورات دار الرضى،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محمّد بن على ابن بابویه، تحقیق و تصحیح علی اکبر غفاری،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أبو القاسم سليمان بن أحمد بن أيوب بن مطير اللخمي الشامي الطبراني،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بن محمّد عبد المحسن بن إبراهيم الحسيني،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أبو القاسم سليمان بن أحمد بن أيوب بن بن مطير اللخمي الشامي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حمدي بن عبد المجيد السلفي، الطبعة الثانية،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ابن تيمية،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الفروق اللغوية، أبو هلال الحسن بن عبد اللّه بن سهل بن سعيد بن يحيى بن مهران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بيت اللّه بيات،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المحتاج إلى معرفة معاني ألفاظ المنهاج، شمس الدین محمّد بن أحمد الخطيب الشربيني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محمّد بن علی بن بابویه صدوق،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امام هادي علیه السلام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علیه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مرتضى بن محمّد امین انصاری دزفولی،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رحمتی و سید احمد حسینی،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الذخائر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یَحْضُرُ الْفَقِیهِ، محمّد بن علی ابن بابویه، تحقیق و تصحیح علی اکبر غفاری،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اسلامی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الطالب في شرح المكاسب، تقریر محقق میرزا محمّد حسین غروی نائینی،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نجفی خوانساری قم جامعه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أحاديث أهل البيت علیهم السلام شیخ هادی نجفی،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 في شرح المختصر النافع، جمال الدین احمد بن محمّد اسدی حلّی،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لأحاديث الهداية مع حاشيته بغية الألمعي في تخريج الزيلعي، جمال الدين أبو محمّد عبد اللّه بن يوسف بن محمّد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البَنُوري، صححه و وضع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الديوبندي الفنجاني، إلى كتاب الحج ، ثم أكملها محمّد يوسف الكاملفوري،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عوامة بيروت مؤسسة الريان للطباعة و النشر، الطبعة الأولى، وجدة دار القبلة للثقافة الإسلامية،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 في شرح الكفاية، محمّد حسین اصفهانی،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لاحياء التراث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 الأثر، مبارك بن محمّد جزری ابن اثیر،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محمّد بن حسين شريف الرضي ترجمه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محمّد بن حسن شیخ حر عاملی،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 الأذهان، أبي المجد محمّد رضا النجفي الإصفهاني، الطبعة الأولى،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المحدثين إلى طريقة المحمّدين، محمّد امین بن محرر علی کاظمی،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العظمى المرعشي النجفي،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المسترشدين في شرح اصول معالم الدین محمّد تقی رازی نجفی اصفهانی،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احمد الندوى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 النظائر، ص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الخیار،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موانع ارث، ح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خیار، ح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ص </w:t>
      </w:r>
      <w:r>
        <w:rPr>
          <w:rFonts w:eastAsia="IRNazanin" w:cs="IRNazanin"/>
          <w:b w:val="false"/>
          <w:bCs w:val="false"/>
          <w:i w:val="false"/>
          <w:iCs w:val="false"/>
          <w:color w:val="333333"/>
          <w:sz w:val="20"/>
          <w:szCs w:val="20"/>
        </w:rPr>
        <w:t>141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الحصفکی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مرسله حلبی در تفسیر عیاشی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احکام اولاد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وصایا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وصایا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عدد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ذیل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زندوبَستی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علماء اهل سنّت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احياء الموات، ح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إلى طريقة المحمّدين،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الشريعة الإصفهاني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الشفعة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الضرار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مراسیل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عُمَرَ الشَّيْبَانِيِّ اَلْمَيْتَاءُ أَعْظَمُ الطُّرُقِ وَ هِيَ الَّتِي يُكْثِرُ مُرُورِ النَّاسُ بِهَا وَ 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الطَّرِيقِ الْوَاسِعَةِ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537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بیع حیوان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171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کتاب احیاء اموات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كتاب خلع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نكاح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اولاد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نکاح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كتاب الظهار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احكام العشرة في السفر و الحضر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تروك احرام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الأيمان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كنجد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الأطعمه و الأشربه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الفقهية،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هیثمی</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الزيلعي في نصب الراية،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اسباب ورود الحديث،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لاضرر،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اسباب ورود الحديث،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الرائق،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اللغوية،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این مضمون روایتی وارد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مجامع روایی ما یافت نشد امّا در کتاب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9463</w:t>
      </w:r>
      <w:r>
        <w:rPr>
          <w:rFonts w:ascii="IRNazanin" w:hAnsi="IRNazanin" w:eastAsia="IRNazanin"/>
          <w:b w:val="false"/>
          <w:b w:val="false"/>
          <w:bCs w:val="false"/>
          <w:i w:val="false"/>
          <w:i w:val="false"/>
          <w:iCs w:val="false"/>
          <w:color w:val="333333"/>
          <w:sz w:val="20"/>
          <w:sz w:val="20"/>
          <w:szCs w:val="20"/>
          <w:rtl w:val="true"/>
        </w:rPr>
        <w:t xml:space="preserve">،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الإسلام اخصا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المعيشة باب ،الضرار چاپ مرحوم غفاری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537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وافی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يُمْنَعُ نَفْعُ الْبِئْرِ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المعيشة باب ضرار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لاضرر،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لاضرر، شيخ الشريعة اصفهانی،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لاضرر و لاضرار ،تقریرات نائینی رحمه اللّه علیه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حَدِيثَ عِبَادَةِ هَذَا فِي صَحِيحُ أَبِي عَوَانَةَ وَ الْمُعْجَمِ الْكَبِيرِ لِلطَّبَرَانِيِّ أَيْضاً كَمَا جَاءَ فِي مُخْتَصَرِ کنز الْعُمَّالِ بهامش مُسْنَدِ أَحْمَدَ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الإسلامیه، محمود ابو زهرة،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الاضرر، شيخ الشريعة اصفهانی،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محقق نائینی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نهاية الدراية،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278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الأستاذ الشيخ عباس علي الزارعي السبزواري في ضمن منشورات جماعة المدرّسين بقم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كفاية مشکینی،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لاضرر،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منية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عراقی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بجنوردی،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في الفقه المقارن،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ميراث الأزواج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العقول في شرح منهاج الوصول،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سبق و الرماية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ما خلافاً لِلْمَشْهُورِ حجيّت قول لغوی در مفردات است از باب رجوع به اهل خبره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المحشي بحواشي سبزوارى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اصول الفقه،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السيدّ البجنوردی،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امام خمینی رحمه اللّه علیه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كيفية الحكم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كيفية الحكم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عدو</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عدو</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حمام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متعه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باب الشفعة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النفقات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،نفقة الواجبة و المندوبة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نكاح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ابواب ميراث الأبوين و الأولاد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لاضرر آیة اللّه سیستانی،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لاضرر ،آیة اللّه سیستانی،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لاضرر، آیة اللّه سیستانی،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الشَّيْخُ الْأَنْصَارِيِّ وَ هُوَ قَائِلُ بِالْحُكُومَةِ فِي وَجْهِ الْخَامِسَ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مشکینی یک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الدارية، چاپ مؤسسه آل البیت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ح </w:t>
      </w:r>
      <w:r>
        <w:rPr>
          <w:rFonts w:eastAsia="IRNazanin" w:cs="IRNazanin"/>
          <w:b w:val="false"/>
          <w:bCs w:val="false"/>
          <w:i w:val="false"/>
          <w:iCs w:val="false"/>
          <w:color w:val="333333"/>
          <w:sz w:val="20"/>
          <w:szCs w:val="20"/>
        </w:rPr>
        <w:t>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آیه </w:t>
      </w:r>
      <w:r>
        <w:rPr>
          <w:rFonts w:eastAsia="IRNazanin" w:cs="IRNazanin"/>
          <w:b w:val="false"/>
          <w:bCs w:val="false"/>
          <w:i w:val="false"/>
          <w:iCs w:val="false"/>
          <w:color w:val="333333"/>
          <w:sz w:val="20"/>
          <w:szCs w:val="20"/>
        </w:rPr>
        <w:t>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آیه </w:t>
      </w:r>
      <w:r>
        <w:rPr>
          <w:rFonts w:eastAsia="IRNazanin" w:cs="IRNazanin"/>
          <w:b w:val="false"/>
          <w:bCs w:val="false"/>
          <w:i w:val="false"/>
          <w:iCs w:val="false"/>
          <w:color w:val="333333"/>
          <w:sz w:val="20"/>
          <w:szCs w:val="20"/>
        </w:rPr>
        <w:t>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غصب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الْغَاصِبِ يُوخَذُ بَاشِقٌ الْأَحْوَالِ لَيْسَتْ حَدِيثاً وَ لَا معقد اجماع مُعْتَبَرٍ مهذب الأحكام،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التجارة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التجارة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 الْمَوْضُوعَةِ وَ أَثَرِهَا السَّيِّئُ فِي الْأَمَةِ،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ابواب کتاب التجارة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حدائق الناضرة،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عروة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عدد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نفقات</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نفقة الزوجة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نفقة الزوجة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نفقة،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موجبات ضمان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موجبات ضمان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احیاء اموات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مجمع الفائدة و البرهان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الفقهية،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ص </w:t>
      </w:r>
      <w:r>
        <w:rPr>
          <w:rFonts w:eastAsia="IRNazanin" w:cs="IRNazanin"/>
          <w:b w:val="false"/>
          <w:bCs w:val="false"/>
          <w:i w:val="false"/>
          <w:iCs w:val="false"/>
          <w:color w:val="333333"/>
          <w:sz w:val="20"/>
          <w:szCs w:val="20"/>
        </w:rPr>
        <w:t>29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في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لاضرر و لاضرار،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و البرهان،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المستند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لاضرر، ص </w:t>
      </w:r>
      <w:r>
        <w:rPr>
          <w:rFonts w:eastAsia="IRNazanin" w:cs="IRNazanin"/>
          <w:b w:val="false"/>
          <w:bCs w:val="false"/>
          <w:i w:val="false"/>
          <w:iCs w:val="false"/>
          <w:color w:val="333333"/>
          <w:sz w:val="20"/>
          <w:szCs w:val="20"/>
        </w:rPr>
        <w:t>288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تُرَاثَ الشَّيْخُ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ابواب احیاء اموات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ابواب احیاء اموات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ابواب احیاء اموات</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الفقهية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مقرر له در مورد این قاعده بحث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الْخَيْرِ النَّبَوِيِّ وَ إِنْ لَمْ يُرِدْ مُسْنَداً فِي الْكُتُبِ الحديثيه لَكِنَّهُ متلقى بِالْقَبُولِ عِنْدَ الْأَصْحَابِ وَ كَانَ عَمَلُهُمْ بِهِ جَابِراً لِضَعْفِهِ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فِي ذَلِكَ بَعْضُ آخَرَ مِنِ الْمُحَقِّقِينَ مِثْلَ 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قواعد الفقهية،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منتهى الدراية،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الآراء الفقهية از مؤلف،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بیان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55828</Words>
  <Characters>196942</Characters>
  <CharactersWithSpaces>251424</CharactersWithSpaces>
  <Paragraphs>1510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2026-08-20T09:55:23Z</dcterms:created>
  <dc:creator>ghaemiyeh.com</dc:creator>
  <dc:description/>
  <dc:language>en-US</dc:language>
  <cp:lastModifiedBy/>
  <dcterms:modified xsi:type="dcterms:W3CDTF">2026-08-20T13:25:30Z</dcterms:modified>
  <cp:revision>1</cp:revision>
  <dc:subject/>
  <dc:title>قاعده لاضرر گزیده تقریر دروس آیة الله هادی نجفی دام ظله</dc:title>
</cp:coreProperties>
</file>

<file path=docProps/custom.xml><?xml version="1.0" encoding="utf-8"?>
<Properties xmlns="http://schemas.openxmlformats.org/officeDocument/2006/custom-properties" xmlns:vt="http://schemas.openxmlformats.org/officeDocument/2006/docPropsVTypes"/>
</file>