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14</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8333_2870459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3208335_2870459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208337_2870459653">
            <w:r>
              <w:rPr>
                <w:webHidden/>
                <w:rStyle w:val="IndexLink"/>
                <w:rtl w:val="true"/>
              </w:rPr>
              <w:t>الأسس المعتمدة للنشر</w:t>
            </w:r>
            <w:r>
              <w:rPr>
                <w:rStyle w:val="IndexLink"/>
                <w:rtl w:val="true"/>
              </w:rPr>
              <w:tab/>
            </w:r>
            <w:r>
              <w:rPr>
                <w:rStyle w:val="IndexLink"/>
              </w:rPr>
              <w:t>12</w:t>
            </w:r>
          </w:hyperlink>
        </w:p>
        <w:p>
          <w:pPr>
            <w:pStyle w:val="Contents2"/>
            <w:tabs>
              <w:tab w:val="clear" w:pos="8743"/>
              <w:tab w:val="right" w:pos="9026" w:leader="dot"/>
            </w:tabs>
            <w:rPr/>
          </w:pPr>
          <w:hyperlink w:anchor="__RefHeading___Toc3208339_2870459653">
            <w:r>
              <w:rPr>
                <w:webHidden/>
                <w:rStyle w:val="IndexLink"/>
                <w:rtl w:val="true"/>
              </w:rPr>
              <w:t>المحتوی</w:t>
            </w:r>
            <w:r>
              <w:rPr>
                <w:rStyle w:val="IndexLink"/>
                <w:rtl w:val="true"/>
              </w:rPr>
              <w:tab/>
            </w:r>
            <w:r>
              <w:rPr>
                <w:rStyle w:val="IndexLink"/>
              </w:rPr>
              <w:t>13</w:t>
            </w:r>
          </w:hyperlink>
        </w:p>
        <w:p>
          <w:pPr>
            <w:pStyle w:val="Contents2"/>
            <w:tabs>
              <w:tab w:val="clear" w:pos="8743"/>
              <w:tab w:val="right" w:pos="9026" w:leader="dot"/>
            </w:tabs>
            <w:rPr/>
          </w:pPr>
          <w:hyperlink w:anchor="__RefHeading___Toc3208341_2870459653">
            <w:r>
              <w:rPr>
                <w:webHidden/>
                <w:rStyle w:val="IndexLink"/>
                <w:rtl w:val="true"/>
              </w:rPr>
              <w:t>کلمة العدد</w:t>
            </w:r>
            <w:r>
              <w:rPr>
                <w:rStyle w:val="IndexLink"/>
                <w:rtl w:val="true"/>
              </w:rPr>
              <w:tab/>
            </w:r>
            <w:r>
              <w:rPr>
                <w:rStyle w:val="IndexLink"/>
              </w:rPr>
              <w:t>15</w:t>
            </w:r>
          </w:hyperlink>
        </w:p>
        <w:p>
          <w:pPr>
            <w:pStyle w:val="Contents3"/>
            <w:tabs>
              <w:tab w:val="clear" w:pos="8459"/>
              <w:tab w:val="right" w:pos="9026" w:leader="dot"/>
            </w:tabs>
            <w:rPr/>
          </w:pPr>
          <w:hyperlink w:anchor="__RefHeading___Toc3208343_2870459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208345_2870459653">
            <w:r>
              <w:rPr>
                <w:webHidden/>
                <w:rStyle w:val="IndexLink"/>
                <w:rtl w:val="true"/>
              </w:rPr>
              <w:t>رأيٌّ في مستقبل الكتابة</w:t>
            </w:r>
            <w:r>
              <w:rPr>
                <w:rStyle w:val="IndexLink"/>
                <w:rtl w:val="true"/>
              </w:rPr>
              <w:tab/>
            </w:r>
            <w:r>
              <w:rPr>
                <w:rStyle w:val="IndexLink"/>
              </w:rPr>
              <w:t>15</w:t>
            </w:r>
          </w:hyperlink>
        </w:p>
        <w:p>
          <w:pPr>
            <w:pStyle w:val="Contents3"/>
            <w:tabs>
              <w:tab w:val="clear" w:pos="8459"/>
              <w:tab w:val="right" w:pos="9026" w:leader="dot"/>
            </w:tabs>
            <w:rPr/>
          </w:pPr>
          <w:hyperlink w:anchor="__RefHeading___Toc3208347_2870459653">
            <w:r>
              <w:rPr>
                <w:webHidden/>
                <w:rStyle w:val="IndexLink"/>
                <w:rtl w:val="true"/>
              </w:rPr>
              <w:t>في خصوص هذا العدد</w:t>
            </w:r>
            <w:r>
              <w:rPr>
                <w:rStyle w:val="IndexLink"/>
                <w:rtl w:val="true"/>
              </w:rPr>
              <w:tab/>
            </w:r>
            <w:r>
              <w:rPr>
                <w:rStyle w:val="IndexLink"/>
              </w:rPr>
              <w:t>18</w:t>
            </w:r>
          </w:hyperlink>
        </w:p>
        <w:p>
          <w:pPr>
            <w:pStyle w:val="Contents2"/>
            <w:tabs>
              <w:tab w:val="clear" w:pos="8743"/>
              <w:tab w:val="right" w:pos="9026" w:leader="dot"/>
            </w:tabs>
            <w:rPr/>
          </w:pPr>
          <w:hyperlink w:anchor="__RefHeading___Toc3208349_2870459653">
            <w:r>
              <w:rPr>
                <w:webHidden/>
                <w:rStyle w:val="IndexLink"/>
                <w:rtl w:val="true"/>
              </w:rPr>
              <w:t xml:space="preserve">جزئيّة البسملة </w:t>
            </w:r>
            <w:r>
              <w:rPr>
                <w:rStyle w:val="IndexLink"/>
                <w:rtl w:val="true"/>
              </w:rPr>
              <w:t xml:space="preserve">- </w:t>
            </w:r>
            <w:r>
              <w:rPr>
                <w:rStyle w:val="IndexLink"/>
                <w:rtl w:val="true"/>
              </w:rPr>
              <w:t xml:space="preserve">الشيخ رافد الزيداوي </w:t>
            </w:r>
            <w:r>
              <w:rPr>
                <w:rStyle w:val="IndexLink"/>
                <w:rtl w:val="true"/>
              </w:rPr>
              <w:t>(</w:t>
            </w:r>
            <w:r>
              <w:rPr>
                <w:rStyle w:val="IndexLink"/>
                <w:rtl w:val="true"/>
              </w:rPr>
              <w:t>دام عزه</w:t>
            </w:r>
            <w:r>
              <w:rPr>
                <w:rStyle w:val="IndexLink"/>
                <w:rtl w:val="true"/>
              </w:rPr>
              <w:t>)</w:t>
              <w:tab/>
            </w:r>
            <w:r>
              <w:rPr>
                <w:rStyle w:val="IndexLink"/>
              </w:rPr>
              <w:t>21</w:t>
            </w:r>
          </w:hyperlink>
        </w:p>
        <w:p>
          <w:pPr>
            <w:pStyle w:val="Contents3"/>
            <w:tabs>
              <w:tab w:val="clear" w:pos="8459"/>
              <w:tab w:val="right" w:pos="9026" w:leader="dot"/>
            </w:tabs>
            <w:rPr/>
          </w:pPr>
          <w:hyperlink w:anchor="__RefHeading___Toc3208351_2870459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208353_2870459653">
            <w:r>
              <w:rPr>
                <w:webHidden/>
                <w:rStyle w:val="IndexLink"/>
                <w:rtl w:val="true"/>
              </w:rPr>
              <w:t>تمهيد</w:t>
            </w:r>
            <w:r>
              <w:rPr>
                <w:rStyle w:val="IndexLink"/>
                <w:rtl w:val="true"/>
              </w:rPr>
              <w:tab/>
            </w:r>
            <w:r>
              <w:rPr>
                <w:rStyle w:val="IndexLink"/>
              </w:rPr>
              <w:t>23</w:t>
            </w:r>
          </w:hyperlink>
        </w:p>
        <w:p>
          <w:pPr>
            <w:pStyle w:val="Contents3"/>
            <w:tabs>
              <w:tab w:val="clear" w:pos="8459"/>
              <w:tab w:val="right" w:pos="9026" w:leader="dot"/>
            </w:tabs>
            <w:rPr/>
          </w:pPr>
          <w:hyperlink w:anchor="__RefHeading___Toc3208355_2870459653">
            <w:r>
              <w:rPr>
                <w:webHidden/>
                <w:rStyle w:val="IndexLink"/>
                <w:rtl w:val="true"/>
              </w:rPr>
              <w:t>المقام الأوَّل</w:t>
            </w:r>
            <w:r>
              <w:rPr>
                <w:rStyle w:val="IndexLink"/>
                <w:rtl w:val="true"/>
              </w:rPr>
              <w:t xml:space="preserve">: </w:t>
            </w:r>
            <w:r>
              <w:rPr>
                <w:rStyle w:val="IndexLink"/>
                <w:rtl w:val="true"/>
              </w:rPr>
              <w:t>أقوال فقهاء الإسلام في المسألة</w:t>
            </w:r>
            <w:r>
              <w:rPr>
                <w:rStyle w:val="IndexLink"/>
                <w:rtl w:val="true"/>
              </w:rPr>
              <w:tab/>
            </w:r>
            <w:r>
              <w:rPr>
                <w:rStyle w:val="IndexLink"/>
              </w:rPr>
              <w:t>25</w:t>
            </w:r>
          </w:hyperlink>
        </w:p>
        <w:p>
          <w:pPr>
            <w:pStyle w:val="Contents3"/>
            <w:tabs>
              <w:tab w:val="clear" w:pos="8459"/>
              <w:tab w:val="right" w:pos="9026" w:leader="dot"/>
            </w:tabs>
            <w:rPr/>
          </w:pPr>
          <w:hyperlink w:anchor="__RefHeading___Toc3208357_2870459653">
            <w:r>
              <w:rPr>
                <w:webHidden/>
                <w:rStyle w:val="IndexLink"/>
                <w:rtl w:val="true"/>
              </w:rPr>
              <w:t>المقام الثَّاني</w:t>
            </w:r>
            <w:r>
              <w:rPr>
                <w:rStyle w:val="IndexLink"/>
                <w:rtl w:val="true"/>
              </w:rPr>
              <w:t xml:space="preserve">: </w:t>
            </w:r>
            <w:r>
              <w:rPr>
                <w:rStyle w:val="IndexLink"/>
                <w:rtl w:val="true"/>
              </w:rPr>
              <w:t>الروايات الواردة في المسألة</w:t>
            </w:r>
            <w:r>
              <w:rPr>
                <w:rStyle w:val="IndexLink"/>
                <w:rtl w:val="true"/>
              </w:rPr>
              <w:tab/>
            </w:r>
            <w:r>
              <w:rPr>
                <w:rStyle w:val="IndexLink"/>
              </w:rPr>
              <w:t>31</w:t>
            </w:r>
          </w:hyperlink>
        </w:p>
        <w:p>
          <w:pPr>
            <w:pStyle w:val="Contents4"/>
            <w:tabs>
              <w:tab w:val="clear" w:pos="8176"/>
              <w:tab w:val="right" w:pos="9026" w:leader="dot"/>
            </w:tabs>
            <w:rPr/>
          </w:pPr>
          <w:hyperlink w:anchor="__RefHeading___Toc3208359_2870459653">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3208361_2870459653">
            <w:r>
              <w:rPr>
                <w:webHidden/>
                <w:rStyle w:val="IndexLink"/>
                <w:rtl w:val="true"/>
              </w:rPr>
              <w:t>الطائفة الأولى</w:t>
            </w:r>
            <w:r>
              <w:rPr>
                <w:rStyle w:val="IndexLink"/>
                <w:rtl w:val="true"/>
              </w:rPr>
              <w:t xml:space="preserve">: </w:t>
            </w:r>
            <w:r>
              <w:rPr>
                <w:rStyle w:val="IndexLink"/>
                <w:rtl w:val="true"/>
              </w:rPr>
              <w:t>الروايات التي يمكن أن يستدلَّ بها على جزئيَّة البسملة لجميع السور</w:t>
            </w:r>
            <w:r>
              <w:rPr>
                <w:rStyle w:val="IndexLink"/>
                <w:rtl w:val="true"/>
              </w:rPr>
              <w:tab/>
            </w:r>
            <w:r>
              <w:rPr>
                <w:rStyle w:val="IndexLink"/>
              </w:rPr>
              <w:t>31</w:t>
            </w:r>
          </w:hyperlink>
        </w:p>
        <w:p>
          <w:pPr>
            <w:pStyle w:val="Contents5"/>
            <w:tabs>
              <w:tab w:val="clear" w:pos="7892"/>
              <w:tab w:val="right" w:pos="9026" w:leader="dot"/>
            </w:tabs>
            <w:rPr/>
          </w:pPr>
          <w:hyperlink w:anchor="__RefHeading___Toc3208363_2870459653">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3208365_2870459653">
            <w:r>
              <w:rPr>
                <w:webHidden/>
                <w:rStyle w:val="IndexLink"/>
                <w:rtl w:val="true"/>
              </w:rPr>
              <w:t>الرواية الأولى</w:t>
            </w:r>
            <w:r>
              <w:rPr>
                <w:rStyle w:val="IndexLink"/>
                <w:rtl w:val="true"/>
              </w:rPr>
              <w:tab/>
            </w:r>
            <w:r>
              <w:rPr>
                <w:rStyle w:val="IndexLink"/>
              </w:rPr>
              <w:t>31</w:t>
            </w:r>
          </w:hyperlink>
        </w:p>
        <w:p>
          <w:pPr>
            <w:pStyle w:val="Contents5"/>
            <w:tabs>
              <w:tab w:val="clear" w:pos="7892"/>
              <w:tab w:val="right" w:pos="9026" w:leader="dot"/>
            </w:tabs>
            <w:rPr/>
          </w:pPr>
          <w:hyperlink w:anchor="__RefHeading___Toc3208367_2870459653">
            <w:r>
              <w:rPr>
                <w:webHidden/>
                <w:rStyle w:val="IndexLink"/>
                <w:rtl w:val="true"/>
              </w:rPr>
              <w:t>الرواية الثانية</w:t>
            </w:r>
            <w:r>
              <w:rPr>
                <w:rStyle w:val="IndexLink"/>
                <w:rtl w:val="true"/>
              </w:rPr>
              <w:tab/>
            </w:r>
            <w:r>
              <w:rPr>
                <w:rStyle w:val="IndexLink"/>
              </w:rPr>
              <w:t>33</w:t>
            </w:r>
          </w:hyperlink>
        </w:p>
        <w:p>
          <w:pPr>
            <w:pStyle w:val="Contents6"/>
            <w:tabs>
              <w:tab w:val="clear" w:pos="7609"/>
              <w:tab w:val="right" w:pos="9026" w:leader="dot"/>
            </w:tabs>
            <w:rPr/>
          </w:pPr>
          <w:hyperlink w:anchor="__RefHeading___Toc3208369_2870459653">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3208371_2870459653">
            <w:r>
              <w:rPr>
                <w:webHidden/>
                <w:rStyle w:val="IndexLink"/>
                <w:rtl w:val="true"/>
              </w:rPr>
              <w:t>الجهة الأولى</w:t>
            </w:r>
            <w:r>
              <w:rPr>
                <w:rStyle w:val="IndexLink"/>
                <w:rtl w:val="true"/>
              </w:rPr>
              <w:t xml:space="preserve">: </w:t>
            </w:r>
            <w:r>
              <w:rPr>
                <w:rStyle w:val="IndexLink"/>
                <w:rtl w:val="true"/>
              </w:rPr>
              <w:t>في السند</w:t>
            </w:r>
            <w:r>
              <w:rPr>
                <w:rStyle w:val="IndexLink"/>
                <w:rtl w:val="true"/>
              </w:rPr>
              <w:tab/>
            </w:r>
            <w:r>
              <w:rPr>
                <w:rStyle w:val="IndexLink"/>
              </w:rPr>
              <w:t>34</w:t>
            </w:r>
          </w:hyperlink>
        </w:p>
        <w:p>
          <w:pPr>
            <w:pStyle w:val="Contents6"/>
            <w:tabs>
              <w:tab w:val="clear" w:pos="7609"/>
              <w:tab w:val="right" w:pos="9026" w:leader="dot"/>
            </w:tabs>
            <w:rPr/>
          </w:pPr>
          <w:hyperlink w:anchor="__RefHeading___Toc3208373_2870459653">
            <w:r>
              <w:rPr>
                <w:webHidden/>
                <w:rStyle w:val="IndexLink"/>
                <w:rtl w:val="true"/>
              </w:rPr>
              <w:t>الجهة الثانية</w:t>
            </w:r>
            <w:r>
              <w:rPr>
                <w:rStyle w:val="IndexLink"/>
                <w:rtl w:val="true"/>
              </w:rPr>
              <w:t xml:space="preserve">: </w:t>
            </w:r>
            <w:r>
              <w:rPr>
                <w:rStyle w:val="IndexLink"/>
                <w:rtl w:val="true"/>
              </w:rPr>
              <w:t>في الدلالة</w:t>
            </w:r>
            <w:r>
              <w:rPr>
                <w:rStyle w:val="IndexLink"/>
                <w:rtl w:val="true"/>
              </w:rPr>
              <w:tab/>
            </w:r>
            <w:r>
              <w:rPr>
                <w:rStyle w:val="IndexLink"/>
              </w:rPr>
              <w:t>39</w:t>
            </w:r>
          </w:hyperlink>
        </w:p>
        <w:p>
          <w:pPr>
            <w:pStyle w:val="Contents4"/>
            <w:tabs>
              <w:tab w:val="clear" w:pos="8176"/>
              <w:tab w:val="right" w:pos="9026" w:leader="dot"/>
            </w:tabs>
            <w:rPr/>
          </w:pPr>
          <w:hyperlink w:anchor="__RefHeading___Toc3208375_2870459653">
            <w:r>
              <w:rPr>
                <w:webHidden/>
                <w:rStyle w:val="IndexLink"/>
                <w:rtl w:val="true"/>
              </w:rPr>
              <w:t>الطائفة الثانية</w:t>
            </w:r>
            <w:r>
              <w:rPr>
                <w:rStyle w:val="IndexLink"/>
                <w:rtl w:val="true"/>
              </w:rPr>
              <w:t xml:space="preserve">: </w:t>
            </w:r>
            <w:r>
              <w:rPr>
                <w:rStyle w:val="IndexLink"/>
                <w:rtl w:val="true"/>
              </w:rPr>
              <w:t>الروايات الدالّة على عدم جزئيّة البسملة في باقي السور غير الفاتحة</w:t>
            </w:r>
            <w:r>
              <w:rPr>
                <w:rStyle w:val="IndexLink"/>
                <w:rtl w:val="true"/>
              </w:rPr>
              <w:tab/>
            </w:r>
            <w:r>
              <w:rPr>
                <w:rStyle w:val="IndexLink"/>
              </w:rPr>
              <w:t>43</w:t>
            </w:r>
          </w:hyperlink>
        </w:p>
        <w:p>
          <w:pPr>
            <w:pStyle w:val="Contents5"/>
            <w:tabs>
              <w:tab w:val="clear" w:pos="7892"/>
              <w:tab w:val="right" w:pos="9026" w:leader="dot"/>
            </w:tabs>
            <w:rPr/>
          </w:pPr>
          <w:hyperlink w:anchor="__RefHeading___Toc3208377_2870459653">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3208379_2870459653">
            <w:r>
              <w:rPr>
                <w:webHidden/>
                <w:rStyle w:val="IndexLink"/>
                <w:rtl w:val="true"/>
              </w:rPr>
              <w:t>الرواية الأولى</w:t>
            </w:r>
            <w:r>
              <w:rPr>
                <w:rStyle w:val="IndexLink"/>
                <w:rtl w:val="true"/>
              </w:rPr>
              <w:tab/>
            </w:r>
            <w:r>
              <w:rPr>
                <w:rStyle w:val="IndexLink"/>
              </w:rPr>
              <w:t>43</w:t>
            </w:r>
          </w:hyperlink>
        </w:p>
        <w:p>
          <w:pPr>
            <w:pStyle w:val="Contents5"/>
            <w:tabs>
              <w:tab w:val="clear" w:pos="7892"/>
              <w:tab w:val="right" w:pos="9026" w:leader="dot"/>
            </w:tabs>
            <w:rPr/>
          </w:pPr>
          <w:hyperlink w:anchor="__RefHeading___Toc3208381_2870459653">
            <w:r>
              <w:rPr>
                <w:webHidden/>
                <w:rStyle w:val="IndexLink"/>
                <w:rtl w:val="true"/>
              </w:rPr>
              <w:t>الرواية الثانية</w:t>
            </w:r>
            <w:r>
              <w:rPr>
                <w:rStyle w:val="IndexLink"/>
                <w:rtl w:val="true"/>
              </w:rPr>
              <w:tab/>
            </w:r>
            <w:r>
              <w:rPr>
                <w:rStyle w:val="IndexLink"/>
              </w:rPr>
              <w:t>48</w:t>
            </w:r>
          </w:hyperlink>
        </w:p>
        <w:p>
          <w:pPr>
            <w:pStyle w:val="Contents5"/>
            <w:tabs>
              <w:tab w:val="clear" w:pos="7892"/>
              <w:tab w:val="right" w:pos="9026" w:leader="dot"/>
            </w:tabs>
            <w:rPr/>
          </w:pPr>
          <w:hyperlink w:anchor="__RefHeading___Toc3208383_2870459653">
            <w:r>
              <w:rPr>
                <w:webHidden/>
                <w:rStyle w:val="IndexLink"/>
                <w:rtl w:val="true"/>
              </w:rPr>
              <w:t>الرواية الثالثة</w:t>
            </w:r>
            <w:r>
              <w:rPr>
                <w:rStyle w:val="IndexLink"/>
                <w:rtl w:val="true"/>
              </w:rPr>
              <w:tab/>
            </w:r>
            <w:r>
              <w:rPr>
                <w:rStyle w:val="IndexLink"/>
              </w:rPr>
              <w:t>51</w:t>
            </w:r>
          </w:hyperlink>
        </w:p>
        <w:p>
          <w:pPr>
            <w:pStyle w:val="Contents3"/>
            <w:tabs>
              <w:tab w:val="clear" w:pos="8459"/>
              <w:tab w:val="right" w:pos="9026" w:leader="dot"/>
            </w:tabs>
            <w:rPr/>
          </w:pPr>
          <w:hyperlink w:anchor="__RefHeading___Toc3208385_2870459653">
            <w:r>
              <w:rPr>
                <w:webHidden/>
                <w:rStyle w:val="IndexLink"/>
                <w:rtl w:val="true"/>
              </w:rPr>
              <w:t>تذنيب</w:t>
            </w:r>
            <w:r>
              <w:rPr>
                <w:rStyle w:val="IndexLink"/>
                <w:rtl w:val="true"/>
              </w:rPr>
              <w:tab/>
            </w:r>
            <w:r>
              <w:rPr>
                <w:rStyle w:val="IndexLink"/>
              </w:rPr>
              <w:t>57</w:t>
            </w:r>
          </w:hyperlink>
        </w:p>
        <w:p>
          <w:pPr>
            <w:pStyle w:val="Contents3"/>
            <w:tabs>
              <w:tab w:val="clear" w:pos="8459"/>
              <w:tab w:val="right" w:pos="9026" w:leader="dot"/>
            </w:tabs>
            <w:rPr/>
          </w:pPr>
          <w:hyperlink w:anchor="__RefHeading___Toc3208387_2870459653">
            <w:r>
              <w:rPr>
                <w:webHidden/>
                <w:rStyle w:val="IndexLink"/>
                <w:rtl w:val="true"/>
              </w:rPr>
              <w:t>المصادر</w:t>
            </w:r>
            <w:r>
              <w:rPr>
                <w:rStyle w:val="IndexLink"/>
                <w:rtl w:val="true"/>
              </w:rPr>
              <w:tab/>
            </w:r>
            <w:r>
              <w:rPr>
                <w:rStyle w:val="IndexLink"/>
              </w:rPr>
              <w:t>59</w:t>
            </w:r>
          </w:hyperlink>
        </w:p>
        <w:p>
          <w:pPr>
            <w:pStyle w:val="Contents2"/>
            <w:tabs>
              <w:tab w:val="clear" w:pos="8743"/>
              <w:tab w:val="right" w:pos="9026" w:leader="dot"/>
            </w:tabs>
            <w:rPr/>
          </w:pPr>
          <w:hyperlink w:anchor="__RefHeading___Toc3208389_2870459653">
            <w:r>
              <w:rPr>
                <w:webHidden/>
                <w:rStyle w:val="IndexLink"/>
                <w:rtl w:val="true"/>
              </w:rPr>
              <w:t xml:space="preserve">إبداء المرأة وجهها وكفّيها ونظر الرّجل إليهما </w:t>
            </w:r>
            <w:r>
              <w:rPr>
                <w:rStyle w:val="IndexLink"/>
                <w:rtl w:val="true"/>
              </w:rPr>
              <w:t>(</w:t>
            </w:r>
            <w:r>
              <w:rPr>
                <w:rStyle w:val="IndexLink"/>
                <w:rtl w:val="true"/>
              </w:rPr>
              <w:t>الحلقة الثانية</w:t>
            </w:r>
            <w:r>
              <w:rPr>
                <w:rStyle w:val="IndexLink"/>
                <w:rtl w:val="true"/>
              </w:rPr>
              <w:t xml:space="preserve">) - </w:t>
            </w:r>
            <w:r>
              <w:rPr>
                <w:rStyle w:val="IndexLink"/>
                <w:rtl w:val="true"/>
              </w:rPr>
              <w:t xml:space="preserve">الشيخ جعفر اليعسوبي </w:t>
            </w:r>
            <w:r>
              <w:rPr>
                <w:rStyle w:val="IndexLink"/>
                <w:rtl w:val="true"/>
              </w:rPr>
              <w:t>(</w:t>
            </w:r>
            <w:r>
              <w:rPr>
                <w:rStyle w:val="IndexLink"/>
                <w:rtl w:val="true"/>
              </w:rPr>
              <w:t>دام عزه</w:t>
            </w:r>
            <w:r>
              <w:rPr>
                <w:rStyle w:val="IndexLink"/>
                <w:rtl w:val="true"/>
              </w:rPr>
              <w:t>)</w:t>
              <w:tab/>
            </w:r>
            <w:r>
              <w:rPr>
                <w:rStyle w:val="IndexLink"/>
              </w:rPr>
              <w:t>69</w:t>
            </w:r>
          </w:hyperlink>
        </w:p>
        <w:p>
          <w:pPr>
            <w:pStyle w:val="Contents3"/>
            <w:tabs>
              <w:tab w:val="clear" w:pos="8459"/>
              <w:tab w:val="right" w:pos="9026" w:leader="dot"/>
            </w:tabs>
            <w:rPr/>
          </w:pPr>
          <w:hyperlink w:anchor="__RefHeading___Toc3208391_2870459653">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3208393_2870459653">
            <w:r>
              <w:rPr>
                <w:webHidden/>
                <w:rStyle w:val="IndexLink"/>
                <w:rtl w:val="true"/>
              </w:rPr>
              <w:t>الدليل الثاني</w:t>
            </w:r>
            <w:r>
              <w:rPr>
                <w:rStyle w:val="IndexLink"/>
                <w:rtl w:val="true"/>
              </w:rPr>
              <w:t xml:space="preserve">: </w:t>
            </w:r>
            <w:r>
              <w:rPr>
                <w:rStyle w:val="IndexLink"/>
                <w:rtl w:val="true"/>
              </w:rPr>
              <w:t>على حرمة النظر إلى وجه المرأة ويديها هو السُنّة</w:t>
            </w:r>
            <w:r>
              <w:rPr>
                <w:rStyle w:val="IndexLink"/>
                <w:rtl w:val="true"/>
              </w:rPr>
              <w:tab/>
            </w:r>
            <w:r>
              <w:rPr>
                <w:rStyle w:val="IndexLink"/>
              </w:rPr>
              <w:t>71</w:t>
            </w:r>
          </w:hyperlink>
        </w:p>
        <w:p>
          <w:pPr>
            <w:pStyle w:val="Contents4"/>
            <w:tabs>
              <w:tab w:val="clear" w:pos="8176"/>
              <w:tab w:val="right" w:pos="9026" w:leader="dot"/>
            </w:tabs>
            <w:rPr/>
          </w:pPr>
          <w:hyperlink w:anchor="__RefHeading___Toc3208395_2870459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3208397_2870459653">
            <w:r>
              <w:rPr>
                <w:webHidden/>
                <w:rStyle w:val="IndexLink"/>
                <w:rtl w:val="true"/>
              </w:rPr>
              <w:t>الرواية الأولى</w:t>
            </w:r>
            <w:r>
              <w:rPr>
                <w:rStyle w:val="IndexLink"/>
                <w:rtl w:val="true"/>
              </w:rPr>
              <w:tab/>
            </w:r>
            <w:r>
              <w:rPr>
                <w:rStyle w:val="IndexLink"/>
              </w:rPr>
              <w:t>71</w:t>
            </w:r>
          </w:hyperlink>
        </w:p>
        <w:p>
          <w:pPr>
            <w:pStyle w:val="Contents5"/>
            <w:tabs>
              <w:tab w:val="clear" w:pos="7892"/>
              <w:tab w:val="right" w:pos="9026" w:leader="dot"/>
            </w:tabs>
            <w:rPr/>
          </w:pPr>
          <w:hyperlink w:anchor="__RefHeading___Toc3208399_2870459653">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208401_2870459653">
            <w:r>
              <w:rPr>
                <w:webHidden/>
                <w:rStyle w:val="IndexLink"/>
                <w:rtl w:val="true"/>
              </w:rPr>
              <w:t>الوجه الأوَّل</w:t>
            </w:r>
            <w:r>
              <w:rPr>
                <w:rStyle w:val="IndexLink"/>
                <w:rtl w:val="true"/>
              </w:rPr>
              <w:tab/>
            </w:r>
            <w:r>
              <w:rPr>
                <w:rStyle w:val="IndexLink"/>
              </w:rPr>
              <w:t>72</w:t>
            </w:r>
          </w:hyperlink>
        </w:p>
        <w:p>
          <w:pPr>
            <w:pStyle w:val="Contents5"/>
            <w:tabs>
              <w:tab w:val="clear" w:pos="7892"/>
              <w:tab w:val="right" w:pos="9026" w:leader="dot"/>
            </w:tabs>
            <w:rPr/>
          </w:pPr>
          <w:hyperlink w:anchor="__RefHeading___Toc3208403_2870459653">
            <w:r>
              <w:rPr>
                <w:webHidden/>
                <w:rStyle w:val="IndexLink"/>
                <w:rtl w:val="true"/>
              </w:rPr>
              <w:t>الوجه الثاني</w:t>
            </w:r>
            <w:r>
              <w:rPr>
                <w:rStyle w:val="IndexLink"/>
                <w:rtl w:val="true"/>
              </w:rPr>
              <w:tab/>
            </w:r>
            <w:r>
              <w:rPr>
                <w:rStyle w:val="IndexLink"/>
              </w:rPr>
              <w:t>72</w:t>
            </w:r>
          </w:hyperlink>
        </w:p>
        <w:p>
          <w:pPr>
            <w:pStyle w:val="Contents5"/>
            <w:tabs>
              <w:tab w:val="clear" w:pos="7892"/>
              <w:tab w:val="right" w:pos="9026" w:leader="dot"/>
            </w:tabs>
            <w:rPr/>
          </w:pPr>
          <w:hyperlink w:anchor="__RefHeading___Toc3208405_2870459653">
            <w:r>
              <w:rPr>
                <w:webHidden/>
                <w:rStyle w:val="IndexLink"/>
                <w:rtl w:val="true"/>
              </w:rPr>
              <w:t>الوجه الثالث</w:t>
            </w:r>
            <w:r>
              <w:rPr>
                <w:rStyle w:val="IndexLink"/>
                <w:rtl w:val="true"/>
              </w:rPr>
              <w:tab/>
            </w:r>
            <w:r>
              <w:rPr>
                <w:rStyle w:val="IndexLink"/>
              </w:rPr>
              <w:t>72</w:t>
            </w:r>
          </w:hyperlink>
        </w:p>
        <w:p>
          <w:pPr>
            <w:pStyle w:val="Contents5"/>
            <w:tabs>
              <w:tab w:val="clear" w:pos="7892"/>
              <w:tab w:val="right" w:pos="9026" w:leader="dot"/>
            </w:tabs>
            <w:rPr/>
          </w:pPr>
          <w:hyperlink w:anchor="__RefHeading___Toc3208407_2870459653">
            <w:r>
              <w:rPr>
                <w:webHidden/>
                <w:rStyle w:val="IndexLink"/>
                <w:rtl w:val="true"/>
              </w:rPr>
              <w:t>الوجه الرابع</w:t>
            </w:r>
            <w:r>
              <w:rPr>
                <w:rStyle w:val="IndexLink"/>
                <w:rtl w:val="true"/>
              </w:rPr>
              <w:tab/>
            </w:r>
            <w:r>
              <w:rPr>
                <w:rStyle w:val="IndexLink"/>
              </w:rPr>
              <w:t>72</w:t>
            </w:r>
          </w:hyperlink>
        </w:p>
        <w:p>
          <w:pPr>
            <w:pStyle w:val="Contents4"/>
            <w:tabs>
              <w:tab w:val="clear" w:pos="8176"/>
              <w:tab w:val="right" w:pos="9026" w:leader="dot"/>
            </w:tabs>
            <w:rPr/>
          </w:pPr>
          <w:hyperlink w:anchor="__RefHeading___Toc3208409_2870459653">
            <w:r>
              <w:rPr>
                <w:webHidden/>
                <w:rStyle w:val="IndexLink"/>
                <w:rtl w:val="true"/>
              </w:rPr>
              <w:t>الرواية الثانية</w:t>
            </w:r>
            <w:r>
              <w:rPr>
                <w:rStyle w:val="IndexLink"/>
                <w:rtl w:val="true"/>
              </w:rPr>
              <w:tab/>
            </w:r>
            <w:r>
              <w:rPr>
                <w:rStyle w:val="IndexLink"/>
              </w:rPr>
              <w:t>72</w:t>
            </w:r>
          </w:hyperlink>
        </w:p>
        <w:p>
          <w:pPr>
            <w:pStyle w:val="Contents4"/>
            <w:tabs>
              <w:tab w:val="clear" w:pos="8176"/>
              <w:tab w:val="right" w:pos="9026" w:leader="dot"/>
            </w:tabs>
            <w:rPr/>
          </w:pPr>
          <w:hyperlink w:anchor="__RefHeading___Toc3208411_2870459653">
            <w:r>
              <w:rPr>
                <w:webHidden/>
                <w:rStyle w:val="IndexLink"/>
                <w:rtl w:val="true"/>
              </w:rPr>
              <w:t>الرواية الثالثة</w:t>
            </w:r>
            <w:r>
              <w:rPr>
                <w:rStyle w:val="IndexLink"/>
                <w:rtl w:val="true"/>
              </w:rPr>
              <w:tab/>
            </w:r>
            <w:r>
              <w:rPr>
                <w:rStyle w:val="IndexLink"/>
              </w:rPr>
              <w:t>73</w:t>
            </w:r>
          </w:hyperlink>
        </w:p>
        <w:p>
          <w:pPr>
            <w:pStyle w:val="Contents4"/>
            <w:tabs>
              <w:tab w:val="clear" w:pos="8176"/>
              <w:tab w:val="right" w:pos="9026" w:leader="dot"/>
            </w:tabs>
            <w:rPr/>
          </w:pPr>
          <w:hyperlink w:anchor="__RefHeading___Toc3208413_2870459653">
            <w:r>
              <w:rPr>
                <w:webHidden/>
                <w:rStyle w:val="IndexLink"/>
                <w:rtl w:val="true"/>
              </w:rPr>
              <w:t>الرواية الرابعة</w:t>
            </w:r>
            <w:r>
              <w:rPr>
                <w:rStyle w:val="IndexLink"/>
                <w:rtl w:val="true"/>
              </w:rPr>
              <w:tab/>
            </w:r>
            <w:r>
              <w:rPr>
                <w:rStyle w:val="IndexLink"/>
              </w:rPr>
              <w:t>78</w:t>
            </w:r>
          </w:hyperlink>
        </w:p>
        <w:p>
          <w:pPr>
            <w:pStyle w:val="Contents4"/>
            <w:tabs>
              <w:tab w:val="clear" w:pos="8176"/>
              <w:tab w:val="right" w:pos="9026" w:leader="dot"/>
            </w:tabs>
            <w:rPr/>
          </w:pPr>
          <w:hyperlink w:anchor="__RefHeading___Toc3208415_2870459653">
            <w:r>
              <w:rPr>
                <w:webHidden/>
                <w:rStyle w:val="IndexLink"/>
                <w:rtl w:val="true"/>
              </w:rPr>
              <w:t>الرواية الخامسة</w:t>
            </w:r>
            <w:r>
              <w:rPr>
                <w:rStyle w:val="IndexLink"/>
                <w:rtl w:val="true"/>
              </w:rPr>
              <w:tab/>
            </w:r>
            <w:r>
              <w:rPr>
                <w:rStyle w:val="IndexLink"/>
              </w:rPr>
              <w:t>79</w:t>
            </w:r>
          </w:hyperlink>
        </w:p>
        <w:p>
          <w:pPr>
            <w:pStyle w:val="Contents4"/>
            <w:tabs>
              <w:tab w:val="clear" w:pos="8176"/>
              <w:tab w:val="right" w:pos="9026" w:leader="dot"/>
            </w:tabs>
            <w:rPr/>
          </w:pPr>
          <w:hyperlink w:anchor="__RefHeading___Toc3208417_2870459653">
            <w:r>
              <w:rPr>
                <w:webHidden/>
                <w:rStyle w:val="IndexLink"/>
                <w:rtl w:val="true"/>
              </w:rPr>
              <w:t>الرواية السادسة</w:t>
            </w:r>
            <w:r>
              <w:rPr>
                <w:rStyle w:val="IndexLink"/>
                <w:rtl w:val="true"/>
              </w:rPr>
              <w:tab/>
            </w:r>
            <w:r>
              <w:rPr>
                <w:rStyle w:val="IndexLink"/>
              </w:rPr>
              <w:t>80</w:t>
            </w:r>
          </w:hyperlink>
        </w:p>
        <w:p>
          <w:pPr>
            <w:pStyle w:val="Contents4"/>
            <w:tabs>
              <w:tab w:val="clear" w:pos="8176"/>
              <w:tab w:val="right" w:pos="9026" w:leader="dot"/>
            </w:tabs>
            <w:rPr/>
          </w:pPr>
          <w:hyperlink w:anchor="__RefHeading___Toc3208419_2870459653">
            <w:r>
              <w:rPr>
                <w:webHidden/>
                <w:rStyle w:val="IndexLink"/>
                <w:rtl w:val="true"/>
              </w:rPr>
              <w:t>الطائفة الأولى</w:t>
            </w:r>
            <w:r>
              <w:rPr>
                <w:rStyle w:val="IndexLink"/>
                <w:rtl w:val="true"/>
              </w:rPr>
              <w:t xml:space="preserve">: </w:t>
            </w:r>
            <w:r>
              <w:rPr>
                <w:rStyle w:val="IndexLink"/>
                <w:rtl w:val="true"/>
              </w:rPr>
              <w:t>ما دلّ على جواز النظر إلى وجه وكفّي بعض أقسام النساء كاستثناءٍ عن الحكم العامّ بعدم جوازه في غيرها</w:t>
            </w:r>
            <w:r>
              <w:rPr>
                <w:rStyle w:val="IndexLink"/>
                <w:rtl w:val="true"/>
              </w:rPr>
              <w:tab/>
            </w:r>
            <w:r>
              <w:rPr>
                <w:rStyle w:val="IndexLink"/>
              </w:rPr>
              <w:t>80</w:t>
            </w:r>
          </w:hyperlink>
        </w:p>
        <w:p>
          <w:pPr>
            <w:pStyle w:val="Contents5"/>
            <w:tabs>
              <w:tab w:val="clear" w:pos="7892"/>
              <w:tab w:val="right" w:pos="9026" w:leader="dot"/>
            </w:tabs>
            <w:rPr/>
          </w:pPr>
          <w:hyperlink w:anchor="__RefHeading___Toc3208421_2870459653">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3208423_2870459653">
            <w:r>
              <w:rPr>
                <w:webHidden/>
                <w:rStyle w:val="IndexLink"/>
                <w:rtl w:val="true"/>
              </w:rPr>
              <w:t>القسم الأوَّل</w:t>
            </w:r>
            <w:r>
              <w:rPr>
                <w:rStyle w:val="IndexLink"/>
                <w:rtl w:val="true"/>
              </w:rPr>
              <w:tab/>
            </w:r>
            <w:r>
              <w:rPr>
                <w:rStyle w:val="IndexLink"/>
              </w:rPr>
              <w:t>80</w:t>
            </w:r>
          </w:hyperlink>
        </w:p>
        <w:p>
          <w:pPr>
            <w:pStyle w:val="Contents6"/>
            <w:tabs>
              <w:tab w:val="clear" w:pos="7609"/>
              <w:tab w:val="right" w:pos="9026" w:leader="dot"/>
            </w:tabs>
            <w:rPr/>
          </w:pPr>
          <w:hyperlink w:anchor="__RefHeading___Toc3208425_2870459653">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3208427_2870459653">
            <w:r>
              <w:rPr>
                <w:webHidden/>
                <w:rStyle w:val="IndexLink"/>
                <w:rtl w:val="true"/>
              </w:rPr>
              <w:t>الفارق الأوَّل</w:t>
            </w:r>
            <w:r>
              <w:rPr>
                <w:rStyle w:val="IndexLink"/>
                <w:rtl w:val="true"/>
              </w:rPr>
              <w:tab/>
            </w:r>
            <w:r>
              <w:rPr>
                <w:rStyle w:val="IndexLink"/>
              </w:rPr>
              <w:t>81</w:t>
            </w:r>
          </w:hyperlink>
        </w:p>
        <w:p>
          <w:pPr>
            <w:pStyle w:val="Contents6"/>
            <w:tabs>
              <w:tab w:val="clear" w:pos="7609"/>
              <w:tab w:val="right" w:pos="9026" w:leader="dot"/>
            </w:tabs>
            <w:rPr/>
          </w:pPr>
          <w:hyperlink w:anchor="__RefHeading___Toc3208429_2870459653">
            <w:r>
              <w:rPr>
                <w:webHidden/>
                <w:rStyle w:val="IndexLink"/>
                <w:rtl w:val="true"/>
              </w:rPr>
              <w:t>الفارق الآخر</w:t>
            </w:r>
            <w:r>
              <w:rPr>
                <w:rStyle w:val="IndexLink"/>
                <w:rtl w:val="true"/>
              </w:rPr>
              <w:tab/>
            </w:r>
            <w:r>
              <w:rPr>
                <w:rStyle w:val="IndexLink"/>
              </w:rPr>
              <w:t>82</w:t>
            </w:r>
          </w:hyperlink>
        </w:p>
        <w:p>
          <w:pPr>
            <w:pStyle w:val="Contents5"/>
            <w:tabs>
              <w:tab w:val="clear" w:pos="7892"/>
              <w:tab w:val="right" w:pos="9026" w:leader="dot"/>
            </w:tabs>
            <w:rPr/>
          </w:pPr>
          <w:hyperlink w:anchor="__RefHeading___Toc3208431_2870459653">
            <w:r>
              <w:rPr>
                <w:webHidden/>
                <w:rStyle w:val="IndexLink"/>
                <w:rtl w:val="true"/>
              </w:rPr>
              <w:t>القسم الثاني</w:t>
            </w:r>
            <w:r>
              <w:rPr>
                <w:rStyle w:val="IndexLink"/>
                <w:rtl w:val="true"/>
              </w:rPr>
              <w:tab/>
            </w:r>
            <w:r>
              <w:rPr>
                <w:rStyle w:val="IndexLink"/>
              </w:rPr>
              <w:t>82</w:t>
            </w:r>
          </w:hyperlink>
        </w:p>
        <w:p>
          <w:pPr>
            <w:pStyle w:val="Contents4"/>
            <w:tabs>
              <w:tab w:val="clear" w:pos="8176"/>
              <w:tab w:val="right" w:pos="9026" w:leader="dot"/>
            </w:tabs>
            <w:rPr/>
          </w:pPr>
          <w:hyperlink w:anchor="__RefHeading___Toc3208433_2870459653">
            <w:r>
              <w:rPr>
                <w:webHidden/>
                <w:rStyle w:val="IndexLink"/>
                <w:rtl w:val="true"/>
              </w:rPr>
              <w:t>الطائفة الثانية</w:t>
            </w:r>
            <w:r>
              <w:rPr>
                <w:rStyle w:val="IndexLink"/>
                <w:rtl w:val="true"/>
              </w:rPr>
              <w:t xml:space="preserve">: </w:t>
            </w:r>
            <w:r>
              <w:rPr>
                <w:rStyle w:val="IndexLink"/>
                <w:rtl w:val="true"/>
              </w:rPr>
              <w:t>ما دلّ على جواز كشف المرأة لوجهها لإقامة الشهادة عليها أو عدم جوازه</w:t>
            </w:r>
            <w:r>
              <w:rPr>
                <w:rStyle w:val="IndexLink"/>
                <w:rtl w:val="true"/>
              </w:rPr>
              <w:tab/>
            </w:r>
            <w:r>
              <w:rPr>
                <w:rStyle w:val="IndexLink"/>
              </w:rPr>
              <w:t>84</w:t>
            </w:r>
          </w:hyperlink>
        </w:p>
        <w:p>
          <w:pPr>
            <w:pStyle w:val="Contents5"/>
            <w:tabs>
              <w:tab w:val="clear" w:pos="7892"/>
              <w:tab w:val="right" w:pos="9026" w:leader="dot"/>
            </w:tabs>
            <w:rPr/>
          </w:pPr>
          <w:hyperlink w:anchor="__RefHeading___Toc3208435_2870459653">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3208437_2870459653">
            <w:r>
              <w:rPr>
                <w:webHidden/>
                <w:rStyle w:val="IndexLink"/>
                <w:rtl w:val="true"/>
              </w:rPr>
              <w:t>الرواية الأولى</w:t>
            </w:r>
            <w:r>
              <w:rPr>
                <w:rStyle w:val="IndexLink"/>
                <w:rtl w:val="true"/>
              </w:rPr>
              <w:tab/>
            </w:r>
            <w:r>
              <w:rPr>
                <w:rStyle w:val="IndexLink"/>
              </w:rPr>
              <w:t>84</w:t>
            </w:r>
          </w:hyperlink>
        </w:p>
        <w:p>
          <w:pPr>
            <w:pStyle w:val="Contents5"/>
            <w:tabs>
              <w:tab w:val="clear" w:pos="7892"/>
              <w:tab w:val="right" w:pos="9026" w:leader="dot"/>
            </w:tabs>
            <w:rPr/>
          </w:pPr>
          <w:hyperlink w:anchor="__RefHeading___Toc3208439_2870459653">
            <w:r>
              <w:rPr>
                <w:webHidden/>
                <w:rStyle w:val="IndexLink"/>
                <w:rtl w:val="true"/>
              </w:rPr>
              <w:t>الرواية الثانية</w:t>
            </w:r>
            <w:r>
              <w:rPr>
                <w:rStyle w:val="IndexLink"/>
                <w:rtl w:val="true"/>
              </w:rPr>
              <w:tab/>
            </w:r>
            <w:r>
              <w:rPr>
                <w:rStyle w:val="IndexLink"/>
              </w:rPr>
              <w:t>84</w:t>
            </w:r>
          </w:hyperlink>
        </w:p>
        <w:p>
          <w:pPr>
            <w:pStyle w:val="Contents4"/>
            <w:tabs>
              <w:tab w:val="clear" w:pos="8176"/>
              <w:tab w:val="right" w:pos="9026" w:leader="dot"/>
            </w:tabs>
            <w:rPr/>
          </w:pPr>
          <w:hyperlink w:anchor="__RefHeading___Toc3208441_2870459653">
            <w:r>
              <w:rPr>
                <w:webHidden/>
                <w:rStyle w:val="IndexLink"/>
                <w:rtl w:val="true"/>
              </w:rPr>
              <w:t>الطائفة الثالثة</w:t>
            </w:r>
            <w:r>
              <w:rPr>
                <w:rStyle w:val="IndexLink"/>
                <w:rtl w:val="true"/>
              </w:rPr>
              <w:t xml:space="preserve">: </w:t>
            </w:r>
            <w:r>
              <w:rPr>
                <w:rStyle w:val="IndexLink"/>
                <w:rtl w:val="true"/>
              </w:rPr>
              <w:t>وهي التي دلّت على أنّ النظر سهم من سهام إبليس، أو من الشيطان، أو أنّه يوجب الفتنة، أو الحسرة</w:t>
            </w:r>
            <w:r>
              <w:rPr>
                <w:rStyle w:val="IndexLink"/>
                <w:rtl w:val="true"/>
              </w:rPr>
              <w:tab/>
            </w:r>
            <w:r>
              <w:rPr>
                <w:rStyle w:val="IndexLink"/>
              </w:rPr>
              <w:t>87</w:t>
            </w:r>
          </w:hyperlink>
        </w:p>
        <w:p>
          <w:pPr>
            <w:pStyle w:val="Contents5"/>
            <w:tabs>
              <w:tab w:val="clear" w:pos="7892"/>
              <w:tab w:val="right" w:pos="9026" w:leader="dot"/>
            </w:tabs>
            <w:rPr/>
          </w:pPr>
          <w:hyperlink w:anchor="__RefHeading___Toc3208443_2870459653">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208445_2870459653">
            <w:r>
              <w:rPr>
                <w:webHidden/>
                <w:rStyle w:val="IndexLink"/>
                <w:rtl w:val="true"/>
              </w:rPr>
              <w:t>الرواية الأولى</w:t>
            </w:r>
            <w:r>
              <w:rPr>
                <w:rStyle w:val="IndexLink"/>
                <w:rtl w:val="true"/>
              </w:rPr>
              <w:tab/>
            </w:r>
            <w:r>
              <w:rPr>
                <w:rStyle w:val="IndexLink"/>
              </w:rPr>
              <w:t>87</w:t>
            </w:r>
          </w:hyperlink>
        </w:p>
        <w:p>
          <w:pPr>
            <w:pStyle w:val="Contents5"/>
            <w:tabs>
              <w:tab w:val="clear" w:pos="7892"/>
              <w:tab w:val="right" w:pos="9026" w:leader="dot"/>
            </w:tabs>
            <w:rPr/>
          </w:pPr>
          <w:hyperlink w:anchor="__RefHeading___Toc3208447_2870459653">
            <w:r>
              <w:rPr>
                <w:webHidden/>
                <w:rStyle w:val="IndexLink"/>
                <w:rtl w:val="true"/>
              </w:rPr>
              <w:t>الرواية الثانية</w:t>
            </w:r>
            <w:r>
              <w:rPr>
                <w:rStyle w:val="IndexLink"/>
                <w:rtl w:val="true"/>
              </w:rPr>
              <w:tab/>
            </w:r>
            <w:r>
              <w:rPr>
                <w:rStyle w:val="IndexLink"/>
              </w:rPr>
              <w:t>87</w:t>
            </w:r>
          </w:hyperlink>
        </w:p>
        <w:p>
          <w:pPr>
            <w:pStyle w:val="Contents5"/>
            <w:tabs>
              <w:tab w:val="clear" w:pos="7892"/>
              <w:tab w:val="right" w:pos="9026" w:leader="dot"/>
            </w:tabs>
            <w:rPr/>
          </w:pPr>
          <w:hyperlink w:anchor="__RefHeading___Toc3208449_2870459653">
            <w:r>
              <w:rPr>
                <w:webHidden/>
                <w:rStyle w:val="IndexLink"/>
                <w:rtl w:val="true"/>
              </w:rPr>
              <w:t>الرواية الثالثة</w:t>
            </w:r>
            <w:r>
              <w:rPr>
                <w:rStyle w:val="IndexLink"/>
                <w:rtl w:val="true"/>
              </w:rPr>
              <w:tab/>
            </w:r>
            <w:r>
              <w:rPr>
                <w:rStyle w:val="IndexLink"/>
              </w:rPr>
              <w:t>87</w:t>
            </w:r>
          </w:hyperlink>
        </w:p>
        <w:p>
          <w:pPr>
            <w:pStyle w:val="Contents4"/>
            <w:tabs>
              <w:tab w:val="clear" w:pos="8176"/>
              <w:tab w:val="right" w:pos="9026" w:leader="dot"/>
            </w:tabs>
            <w:rPr/>
          </w:pPr>
          <w:hyperlink w:anchor="__RefHeading___Toc3208451_2870459653">
            <w:r>
              <w:rPr>
                <w:webHidden/>
                <w:rStyle w:val="IndexLink"/>
                <w:rtl w:val="true"/>
              </w:rPr>
              <w:t>الطائفة الرابعة</w:t>
            </w:r>
            <w:r>
              <w:rPr>
                <w:rStyle w:val="IndexLink"/>
                <w:rtl w:val="true"/>
              </w:rPr>
              <w:t xml:space="preserve">: </w:t>
            </w:r>
            <w:r>
              <w:rPr>
                <w:rStyle w:val="IndexLink"/>
                <w:rtl w:val="true"/>
              </w:rPr>
              <w:t>وهي التي دلّت على المنع من تكرار النظر وتتابعه</w:t>
            </w:r>
            <w:r>
              <w:rPr>
                <w:rStyle w:val="IndexLink"/>
                <w:rtl w:val="true"/>
              </w:rPr>
              <w:tab/>
            </w:r>
            <w:r>
              <w:rPr>
                <w:rStyle w:val="IndexLink"/>
              </w:rPr>
              <w:t>88</w:t>
            </w:r>
          </w:hyperlink>
        </w:p>
        <w:p>
          <w:pPr>
            <w:pStyle w:val="Contents5"/>
            <w:tabs>
              <w:tab w:val="clear" w:pos="7892"/>
              <w:tab w:val="right" w:pos="9026" w:leader="dot"/>
            </w:tabs>
            <w:rPr/>
          </w:pPr>
          <w:hyperlink w:anchor="__RefHeading___Toc3208453_2870459653">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208455_2870459653">
            <w:r>
              <w:rPr>
                <w:webHidden/>
                <w:rStyle w:val="IndexLink"/>
                <w:rtl w:val="true"/>
              </w:rPr>
              <w:t>الرواية الأولى</w:t>
            </w:r>
            <w:r>
              <w:rPr>
                <w:rStyle w:val="IndexLink"/>
                <w:rtl w:val="true"/>
              </w:rPr>
              <w:tab/>
            </w:r>
            <w:r>
              <w:rPr>
                <w:rStyle w:val="IndexLink"/>
              </w:rPr>
              <w:t>88</w:t>
            </w:r>
          </w:hyperlink>
        </w:p>
        <w:p>
          <w:pPr>
            <w:pStyle w:val="Contents5"/>
            <w:tabs>
              <w:tab w:val="clear" w:pos="7892"/>
              <w:tab w:val="right" w:pos="9026" w:leader="dot"/>
            </w:tabs>
            <w:rPr/>
          </w:pPr>
          <w:hyperlink w:anchor="__RefHeading___Toc3208457_2870459653">
            <w:r>
              <w:rPr>
                <w:webHidden/>
                <w:rStyle w:val="IndexLink"/>
                <w:rtl w:val="true"/>
              </w:rPr>
              <w:t>الرواية الثانية</w:t>
            </w:r>
            <w:r>
              <w:rPr>
                <w:rStyle w:val="IndexLink"/>
                <w:rtl w:val="true"/>
              </w:rPr>
              <w:tab/>
            </w:r>
            <w:r>
              <w:rPr>
                <w:rStyle w:val="IndexLink"/>
              </w:rPr>
              <w:t>89</w:t>
            </w:r>
          </w:hyperlink>
        </w:p>
        <w:p>
          <w:pPr>
            <w:pStyle w:val="Contents5"/>
            <w:tabs>
              <w:tab w:val="clear" w:pos="7892"/>
              <w:tab w:val="right" w:pos="9026" w:leader="dot"/>
            </w:tabs>
            <w:rPr/>
          </w:pPr>
          <w:hyperlink w:anchor="__RefHeading___Toc3208459_2870459653">
            <w:r>
              <w:rPr>
                <w:webHidden/>
                <w:rStyle w:val="IndexLink"/>
                <w:rtl w:val="true"/>
              </w:rPr>
              <w:t>الرواية الثالثة</w:t>
            </w:r>
            <w:r>
              <w:rPr>
                <w:rStyle w:val="IndexLink"/>
                <w:rtl w:val="true"/>
              </w:rPr>
              <w:tab/>
            </w:r>
            <w:r>
              <w:rPr>
                <w:rStyle w:val="IndexLink"/>
              </w:rPr>
              <w:t>89</w:t>
            </w:r>
          </w:hyperlink>
        </w:p>
        <w:p>
          <w:pPr>
            <w:pStyle w:val="Contents5"/>
            <w:tabs>
              <w:tab w:val="clear" w:pos="7892"/>
              <w:tab w:val="right" w:pos="9026" w:leader="dot"/>
            </w:tabs>
            <w:rPr/>
          </w:pPr>
          <w:hyperlink w:anchor="__RefHeading___Toc3208461_2870459653">
            <w:r>
              <w:rPr>
                <w:webHidden/>
                <w:rStyle w:val="IndexLink"/>
                <w:rtl w:val="true"/>
              </w:rPr>
              <w:t>الرواية الرابعة</w:t>
            </w:r>
            <w:r>
              <w:rPr>
                <w:rStyle w:val="IndexLink"/>
                <w:rtl w:val="true"/>
              </w:rPr>
              <w:tab/>
            </w:r>
            <w:r>
              <w:rPr>
                <w:rStyle w:val="IndexLink"/>
              </w:rPr>
              <w:t>89</w:t>
            </w:r>
          </w:hyperlink>
        </w:p>
        <w:p>
          <w:pPr>
            <w:pStyle w:val="Contents3"/>
            <w:tabs>
              <w:tab w:val="clear" w:pos="8459"/>
              <w:tab w:val="right" w:pos="9026" w:leader="dot"/>
            </w:tabs>
            <w:rPr/>
          </w:pPr>
          <w:hyperlink w:anchor="__RefHeading___Toc3208463_2870459653">
            <w:r>
              <w:rPr>
                <w:webHidden/>
                <w:rStyle w:val="IndexLink"/>
                <w:rtl w:val="true"/>
              </w:rPr>
              <w:t>الدليل الثالث</w:t>
            </w:r>
            <w:r>
              <w:rPr>
                <w:rStyle w:val="IndexLink"/>
                <w:rtl w:val="true"/>
              </w:rPr>
              <w:t xml:space="preserve">: </w:t>
            </w:r>
            <w:r>
              <w:rPr>
                <w:rStyle w:val="IndexLink"/>
                <w:rtl w:val="true"/>
              </w:rPr>
              <w:t>على الحرمة الإجماع</w:t>
            </w:r>
            <w:r>
              <w:rPr>
                <w:rStyle w:val="IndexLink"/>
                <w:rtl w:val="true"/>
              </w:rPr>
              <w:tab/>
            </w:r>
            <w:r>
              <w:rPr>
                <w:rStyle w:val="IndexLink"/>
              </w:rPr>
              <w:t>91</w:t>
            </w:r>
          </w:hyperlink>
        </w:p>
        <w:p>
          <w:pPr>
            <w:pStyle w:val="Contents3"/>
            <w:tabs>
              <w:tab w:val="clear" w:pos="8459"/>
              <w:tab w:val="right" w:pos="9026" w:leader="dot"/>
            </w:tabs>
            <w:rPr/>
          </w:pPr>
          <w:hyperlink w:anchor="__RefHeading___Toc3208465_2870459653">
            <w:r>
              <w:rPr>
                <w:webHidden/>
                <w:rStyle w:val="IndexLink"/>
                <w:rtl w:val="true"/>
              </w:rPr>
              <w:t>الدليل الرابع</w:t>
            </w:r>
            <w:r>
              <w:rPr>
                <w:rStyle w:val="IndexLink"/>
                <w:rtl w:val="true"/>
              </w:rPr>
              <w:t xml:space="preserve">: </w:t>
            </w:r>
            <w:r>
              <w:rPr>
                <w:rStyle w:val="IndexLink"/>
                <w:rtl w:val="true"/>
              </w:rPr>
              <w:t>على الحرمة العقل</w:t>
            </w:r>
            <w:r>
              <w:rPr>
                <w:rStyle w:val="IndexLink"/>
                <w:rtl w:val="true"/>
              </w:rPr>
              <w:tab/>
            </w:r>
            <w:r>
              <w:rPr>
                <w:rStyle w:val="IndexLink"/>
              </w:rPr>
              <w:t>92</w:t>
            </w:r>
          </w:hyperlink>
        </w:p>
        <w:p>
          <w:pPr>
            <w:pStyle w:val="Contents4"/>
            <w:tabs>
              <w:tab w:val="clear" w:pos="8176"/>
              <w:tab w:val="right" w:pos="9026" w:leader="dot"/>
            </w:tabs>
            <w:rPr/>
          </w:pPr>
          <w:hyperlink w:anchor="__RefHeading___Toc3208467_2870459653">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3208469_2870459653">
            <w:r>
              <w:rPr>
                <w:webHidden/>
                <w:rStyle w:val="IndexLink"/>
                <w:rtl w:val="true"/>
              </w:rPr>
              <w:t>التقريب الأوّل</w:t>
            </w:r>
            <w:r>
              <w:rPr>
                <w:rStyle w:val="IndexLink"/>
                <w:rtl w:val="true"/>
              </w:rPr>
              <w:tab/>
            </w:r>
            <w:r>
              <w:rPr>
                <w:rStyle w:val="IndexLink"/>
              </w:rPr>
              <w:t>92</w:t>
            </w:r>
          </w:hyperlink>
        </w:p>
        <w:p>
          <w:pPr>
            <w:pStyle w:val="Contents4"/>
            <w:tabs>
              <w:tab w:val="clear" w:pos="8176"/>
              <w:tab w:val="right" w:pos="9026" w:leader="dot"/>
            </w:tabs>
            <w:rPr/>
          </w:pPr>
          <w:hyperlink w:anchor="__RefHeading___Toc3208471_2870459653">
            <w:r>
              <w:rPr>
                <w:webHidden/>
                <w:rStyle w:val="IndexLink"/>
                <w:rtl w:val="true"/>
              </w:rPr>
              <w:t>التقريب الآخر</w:t>
            </w:r>
            <w:r>
              <w:rPr>
                <w:rStyle w:val="IndexLink"/>
                <w:rtl w:val="true"/>
              </w:rPr>
              <w:tab/>
            </w:r>
            <w:r>
              <w:rPr>
                <w:rStyle w:val="IndexLink"/>
              </w:rPr>
              <w:t>92</w:t>
            </w:r>
          </w:hyperlink>
        </w:p>
        <w:p>
          <w:pPr>
            <w:pStyle w:val="Contents3"/>
            <w:tabs>
              <w:tab w:val="clear" w:pos="8459"/>
              <w:tab w:val="right" w:pos="9026" w:leader="dot"/>
            </w:tabs>
            <w:rPr/>
          </w:pPr>
          <w:hyperlink w:anchor="__RefHeading___Toc3208473_2870459653">
            <w:r>
              <w:rPr>
                <w:webHidden/>
                <w:rStyle w:val="IndexLink"/>
                <w:rtl w:val="true"/>
              </w:rPr>
              <w:t>الدليل الخامس</w:t>
            </w:r>
            <w:r>
              <w:rPr>
                <w:rStyle w:val="IndexLink"/>
                <w:rtl w:val="true"/>
              </w:rPr>
              <w:t xml:space="preserve">: </w:t>
            </w:r>
            <w:r>
              <w:rPr>
                <w:rStyle w:val="IndexLink"/>
                <w:rtl w:val="true"/>
              </w:rPr>
              <w:t>على الحرمة السيرة</w:t>
            </w:r>
            <w:r>
              <w:rPr>
                <w:rStyle w:val="IndexLink"/>
                <w:rtl w:val="true"/>
              </w:rPr>
              <w:tab/>
            </w:r>
            <w:r>
              <w:rPr>
                <w:rStyle w:val="IndexLink"/>
              </w:rPr>
              <w:t>93</w:t>
            </w:r>
          </w:hyperlink>
        </w:p>
        <w:p>
          <w:pPr>
            <w:pStyle w:val="Contents3"/>
            <w:tabs>
              <w:tab w:val="clear" w:pos="8459"/>
              <w:tab w:val="right" w:pos="9026" w:leader="dot"/>
            </w:tabs>
            <w:rPr/>
          </w:pPr>
          <w:hyperlink w:anchor="__RefHeading___Toc3208475_2870459653">
            <w:r>
              <w:rPr>
                <w:webHidden/>
                <w:rStyle w:val="IndexLink"/>
                <w:rtl w:val="true"/>
              </w:rPr>
              <w:t>أدلّة القول الثاني</w:t>
            </w:r>
            <w:r>
              <w:rPr>
                <w:rStyle w:val="IndexLink"/>
                <w:rtl w:val="true"/>
              </w:rPr>
              <w:t xml:space="preserve">: </w:t>
            </w:r>
            <w:r>
              <w:rPr>
                <w:rStyle w:val="IndexLink"/>
                <w:rtl w:val="true"/>
              </w:rPr>
              <w:t>وهو الجواز</w:t>
            </w:r>
            <w:r>
              <w:rPr>
                <w:rStyle w:val="IndexLink"/>
                <w:rtl w:val="true"/>
              </w:rPr>
              <w:tab/>
            </w:r>
            <w:r>
              <w:rPr>
                <w:rStyle w:val="IndexLink"/>
              </w:rPr>
              <w:t>95</w:t>
            </w:r>
          </w:hyperlink>
        </w:p>
        <w:p>
          <w:pPr>
            <w:pStyle w:val="Contents4"/>
            <w:tabs>
              <w:tab w:val="clear" w:pos="8176"/>
              <w:tab w:val="right" w:pos="9026" w:leader="dot"/>
            </w:tabs>
            <w:rPr/>
          </w:pPr>
          <w:hyperlink w:anchor="__RefHeading___Toc3208477_2870459653">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3208479_2870459653">
            <w:r>
              <w:rPr>
                <w:webHidden/>
                <w:rStyle w:val="IndexLink"/>
                <w:rtl w:val="true"/>
              </w:rPr>
              <w:t>الدليل الأوَّل</w:t>
            </w:r>
            <w:r>
              <w:rPr>
                <w:rStyle w:val="IndexLink"/>
                <w:rtl w:val="true"/>
              </w:rPr>
              <w:t xml:space="preserve">: </w:t>
            </w:r>
            <w:r>
              <w:rPr>
                <w:rStyle w:val="IndexLink"/>
                <w:rtl w:val="true"/>
              </w:rPr>
              <w:t>الكتاب</w:t>
            </w:r>
            <w:r>
              <w:rPr>
                <w:rStyle w:val="IndexLink"/>
                <w:rtl w:val="true"/>
              </w:rPr>
              <w:tab/>
            </w:r>
            <w:r>
              <w:rPr>
                <w:rStyle w:val="IndexLink"/>
              </w:rPr>
              <w:t>95</w:t>
            </w:r>
          </w:hyperlink>
        </w:p>
        <w:p>
          <w:pPr>
            <w:pStyle w:val="Contents5"/>
            <w:tabs>
              <w:tab w:val="clear" w:pos="7892"/>
              <w:tab w:val="right" w:pos="9026" w:leader="dot"/>
            </w:tabs>
            <w:rPr/>
          </w:pPr>
          <w:hyperlink w:anchor="__RefHeading___Toc3208481_2870459653">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3208483_2870459653">
            <w:r>
              <w:rPr>
                <w:webHidden/>
                <w:rStyle w:val="IndexLink"/>
                <w:rtl w:val="true"/>
              </w:rPr>
              <w:t>الآية الأولى</w:t>
            </w:r>
            <w:r>
              <w:rPr>
                <w:rStyle w:val="IndexLink"/>
                <w:rtl w:val="true"/>
              </w:rPr>
              <w:tab/>
            </w:r>
            <w:r>
              <w:rPr>
                <w:rStyle w:val="IndexLink"/>
              </w:rPr>
              <w:t>95</w:t>
            </w:r>
          </w:hyperlink>
        </w:p>
        <w:p>
          <w:pPr>
            <w:pStyle w:val="Contents6"/>
            <w:tabs>
              <w:tab w:val="clear" w:pos="7609"/>
              <w:tab w:val="right" w:pos="9026" w:leader="dot"/>
            </w:tabs>
            <w:rPr/>
          </w:pPr>
          <w:hyperlink w:anchor="__RefHeading___Toc3208485_2870459653">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3208487_2870459653">
            <w:r>
              <w:rPr>
                <w:webHidden/>
                <w:rStyle w:val="IndexLink"/>
                <w:rtl w:val="true"/>
              </w:rPr>
              <w:t>الرواية الأولى</w:t>
            </w:r>
            <w:r>
              <w:rPr>
                <w:rStyle w:val="IndexLink"/>
                <w:rtl w:val="true"/>
              </w:rPr>
              <w:tab/>
            </w:r>
            <w:r>
              <w:rPr>
                <w:rStyle w:val="IndexLink"/>
              </w:rPr>
              <w:t>95</w:t>
            </w:r>
          </w:hyperlink>
        </w:p>
        <w:p>
          <w:pPr>
            <w:pStyle w:val="Contents6"/>
            <w:tabs>
              <w:tab w:val="clear" w:pos="7609"/>
              <w:tab w:val="right" w:pos="9026" w:leader="dot"/>
            </w:tabs>
            <w:rPr/>
          </w:pPr>
          <w:hyperlink w:anchor="__RefHeading___Toc3208489_2870459653">
            <w:r>
              <w:rPr>
                <w:webHidden/>
                <w:rStyle w:val="IndexLink"/>
                <w:rtl w:val="true"/>
              </w:rPr>
              <w:t>الرواية الثانية</w:t>
            </w:r>
            <w:r>
              <w:rPr>
                <w:rStyle w:val="IndexLink"/>
                <w:rtl w:val="true"/>
              </w:rPr>
              <w:tab/>
            </w:r>
            <w:r>
              <w:rPr>
                <w:rStyle w:val="IndexLink"/>
              </w:rPr>
              <w:t>96</w:t>
            </w:r>
          </w:hyperlink>
        </w:p>
        <w:p>
          <w:pPr>
            <w:pStyle w:val="Contents6"/>
            <w:tabs>
              <w:tab w:val="clear" w:pos="7609"/>
              <w:tab w:val="right" w:pos="9026" w:leader="dot"/>
            </w:tabs>
            <w:rPr/>
          </w:pPr>
          <w:hyperlink w:anchor="__RefHeading___Toc3208491_2870459653">
            <w:r>
              <w:rPr>
                <w:webHidden/>
                <w:rStyle w:val="IndexLink"/>
                <w:rtl w:val="true"/>
              </w:rPr>
              <w:t>الرواية الثالثة</w:t>
            </w:r>
            <w:r>
              <w:rPr>
                <w:rStyle w:val="IndexLink"/>
                <w:rtl w:val="true"/>
              </w:rPr>
              <w:tab/>
            </w:r>
            <w:r>
              <w:rPr>
                <w:rStyle w:val="IndexLink"/>
              </w:rPr>
              <w:t>96</w:t>
            </w:r>
          </w:hyperlink>
        </w:p>
        <w:p>
          <w:pPr>
            <w:pStyle w:val="Contents6"/>
            <w:tabs>
              <w:tab w:val="clear" w:pos="7609"/>
              <w:tab w:val="right" w:pos="9026" w:leader="dot"/>
            </w:tabs>
            <w:rPr/>
          </w:pPr>
          <w:hyperlink w:anchor="__RefHeading___Toc3208493_2870459653">
            <w:r>
              <w:rPr>
                <w:webHidden/>
                <w:rStyle w:val="IndexLink"/>
                <w:rtl w:val="true"/>
              </w:rPr>
              <w:t>الرواية الرابعة</w:t>
            </w:r>
            <w:r>
              <w:rPr>
                <w:rStyle w:val="IndexLink"/>
                <w:rtl w:val="true"/>
              </w:rPr>
              <w:tab/>
            </w:r>
            <w:r>
              <w:rPr>
                <w:rStyle w:val="IndexLink"/>
              </w:rPr>
              <w:t>97</w:t>
            </w:r>
          </w:hyperlink>
        </w:p>
        <w:p>
          <w:pPr>
            <w:pStyle w:val="Contents6"/>
            <w:tabs>
              <w:tab w:val="clear" w:pos="7609"/>
              <w:tab w:val="right" w:pos="9026" w:leader="dot"/>
            </w:tabs>
            <w:rPr/>
          </w:pPr>
          <w:hyperlink w:anchor="__RefHeading___Toc3208495_2870459653">
            <w:r>
              <w:rPr>
                <w:webHidden/>
                <w:rStyle w:val="IndexLink"/>
                <w:rtl w:val="true"/>
              </w:rPr>
              <w:t>الرواية الخامسة</w:t>
            </w:r>
            <w:r>
              <w:rPr>
                <w:rStyle w:val="IndexLink"/>
                <w:rtl w:val="true"/>
              </w:rPr>
              <w:tab/>
            </w:r>
            <w:r>
              <w:rPr>
                <w:rStyle w:val="IndexLink"/>
              </w:rPr>
              <w:t>98</w:t>
            </w:r>
          </w:hyperlink>
        </w:p>
        <w:p>
          <w:pPr>
            <w:pStyle w:val="Contents6"/>
            <w:tabs>
              <w:tab w:val="clear" w:pos="7609"/>
              <w:tab w:val="right" w:pos="9026" w:leader="dot"/>
            </w:tabs>
            <w:rPr/>
          </w:pPr>
          <w:hyperlink w:anchor="__RefHeading___Toc3208497_2870459653">
            <w:r>
              <w:rPr>
                <w:webHidden/>
                <w:rStyle w:val="IndexLink"/>
                <w:rtl w:val="true"/>
              </w:rPr>
              <w:t>الرواية السادسة</w:t>
            </w:r>
            <w:r>
              <w:rPr>
                <w:rStyle w:val="IndexLink"/>
                <w:rtl w:val="true"/>
              </w:rPr>
              <w:tab/>
            </w:r>
            <w:r>
              <w:rPr>
                <w:rStyle w:val="IndexLink"/>
              </w:rPr>
              <w:t>98</w:t>
            </w:r>
          </w:hyperlink>
        </w:p>
        <w:p>
          <w:pPr>
            <w:pStyle w:val="Contents5"/>
            <w:tabs>
              <w:tab w:val="clear" w:pos="7892"/>
              <w:tab w:val="right" w:pos="9026" w:leader="dot"/>
            </w:tabs>
            <w:rPr/>
          </w:pPr>
          <w:hyperlink w:anchor="__RefHeading___Toc3208499_2870459653">
            <w:r>
              <w:rPr>
                <w:webHidden/>
                <w:rStyle w:val="IndexLink"/>
                <w:rtl w:val="true"/>
              </w:rPr>
              <w:t>الآية الثانية</w:t>
            </w:r>
            <w:r>
              <w:rPr>
                <w:rStyle w:val="IndexLink"/>
                <w:rtl w:val="true"/>
              </w:rPr>
              <w:tab/>
            </w:r>
            <w:r>
              <w:rPr>
                <w:rStyle w:val="IndexLink"/>
              </w:rPr>
              <w:t>98</w:t>
            </w:r>
          </w:hyperlink>
        </w:p>
        <w:p>
          <w:pPr>
            <w:pStyle w:val="Contents5"/>
            <w:tabs>
              <w:tab w:val="clear" w:pos="7892"/>
              <w:tab w:val="right" w:pos="9026" w:leader="dot"/>
            </w:tabs>
            <w:rPr/>
          </w:pPr>
          <w:hyperlink w:anchor="__RefHeading___Toc3208501_2870459653">
            <w:r>
              <w:rPr>
                <w:webHidden/>
                <w:rStyle w:val="IndexLink"/>
                <w:rtl w:val="true"/>
              </w:rPr>
              <w:t>الآية الثالثة</w:t>
            </w:r>
            <w:r>
              <w:rPr>
                <w:rStyle w:val="IndexLink"/>
                <w:rtl w:val="true"/>
              </w:rPr>
              <w:tab/>
            </w:r>
            <w:r>
              <w:rPr>
                <w:rStyle w:val="IndexLink"/>
              </w:rPr>
              <w:t>99</w:t>
            </w:r>
          </w:hyperlink>
        </w:p>
        <w:p>
          <w:pPr>
            <w:pStyle w:val="Contents4"/>
            <w:tabs>
              <w:tab w:val="clear" w:pos="8176"/>
              <w:tab w:val="right" w:pos="9026" w:leader="dot"/>
            </w:tabs>
            <w:rPr/>
          </w:pPr>
          <w:hyperlink w:anchor="__RefHeading___Toc3208503_2870459653">
            <w:r>
              <w:rPr>
                <w:webHidden/>
                <w:rStyle w:val="IndexLink"/>
                <w:rtl w:val="true"/>
              </w:rPr>
              <w:t>الدليل الثاني</w:t>
            </w:r>
            <w:r>
              <w:rPr>
                <w:rStyle w:val="IndexLink"/>
                <w:rtl w:val="true"/>
              </w:rPr>
              <w:t xml:space="preserve">: </w:t>
            </w:r>
            <w:r>
              <w:rPr>
                <w:rStyle w:val="IndexLink"/>
                <w:rtl w:val="true"/>
              </w:rPr>
              <w:t>الروايات</w:t>
            </w:r>
            <w:r>
              <w:rPr>
                <w:rStyle w:val="IndexLink"/>
                <w:rtl w:val="true"/>
              </w:rPr>
              <w:tab/>
            </w:r>
            <w:r>
              <w:rPr>
                <w:rStyle w:val="IndexLink"/>
              </w:rPr>
              <w:t>99</w:t>
            </w:r>
          </w:hyperlink>
        </w:p>
        <w:p>
          <w:pPr>
            <w:pStyle w:val="Contents5"/>
            <w:tabs>
              <w:tab w:val="clear" w:pos="7892"/>
              <w:tab w:val="right" w:pos="9026" w:leader="dot"/>
            </w:tabs>
            <w:rPr/>
          </w:pPr>
          <w:hyperlink w:anchor="__RefHeading___Toc3208505_2870459653">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3208507_2870459653">
            <w:r>
              <w:rPr>
                <w:webHidden/>
                <w:rStyle w:val="IndexLink"/>
                <w:rtl w:val="true"/>
              </w:rPr>
              <w:t>الرواية الأولى</w:t>
            </w:r>
            <w:r>
              <w:rPr>
                <w:rStyle w:val="IndexLink"/>
                <w:rtl w:val="true"/>
              </w:rPr>
              <w:tab/>
            </w:r>
            <w:r>
              <w:rPr>
                <w:rStyle w:val="IndexLink"/>
              </w:rPr>
              <w:t>99</w:t>
            </w:r>
          </w:hyperlink>
        </w:p>
        <w:p>
          <w:pPr>
            <w:pStyle w:val="Contents5"/>
            <w:tabs>
              <w:tab w:val="clear" w:pos="7892"/>
              <w:tab w:val="right" w:pos="9026" w:leader="dot"/>
            </w:tabs>
            <w:rPr/>
          </w:pPr>
          <w:hyperlink w:anchor="__RefHeading___Toc3208509_2870459653">
            <w:r>
              <w:rPr>
                <w:webHidden/>
                <w:rStyle w:val="IndexLink"/>
                <w:rtl w:val="true"/>
              </w:rPr>
              <w:t>الرواية الثانية</w:t>
            </w:r>
            <w:r>
              <w:rPr>
                <w:rStyle w:val="IndexLink"/>
                <w:rtl w:val="true"/>
              </w:rPr>
              <w:tab/>
            </w:r>
            <w:r>
              <w:rPr>
                <w:rStyle w:val="IndexLink"/>
              </w:rPr>
              <w:t>100</w:t>
            </w:r>
          </w:hyperlink>
        </w:p>
        <w:p>
          <w:pPr>
            <w:pStyle w:val="Contents5"/>
            <w:tabs>
              <w:tab w:val="clear" w:pos="7892"/>
              <w:tab w:val="right" w:pos="9026" w:leader="dot"/>
            </w:tabs>
            <w:rPr/>
          </w:pPr>
          <w:hyperlink w:anchor="__RefHeading___Toc3208511_2870459653">
            <w:r>
              <w:rPr>
                <w:webHidden/>
                <w:rStyle w:val="IndexLink"/>
                <w:rtl w:val="true"/>
              </w:rPr>
              <w:t>الرواية الثالثة</w:t>
            </w:r>
            <w:r>
              <w:rPr>
                <w:rStyle w:val="IndexLink"/>
                <w:rtl w:val="true"/>
              </w:rPr>
              <w:tab/>
            </w:r>
            <w:r>
              <w:rPr>
                <w:rStyle w:val="IndexLink"/>
              </w:rPr>
              <w:t>104</w:t>
            </w:r>
          </w:hyperlink>
        </w:p>
        <w:p>
          <w:pPr>
            <w:pStyle w:val="Contents5"/>
            <w:tabs>
              <w:tab w:val="clear" w:pos="7892"/>
              <w:tab w:val="right" w:pos="9026" w:leader="dot"/>
            </w:tabs>
            <w:rPr/>
          </w:pPr>
          <w:hyperlink w:anchor="__RefHeading___Toc3208513_2870459653">
            <w:r>
              <w:rPr>
                <w:webHidden/>
                <w:rStyle w:val="IndexLink"/>
                <w:rtl w:val="true"/>
              </w:rPr>
              <w:t>الرواية الرابعة</w:t>
            </w:r>
            <w:r>
              <w:rPr>
                <w:rStyle w:val="IndexLink"/>
                <w:rtl w:val="true"/>
              </w:rPr>
              <w:tab/>
            </w:r>
            <w:r>
              <w:rPr>
                <w:rStyle w:val="IndexLink"/>
              </w:rPr>
              <w:t>106</w:t>
            </w:r>
          </w:hyperlink>
        </w:p>
        <w:p>
          <w:pPr>
            <w:pStyle w:val="Contents5"/>
            <w:tabs>
              <w:tab w:val="clear" w:pos="7892"/>
              <w:tab w:val="right" w:pos="9026" w:leader="dot"/>
            </w:tabs>
            <w:rPr/>
          </w:pPr>
          <w:hyperlink w:anchor="__RefHeading___Toc3208515_2870459653">
            <w:r>
              <w:rPr>
                <w:webHidden/>
                <w:rStyle w:val="IndexLink"/>
                <w:rtl w:val="true"/>
              </w:rPr>
              <w:t>الرواية الخامسة</w:t>
            </w:r>
            <w:r>
              <w:rPr>
                <w:rStyle w:val="IndexLink"/>
                <w:rtl w:val="true"/>
              </w:rPr>
              <w:tab/>
            </w:r>
            <w:r>
              <w:rPr>
                <w:rStyle w:val="IndexLink"/>
              </w:rPr>
              <w:t>106</w:t>
            </w:r>
          </w:hyperlink>
        </w:p>
        <w:p>
          <w:pPr>
            <w:pStyle w:val="Contents5"/>
            <w:tabs>
              <w:tab w:val="clear" w:pos="7892"/>
              <w:tab w:val="right" w:pos="9026" w:leader="dot"/>
            </w:tabs>
            <w:rPr/>
          </w:pPr>
          <w:hyperlink w:anchor="__RefHeading___Toc3208517_2870459653">
            <w:r>
              <w:rPr>
                <w:webHidden/>
                <w:rStyle w:val="IndexLink"/>
                <w:rtl w:val="true"/>
              </w:rPr>
              <w:t>الرواية السادسة</w:t>
            </w:r>
            <w:r>
              <w:rPr>
                <w:rStyle w:val="IndexLink"/>
                <w:rtl w:val="true"/>
              </w:rPr>
              <w:tab/>
            </w:r>
            <w:r>
              <w:rPr>
                <w:rStyle w:val="IndexLink"/>
              </w:rPr>
              <w:t>107</w:t>
            </w:r>
          </w:hyperlink>
        </w:p>
        <w:p>
          <w:pPr>
            <w:pStyle w:val="Contents5"/>
            <w:tabs>
              <w:tab w:val="clear" w:pos="7892"/>
              <w:tab w:val="right" w:pos="9026" w:leader="dot"/>
            </w:tabs>
            <w:rPr/>
          </w:pPr>
          <w:hyperlink w:anchor="__RefHeading___Toc3208519_2870459653">
            <w:r>
              <w:rPr>
                <w:webHidden/>
                <w:rStyle w:val="IndexLink"/>
                <w:rtl w:val="true"/>
              </w:rPr>
              <w:t>الرواية السابعة</w:t>
            </w:r>
            <w:r>
              <w:rPr>
                <w:rStyle w:val="IndexLink"/>
                <w:rtl w:val="true"/>
              </w:rPr>
              <w:tab/>
            </w:r>
            <w:r>
              <w:rPr>
                <w:rStyle w:val="IndexLink"/>
              </w:rPr>
              <w:t>108</w:t>
            </w:r>
          </w:hyperlink>
        </w:p>
        <w:p>
          <w:pPr>
            <w:pStyle w:val="Contents5"/>
            <w:tabs>
              <w:tab w:val="clear" w:pos="7892"/>
              <w:tab w:val="right" w:pos="9026" w:leader="dot"/>
            </w:tabs>
            <w:rPr/>
          </w:pPr>
          <w:hyperlink w:anchor="__RefHeading___Toc3208521_2870459653">
            <w:r>
              <w:rPr>
                <w:webHidden/>
                <w:rStyle w:val="IndexLink"/>
                <w:rtl w:val="true"/>
              </w:rPr>
              <w:t>الرواية الثامنة</w:t>
            </w:r>
            <w:r>
              <w:rPr>
                <w:rStyle w:val="IndexLink"/>
                <w:rtl w:val="true"/>
              </w:rPr>
              <w:tab/>
            </w:r>
            <w:r>
              <w:rPr>
                <w:rStyle w:val="IndexLink"/>
              </w:rPr>
              <w:t>111</w:t>
            </w:r>
          </w:hyperlink>
        </w:p>
        <w:p>
          <w:pPr>
            <w:pStyle w:val="Contents5"/>
            <w:tabs>
              <w:tab w:val="clear" w:pos="7892"/>
              <w:tab w:val="right" w:pos="9026" w:leader="dot"/>
            </w:tabs>
            <w:rPr/>
          </w:pPr>
          <w:hyperlink w:anchor="__RefHeading___Toc3208523_2870459653">
            <w:r>
              <w:rPr>
                <w:webHidden/>
                <w:rStyle w:val="IndexLink"/>
                <w:rtl w:val="true"/>
              </w:rPr>
              <w:t>الرواية التاسعة</w:t>
            </w:r>
            <w:r>
              <w:rPr>
                <w:rStyle w:val="IndexLink"/>
                <w:rtl w:val="true"/>
              </w:rPr>
              <w:tab/>
            </w:r>
            <w:r>
              <w:rPr>
                <w:rStyle w:val="IndexLink"/>
              </w:rPr>
              <w:t>111</w:t>
            </w:r>
          </w:hyperlink>
        </w:p>
        <w:p>
          <w:pPr>
            <w:pStyle w:val="Contents5"/>
            <w:tabs>
              <w:tab w:val="clear" w:pos="7892"/>
              <w:tab w:val="right" w:pos="9026" w:leader="dot"/>
            </w:tabs>
            <w:rPr/>
          </w:pPr>
          <w:hyperlink w:anchor="__RefHeading___Toc3208525_2870459653">
            <w:r>
              <w:rPr>
                <w:webHidden/>
                <w:rStyle w:val="IndexLink"/>
                <w:rtl w:val="true"/>
              </w:rPr>
              <w:t>الرواية العاشرة</w:t>
            </w:r>
            <w:r>
              <w:rPr>
                <w:rStyle w:val="IndexLink"/>
                <w:rtl w:val="true"/>
              </w:rPr>
              <w:tab/>
            </w:r>
            <w:r>
              <w:rPr>
                <w:rStyle w:val="IndexLink"/>
              </w:rPr>
              <w:t>112</w:t>
            </w:r>
          </w:hyperlink>
        </w:p>
        <w:p>
          <w:pPr>
            <w:pStyle w:val="Contents5"/>
            <w:tabs>
              <w:tab w:val="clear" w:pos="7892"/>
              <w:tab w:val="right" w:pos="9026" w:leader="dot"/>
            </w:tabs>
            <w:rPr/>
          </w:pPr>
          <w:hyperlink w:anchor="__RefHeading___Toc3208527_2870459653">
            <w:r>
              <w:rPr>
                <w:webHidden/>
                <w:rStyle w:val="IndexLink"/>
                <w:rtl w:val="true"/>
              </w:rPr>
              <w:t>الرواية الحادية عشرة</w:t>
            </w:r>
            <w:r>
              <w:rPr>
                <w:rStyle w:val="IndexLink"/>
                <w:rtl w:val="true"/>
              </w:rPr>
              <w:tab/>
            </w:r>
            <w:r>
              <w:rPr>
                <w:rStyle w:val="IndexLink"/>
              </w:rPr>
              <w:t>113</w:t>
            </w:r>
          </w:hyperlink>
        </w:p>
        <w:p>
          <w:pPr>
            <w:pStyle w:val="Contents5"/>
            <w:tabs>
              <w:tab w:val="clear" w:pos="7892"/>
              <w:tab w:val="right" w:pos="9026" w:leader="dot"/>
            </w:tabs>
            <w:rPr/>
          </w:pPr>
          <w:hyperlink w:anchor="__RefHeading___Toc3208529_2870459653">
            <w:r>
              <w:rPr>
                <w:webHidden/>
                <w:rStyle w:val="IndexLink"/>
                <w:rtl w:val="true"/>
              </w:rPr>
              <w:t>الرواية الثانية عشرة</w:t>
            </w:r>
            <w:r>
              <w:rPr>
                <w:rStyle w:val="IndexLink"/>
                <w:rtl w:val="true"/>
              </w:rPr>
              <w:tab/>
            </w:r>
            <w:r>
              <w:rPr>
                <w:rStyle w:val="IndexLink"/>
              </w:rPr>
              <w:t>114</w:t>
            </w:r>
          </w:hyperlink>
        </w:p>
        <w:p>
          <w:pPr>
            <w:pStyle w:val="Contents5"/>
            <w:tabs>
              <w:tab w:val="clear" w:pos="7892"/>
              <w:tab w:val="right" w:pos="9026" w:leader="dot"/>
            </w:tabs>
            <w:rPr/>
          </w:pPr>
          <w:hyperlink w:anchor="__RefHeading___Toc3208531_2870459653">
            <w:r>
              <w:rPr>
                <w:webHidden/>
                <w:rStyle w:val="IndexLink"/>
                <w:rtl w:val="true"/>
              </w:rPr>
              <w:t>الرواية الثالثة عشرة</w:t>
            </w:r>
            <w:r>
              <w:rPr>
                <w:rStyle w:val="IndexLink"/>
                <w:rtl w:val="true"/>
              </w:rPr>
              <w:tab/>
            </w:r>
            <w:r>
              <w:rPr>
                <w:rStyle w:val="IndexLink"/>
              </w:rPr>
              <w:t>114</w:t>
            </w:r>
          </w:hyperlink>
        </w:p>
        <w:p>
          <w:pPr>
            <w:pStyle w:val="Contents5"/>
            <w:tabs>
              <w:tab w:val="clear" w:pos="7892"/>
              <w:tab w:val="right" w:pos="9026" w:leader="dot"/>
            </w:tabs>
            <w:rPr/>
          </w:pPr>
          <w:hyperlink w:anchor="__RefHeading___Toc3208533_2870459653">
            <w:r>
              <w:rPr>
                <w:webHidden/>
                <w:rStyle w:val="IndexLink"/>
                <w:rtl w:val="true"/>
              </w:rPr>
              <w:t>الرواية الرابعة عشرة</w:t>
            </w:r>
            <w:r>
              <w:rPr>
                <w:rStyle w:val="IndexLink"/>
                <w:rtl w:val="true"/>
              </w:rPr>
              <w:tab/>
            </w:r>
            <w:r>
              <w:rPr>
                <w:rStyle w:val="IndexLink"/>
              </w:rPr>
              <w:t>115</w:t>
            </w:r>
          </w:hyperlink>
        </w:p>
        <w:p>
          <w:pPr>
            <w:pStyle w:val="Contents5"/>
            <w:tabs>
              <w:tab w:val="clear" w:pos="7892"/>
              <w:tab w:val="right" w:pos="9026" w:leader="dot"/>
            </w:tabs>
            <w:rPr/>
          </w:pPr>
          <w:hyperlink w:anchor="__RefHeading___Toc3208535_2870459653">
            <w:r>
              <w:rPr>
                <w:webHidden/>
                <w:rStyle w:val="IndexLink"/>
                <w:rtl w:val="true"/>
              </w:rPr>
              <w:t>الرواية الخامسة عشرة</w:t>
            </w:r>
            <w:r>
              <w:rPr>
                <w:rStyle w:val="IndexLink"/>
                <w:rtl w:val="true"/>
              </w:rPr>
              <w:tab/>
            </w:r>
            <w:r>
              <w:rPr>
                <w:rStyle w:val="IndexLink"/>
              </w:rPr>
              <w:t>115</w:t>
            </w:r>
          </w:hyperlink>
        </w:p>
        <w:p>
          <w:pPr>
            <w:pStyle w:val="Contents5"/>
            <w:tabs>
              <w:tab w:val="clear" w:pos="7892"/>
              <w:tab w:val="right" w:pos="9026" w:leader="dot"/>
            </w:tabs>
            <w:rPr/>
          </w:pPr>
          <w:hyperlink w:anchor="__RefHeading___Toc3208537_2870459653">
            <w:r>
              <w:rPr>
                <w:webHidden/>
                <w:rStyle w:val="IndexLink"/>
                <w:rtl w:val="true"/>
              </w:rPr>
              <w:t>الرواية السادسة عشرة</w:t>
            </w:r>
            <w:r>
              <w:rPr>
                <w:rStyle w:val="IndexLink"/>
                <w:rtl w:val="true"/>
              </w:rPr>
              <w:tab/>
            </w:r>
            <w:r>
              <w:rPr>
                <w:rStyle w:val="IndexLink"/>
              </w:rPr>
              <w:t>116</w:t>
            </w:r>
          </w:hyperlink>
        </w:p>
        <w:p>
          <w:pPr>
            <w:pStyle w:val="Contents5"/>
            <w:tabs>
              <w:tab w:val="clear" w:pos="7892"/>
              <w:tab w:val="right" w:pos="9026" w:leader="dot"/>
            </w:tabs>
            <w:rPr/>
          </w:pPr>
          <w:hyperlink w:anchor="__RefHeading___Toc3208539_2870459653">
            <w:r>
              <w:rPr>
                <w:webHidden/>
                <w:rStyle w:val="IndexLink"/>
                <w:rtl w:val="true"/>
              </w:rPr>
              <w:t>الرواية السابعة عشرة</w:t>
            </w:r>
            <w:r>
              <w:rPr>
                <w:rStyle w:val="IndexLink"/>
                <w:rtl w:val="true"/>
              </w:rPr>
              <w:tab/>
            </w:r>
            <w:r>
              <w:rPr>
                <w:rStyle w:val="IndexLink"/>
              </w:rPr>
              <w:t>117</w:t>
            </w:r>
          </w:hyperlink>
        </w:p>
        <w:p>
          <w:pPr>
            <w:pStyle w:val="Contents5"/>
            <w:tabs>
              <w:tab w:val="clear" w:pos="7892"/>
              <w:tab w:val="right" w:pos="9026" w:leader="dot"/>
            </w:tabs>
            <w:rPr/>
          </w:pPr>
          <w:hyperlink w:anchor="__RefHeading___Toc3208541_2870459653">
            <w:r>
              <w:rPr>
                <w:webHidden/>
                <w:rStyle w:val="IndexLink"/>
                <w:rtl w:val="true"/>
              </w:rPr>
              <w:t>الرواية الثامنة عشرة</w:t>
            </w:r>
            <w:r>
              <w:rPr>
                <w:rStyle w:val="IndexLink"/>
                <w:rtl w:val="true"/>
              </w:rPr>
              <w:tab/>
            </w:r>
            <w:r>
              <w:rPr>
                <w:rStyle w:val="IndexLink"/>
              </w:rPr>
              <w:t>117</w:t>
            </w:r>
          </w:hyperlink>
        </w:p>
        <w:p>
          <w:pPr>
            <w:pStyle w:val="Contents4"/>
            <w:tabs>
              <w:tab w:val="clear" w:pos="8176"/>
              <w:tab w:val="right" w:pos="9026" w:leader="dot"/>
            </w:tabs>
            <w:rPr/>
          </w:pPr>
          <w:hyperlink w:anchor="__RefHeading___Toc3208543_2870459653">
            <w:r>
              <w:rPr>
                <w:webHidden/>
                <w:rStyle w:val="IndexLink"/>
                <w:rtl w:val="true"/>
              </w:rPr>
              <w:t>الدليل الثالث</w:t>
            </w:r>
            <w:r>
              <w:rPr>
                <w:rStyle w:val="IndexLink"/>
                <w:rtl w:val="true"/>
              </w:rPr>
              <w:t xml:space="preserve">: </w:t>
            </w:r>
            <w:r>
              <w:rPr>
                <w:rStyle w:val="IndexLink"/>
                <w:rtl w:val="true"/>
              </w:rPr>
              <w:t>السيرة</w:t>
            </w:r>
            <w:r>
              <w:rPr>
                <w:rStyle w:val="IndexLink"/>
                <w:rtl w:val="true"/>
              </w:rPr>
              <w:tab/>
            </w:r>
            <w:r>
              <w:rPr>
                <w:rStyle w:val="IndexLink"/>
              </w:rPr>
              <w:t>119</w:t>
            </w:r>
          </w:hyperlink>
        </w:p>
        <w:p>
          <w:pPr>
            <w:pStyle w:val="Contents3"/>
            <w:tabs>
              <w:tab w:val="clear" w:pos="8459"/>
              <w:tab w:val="right" w:pos="9026" w:leader="dot"/>
            </w:tabs>
            <w:rPr/>
          </w:pPr>
          <w:hyperlink w:anchor="__RefHeading___Toc3208545_2870459653">
            <w:r>
              <w:rPr>
                <w:webHidden/>
                <w:rStyle w:val="IndexLink"/>
                <w:rtl w:val="true"/>
              </w:rPr>
              <w:t>أدلّة القول الثالث</w:t>
            </w:r>
            <w:r>
              <w:rPr>
                <w:rStyle w:val="IndexLink"/>
                <w:rtl w:val="true"/>
              </w:rPr>
              <w:t xml:space="preserve">: </w:t>
            </w:r>
            <w:r>
              <w:rPr>
                <w:rStyle w:val="IndexLink"/>
                <w:rtl w:val="true"/>
              </w:rPr>
              <w:t>وهو أنَّه يجوز للمرأة الكشف عن وجهها وكفّيها لقيام الأدلّة عليه، ولكنّه لا يجوز نظر الأجنبي إليها</w:t>
            </w:r>
            <w:r>
              <w:rPr>
                <w:rStyle w:val="IndexLink"/>
                <w:rtl w:val="true"/>
              </w:rPr>
              <w:tab/>
            </w:r>
            <w:r>
              <w:rPr>
                <w:rStyle w:val="IndexLink"/>
              </w:rPr>
              <w:t>121</w:t>
            </w:r>
          </w:hyperlink>
        </w:p>
        <w:p>
          <w:pPr>
            <w:pStyle w:val="Contents3"/>
            <w:tabs>
              <w:tab w:val="clear" w:pos="8459"/>
              <w:tab w:val="right" w:pos="9026" w:leader="dot"/>
            </w:tabs>
            <w:rPr/>
          </w:pPr>
          <w:hyperlink w:anchor="__RefHeading___Toc3208547_2870459653">
            <w:r>
              <w:rPr>
                <w:webHidden/>
                <w:rStyle w:val="IndexLink"/>
                <w:rtl w:val="true"/>
              </w:rPr>
              <w:t>أدلّة القول الرابع</w:t>
            </w:r>
            <w:r>
              <w:rPr>
                <w:rStyle w:val="IndexLink"/>
                <w:rtl w:val="true"/>
              </w:rPr>
              <w:t xml:space="preserve">: </w:t>
            </w:r>
            <w:r>
              <w:rPr>
                <w:rStyle w:val="IndexLink"/>
                <w:rtl w:val="true"/>
              </w:rPr>
              <w:t>وهو أنّه يجوز للرجل أن ينظر مرّة ولا يجوز التكرار</w:t>
            </w:r>
            <w:r>
              <w:rPr>
                <w:rStyle w:val="IndexLink"/>
                <w:rtl w:val="true"/>
              </w:rPr>
              <w:tab/>
            </w:r>
            <w:r>
              <w:rPr>
                <w:rStyle w:val="IndexLink"/>
              </w:rPr>
              <w:t>122</w:t>
            </w:r>
          </w:hyperlink>
        </w:p>
        <w:p>
          <w:pPr>
            <w:pStyle w:val="Contents3"/>
            <w:tabs>
              <w:tab w:val="clear" w:pos="8459"/>
              <w:tab w:val="right" w:pos="9026" w:leader="dot"/>
            </w:tabs>
            <w:rPr/>
          </w:pPr>
          <w:hyperlink w:anchor="__RefHeading___Toc3208549_2870459653">
            <w:r>
              <w:rPr>
                <w:webHidden/>
                <w:rStyle w:val="IndexLink"/>
                <w:rtl w:val="true"/>
              </w:rPr>
              <w:t>أدلّة القول الخامس</w:t>
            </w:r>
            <w:r>
              <w:rPr>
                <w:rStyle w:val="IndexLink"/>
                <w:rtl w:val="true"/>
              </w:rPr>
              <w:t xml:space="preserve">: </w:t>
            </w:r>
            <w:r>
              <w:rPr>
                <w:rStyle w:val="IndexLink"/>
                <w:rtl w:val="true"/>
              </w:rPr>
              <w:t>هو جواز كشف المرأة للقدمين أيضاً مضافاً إلى الوجه والكفّين</w:t>
            </w:r>
            <w:r>
              <w:rPr>
                <w:rStyle w:val="IndexLink"/>
                <w:rtl w:val="true"/>
              </w:rPr>
              <w:tab/>
            </w:r>
            <w:r>
              <w:rPr>
                <w:rStyle w:val="IndexLink"/>
              </w:rPr>
              <w:t>123</w:t>
            </w:r>
          </w:hyperlink>
        </w:p>
        <w:p>
          <w:pPr>
            <w:pStyle w:val="Contents3"/>
            <w:tabs>
              <w:tab w:val="clear" w:pos="8459"/>
              <w:tab w:val="right" w:pos="9026" w:leader="dot"/>
            </w:tabs>
            <w:rPr/>
          </w:pPr>
          <w:hyperlink w:anchor="__RefHeading___Toc3208551_2870459653">
            <w:r>
              <w:rPr>
                <w:webHidden/>
                <w:rStyle w:val="IndexLink"/>
                <w:rtl w:val="true"/>
              </w:rPr>
              <w:t>المصادر</w:t>
            </w:r>
            <w:r>
              <w:rPr>
                <w:rStyle w:val="IndexLink"/>
                <w:rtl w:val="true"/>
              </w:rPr>
              <w:tab/>
            </w:r>
            <w:r>
              <w:rPr>
                <w:rStyle w:val="IndexLink"/>
              </w:rPr>
              <w:t>127</w:t>
            </w:r>
          </w:hyperlink>
        </w:p>
        <w:p>
          <w:pPr>
            <w:pStyle w:val="Contents2"/>
            <w:tabs>
              <w:tab w:val="clear" w:pos="8743"/>
              <w:tab w:val="right" w:pos="9026" w:leader="dot"/>
            </w:tabs>
            <w:rPr/>
          </w:pPr>
          <w:hyperlink w:anchor="__RefHeading___Toc3208553_2870459653">
            <w:r>
              <w:rPr>
                <w:webHidden/>
                <w:rStyle w:val="IndexLink"/>
                <w:rtl w:val="true"/>
              </w:rPr>
              <w:t xml:space="preserve">حجّيّة الوجدان </w:t>
            </w:r>
            <w:r>
              <w:rPr>
                <w:rStyle w:val="IndexLink"/>
                <w:rtl w:val="true"/>
              </w:rPr>
              <w:t xml:space="preserve">- </w:t>
            </w:r>
            <w:r>
              <w:rPr>
                <w:rStyle w:val="IndexLink"/>
                <w:rtl w:val="true"/>
              </w:rPr>
              <w:t xml:space="preserve">الشّيخ محمّد أمجد رياض </w:t>
            </w:r>
            <w:r>
              <w:rPr>
                <w:rStyle w:val="IndexLink"/>
                <w:rtl w:val="true"/>
              </w:rPr>
              <w:t>(</w:t>
            </w:r>
            <w:r>
              <w:rPr>
                <w:rStyle w:val="IndexLink"/>
                <w:rtl w:val="true"/>
              </w:rPr>
              <w:t>دام عزه</w:t>
            </w:r>
            <w:r>
              <w:rPr>
                <w:rStyle w:val="IndexLink"/>
                <w:rtl w:val="true"/>
              </w:rPr>
              <w:t>)</w:t>
              <w:tab/>
            </w:r>
            <w:r>
              <w:rPr>
                <w:rStyle w:val="IndexLink"/>
              </w:rPr>
              <w:t>143</w:t>
            </w:r>
          </w:hyperlink>
        </w:p>
        <w:p>
          <w:pPr>
            <w:pStyle w:val="Contents3"/>
            <w:tabs>
              <w:tab w:val="clear" w:pos="8459"/>
              <w:tab w:val="right" w:pos="9026" w:leader="dot"/>
            </w:tabs>
            <w:rPr/>
          </w:pPr>
          <w:hyperlink w:anchor="__RefHeading___Toc3208555_2870459653">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3208557_2870459653">
            <w:r>
              <w:rPr>
                <w:webHidden/>
                <w:rStyle w:val="IndexLink"/>
                <w:rtl w:val="true"/>
              </w:rPr>
              <w:t>المقدّمة الأولى</w:t>
            </w:r>
            <w:r>
              <w:rPr>
                <w:rStyle w:val="IndexLink"/>
                <w:rtl w:val="true"/>
              </w:rPr>
              <w:t xml:space="preserve">: </w:t>
            </w:r>
            <w:r>
              <w:rPr>
                <w:rStyle w:val="IndexLink"/>
                <w:rtl w:val="true"/>
              </w:rPr>
              <w:t>توضيح مفردات عنوان البحث</w:t>
            </w:r>
            <w:r>
              <w:rPr>
                <w:rStyle w:val="IndexLink"/>
                <w:rtl w:val="true"/>
              </w:rPr>
              <w:t>..</w:t>
              <w:tab/>
            </w:r>
            <w:r>
              <w:rPr>
                <w:rStyle w:val="IndexLink"/>
              </w:rPr>
              <w:t>146</w:t>
            </w:r>
          </w:hyperlink>
        </w:p>
        <w:p>
          <w:pPr>
            <w:pStyle w:val="Contents3"/>
            <w:tabs>
              <w:tab w:val="clear" w:pos="8459"/>
              <w:tab w:val="right" w:pos="9026" w:leader="dot"/>
            </w:tabs>
            <w:rPr/>
          </w:pPr>
          <w:hyperlink w:anchor="__RefHeading___Toc3208559_2870459653">
            <w:r>
              <w:rPr>
                <w:webHidden/>
                <w:rStyle w:val="IndexLink"/>
                <w:rtl w:val="true"/>
              </w:rPr>
              <w:t>المقدّمة الأخرى</w:t>
            </w:r>
            <w:r>
              <w:rPr>
                <w:rStyle w:val="IndexLink"/>
                <w:rtl w:val="true"/>
              </w:rPr>
              <w:t xml:space="preserve">: </w:t>
            </w:r>
            <w:r>
              <w:rPr>
                <w:rStyle w:val="IndexLink"/>
                <w:rtl w:val="true"/>
              </w:rPr>
              <w:t>الاستخدام الأصوليّ للوجدان</w:t>
            </w:r>
            <w:r>
              <w:rPr>
                <w:rStyle w:val="IndexLink"/>
                <w:rtl w:val="true"/>
              </w:rPr>
              <w:tab/>
            </w:r>
            <w:r>
              <w:rPr>
                <w:rStyle w:val="IndexLink"/>
              </w:rPr>
              <w:t>147</w:t>
            </w:r>
          </w:hyperlink>
        </w:p>
        <w:p>
          <w:pPr>
            <w:pStyle w:val="Contents4"/>
            <w:tabs>
              <w:tab w:val="clear" w:pos="8176"/>
              <w:tab w:val="right" w:pos="9026" w:leader="dot"/>
            </w:tabs>
            <w:rPr/>
          </w:pPr>
          <w:hyperlink w:anchor="__RefHeading___Toc3208561_2870459653">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3208563_2870459653">
            <w:r>
              <w:rPr>
                <w:webHidden/>
                <w:rStyle w:val="IndexLink"/>
                <w:rtl w:val="true"/>
              </w:rPr>
              <w:t>القسم الأوّل</w:t>
            </w:r>
            <w:r>
              <w:rPr>
                <w:rStyle w:val="IndexLink"/>
                <w:rtl w:val="true"/>
              </w:rPr>
              <w:t xml:space="preserve">: </w:t>
            </w:r>
            <w:r>
              <w:rPr>
                <w:rStyle w:val="IndexLink"/>
                <w:rtl w:val="true"/>
              </w:rPr>
              <w:t>في بيان كيفيّة استخدام الوجدان</w:t>
            </w:r>
            <w:r>
              <w:rPr>
                <w:rStyle w:val="IndexLink"/>
                <w:rtl w:val="true"/>
              </w:rPr>
              <w:tab/>
            </w:r>
            <w:r>
              <w:rPr>
                <w:rStyle w:val="IndexLink"/>
              </w:rPr>
              <w:t>147</w:t>
            </w:r>
          </w:hyperlink>
        </w:p>
        <w:p>
          <w:pPr>
            <w:pStyle w:val="Contents4"/>
            <w:tabs>
              <w:tab w:val="clear" w:pos="8176"/>
              <w:tab w:val="right" w:pos="9026" w:leader="dot"/>
            </w:tabs>
            <w:rPr/>
          </w:pPr>
          <w:hyperlink w:anchor="__RefHeading___Toc3208565_2870459653">
            <w:r>
              <w:rPr>
                <w:webHidden/>
                <w:rStyle w:val="IndexLink"/>
                <w:rtl w:val="true"/>
              </w:rPr>
              <w:t>القسم الثاني</w:t>
            </w:r>
            <w:r>
              <w:rPr>
                <w:rStyle w:val="IndexLink"/>
                <w:rtl w:val="true"/>
              </w:rPr>
              <w:t xml:space="preserve">: </w:t>
            </w:r>
            <w:r>
              <w:rPr>
                <w:rStyle w:val="IndexLink"/>
                <w:rtl w:val="true"/>
              </w:rPr>
              <w:t>في موارد استخدام الوجدان</w:t>
            </w:r>
            <w:r>
              <w:rPr>
                <w:rStyle w:val="IndexLink"/>
                <w:rtl w:val="true"/>
              </w:rPr>
              <w:tab/>
            </w:r>
            <w:r>
              <w:rPr>
                <w:rStyle w:val="IndexLink"/>
              </w:rPr>
              <w:t>149</w:t>
            </w:r>
          </w:hyperlink>
        </w:p>
        <w:p>
          <w:pPr>
            <w:pStyle w:val="Contents4"/>
            <w:tabs>
              <w:tab w:val="clear" w:pos="8176"/>
              <w:tab w:val="right" w:pos="9026" w:leader="dot"/>
            </w:tabs>
            <w:rPr/>
          </w:pPr>
          <w:hyperlink w:anchor="__RefHeading___Toc3208567_2870459653">
            <w:r>
              <w:rPr>
                <w:webHidden/>
                <w:rStyle w:val="IndexLink"/>
                <w:rtl w:val="true"/>
              </w:rPr>
              <w:t>القسم الثالث</w:t>
            </w:r>
            <w:r>
              <w:rPr>
                <w:rStyle w:val="IndexLink"/>
                <w:rtl w:val="true"/>
              </w:rPr>
              <w:t xml:space="preserve">: </w:t>
            </w:r>
            <w:r>
              <w:rPr>
                <w:rStyle w:val="IndexLink"/>
                <w:rtl w:val="true"/>
              </w:rPr>
              <w:t>في نوع الوجدان المستخدم</w:t>
            </w:r>
            <w:r>
              <w:rPr>
                <w:rStyle w:val="IndexLink"/>
                <w:rtl w:val="true"/>
              </w:rPr>
              <w:tab/>
            </w:r>
            <w:r>
              <w:rPr>
                <w:rStyle w:val="IndexLink"/>
              </w:rPr>
              <w:t>150</w:t>
            </w:r>
          </w:hyperlink>
        </w:p>
        <w:p>
          <w:pPr>
            <w:pStyle w:val="Contents3"/>
            <w:tabs>
              <w:tab w:val="clear" w:pos="8459"/>
              <w:tab w:val="right" w:pos="9026" w:leader="dot"/>
            </w:tabs>
            <w:rPr/>
          </w:pPr>
          <w:hyperlink w:anchor="__RefHeading___Toc3208569_2870459653">
            <w:r>
              <w:rPr>
                <w:webHidden/>
                <w:rStyle w:val="IndexLink"/>
                <w:rtl w:val="true"/>
              </w:rPr>
              <w:t>تحرير محلّ النزاع</w:t>
            </w:r>
            <w:r>
              <w:rPr>
                <w:rStyle w:val="IndexLink"/>
                <w:rtl w:val="true"/>
              </w:rPr>
              <w:t>..</w:t>
              <w:tab/>
            </w:r>
            <w:r>
              <w:rPr>
                <w:rStyle w:val="IndexLink"/>
              </w:rPr>
              <w:t>154</w:t>
            </w:r>
          </w:hyperlink>
        </w:p>
        <w:p>
          <w:pPr>
            <w:pStyle w:val="Contents3"/>
            <w:tabs>
              <w:tab w:val="clear" w:pos="8459"/>
              <w:tab w:val="right" w:pos="9026" w:leader="dot"/>
            </w:tabs>
            <w:rPr/>
          </w:pPr>
          <w:hyperlink w:anchor="__RefHeading___Toc3208571_2870459653">
            <w:r>
              <w:rPr>
                <w:webHidden/>
                <w:rStyle w:val="IndexLink"/>
                <w:rtl w:val="true"/>
              </w:rPr>
              <w:t>القول بالحجّيّة وتقريباته</w:t>
            </w:r>
            <w:r>
              <w:rPr>
                <w:rStyle w:val="IndexLink"/>
                <w:rtl w:val="true"/>
              </w:rPr>
              <w:tab/>
            </w:r>
            <w:r>
              <w:rPr>
                <w:rStyle w:val="IndexLink"/>
              </w:rPr>
              <w:t>155</w:t>
            </w:r>
          </w:hyperlink>
        </w:p>
        <w:p>
          <w:pPr>
            <w:pStyle w:val="Contents4"/>
            <w:tabs>
              <w:tab w:val="clear" w:pos="8176"/>
              <w:tab w:val="right" w:pos="9026" w:leader="dot"/>
            </w:tabs>
            <w:rPr/>
          </w:pPr>
          <w:hyperlink w:anchor="__RefHeading___Toc3208573_2870459653">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3208575_2870459653">
            <w:r>
              <w:rPr>
                <w:webHidden/>
                <w:rStyle w:val="IndexLink"/>
                <w:rtl w:val="true"/>
              </w:rPr>
              <w:t>التقريب الأوّل</w:t>
            </w:r>
            <w:r>
              <w:rPr>
                <w:rStyle w:val="IndexLink"/>
                <w:rtl w:val="true"/>
              </w:rPr>
              <w:tab/>
            </w:r>
            <w:r>
              <w:rPr>
                <w:rStyle w:val="IndexLink"/>
              </w:rPr>
              <w:t>156</w:t>
            </w:r>
          </w:hyperlink>
        </w:p>
        <w:p>
          <w:pPr>
            <w:pStyle w:val="Contents5"/>
            <w:tabs>
              <w:tab w:val="clear" w:pos="7892"/>
              <w:tab w:val="right" w:pos="9026" w:leader="dot"/>
            </w:tabs>
            <w:rPr/>
          </w:pPr>
          <w:hyperlink w:anchor="__RefHeading___Toc3208577_2870459653">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3208579_2870459653">
            <w:r>
              <w:rPr>
                <w:webHidden/>
                <w:rStyle w:val="IndexLink"/>
                <w:rtl w:val="true"/>
              </w:rPr>
              <w:t>الاعتراض الأوَّل</w:t>
            </w:r>
            <w:r>
              <w:rPr>
                <w:rStyle w:val="IndexLink"/>
                <w:rtl w:val="true"/>
              </w:rPr>
              <w:tab/>
            </w:r>
            <w:r>
              <w:rPr>
                <w:rStyle w:val="IndexLink"/>
              </w:rPr>
              <w:t>158</w:t>
            </w:r>
          </w:hyperlink>
        </w:p>
        <w:p>
          <w:pPr>
            <w:pStyle w:val="Contents5"/>
            <w:tabs>
              <w:tab w:val="clear" w:pos="7892"/>
              <w:tab w:val="right" w:pos="9026" w:leader="dot"/>
            </w:tabs>
            <w:rPr/>
          </w:pPr>
          <w:hyperlink w:anchor="__RefHeading___Toc3208581_2870459653">
            <w:r>
              <w:rPr>
                <w:webHidden/>
                <w:rStyle w:val="IndexLink"/>
                <w:rtl w:val="true"/>
              </w:rPr>
              <w:t>الاعتراض الثاني</w:t>
            </w:r>
            <w:r>
              <w:rPr>
                <w:rStyle w:val="IndexLink"/>
                <w:rtl w:val="true"/>
              </w:rPr>
              <w:tab/>
            </w:r>
            <w:r>
              <w:rPr>
                <w:rStyle w:val="IndexLink"/>
              </w:rPr>
              <w:t>167</w:t>
            </w:r>
          </w:hyperlink>
        </w:p>
        <w:p>
          <w:pPr>
            <w:pStyle w:val="Contents5"/>
            <w:tabs>
              <w:tab w:val="clear" w:pos="7892"/>
              <w:tab w:val="right" w:pos="9026" w:leader="dot"/>
            </w:tabs>
            <w:rPr/>
          </w:pPr>
          <w:hyperlink w:anchor="__RefHeading___Toc3208583_2870459653">
            <w:r>
              <w:rPr>
                <w:webHidden/>
                <w:rStyle w:val="IndexLink"/>
                <w:rtl w:val="true"/>
              </w:rPr>
              <w:t>الاعتراض الثالث</w:t>
            </w:r>
            <w:r>
              <w:rPr>
                <w:rStyle w:val="IndexLink"/>
                <w:rtl w:val="true"/>
              </w:rPr>
              <w:tab/>
            </w:r>
            <w:r>
              <w:rPr>
                <w:rStyle w:val="IndexLink"/>
              </w:rPr>
              <w:t>168</w:t>
            </w:r>
          </w:hyperlink>
        </w:p>
        <w:p>
          <w:pPr>
            <w:pStyle w:val="Contents5"/>
            <w:tabs>
              <w:tab w:val="clear" w:pos="7892"/>
              <w:tab w:val="right" w:pos="9026" w:leader="dot"/>
            </w:tabs>
            <w:rPr/>
          </w:pPr>
          <w:hyperlink w:anchor="__RefHeading___Toc3208585_2870459653">
            <w:r>
              <w:rPr>
                <w:webHidden/>
                <w:rStyle w:val="IndexLink"/>
                <w:rtl w:val="true"/>
              </w:rPr>
              <w:t>الاعتراض الرابع</w:t>
            </w:r>
            <w:r>
              <w:rPr>
                <w:rStyle w:val="IndexLink"/>
                <w:rtl w:val="true"/>
              </w:rPr>
              <w:tab/>
            </w:r>
            <w:r>
              <w:rPr>
                <w:rStyle w:val="IndexLink"/>
              </w:rPr>
              <w:t>169</w:t>
            </w:r>
          </w:hyperlink>
        </w:p>
        <w:p>
          <w:pPr>
            <w:pStyle w:val="Contents5"/>
            <w:tabs>
              <w:tab w:val="clear" w:pos="7892"/>
              <w:tab w:val="right" w:pos="9026" w:leader="dot"/>
            </w:tabs>
            <w:rPr/>
          </w:pPr>
          <w:hyperlink w:anchor="__RefHeading___Toc3208587_2870459653">
            <w:r>
              <w:rPr>
                <w:webHidden/>
                <w:rStyle w:val="IndexLink"/>
                <w:rtl w:val="true"/>
              </w:rPr>
              <w:t>الاعتراض الخامس</w:t>
            </w:r>
            <w:r>
              <w:rPr>
                <w:rStyle w:val="IndexLink"/>
                <w:rtl w:val="true"/>
              </w:rPr>
              <w:tab/>
            </w:r>
            <w:r>
              <w:rPr>
                <w:rStyle w:val="IndexLink"/>
              </w:rPr>
              <w:t>171</w:t>
            </w:r>
          </w:hyperlink>
        </w:p>
        <w:p>
          <w:pPr>
            <w:pStyle w:val="Contents5"/>
            <w:tabs>
              <w:tab w:val="clear" w:pos="7892"/>
              <w:tab w:val="right" w:pos="9026" w:leader="dot"/>
            </w:tabs>
            <w:rPr/>
          </w:pPr>
          <w:hyperlink w:anchor="__RefHeading___Toc3208589_2870459653">
            <w:r>
              <w:rPr>
                <w:webHidden/>
                <w:rStyle w:val="IndexLink"/>
                <w:rtl w:val="true"/>
              </w:rPr>
              <w:t>الاعتراض السادس</w:t>
            </w:r>
            <w:r>
              <w:rPr>
                <w:rStyle w:val="IndexLink"/>
                <w:rtl w:val="true"/>
              </w:rPr>
              <w:tab/>
            </w:r>
            <w:r>
              <w:rPr>
                <w:rStyle w:val="IndexLink"/>
              </w:rPr>
              <w:t>172</w:t>
            </w:r>
          </w:hyperlink>
        </w:p>
        <w:p>
          <w:pPr>
            <w:pStyle w:val="Contents6"/>
            <w:tabs>
              <w:tab w:val="clear" w:pos="7609"/>
              <w:tab w:val="right" w:pos="9026" w:leader="dot"/>
            </w:tabs>
            <w:rPr/>
          </w:pPr>
          <w:hyperlink w:anchor="__RefHeading___Toc3208591_2870459653">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3208593_2870459653">
            <w:r>
              <w:rPr>
                <w:webHidden/>
                <w:rStyle w:val="IndexLink"/>
                <w:rtl w:val="true"/>
              </w:rPr>
              <w:t>المقدّمة الأولى</w:t>
            </w:r>
            <w:r>
              <w:rPr>
                <w:rStyle w:val="IndexLink"/>
                <w:rtl w:val="true"/>
              </w:rPr>
              <w:tab/>
            </w:r>
            <w:r>
              <w:rPr>
                <w:rStyle w:val="IndexLink"/>
              </w:rPr>
              <w:t>172</w:t>
            </w:r>
          </w:hyperlink>
        </w:p>
        <w:p>
          <w:pPr>
            <w:pStyle w:val="Contents6"/>
            <w:tabs>
              <w:tab w:val="clear" w:pos="7609"/>
              <w:tab w:val="right" w:pos="9026" w:leader="dot"/>
            </w:tabs>
            <w:rPr/>
          </w:pPr>
          <w:hyperlink w:anchor="__RefHeading___Toc3208595_2870459653">
            <w:r>
              <w:rPr>
                <w:webHidden/>
                <w:rStyle w:val="IndexLink"/>
                <w:rtl w:val="true"/>
              </w:rPr>
              <w:t>المقدّمة الثانية</w:t>
            </w:r>
            <w:r>
              <w:rPr>
                <w:rStyle w:val="IndexLink"/>
                <w:rtl w:val="true"/>
              </w:rPr>
              <w:tab/>
            </w:r>
            <w:r>
              <w:rPr>
                <w:rStyle w:val="IndexLink"/>
              </w:rPr>
              <w:t>172</w:t>
            </w:r>
          </w:hyperlink>
        </w:p>
        <w:p>
          <w:pPr>
            <w:pStyle w:val="Contents6"/>
            <w:tabs>
              <w:tab w:val="clear" w:pos="7609"/>
              <w:tab w:val="right" w:pos="9026" w:leader="dot"/>
            </w:tabs>
            <w:rPr/>
          </w:pPr>
          <w:hyperlink w:anchor="__RefHeading___Toc3208597_2870459653">
            <w:r>
              <w:rPr>
                <w:webHidden/>
                <w:rStyle w:val="IndexLink"/>
                <w:rtl w:val="true"/>
              </w:rPr>
              <w:t>المقدّمة الثالثة</w:t>
            </w:r>
            <w:r>
              <w:rPr>
                <w:rStyle w:val="IndexLink"/>
                <w:rtl w:val="true"/>
              </w:rPr>
              <w:tab/>
            </w:r>
            <w:r>
              <w:rPr>
                <w:rStyle w:val="IndexLink"/>
              </w:rPr>
              <w:t>172</w:t>
            </w:r>
          </w:hyperlink>
        </w:p>
        <w:p>
          <w:pPr>
            <w:pStyle w:val="Contents4"/>
            <w:tabs>
              <w:tab w:val="clear" w:pos="8176"/>
              <w:tab w:val="right" w:pos="9026" w:leader="dot"/>
            </w:tabs>
            <w:rPr/>
          </w:pPr>
          <w:hyperlink w:anchor="__RefHeading___Toc3208599_2870459653">
            <w:r>
              <w:rPr>
                <w:webHidden/>
                <w:rStyle w:val="IndexLink"/>
                <w:rtl w:val="true"/>
              </w:rPr>
              <w:t>التقريب الثاني</w:t>
            </w:r>
            <w:r>
              <w:rPr>
                <w:rStyle w:val="IndexLink"/>
                <w:rtl w:val="true"/>
              </w:rPr>
              <w:tab/>
            </w:r>
            <w:r>
              <w:rPr>
                <w:rStyle w:val="IndexLink"/>
              </w:rPr>
              <w:t>172</w:t>
            </w:r>
          </w:hyperlink>
        </w:p>
        <w:p>
          <w:pPr>
            <w:pStyle w:val="Contents5"/>
            <w:tabs>
              <w:tab w:val="clear" w:pos="7892"/>
              <w:tab w:val="right" w:pos="9026" w:leader="dot"/>
            </w:tabs>
            <w:rPr/>
          </w:pPr>
          <w:hyperlink w:anchor="__RefHeading___Toc3208601_2870459653">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3208603_2870459653">
            <w:r>
              <w:rPr>
                <w:webHidden/>
                <w:rStyle w:val="IndexLink"/>
                <w:rtl w:val="true"/>
              </w:rPr>
              <w:t>مقدّمات</w:t>
            </w:r>
            <w:r>
              <w:rPr>
                <w:rStyle w:val="IndexLink"/>
                <w:rtl w:val="true"/>
              </w:rPr>
              <w:tab/>
            </w:r>
            <w:r>
              <w:rPr>
                <w:rStyle w:val="IndexLink"/>
              </w:rPr>
              <w:t>172</w:t>
            </w:r>
          </w:hyperlink>
        </w:p>
        <w:p>
          <w:pPr>
            <w:pStyle w:val="Contents6"/>
            <w:tabs>
              <w:tab w:val="clear" w:pos="7609"/>
              <w:tab w:val="right" w:pos="9026" w:leader="dot"/>
            </w:tabs>
            <w:rPr/>
          </w:pPr>
          <w:hyperlink w:anchor="__RefHeading___Toc3208605_2870459653">
            <w:r>
              <w:rPr>
                <w:webHidden/>
                <w:rStyle w:val="IndexLink"/>
                <w:rtl w:val="true"/>
              </w:rPr>
              <w:t>المقدّمة الأولى</w:t>
            </w:r>
            <w:r>
              <w:rPr>
                <w:rStyle w:val="IndexLink"/>
                <w:rtl w:val="true"/>
              </w:rPr>
              <w:tab/>
            </w:r>
            <w:r>
              <w:rPr>
                <w:rStyle w:val="IndexLink"/>
              </w:rPr>
              <w:t>172</w:t>
            </w:r>
          </w:hyperlink>
        </w:p>
        <w:p>
          <w:pPr>
            <w:pStyle w:val="Contents6"/>
            <w:tabs>
              <w:tab w:val="clear" w:pos="7609"/>
              <w:tab w:val="right" w:pos="9026" w:leader="dot"/>
            </w:tabs>
            <w:rPr/>
          </w:pPr>
          <w:hyperlink w:anchor="__RefHeading___Toc3208607_2870459653">
            <w:r>
              <w:rPr>
                <w:webHidden/>
                <w:rStyle w:val="IndexLink"/>
                <w:rtl w:val="true"/>
              </w:rPr>
              <w:t>المقدّمة الثانية</w:t>
            </w:r>
            <w:r>
              <w:rPr>
                <w:rStyle w:val="IndexLink"/>
                <w:rtl w:val="true"/>
              </w:rPr>
              <w:tab/>
            </w:r>
            <w:r>
              <w:rPr>
                <w:rStyle w:val="IndexLink"/>
              </w:rPr>
              <w:t>173</w:t>
            </w:r>
          </w:hyperlink>
        </w:p>
        <w:p>
          <w:pPr>
            <w:pStyle w:val="Contents6"/>
            <w:tabs>
              <w:tab w:val="clear" w:pos="7609"/>
              <w:tab w:val="right" w:pos="9026" w:leader="dot"/>
            </w:tabs>
            <w:rPr/>
          </w:pPr>
          <w:hyperlink w:anchor="__RefHeading___Toc3208609_2870459653">
            <w:r>
              <w:rPr>
                <w:webHidden/>
                <w:rStyle w:val="IndexLink"/>
                <w:rtl w:val="true"/>
              </w:rPr>
              <w:t>المقدّمة الثالثة</w:t>
            </w:r>
            <w:r>
              <w:rPr>
                <w:rStyle w:val="IndexLink"/>
                <w:rtl w:val="true"/>
              </w:rPr>
              <w:tab/>
            </w:r>
            <w:r>
              <w:rPr>
                <w:rStyle w:val="IndexLink"/>
              </w:rPr>
              <w:t>173</w:t>
            </w:r>
          </w:hyperlink>
        </w:p>
        <w:p>
          <w:pPr>
            <w:pStyle w:val="Contents5"/>
            <w:tabs>
              <w:tab w:val="clear" w:pos="7892"/>
              <w:tab w:val="right" w:pos="9026" w:leader="dot"/>
            </w:tabs>
            <w:rPr/>
          </w:pPr>
          <w:hyperlink w:anchor="__RefHeading___Toc3208611_2870459653">
            <w:r>
              <w:rPr>
                <w:webHidden/>
                <w:rStyle w:val="IndexLink"/>
                <w:rtl w:val="true"/>
              </w:rPr>
              <w:t>الاعتراض الأوَّل</w:t>
            </w:r>
            <w:r>
              <w:rPr>
                <w:rStyle w:val="IndexLink"/>
                <w:rtl w:val="true"/>
              </w:rPr>
              <w:tab/>
            </w:r>
            <w:r>
              <w:rPr>
                <w:rStyle w:val="IndexLink"/>
              </w:rPr>
              <w:t>174</w:t>
            </w:r>
          </w:hyperlink>
        </w:p>
        <w:p>
          <w:pPr>
            <w:pStyle w:val="Contents5"/>
            <w:tabs>
              <w:tab w:val="clear" w:pos="7892"/>
              <w:tab w:val="right" w:pos="9026" w:leader="dot"/>
            </w:tabs>
            <w:rPr/>
          </w:pPr>
          <w:hyperlink w:anchor="__RefHeading___Toc3208613_2870459653">
            <w:r>
              <w:rPr>
                <w:webHidden/>
                <w:rStyle w:val="IndexLink"/>
                <w:rtl w:val="true"/>
              </w:rPr>
              <w:t>الاعتراض الثاني</w:t>
            </w:r>
            <w:r>
              <w:rPr>
                <w:rStyle w:val="IndexLink"/>
                <w:rtl w:val="true"/>
              </w:rPr>
              <w:tab/>
            </w:r>
            <w:r>
              <w:rPr>
                <w:rStyle w:val="IndexLink"/>
              </w:rPr>
              <w:t>175</w:t>
            </w:r>
          </w:hyperlink>
        </w:p>
        <w:p>
          <w:pPr>
            <w:pStyle w:val="Contents5"/>
            <w:tabs>
              <w:tab w:val="clear" w:pos="7892"/>
              <w:tab w:val="right" w:pos="9026" w:leader="dot"/>
            </w:tabs>
            <w:rPr/>
          </w:pPr>
          <w:hyperlink w:anchor="__RefHeading___Toc3208615_2870459653">
            <w:r>
              <w:rPr>
                <w:webHidden/>
                <w:rStyle w:val="IndexLink"/>
                <w:rtl w:val="true"/>
              </w:rPr>
              <w:t>الاعتراض الثالث</w:t>
            </w:r>
            <w:r>
              <w:rPr>
                <w:rStyle w:val="IndexLink"/>
                <w:rtl w:val="true"/>
              </w:rPr>
              <w:tab/>
            </w:r>
            <w:r>
              <w:rPr>
                <w:rStyle w:val="IndexLink"/>
              </w:rPr>
              <w:t>175</w:t>
            </w:r>
          </w:hyperlink>
        </w:p>
        <w:p>
          <w:pPr>
            <w:pStyle w:val="Contents5"/>
            <w:tabs>
              <w:tab w:val="clear" w:pos="7892"/>
              <w:tab w:val="right" w:pos="9026" w:leader="dot"/>
            </w:tabs>
            <w:rPr/>
          </w:pPr>
          <w:hyperlink w:anchor="__RefHeading___Toc3208617_2870459653">
            <w:r>
              <w:rPr>
                <w:webHidden/>
                <w:rStyle w:val="IndexLink"/>
                <w:rtl w:val="true"/>
              </w:rPr>
              <w:t>الاعتراض الرابع</w:t>
            </w:r>
            <w:r>
              <w:rPr>
                <w:rStyle w:val="IndexLink"/>
                <w:rtl w:val="true"/>
              </w:rPr>
              <w:tab/>
            </w:r>
            <w:r>
              <w:rPr>
                <w:rStyle w:val="IndexLink"/>
              </w:rPr>
              <w:t>176</w:t>
            </w:r>
          </w:hyperlink>
        </w:p>
        <w:p>
          <w:pPr>
            <w:pStyle w:val="Contents5"/>
            <w:tabs>
              <w:tab w:val="clear" w:pos="7892"/>
              <w:tab w:val="right" w:pos="9026" w:leader="dot"/>
            </w:tabs>
            <w:rPr/>
          </w:pPr>
          <w:hyperlink w:anchor="__RefHeading___Toc3208619_2870459653">
            <w:r>
              <w:rPr>
                <w:webHidden/>
                <w:rStyle w:val="IndexLink"/>
                <w:rtl w:val="true"/>
              </w:rPr>
              <w:t>الاعتراض الخامس</w:t>
            </w:r>
            <w:r>
              <w:rPr>
                <w:rStyle w:val="IndexLink"/>
                <w:rtl w:val="true"/>
              </w:rPr>
              <w:tab/>
            </w:r>
            <w:r>
              <w:rPr>
                <w:rStyle w:val="IndexLink"/>
              </w:rPr>
              <w:t>178</w:t>
            </w:r>
          </w:hyperlink>
        </w:p>
        <w:p>
          <w:pPr>
            <w:pStyle w:val="Contents5"/>
            <w:tabs>
              <w:tab w:val="clear" w:pos="7892"/>
              <w:tab w:val="right" w:pos="9026" w:leader="dot"/>
            </w:tabs>
            <w:rPr/>
          </w:pPr>
          <w:hyperlink w:anchor="__RefHeading___Toc3208621_2870459653">
            <w:r>
              <w:rPr>
                <w:webHidden/>
                <w:rStyle w:val="IndexLink"/>
                <w:rtl w:val="true"/>
              </w:rPr>
              <w:t>الاعتراض السادس</w:t>
            </w:r>
            <w:r>
              <w:rPr>
                <w:rStyle w:val="IndexLink"/>
                <w:rtl w:val="true"/>
              </w:rPr>
              <w:tab/>
            </w:r>
            <w:r>
              <w:rPr>
                <w:rStyle w:val="IndexLink"/>
              </w:rPr>
              <w:t>179</w:t>
            </w:r>
          </w:hyperlink>
        </w:p>
        <w:p>
          <w:pPr>
            <w:pStyle w:val="Contents5"/>
            <w:tabs>
              <w:tab w:val="clear" w:pos="7892"/>
              <w:tab w:val="right" w:pos="9026" w:leader="dot"/>
            </w:tabs>
            <w:rPr/>
          </w:pPr>
          <w:hyperlink w:anchor="__RefHeading___Toc3208623_2870459653">
            <w:r>
              <w:rPr>
                <w:webHidden/>
                <w:rStyle w:val="IndexLink"/>
                <w:rtl w:val="true"/>
              </w:rPr>
              <w:t>الاعتراض السابع</w:t>
            </w:r>
            <w:r>
              <w:rPr>
                <w:rStyle w:val="IndexLink"/>
                <w:rtl w:val="true"/>
              </w:rPr>
              <w:tab/>
            </w:r>
            <w:r>
              <w:rPr>
                <w:rStyle w:val="IndexLink"/>
              </w:rPr>
              <w:t>179</w:t>
            </w:r>
          </w:hyperlink>
        </w:p>
        <w:p>
          <w:pPr>
            <w:pStyle w:val="Contents5"/>
            <w:tabs>
              <w:tab w:val="clear" w:pos="7892"/>
              <w:tab w:val="right" w:pos="9026" w:leader="dot"/>
            </w:tabs>
            <w:rPr/>
          </w:pPr>
          <w:hyperlink w:anchor="__RefHeading___Toc3208625_2870459653">
            <w:r>
              <w:rPr>
                <w:webHidden/>
                <w:rStyle w:val="IndexLink"/>
                <w:rtl w:val="true"/>
              </w:rPr>
              <w:t>الاعتراض الثامن</w:t>
            </w:r>
            <w:r>
              <w:rPr>
                <w:rStyle w:val="IndexLink"/>
                <w:rtl w:val="true"/>
              </w:rPr>
              <w:tab/>
            </w:r>
            <w:r>
              <w:rPr>
                <w:rStyle w:val="IndexLink"/>
              </w:rPr>
              <w:t>180</w:t>
            </w:r>
          </w:hyperlink>
        </w:p>
        <w:p>
          <w:pPr>
            <w:pStyle w:val="Contents5"/>
            <w:tabs>
              <w:tab w:val="clear" w:pos="7892"/>
              <w:tab w:val="right" w:pos="9026" w:leader="dot"/>
            </w:tabs>
            <w:rPr/>
          </w:pPr>
          <w:hyperlink w:anchor="__RefHeading___Toc3208627_2870459653">
            <w:r>
              <w:rPr>
                <w:webHidden/>
                <w:rStyle w:val="IndexLink"/>
                <w:rtl w:val="true"/>
              </w:rPr>
              <w:t>الاعتراض التاسع</w:t>
            </w:r>
            <w:r>
              <w:rPr>
                <w:rStyle w:val="IndexLink"/>
                <w:rtl w:val="true"/>
              </w:rPr>
              <w:tab/>
            </w:r>
            <w:r>
              <w:rPr>
                <w:rStyle w:val="IndexLink"/>
              </w:rPr>
              <w:t>181</w:t>
            </w:r>
          </w:hyperlink>
        </w:p>
        <w:p>
          <w:pPr>
            <w:pStyle w:val="Contents4"/>
            <w:tabs>
              <w:tab w:val="clear" w:pos="8176"/>
              <w:tab w:val="right" w:pos="9026" w:leader="dot"/>
            </w:tabs>
            <w:rPr/>
          </w:pPr>
          <w:hyperlink w:anchor="__RefHeading___Toc3208629_2870459653">
            <w:r>
              <w:rPr>
                <w:webHidden/>
                <w:rStyle w:val="IndexLink"/>
                <w:rtl w:val="true"/>
              </w:rPr>
              <w:t>التقريب الثالث</w:t>
            </w:r>
            <w:r>
              <w:rPr>
                <w:rStyle w:val="IndexLink"/>
                <w:rtl w:val="true"/>
              </w:rPr>
              <w:tab/>
            </w:r>
            <w:r>
              <w:rPr>
                <w:rStyle w:val="IndexLink"/>
              </w:rPr>
              <w:t>181</w:t>
            </w:r>
          </w:hyperlink>
        </w:p>
        <w:p>
          <w:pPr>
            <w:pStyle w:val="Contents5"/>
            <w:tabs>
              <w:tab w:val="clear" w:pos="7892"/>
              <w:tab w:val="right" w:pos="9026" w:leader="dot"/>
            </w:tabs>
            <w:rPr/>
          </w:pPr>
          <w:hyperlink w:anchor="__RefHeading___Toc3208631_2870459653">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3208633_2870459653">
            <w:r>
              <w:rPr>
                <w:webHidden/>
                <w:rStyle w:val="IndexLink"/>
                <w:rtl w:val="true"/>
              </w:rPr>
              <w:t>الاعتراض الأوَّل</w:t>
            </w:r>
            <w:r>
              <w:rPr>
                <w:rStyle w:val="IndexLink"/>
                <w:rtl w:val="true"/>
              </w:rPr>
              <w:tab/>
            </w:r>
            <w:r>
              <w:rPr>
                <w:rStyle w:val="IndexLink"/>
              </w:rPr>
              <w:t>183</w:t>
            </w:r>
          </w:hyperlink>
        </w:p>
        <w:p>
          <w:pPr>
            <w:pStyle w:val="Contents5"/>
            <w:tabs>
              <w:tab w:val="clear" w:pos="7892"/>
              <w:tab w:val="right" w:pos="9026" w:leader="dot"/>
            </w:tabs>
            <w:rPr/>
          </w:pPr>
          <w:hyperlink w:anchor="__RefHeading___Toc3208635_2870459653">
            <w:r>
              <w:rPr>
                <w:webHidden/>
                <w:rStyle w:val="IndexLink"/>
                <w:rtl w:val="true"/>
              </w:rPr>
              <w:t>الاعتراض الثاني</w:t>
            </w:r>
            <w:r>
              <w:rPr>
                <w:rStyle w:val="IndexLink"/>
                <w:rtl w:val="true"/>
              </w:rPr>
              <w:tab/>
            </w:r>
            <w:r>
              <w:rPr>
                <w:rStyle w:val="IndexLink"/>
              </w:rPr>
              <w:t>184</w:t>
            </w:r>
          </w:hyperlink>
        </w:p>
        <w:p>
          <w:pPr>
            <w:pStyle w:val="Contents5"/>
            <w:tabs>
              <w:tab w:val="clear" w:pos="7892"/>
              <w:tab w:val="right" w:pos="9026" w:leader="dot"/>
            </w:tabs>
            <w:rPr/>
          </w:pPr>
          <w:hyperlink w:anchor="__RefHeading___Toc3208637_2870459653">
            <w:r>
              <w:rPr>
                <w:webHidden/>
                <w:rStyle w:val="IndexLink"/>
                <w:rtl w:val="true"/>
              </w:rPr>
              <w:t>الاعتراض الثالث</w:t>
            </w:r>
            <w:r>
              <w:rPr>
                <w:rStyle w:val="IndexLink"/>
                <w:rtl w:val="true"/>
              </w:rPr>
              <w:tab/>
            </w:r>
            <w:r>
              <w:rPr>
                <w:rStyle w:val="IndexLink"/>
              </w:rPr>
              <w:t>185</w:t>
            </w:r>
          </w:hyperlink>
        </w:p>
        <w:p>
          <w:pPr>
            <w:pStyle w:val="Contents5"/>
            <w:tabs>
              <w:tab w:val="clear" w:pos="7892"/>
              <w:tab w:val="right" w:pos="9026" w:leader="dot"/>
            </w:tabs>
            <w:rPr/>
          </w:pPr>
          <w:hyperlink w:anchor="__RefHeading___Toc3208639_2870459653">
            <w:r>
              <w:rPr>
                <w:webHidden/>
                <w:rStyle w:val="IndexLink"/>
                <w:rtl w:val="true"/>
              </w:rPr>
              <w:t>الاعتراض الرابع</w:t>
            </w:r>
            <w:r>
              <w:rPr>
                <w:rStyle w:val="IndexLink"/>
                <w:rtl w:val="true"/>
              </w:rPr>
              <w:tab/>
            </w:r>
            <w:r>
              <w:rPr>
                <w:rStyle w:val="IndexLink"/>
              </w:rPr>
              <w:t>185</w:t>
            </w:r>
          </w:hyperlink>
        </w:p>
        <w:p>
          <w:pPr>
            <w:pStyle w:val="Contents5"/>
            <w:tabs>
              <w:tab w:val="clear" w:pos="7892"/>
              <w:tab w:val="right" w:pos="9026" w:leader="dot"/>
            </w:tabs>
            <w:rPr/>
          </w:pPr>
          <w:hyperlink w:anchor="__RefHeading___Toc3208641_2870459653">
            <w:r>
              <w:rPr>
                <w:webHidden/>
                <w:rStyle w:val="IndexLink"/>
                <w:rtl w:val="true"/>
              </w:rPr>
              <w:t>الاعتراض الخامس</w:t>
            </w:r>
            <w:r>
              <w:rPr>
                <w:rStyle w:val="IndexLink"/>
                <w:rtl w:val="true"/>
              </w:rPr>
              <w:tab/>
            </w:r>
            <w:r>
              <w:rPr>
                <w:rStyle w:val="IndexLink"/>
              </w:rPr>
              <w:t>185</w:t>
            </w:r>
          </w:hyperlink>
        </w:p>
        <w:p>
          <w:pPr>
            <w:pStyle w:val="Contents5"/>
            <w:tabs>
              <w:tab w:val="clear" w:pos="7892"/>
              <w:tab w:val="right" w:pos="9026" w:leader="dot"/>
            </w:tabs>
            <w:rPr/>
          </w:pPr>
          <w:hyperlink w:anchor="__RefHeading___Toc3208643_2870459653">
            <w:r>
              <w:rPr>
                <w:webHidden/>
                <w:rStyle w:val="IndexLink"/>
                <w:rtl w:val="true"/>
              </w:rPr>
              <w:t>الاعتراض السادس</w:t>
            </w:r>
            <w:r>
              <w:rPr>
                <w:rStyle w:val="IndexLink"/>
                <w:rtl w:val="true"/>
              </w:rPr>
              <w:tab/>
            </w:r>
            <w:r>
              <w:rPr>
                <w:rStyle w:val="IndexLink"/>
              </w:rPr>
              <w:t>186</w:t>
            </w:r>
          </w:hyperlink>
        </w:p>
        <w:p>
          <w:pPr>
            <w:pStyle w:val="Contents3"/>
            <w:tabs>
              <w:tab w:val="clear" w:pos="8459"/>
              <w:tab w:val="right" w:pos="9026" w:leader="dot"/>
            </w:tabs>
            <w:rPr/>
          </w:pPr>
          <w:hyperlink w:anchor="__RefHeading___Toc3208645_2870459653">
            <w:r>
              <w:rPr>
                <w:webHidden/>
                <w:rStyle w:val="IndexLink"/>
                <w:rtl w:val="true"/>
              </w:rPr>
              <w:t>القول بعدم الحجّيّة وأدلّته</w:t>
            </w:r>
            <w:r>
              <w:rPr>
                <w:rStyle w:val="IndexLink"/>
                <w:rtl w:val="true"/>
              </w:rPr>
              <w:tab/>
            </w:r>
            <w:r>
              <w:rPr>
                <w:rStyle w:val="IndexLink"/>
              </w:rPr>
              <w:t>188</w:t>
            </w:r>
          </w:hyperlink>
        </w:p>
        <w:p>
          <w:pPr>
            <w:pStyle w:val="Contents4"/>
            <w:tabs>
              <w:tab w:val="clear" w:pos="8176"/>
              <w:tab w:val="right" w:pos="9026" w:leader="dot"/>
            </w:tabs>
            <w:rPr/>
          </w:pPr>
          <w:hyperlink w:anchor="__RefHeading___Toc3208647_2870459653">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3208649_2870459653">
            <w:r>
              <w:rPr>
                <w:webHidden/>
                <w:rStyle w:val="IndexLink"/>
                <w:rtl w:val="true"/>
              </w:rPr>
              <w:t>والمتحصَّل من البحث أمور</w:t>
            </w:r>
            <w:r>
              <w:rPr>
                <w:rStyle w:val="IndexLink"/>
                <w:rtl w:val="true"/>
              </w:rPr>
              <w:t>..</w:t>
              <w:tab/>
            </w:r>
            <w:r>
              <w:rPr>
                <w:rStyle w:val="IndexLink"/>
              </w:rPr>
              <w:t>191</w:t>
            </w:r>
          </w:hyperlink>
        </w:p>
        <w:p>
          <w:pPr>
            <w:pStyle w:val="Contents3"/>
            <w:tabs>
              <w:tab w:val="clear" w:pos="8459"/>
              <w:tab w:val="right" w:pos="9026" w:leader="dot"/>
            </w:tabs>
            <w:rPr/>
          </w:pPr>
          <w:hyperlink w:anchor="__RefHeading___Toc3208651_2870459653">
            <w:r>
              <w:rPr>
                <w:webHidden/>
                <w:rStyle w:val="IndexLink"/>
                <w:rtl w:val="true"/>
              </w:rPr>
              <w:t>تنبيهان</w:t>
            </w:r>
            <w:r>
              <w:rPr>
                <w:rStyle w:val="IndexLink"/>
                <w:rtl w:val="true"/>
              </w:rPr>
              <w:tab/>
            </w:r>
            <w:r>
              <w:rPr>
                <w:rStyle w:val="IndexLink"/>
              </w:rPr>
              <w:t>192</w:t>
            </w:r>
          </w:hyperlink>
        </w:p>
        <w:p>
          <w:pPr>
            <w:pStyle w:val="Contents4"/>
            <w:tabs>
              <w:tab w:val="clear" w:pos="8176"/>
              <w:tab w:val="right" w:pos="9026" w:leader="dot"/>
            </w:tabs>
            <w:rPr/>
          </w:pPr>
          <w:hyperlink w:anchor="__RefHeading___Toc3208653_2870459653">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3208655_2870459653">
            <w:r>
              <w:rPr>
                <w:webHidden/>
                <w:rStyle w:val="IndexLink"/>
                <w:rtl w:val="true"/>
              </w:rPr>
              <w:t>التنبيه الأوّل</w:t>
            </w:r>
            <w:r>
              <w:rPr>
                <w:rStyle w:val="IndexLink"/>
                <w:rtl w:val="true"/>
              </w:rPr>
              <w:t xml:space="preserve">: </w:t>
            </w:r>
            <w:r>
              <w:rPr>
                <w:rStyle w:val="IndexLink"/>
                <w:rtl w:val="true"/>
              </w:rPr>
              <w:t>الوجدان والسيرة</w:t>
            </w:r>
            <w:r>
              <w:rPr>
                <w:rStyle w:val="IndexLink"/>
                <w:rtl w:val="true"/>
              </w:rPr>
              <w:tab/>
            </w:r>
            <w:r>
              <w:rPr>
                <w:rStyle w:val="IndexLink"/>
              </w:rPr>
              <w:t>192</w:t>
            </w:r>
          </w:hyperlink>
        </w:p>
        <w:p>
          <w:pPr>
            <w:pStyle w:val="Contents4"/>
            <w:tabs>
              <w:tab w:val="clear" w:pos="8176"/>
              <w:tab w:val="right" w:pos="9026" w:leader="dot"/>
            </w:tabs>
            <w:rPr/>
          </w:pPr>
          <w:hyperlink w:anchor="__RefHeading___Toc3208657_2870459653">
            <w:r>
              <w:rPr>
                <w:webHidden/>
                <w:rStyle w:val="IndexLink"/>
                <w:rtl w:val="true"/>
              </w:rPr>
              <w:t>التنبيه الآخر</w:t>
            </w:r>
            <w:r>
              <w:rPr>
                <w:rStyle w:val="IndexLink"/>
                <w:rtl w:val="true"/>
              </w:rPr>
              <w:t xml:space="preserve">: </w:t>
            </w:r>
            <w:r>
              <w:rPr>
                <w:rStyle w:val="IndexLink"/>
                <w:rtl w:val="true"/>
              </w:rPr>
              <w:t>البديل للوجدان</w:t>
            </w:r>
            <w:r>
              <w:rPr>
                <w:rStyle w:val="IndexLink"/>
                <w:rtl w:val="true"/>
              </w:rPr>
              <w:tab/>
            </w:r>
            <w:r>
              <w:rPr>
                <w:rStyle w:val="IndexLink"/>
              </w:rPr>
              <w:t>193</w:t>
            </w:r>
          </w:hyperlink>
        </w:p>
        <w:p>
          <w:pPr>
            <w:pStyle w:val="Contents3"/>
            <w:tabs>
              <w:tab w:val="clear" w:pos="8459"/>
              <w:tab w:val="right" w:pos="9026" w:leader="dot"/>
            </w:tabs>
            <w:rPr/>
          </w:pPr>
          <w:hyperlink w:anchor="__RefHeading___Toc3208659_2870459653">
            <w:r>
              <w:rPr>
                <w:webHidden/>
                <w:rStyle w:val="IndexLink"/>
                <w:rtl w:val="true"/>
              </w:rPr>
              <w:t>ملحق</w:t>
            </w:r>
            <w:r>
              <w:rPr>
                <w:rStyle w:val="IndexLink"/>
                <w:rtl w:val="true"/>
              </w:rPr>
              <w:t xml:space="preserve">: </w:t>
            </w:r>
            <w:r>
              <w:rPr>
                <w:rStyle w:val="IndexLink"/>
                <w:rtl w:val="true"/>
              </w:rPr>
              <w:t>في رصد الاختلافات وعدمها في دعاوى الوجدان على موضوع واحد الاختلافات</w:t>
            </w:r>
            <w:r>
              <w:rPr>
                <w:rStyle w:val="IndexLink"/>
                <w:rtl w:val="true"/>
              </w:rPr>
              <w:tab/>
            </w:r>
            <w:r>
              <w:rPr>
                <w:rStyle w:val="IndexLink"/>
              </w:rPr>
              <w:t>194</w:t>
            </w:r>
          </w:hyperlink>
        </w:p>
        <w:p>
          <w:pPr>
            <w:pStyle w:val="Contents3"/>
            <w:tabs>
              <w:tab w:val="clear" w:pos="8459"/>
              <w:tab w:val="right" w:pos="9026" w:leader="dot"/>
            </w:tabs>
            <w:rPr/>
          </w:pPr>
          <w:hyperlink w:anchor="__RefHeading___Toc3208661_2870459653">
            <w:r>
              <w:rPr>
                <w:webHidden/>
                <w:rStyle w:val="IndexLink"/>
                <w:rtl w:val="true"/>
              </w:rPr>
              <w:t>المصادر</w:t>
            </w:r>
            <w:r>
              <w:rPr>
                <w:rStyle w:val="IndexLink"/>
                <w:rtl w:val="true"/>
              </w:rPr>
              <w:tab/>
            </w:r>
            <w:r>
              <w:rPr>
                <w:rStyle w:val="IndexLink"/>
              </w:rPr>
              <w:t>197</w:t>
            </w:r>
          </w:hyperlink>
        </w:p>
        <w:p>
          <w:pPr>
            <w:pStyle w:val="Contents2"/>
            <w:tabs>
              <w:tab w:val="clear" w:pos="8743"/>
              <w:tab w:val="right" w:pos="9026" w:leader="dot"/>
            </w:tabs>
            <w:rPr/>
          </w:pPr>
          <w:hyperlink w:anchor="__RefHeading___Toc3208663_2870459653">
            <w:r>
              <w:rPr>
                <w:webHidden/>
                <w:rStyle w:val="IndexLink"/>
                <w:rtl w:val="true"/>
              </w:rPr>
              <w:t xml:space="preserve">نَظَريَّةُ الحُكُومَة </w:t>
            </w:r>
            <w:r>
              <w:rPr>
                <w:rStyle w:val="IndexLink"/>
                <w:rtl w:val="true"/>
              </w:rPr>
              <w:t>(</w:t>
            </w:r>
            <w:r>
              <w:rPr>
                <w:rStyle w:val="IndexLink"/>
                <w:rtl w:val="true"/>
              </w:rPr>
              <w:t>الحلقة الثَّانية</w:t>
            </w:r>
            <w:r>
              <w:rPr>
                <w:rStyle w:val="IndexLink"/>
                <w:rtl w:val="true"/>
              </w:rPr>
              <w:t xml:space="preserve">) - </w:t>
            </w:r>
            <w:r>
              <w:rPr>
                <w:rStyle w:val="IndexLink"/>
                <w:rtl w:val="true"/>
              </w:rPr>
              <w:t xml:space="preserve">الشَّيخ نجم التُّرابيّ </w:t>
            </w:r>
            <w:r>
              <w:rPr>
                <w:rStyle w:val="IndexLink"/>
                <w:rtl w:val="true"/>
              </w:rPr>
              <w:t>(</w:t>
            </w:r>
            <w:r>
              <w:rPr>
                <w:rStyle w:val="IndexLink"/>
                <w:rtl w:val="true"/>
              </w:rPr>
              <w:t>دام عزه</w:t>
            </w:r>
            <w:r>
              <w:rPr>
                <w:rStyle w:val="IndexLink"/>
                <w:rtl w:val="true"/>
              </w:rPr>
              <w:t>)</w:t>
              <w:tab/>
            </w:r>
            <w:r>
              <w:rPr>
                <w:rStyle w:val="IndexLink"/>
              </w:rPr>
              <w:t>203</w:t>
            </w:r>
          </w:hyperlink>
        </w:p>
        <w:p>
          <w:pPr>
            <w:pStyle w:val="Contents3"/>
            <w:tabs>
              <w:tab w:val="clear" w:pos="8459"/>
              <w:tab w:val="right" w:pos="9026" w:leader="dot"/>
            </w:tabs>
            <w:rPr/>
          </w:pPr>
          <w:hyperlink w:anchor="__RefHeading___Toc3208665_2870459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3208667_2870459653">
            <w:r>
              <w:rPr>
                <w:webHidden/>
                <w:rStyle w:val="IndexLink"/>
                <w:rtl w:val="true"/>
              </w:rPr>
              <w:t>الفصل الرَّابع</w:t>
            </w:r>
            <w:r>
              <w:rPr>
                <w:rStyle w:val="IndexLink"/>
                <w:rtl w:val="true"/>
              </w:rPr>
              <w:t xml:space="preserve">: </w:t>
            </w:r>
            <w:r>
              <w:rPr>
                <w:rStyle w:val="IndexLink"/>
                <w:rtl w:val="true"/>
              </w:rPr>
              <w:t>رتبة الحكومة بالقياس إلى باقي أبواب التَّعارض</w:t>
            </w:r>
            <w:r>
              <w:rPr>
                <w:rStyle w:val="IndexLink"/>
                <w:rtl w:val="true"/>
              </w:rPr>
              <w:tab/>
            </w:r>
            <w:r>
              <w:rPr>
                <w:rStyle w:val="IndexLink"/>
              </w:rPr>
              <w:t>205</w:t>
            </w:r>
          </w:hyperlink>
        </w:p>
        <w:p>
          <w:pPr>
            <w:pStyle w:val="Contents4"/>
            <w:tabs>
              <w:tab w:val="clear" w:pos="8176"/>
              <w:tab w:val="right" w:pos="9026" w:leader="dot"/>
            </w:tabs>
            <w:rPr/>
          </w:pPr>
          <w:hyperlink w:anchor="__RefHeading___Toc3208669_2870459653">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3208671_2870459653">
            <w:r>
              <w:rPr>
                <w:webHidden/>
                <w:rStyle w:val="IndexLink"/>
                <w:rtl w:val="true"/>
              </w:rPr>
              <w:t>النَّحو الأوَّل</w:t>
            </w:r>
            <w:r>
              <w:rPr>
                <w:rStyle w:val="IndexLink"/>
                <w:rtl w:val="true"/>
              </w:rPr>
              <w:tab/>
            </w:r>
            <w:r>
              <w:rPr>
                <w:rStyle w:val="IndexLink"/>
              </w:rPr>
              <w:t>205</w:t>
            </w:r>
          </w:hyperlink>
        </w:p>
        <w:p>
          <w:pPr>
            <w:pStyle w:val="Contents4"/>
            <w:tabs>
              <w:tab w:val="clear" w:pos="8176"/>
              <w:tab w:val="right" w:pos="9026" w:leader="dot"/>
            </w:tabs>
            <w:rPr/>
          </w:pPr>
          <w:hyperlink w:anchor="__RefHeading___Toc3208673_2870459653">
            <w:r>
              <w:rPr>
                <w:webHidden/>
                <w:rStyle w:val="IndexLink"/>
                <w:rtl w:val="true"/>
              </w:rPr>
              <w:t>النَّحو الثَّاني</w:t>
            </w:r>
            <w:r>
              <w:rPr>
                <w:rStyle w:val="IndexLink"/>
                <w:rtl w:val="true"/>
              </w:rPr>
              <w:tab/>
            </w:r>
            <w:r>
              <w:rPr>
                <w:rStyle w:val="IndexLink"/>
              </w:rPr>
              <w:t>206</w:t>
            </w:r>
          </w:hyperlink>
        </w:p>
        <w:p>
          <w:pPr>
            <w:pStyle w:val="Contents4"/>
            <w:tabs>
              <w:tab w:val="clear" w:pos="8176"/>
              <w:tab w:val="right" w:pos="9026" w:leader="dot"/>
            </w:tabs>
            <w:rPr/>
          </w:pPr>
          <w:hyperlink w:anchor="__RefHeading___Toc3208675_2870459653">
            <w:r>
              <w:rPr>
                <w:webHidden/>
                <w:rStyle w:val="IndexLink"/>
                <w:rtl w:val="true"/>
              </w:rPr>
              <w:t>النَّحو الثَّالث</w:t>
            </w:r>
            <w:r>
              <w:rPr>
                <w:rStyle w:val="IndexLink"/>
                <w:rtl w:val="true"/>
              </w:rPr>
              <w:tab/>
            </w:r>
            <w:r>
              <w:rPr>
                <w:rStyle w:val="IndexLink"/>
              </w:rPr>
              <w:t>206</w:t>
            </w:r>
          </w:hyperlink>
        </w:p>
        <w:p>
          <w:pPr>
            <w:pStyle w:val="Contents5"/>
            <w:tabs>
              <w:tab w:val="clear" w:pos="7892"/>
              <w:tab w:val="right" w:pos="9026" w:leader="dot"/>
            </w:tabs>
            <w:rPr/>
          </w:pPr>
          <w:hyperlink w:anchor="__RefHeading___Toc3208677_2870459653">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3208679_2870459653">
            <w:r>
              <w:rPr>
                <w:webHidden/>
                <w:rStyle w:val="IndexLink"/>
                <w:rtl w:val="true"/>
              </w:rPr>
              <w:t>الجانب الأوَّل</w:t>
            </w:r>
            <w:r>
              <w:rPr>
                <w:rStyle w:val="IndexLink"/>
                <w:rtl w:val="true"/>
              </w:rPr>
              <w:tab/>
            </w:r>
            <w:r>
              <w:rPr>
                <w:rStyle w:val="IndexLink"/>
              </w:rPr>
              <w:t>206</w:t>
            </w:r>
          </w:hyperlink>
        </w:p>
        <w:p>
          <w:pPr>
            <w:pStyle w:val="Contents5"/>
            <w:tabs>
              <w:tab w:val="clear" w:pos="7892"/>
              <w:tab w:val="right" w:pos="9026" w:leader="dot"/>
            </w:tabs>
            <w:rPr/>
          </w:pPr>
          <w:hyperlink w:anchor="__RefHeading___Toc3208681_2870459653">
            <w:r>
              <w:rPr>
                <w:webHidden/>
                <w:rStyle w:val="IndexLink"/>
                <w:rtl w:val="true"/>
              </w:rPr>
              <w:t>الجانب الآخر</w:t>
            </w:r>
            <w:r>
              <w:rPr>
                <w:rStyle w:val="IndexLink"/>
                <w:rtl w:val="true"/>
              </w:rPr>
              <w:tab/>
            </w:r>
            <w:r>
              <w:rPr>
                <w:rStyle w:val="IndexLink"/>
              </w:rPr>
              <w:t>207</w:t>
            </w:r>
          </w:hyperlink>
        </w:p>
        <w:p>
          <w:pPr>
            <w:pStyle w:val="Contents4"/>
            <w:tabs>
              <w:tab w:val="clear" w:pos="8176"/>
              <w:tab w:val="right" w:pos="9026" w:leader="dot"/>
            </w:tabs>
            <w:rPr/>
          </w:pPr>
          <w:hyperlink w:anchor="__RefHeading___Toc3208683_2870459653">
            <w:r>
              <w:rPr>
                <w:webHidden/>
                <w:rStyle w:val="IndexLink"/>
                <w:rtl w:val="true"/>
              </w:rPr>
              <w:t>الطَّائفة الأولى</w:t>
            </w:r>
            <w:r>
              <w:rPr>
                <w:rStyle w:val="IndexLink"/>
                <w:rtl w:val="true"/>
              </w:rPr>
              <w:tab/>
            </w:r>
            <w:r>
              <w:rPr>
                <w:rStyle w:val="IndexLink"/>
              </w:rPr>
              <w:t>210</w:t>
            </w:r>
          </w:hyperlink>
        </w:p>
        <w:p>
          <w:pPr>
            <w:pStyle w:val="Contents4"/>
            <w:tabs>
              <w:tab w:val="clear" w:pos="8176"/>
              <w:tab w:val="right" w:pos="9026" w:leader="dot"/>
            </w:tabs>
            <w:rPr/>
          </w:pPr>
          <w:hyperlink w:anchor="__RefHeading___Toc3208685_2870459653">
            <w:r>
              <w:rPr>
                <w:webHidden/>
                <w:rStyle w:val="IndexLink"/>
                <w:rtl w:val="true"/>
              </w:rPr>
              <w:t>الطَّائفة الثَّانية</w:t>
            </w:r>
            <w:r>
              <w:rPr>
                <w:rStyle w:val="IndexLink"/>
                <w:rtl w:val="true"/>
              </w:rPr>
              <w:tab/>
            </w:r>
            <w:r>
              <w:rPr>
                <w:rStyle w:val="IndexLink"/>
              </w:rPr>
              <w:t>211</w:t>
            </w:r>
          </w:hyperlink>
        </w:p>
        <w:p>
          <w:pPr>
            <w:pStyle w:val="Contents4"/>
            <w:tabs>
              <w:tab w:val="clear" w:pos="8176"/>
              <w:tab w:val="right" w:pos="9026" w:leader="dot"/>
            </w:tabs>
            <w:rPr/>
          </w:pPr>
          <w:hyperlink w:anchor="__RefHeading___Toc3208687_2870459653">
            <w:r>
              <w:rPr>
                <w:webHidden/>
                <w:rStyle w:val="IndexLink"/>
                <w:rtl w:val="true"/>
              </w:rPr>
              <w:t>الطَّائفة الثَّالثة</w:t>
            </w:r>
            <w:r>
              <w:rPr>
                <w:rStyle w:val="IndexLink"/>
                <w:rtl w:val="true"/>
              </w:rPr>
              <w:tab/>
            </w:r>
            <w:r>
              <w:rPr>
                <w:rStyle w:val="IndexLink"/>
              </w:rPr>
              <w:t>211</w:t>
            </w:r>
          </w:hyperlink>
        </w:p>
        <w:p>
          <w:pPr>
            <w:pStyle w:val="Contents3"/>
            <w:tabs>
              <w:tab w:val="clear" w:pos="8459"/>
              <w:tab w:val="right" w:pos="9026" w:leader="dot"/>
            </w:tabs>
            <w:rPr/>
          </w:pPr>
          <w:hyperlink w:anchor="__RefHeading___Toc3208689_2870459653">
            <w:r>
              <w:rPr>
                <w:webHidden/>
                <w:rStyle w:val="IndexLink"/>
                <w:rtl w:val="true"/>
              </w:rPr>
              <w:t>الفصل الخامس</w:t>
            </w:r>
            <w:r>
              <w:rPr>
                <w:rStyle w:val="IndexLink"/>
                <w:rtl w:val="true"/>
              </w:rPr>
              <w:t xml:space="preserve">: </w:t>
            </w:r>
            <w:r>
              <w:rPr>
                <w:rStyle w:val="IndexLink"/>
                <w:rtl w:val="true"/>
              </w:rPr>
              <w:t>تقسيمات الحكومة</w:t>
            </w:r>
            <w:r>
              <w:rPr>
                <w:rStyle w:val="IndexLink"/>
                <w:rtl w:val="true"/>
              </w:rPr>
              <w:tab/>
            </w:r>
            <w:r>
              <w:rPr>
                <w:rStyle w:val="IndexLink"/>
              </w:rPr>
              <w:t>213</w:t>
            </w:r>
          </w:hyperlink>
        </w:p>
        <w:p>
          <w:pPr>
            <w:pStyle w:val="Contents4"/>
            <w:tabs>
              <w:tab w:val="clear" w:pos="8176"/>
              <w:tab w:val="right" w:pos="9026" w:leader="dot"/>
            </w:tabs>
            <w:rPr/>
          </w:pPr>
          <w:hyperlink w:anchor="__RefHeading___Toc3208691_2870459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3208693_2870459653">
            <w:r>
              <w:rPr>
                <w:webHidden/>
                <w:rStyle w:val="IndexLink"/>
                <w:rtl w:val="true"/>
              </w:rPr>
              <w:t>التَّقسيم الأوَّل</w:t>
            </w:r>
            <w:r>
              <w:rPr>
                <w:rStyle w:val="IndexLink"/>
                <w:rtl w:val="true"/>
              </w:rPr>
              <w:tab/>
            </w:r>
            <w:r>
              <w:rPr>
                <w:rStyle w:val="IndexLink"/>
              </w:rPr>
              <w:t>213</w:t>
            </w:r>
          </w:hyperlink>
        </w:p>
        <w:p>
          <w:pPr>
            <w:pStyle w:val="Contents5"/>
            <w:tabs>
              <w:tab w:val="clear" w:pos="7892"/>
              <w:tab w:val="right" w:pos="9026" w:leader="dot"/>
            </w:tabs>
            <w:rPr/>
          </w:pPr>
          <w:hyperlink w:anchor="__RefHeading___Toc3208695_2870459653">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3208697_2870459653">
            <w:r>
              <w:rPr>
                <w:webHidden/>
                <w:rStyle w:val="IndexLink"/>
                <w:rtl w:val="true"/>
              </w:rPr>
              <w:t>القسم الأوَّل</w:t>
            </w:r>
            <w:r>
              <w:rPr>
                <w:rStyle w:val="IndexLink"/>
                <w:rtl w:val="true"/>
              </w:rPr>
              <w:tab/>
            </w:r>
            <w:r>
              <w:rPr>
                <w:rStyle w:val="IndexLink"/>
              </w:rPr>
              <w:t>213</w:t>
            </w:r>
          </w:hyperlink>
        </w:p>
        <w:p>
          <w:pPr>
            <w:pStyle w:val="Contents5"/>
            <w:tabs>
              <w:tab w:val="clear" w:pos="7892"/>
              <w:tab w:val="right" w:pos="9026" w:leader="dot"/>
            </w:tabs>
            <w:rPr/>
          </w:pPr>
          <w:hyperlink w:anchor="__RefHeading___Toc3208699_2870459653">
            <w:r>
              <w:rPr>
                <w:webHidden/>
                <w:rStyle w:val="IndexLink"/>
                <w:rtl w:val="true"/>
              </w:rPr>
              <w:t>القسم الآخر</w:t>
            </w:r>
            <w:r>
              <w:rPr>
                <w:rStyle w:val="IndexLink"/>
                <w:rtl w:val="true"/>
              </w:rPr>
              <w:tab/>
            </w:r>
            <w:r>
              <w:rPr>
                <w:rStyle w:val="IndexLink"/>
              </w:rPr>
              <w:t>213</w:t>
            </w:r>
          </w:hyperlink>
        </w:p>
        <w:p>
          <w:pPr>
            <w:pStyle w:val="Contents4"/>
            <w:tabs>
              <w:tab w:val="clear" w:pos="8176"/>
              <w:tab w:val="right" w:pos="9026" w:leader="dot"/>
            </w:tabs>
            <w:rPr/>
          </w:pPr>
          <w:hyperlink w:anchor="__RefHeading___Toc3208701_2870459653">
            <w:r>
              <w:rPr>
                <w:webHidden/>
                <w:rStyle w:val="IndexLink"/>
                <w:rtl w:val="true"/>
              </w:rPr>
              <w:t>التَّقسيم الثَّاني</w:t>
            </w:r>
            <w:r>
              <w:rPr>
                <w:rStyle w:val="IndexLink"/>
                <w:rtl w:val="true"/>
              </w:rPr>
              <w:tab/>
            </w:r>
            <w:r>
              <w:rPr>
                <w:rStyle w:val="IndexLink"/>
              </w:rPr>
              <w:t>215</w:t>
            </w:r>
          </w:hyperlink>
        </w:p>
        <w:p>
          <w:pPr>
            <w:pStyle w:val="Contents5"/>
            <w:tabs>
              <w:tab w:val="clear" w:pos="7892"/>
              <w:tab w:val="right" w:pos="9026" w:leader="dot"/>
            </w:tabs>
            <w:rPr/>
          </w:pPr>
          <w:hyperlink w:anchor="__RefHeading___Toc3208703_2870459653">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3208705_2870459653">
            <w:r>
              <w:rPr>
                <w:webHidden/>
                <w:rStyle w:val="IndexLink"/>
                <w:rtl w:val="true"/>
              </w:rPr>
              <w:t>القسم الأوَّل</w:t>
            </w:r>
            <w:r>
              <w:rPr>
                <w:rStyle w:val="IndexLink"/>
                <w:rtl w:val="true"/>
              </w:rPr>
              <w:tab/>
            </w:r>
            <w:r>
              <w:rPr>
                <w:rStyle w:val="IndexLink"/>
              </w:rPr>
              <w:t>215</w:t>
            </w:r>
          </w:hyperlink>
        </w:p>
        <w:p>
          <w:pPr>
            <w:pStyle w:val="Contents5"/>
            <w:tabs>
              <w:tab w:val="clear" w:pos="7892"/>
              <w:tab w:val="right" w:pos="9026" w:leader="dot"/>
            </w:tabs>
            <w:rPr/>
          </w:pPr>
          <w:hyperlink w:anchor="__RefHeading___Toc3208707_2870459653">
            <w:r>
              <w:rPr>
                <w:webHidden/>
                <w:rStyle w:val="IndexLink"/>
                <w:rtl w:val="true"/>
              </w:rPr>
              <w:t>القسم الآخر</w:t>
            </w:r>
            <w:r>
              <w:rPr>
                <w:rStyle w:val="IndexLink"/>
                <w:rtl w:val="true"/>
              </w:rPr>
              <w:tab/>
            </w:r>
            <w:r>
              <w:rPr>
                <w:rStyle w:val="IndexLink"/>
              </w:rPr>
              <w:t>216</w:t>
            </w:r>
          </w:hyperlink>
        </w:p>
        <w:p>
          <w:pPr>
            <w:pStyle w:val="Contents6"/>
            <w:tabs>
              <w:tab w:val="clear" w:pos="7609"/>
              <w:tab w:val="right" w:pos="9026" w:leader="dot"/>
            </w:tabs>
            <w:rPr/>
          </w:pPr>
          <w:hyperlink w:anchor="__RefHeading___Toc3208709_2870459653">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3208711_2870459653">
            <w:r>
              <w:rPr>
                <w:webHidden/>
                <w:rStyle w:val="IndexLink"/>
                <w:rtl w:val="true"/>
              </w:rPr>
              <w:t>الأمر الأوّل</w:t>
            </w:r>
            <w:r>
              <w:rPr>
                <w:rStyle w:val="IndexLink"/>
                <w:rtl w:val="true"/>
              </w:rPr>
              <w:tab/>
            </w:r>
            <w:r>
              <w:rPr>
                <w:rStyle w:val="IndexLink"/>
              </w:rPr>
              <w:t>216</w:t>
            </w:r>
          </w:hyperlink>
        </w:p>
        <w:p>
          <w:pPr>
            <w:pStyle w:val="Contents6"/>
            <w:tabs>
              <w:tab w:val="clear" w:pos="7609"/>
              <w:tab w:val="right" w:pos="9026" w:leader="dot"/>
            </w:tabs>
            <w:rPr/>
          </w:pPr>
          <w:hyperlink w:anchor="__RefHeading___Toc3208713_2870459653">
            <w:r>
              <w:rPr>
                <w:webHidden/>
                <w:rStyle w:val="IndexLink"/>
                <w:rtl w:val="true"/>
              </w:rPr>
              <w:t>الأمر الآخر</w:t>
            </w:r>
            <w:r>
              <w:rPr>
                <w:rStyle w:val="IndexLink"/>
                <w:rtl w:val="true"/>
              </w:rPr>
              <w:tab/>
            </w:r>
            <w:r>
              <w:rPr>
                <w:rStyle w:val="IndexLink"/>
              </w:rPr>
              <w:t>216</w:t>
            </w:r>
          </w:hyperlink>
        </w:p>
        <w:p>
          <w:pPr>
            <w:pStyle w:val="Contents4"/>
            <w:tabs>
              <w:tab w:val="clear" w:pos="8176"/>
              <w:tab w:val="right" w:pos="9026" w:leader="dot"/>
            </w:tabs>
            <w:rPr/>
          </w:pPr>
          <w:hyperlink w:anchor="__RefHeading___Toc3208715_2870459653">
            <w:r>
              <w:rPr>
                <w:webHidden/>
                <w:rStyle w:val="IndexLink"/>
                <w:rtl w:val="true"/>
              </w:rPr>
              <w:t>التَّقسيم الثَّالث</w:t>
            </w:r>
            <w:r>
              <w:rPr>
                <w:rStyle w:val="IndexLink"/>
                <w:rtl w:val="true"/>
              </w:rPr>
              <w:t xml:space="preserve">: </w:t>
            </w:r>
            <w:r>
              <w:rPr>
                <w:rStyle w:val="IndexLink"/>
                <w:rtl w:val="true"/>
              </w:rPr>
              <w:t>تقسيم الحكومة إلى واقعيَّة وظاهريَّة</w:t>
            </w:r>
            <w:r>
              <w:rPr>
                <w:rStyle w:val="IndexLink"/>
                <w:rtl w:val="true"/>
              </w:rPr>
              <w:tab/>
            </w:r>
            <w:r>
              <w:rPr>
                <w:rStyle w:val="IndexLink"/>
              </w:rPr>
              <w:t>217</w:t>
            </w:r>
          </w:hyperlink>
        </w:p>
        <w:p>
          <w:pPr>
            <w:pStyle w:val="Contents5"/>
            <w:tabs>
              <w:tab w:val="clear" w:pos="7892"/>
              <w:tab w:val="right" w:pos="9026" w:leader="dot"/>
            </w:tabs>
            <w:rPr/>
          </w:pPr>
          <w:hyperlink w:anchor="__RefHeading___Toc3208717_2870459653">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3208719_2870459653">
            <w:r>
              <w:rPr>
                <w:webHidden/>
                <w:rStyle w:val="IndexLink"/>
                <w:rtl w:val="true"/>
              </w:rPr>
              <w:t>الجانب الأوَّل</w:t>
            </w:r>
            <w:r>
              <w:rPr>
                <w:rStyle w:val="IndexLink"/>
                <w:rtl w:val="true"/>
              </w:rPr>
              <w:t xml:space="preserve">: </w:t>
            </w:r>
            <w:r>
              <w:rPr>
                <w:rStyle w:val="IndexLink"/>
                <w:rtl w:val="true"/>
              </w:rPr>
              <w:t>في ميزان هذا التَّقسيم</w:t>
            </w:r>
            <w:r>
              <w:rPr>
                <w:rStyle w:val="IndexLink"/>
                <w:rtl w:val="true"/>
              </w:rPr>
              <w:tab/>
            </w:r>
            <w:r>
              <w:rPr>
                <w:rStyle w:val="IndexLink"/>
              </w:rPr>
              <w:t>217</w:t>
            </w:r>
          </w:hyperlink>
        </w:p>
        <w:p>
          <w:pPr>
            <w:pStyle w:val="Contents6"/>
            <w:tabs>
              <w:tab w:val="clear" w:pos="7609"/>
              <w:tab w:val="right" w:pos="9026" w:leader="dot"/>
            </w:tabs>
            <w:rPr/>
          </w:pPr>
          <w:hyperlink w:anchor="__RefHeading___Toc3208721_2870459653">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3208723_2870459653">
            <w:r>
              <w:rPr>
                <w:webHidden/>
                <w:rStyle w:val="IndexLink"/>
                <w:rtl w:val="true"/>
              </w:rPr>
              <w:t>التَّقريب الأوَّل</w:t>
            </w:r>
            <w:r>
              <w:rPr>
                <w:rStyle w:val="IndexLink"/>
                <w:rtl w:val="true"/>
              </w:rPr>
              <w:tab/>
            </w:r>
            <w:r>
              <w:rPr>
                <w:rStyle w:val="IndexLink"/>
              </w:rPr>
              <w:t>217</w:t>
            </w:r>
          </w:hyperlink>
        </w:p>
        <w:p>
          <w:pPr>
            <w:pStyle w:val="Contents6"/>
            <w:tabs>
              <w:tab w:val="clear" w:pos="7609"/>
              <w:tab w:val="right" w:pos="9026" w:leader="dot"/>
            </w:tabs>
            <w:rPr/>
          </w:pPr>
          <w:hyperlink w:anchor="__RefHeading___Toc3208725_2870459653">
            <w:r>
              <w:rPr>
                <w:webHidden/>
                <w:rStyle w:val="IndexLink"/>
                <w:rtl w:val="true"/>
              </w:rPr>
              <w:t>التَّقريب الآخر</w:t>
            </w:r>
            <w:r>
              <w:rPr>
                <w:rStyle w:val="IndexLink"/>
                <w:rtl w:val="true"/>
              </w:rPr>
              <w:tab/>
            </w:r>
            <w:r>
              <w:rPr>
                <w:rStyle w:val="IndexLink"/>
              </w:rPr>
              <w:t>218</w:t>
            </w:r>
          </w:hyperlink>
        </w:p>
        <w:p>
          <w:pPr>
            <w:pStyle w:val="Contents6"/>
            <w:tabs>
              <w:tab w:val="clear" w:pos="7609"/>
              <w:tab w:val="right" w:pos="9026" w:leader="dot"/>
            </w:tabs>
            <w:rPr/>
          </w:pPr>
          <w:hyperlink w:anchor="__RefHeading___Toc3208727_2870459653">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3208729_2870459653">
            <w:r>
              <w:rPr>
                <w:webHidden/>
                <w:rStyle w:val="IndexLink"/>
                <w:rtl w:val="true"/>
              </w:rPr>
              <w:t>الأمر الأوَّل</w:t>
            </w:r>
            <w:r>
              <w:rPr>
                <w:rStyle w:val="IndexLink"/>
                <w:rtl w:val="true"/>
              </w:rPr>
              <w:tab/>
            </w:r>
            <w:r>
              <w:rPr>
                <w:rStyle w:val="IndexLink"/>
              </w:rPr>
              <w:t>219</w:t>
            </w:r>
          </w:hyperlink>
        </w:p>
        <w:p>
          <w:pPr>
            <w:pStyle w:val="Contents6"/>
            <w:tabs>
              <w:tab w:val="clear" w:pos="7609"/>
              <w:tab w:val="right" w:pos="9026" w:leader="dot"/>
            </w:tabs>
            <w:rPr/>
          </w:pPr>
          <w:hyperlink w:anchor="__RefHeading___Toc3208731_2870459653">
            <w:r>
              <w:rPr>
                <w:webHidden/>
                <w:rStyle w:val="IndexLink"/>
                <w:rtl w:val="true"/>
              </w:rPr>
              <w:t>الأمر الآخر</w:t>
            </w:r>
            <w:r>
              <w:rPr>
                <w:rStyle w:val="IndexLink"/>
                <w:rtl w:val="true"/>
              </w:rPr>
              <w:tab/>
            </w:r>
            <w:r>
              <w:rPr>
                <w:rStyle w:val="IndexLink"/>
              </w:rPr>
              <w:t>219</w:t>
            </w:r>
          </w:hyperlink>
        </w:p>
        <w:p>
          <w:pPr>
            <w:pStyle w:val="Contents5"/>
            <w:tabs>
              <w:tab w:val="clear" w:pos="7892"/>
              <w:tab w:val="right" w:pos="9026" w:leader="dot"/>
            </w:tabs>
            <w:rPr/>
          </w:pPr>
          <w:hyperlink w:anchor="__RefHeading___Toc3208733_2870459653">
            <w:r>
              <w:rPr>
                <w:webHidden/>
                <w:rStyle w:val="IndexLink"/>
                <w:rtl w:val="true"/>
              </w:rPr>
              <w:t>الجانب الآخر</w:t>
            </w:r>
            <w:r>
              <w:rPr>
                <w:rStyle w:val="IndexLink"/>
                <w:rtl w:val="true"/>
              </w:rPr>
              <w:t xml:space="preserve">: </w:t>
            </w:r>
            <w:r>
              <w:rPr>
                <w:rStyle w:val="IndexLink"/>
                <w:rtl w:val="true"/>
              </w:rPr>
              <w:t>في صحَّة هذا التَّقسيم</w:t>
            </w:r>
            <w:r>
              <w:rPr>
                <w:rStyle w:val="IndexLink"/>
                <w:rtl w:val="true"/>
              </w:rPr>
              <w:tab/>
            </w:r>
            <w:r>
              <w:rPr>
                <w:rStyle w:val="IndexLink"/>
              </w:rPr>
              <w:t>220</w:t>
            </w:r>
          </w:hyperlink>
        </w:p>
        <w:p>
          <w:pPr>
            <w:pStyle w:val="Contents4"/>
            <w:tabs>
              <w:tab w:val="clear" w:pos="8176"/>
              <w:tab w:val="right" w:pos="9026" w:leader="dot"/>
            </w:tabs>
            <w:rPr/>
          </w:pPr>
          <w:hyperlink w:anchor="__RefHeading___Toc3208735_2870459653">
            <w:r>
              <w:rPr>
                <w:webHidden/>
                <w:rStyle w:val="IndexLink"/>
                <w:rtl w:val="true"/>
              </w:rPr>
              <w:t>التَّقسيم الرَّابع</w:t>
            </w:r>
            <w:r>
              <w:rPr>
                <w:rStyle w:val="IndexLink"/>
                <w:rtl w:val="true"/>
              </w:rPr>
              <w:tab/>
            </w:r>
            <w:r>
              <w:rPr>
                <w:rStyle w:val="IndexLink"/>
              </w:rPr>
              <w:t>220</w:t>
            </w:r>
          </w:hyperlink>
        </w:p>
        <w:p>
          <w:pPr>
            <w:pStyle w:val="Contents5"/>
            <w:tabs>
              <w:tab w:val="clear" w:pos="7892"/>
              <w:tab w:val="right" w:pos="9026" w:leader="dot"/>
            </w:tabs>
            <w:rPr/>
          </w:pPr>
          <w:hyperlink w:anchor="__RefHeading___Toc3208737_2870459653">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3208739_2870459653">
            <w:r>
              <w:rPr>
                <w:webHidden/>
                <w:rStyle w:val="IndexLink"/>
                <w:rtl w:val="true"/>
              </w:rPr>
              <w:t>القسم الأوّل</w:t>
            </w:r>
            <w:r>
              <w:rPr>
                <w:rStyle w:val="IndexLink"/>
                <w:rtl w:val="true"/>
              </w:rPr>
              <w:t xml:space="preserve">: </w:t>
            </w:r>
            <w:r>
              <w:rPr>
                <w:rStyle w:val="IndexLink"/>
                <w:rtl w:val="true"/>
              </w:rPr>
              <w:t>الحكومة على سبيل التَّوسعة</w:t>
            </w:r>
            <w:r>
              <w:rPr>
                <w:rStyle w:val="IndexLink"/>
                <w:rtl w:val="true"/>
              </w:rPr>
              <w:tab/>
            </w:r>
            <w:r>
              <w:rPr>
                <w:rStyle w:val="IndexLink"/>
              </w:rPr>
              <w:t>221</w:t>
            </w:r>
          </w:hyperlink>
        </w:p>
        <w:p>
          <w:pPr>
            <w:pStyle w:val="Contents5"/>
            <w:tabs>
              <w:tab w:val="clear" w:pos="7892"/>
              <w:tab w:val="right" w:pos="9026" w:leader="dot"/>
            </w:tabs>
            <w:rPr/>
          </w:pPr>
          <w:hyperlink w:anchor="__RefHeading___Toc3208741_2870459653">
            <w:r>
              <w:rPr>
                <w:webHidden/>
                <w:rStyle w:val="IndexLink"/>
                <w:rtl w:val="true"/>
              </w:rPr>
              <w:t>القسم الآخر</w:t>
            </w:r>
            <w:r>
              <w:rPr>
                <w:rStyle w:val="IndexLink"/>
                <w:rtl w:val="true"/>
              </w:rPr>
              <w:t xml:space="preserve">: </w:t>
            </w:r>
            <w:r>
              <w:rPr>
                <w:rStyle w:val="IndexLink"/>
                <w:rtl w:val="true"/>
              </w:rPr>
              <w:t>الحكومة على سبيل التَّضييق</w:t>
            </w:r>
            <w:r>
              <w:rPr>
                <w:rStyle w:val="IndexLink"/>
                <w:rtl w:val="true"/>
              </w:rPr>
              <w:tab/>
            </w:r>
            <w:r>
              <w:rPr>
                <w:rStyle w:val="IndexLink"/>
              </w:rPr>
              <w:t>222</w:t>
            </w:r>
          </w:hyperlink>
        </w:p>
        <w:p>
          <w:pPr>
            <w:pStyle w:val="Contents3"/>
            <w:tabs>
              <w:tab w:val="clear" w:pos="8459"/>
              <w:tab w:val="right" w:pos="9026" w:leader="dot"/>
            </w:tabs>
            <w:rPr/>
          </w:pPr>
          <w:hyperlink w:anchor="__RefHeading___Toc3208743_2870459653">
            <w:r>
              <w:rPr>
                <w:webHidden/>
                <w:rStyle w:val="IndexLink"/>
                <w:rtl w:val="true"/>
              </w:rPr>
              <w:t>الخاتمة</w:t>
            </w:r>
            <w:r>
              <w:rPr>
                <w:rStyle w:val="IndexLink"/>
                <w:rtl w:val="true"/>
              </w:rPr>
              <w:t xml:space="preserve">: </w:t>
            </w:r>
            <w:r>
              <w:rPr>
                <w:rStyle w:val="IndexLink"/>
                <w:rtl w:val="true"/>
              </w:rPr>
              <w:t>في شؤون الحكومة وأحكامها من خلال مقارنتها مع شبيهيها من الجمع العرفيّ والورود</w:t>
            </w:r>
            <w:r>
              <w:rPr>
                <w:rStyle w:val="IndexLink"/>
                <w:rtl w:val="true"/>
              </w:rPr>
              <w:tab/>
            </w:r>
            <w:r>
              <w:rPr>
                <w:rStyle w:val="IndexLink"/>
              </w:rPr>
              <w:t>223</w:t>
            </w:r>
          </w:hyperlink>
        </w:p>
        <w:p>
          <w:pPr>
            <w:pStyle w:val="Contents4"/>
            <w:tabs>
              <w:tab w:val="clear" w:pos="8176"/>
              <w:tab w:val="right" w:pos="9026" w:leader="dot"/>
            </w:tabs>
            <w:rPr/>
          </w:pPr>
          <w:hyperlink w:anchor="__RefHeading___Toc3208745_2870459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3208747_2870459653">
            <w:r>
              <w:rPr>
                <w:webHidden/>
                <w:rStyle w:val="IndexLink"/>
                <w:rtl w:val="true"/>
              </w:rPr>
              <w:t>الجهة الأولى</w:t>
            </w:r>
            <w:r>
              <w:rPr>
                <w:rStyle w:val="IndexLink"/>
                <w:rtl w:val="true"/>
              </w:rPr>
              <w:t xml:space="preserve">: </w:t>
            </w:r>
            <w:r>
              <w:rPr>
                <w:rStyle w:val="IndexLink"/>
                <w:rtl w:val="true"/>
              </w:rPr>
              <w:t>في الحكومة والجمع العرفيّ من التَّخصيص والتَّقييد ونحوهما</w:t>
            </w:r>
            <w:r>
              <w:rPr>
                <w:rStyle w:val="IndexLink"/>
                <w:rtl w:val="true"/>
              </w:rPr>
              <w:tab/>
            </w:r>
            <w:r>
              <w:rPr>
                <w:rStyle w:val="IndexLink"/>
              </w:rPr>
              <w:t>223</w:t>
            </w:r>
          </w:hyperlink>
        </w:p>
        <w:p>
          <w:pPr>
            <w:pStyle w:val="Contents5"/>
            <w:tabs>
              <w:tab w:val="clear" w:pos="7892"/>
              <w:tab w:val="right" w:pos="9026" w:leader="dot"/>
            </w:tabs>
            <w:rPr/>
          </w:pPr>
          <w:hyperlink w:anchor="__RefHeading___Toc3208749_2870459653">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3208751_2870459653">
            <w:r>
              <w:rPr>
                <w:webHidden/>
                <w:rStyle w:val="IndexLink"/>
              </w:rPr>
              <w:t>1</w:t>
            </w:r>
            <w:r>
              <w:rPr>
                <w:rStyle w:val="IndexLink"/>
                <w:rtl w:val="true"/>
              </w:rPr>
              <w:t>. (</w:t>
            </w:r>
            <w:r>
              <w:rPr>
                <w:rStyle w:val="IndexLink"/>
                <w:rtl w:val="true"/>
              </w:rPr>
              <w:t>الحكم الأوَّل</w:t>
            </w:r>
            <w:r>
              <w:rPr>
                <w:rStyle w:val="IndexLink"/>
                <w:rtl w:val="true"/>
              </w:rPr>
              <w:t xml:space="preserve">) </w:t>
            </w:r>
            <w:r>
              <w:rPr>
                <w:rStyle w:val="IndexLink"/>
                <w:rtl w:val="true"/>
              </w:rPr>
              <w:t>في التَّخصيص</w:t>
            </w:r>
            <w:r>
              <w:rPr>
                <w:rStyle w:val="IndexLink"/>
                <w:rtl w:val="true"/>
              </w:rPr>
              <w:tab/>
            </w:r>
            <w:r>
              <w:rPr>
                <w:rStyle w:val="IndexLink"/>
              </w:rPr>
              <w:t>224</w:t>
            </w:r>
          </w:hyperlink>
        </w:p>
        <w:p>
          <w:pPr>
            <w:pStyle w:val="Contents5"/>
            <w:tabs>
              <w:tab w:val="clear" w:pos="7892"/>
              <w:tab w:val="right" w:pos="9026" w:leader="dot"/>
            </w:tabs>
            <w:rPr/>
          </w:pPr>
          <w:hyperlink w:anchor="__RefHeading___Toc3208753_2870459653">
            <w:r>
              <w:rPr>
                <w:webHidden/>
                <w:rStyle w:val="IndexLink"/>
              </w:rPr>
              <w:t>2</w:t>
            </w:r>
            <w:r>
              <w:rPr>
                <w:rStyle w:val="IndexLink"/>
                <w:rtl w:val="true"/>
              </w:rPr>
              <w:t>. (</w:t>
            </w:r>
            <w:r>
              <w:rPr>
                <w:rStyle w:val="IndexLink"/>
                <w:rtl w:val="true"/>
              </w:rPr>
              <w:t>الحكم الثَّاني</w:t>
            </w:r>
            <w:r>
              <w:rPr>
                <w:rStyle w:val="IndexLink"/>
                <w:rtl w:val="true"/>
              </w:rPr>
              <w:t xml:space="preserve">) </w:t>
            </w:r>
            <w:r>
              <w:rPr>
                <w:rStyle w:val="IndexLink"/>
                <w:rtl w:val="true"/>
              </w:rPr>
              <w:t>في إجمال المخصِّص</w:t>
            </w:r>
            <w:r>
              <w:rPr>
                <w:rStyle w:val="IndexLink"/>
                <w:rtl w:val="true"/>
              </w:rPr>
              <w:tab/>
            </w:r>
            <w:r>
              <w:rPr>
                <w:rStyle w:val="IndexLink"/>
              </w:rPr>
              <w:t>227</w:t>
            </w:r>
          </w:hyperlink>
        </w:p>
        <w:p>
          <w:pPr>
            <w:pStyle w:val="Contents5"/>
            <w:tabs>
              <w:tab w:val="clear" w:pos="7892"/>
              <w:tab w:val="right" w:pos="9026" w:leader="dot"/>
            </w:tabs>
            <w:rPr/>
          </w:pPr>
          <w:hyperlink w:anchor="__RefHeading___Toc3208755_2870459653">
            <w:r>
              <w:rPr>
                <w:webHidden/>
                <w:rStyle w:val="IndexLink"/>
              </w:rPr>
              <w:t>3</w:t>
            </w:r>
            <w:r>
              <w:rPr>
                <w:rStyle w:val="IndexLink"/>
                <w:rtl w:val="true"/>
              </w:rPr>
              <w:t>. (</w:t>
            </w:r>
            <w:r>
              <w:rPr>
                <w:rStyle w:val="IndexLink"/>
                <w:rtl w:val="true"/>
              </w:rPr>
              <w:t>الحكم الثَّالث</w:t>
            </w:r>
            <w:r>
              <w:rPr>
                <w:rStyle w:val="IndexLink"/>
                <w:rtl w:val="true"/>
              </w:rPr>
              <w:t xml:space="preserve">) </w:t>
            </w:r>
            <w:r>
              <w:rPr>
                <w:rStyle w:val="IndexLink"/>
                <w:rtl w:val="true"/>
              </w:rPr>
              <w:t>في ميزان القرينيَّة في الجمع العرفيّ</w:t>
            </w:r>
            <w:r>
              <w:rPr>
                <w:rStyle w:val="IndexLink"/>
                <w:rtl w:val="true"/>
              </w:rPr>
              <w:tab/>
            </w:r>
            <w:r>
              <w:rPr>
                <w:rStyle w:val="IndexLink"/>
              </w:rPr>
              <w:t>228</w:t>
            </w:r>
          </w:hyperlink>
        </w:p>
        <w:p>
          <w:pPr>
            <w:pStyle w:val="Contents6"/>
            <w:tabs>
              <w:tab w:val="clear" w:pos="7609"/>
              <w:tab w:val="right" w:pos="9026" w:leader="dot"/>
            </w:tabs>
            <w:rPr/>
          </w:pPr>
          <w:hyperlink w:anchor="__RefHeading___Toc3208757_2870459653">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3208759_2870459653">
            <w:r>
              <w:rPr>
                <w:webHidden/>
                <w:rStyle w:val="IndexLink"/>
                <w:rtl w:val="true"/>
              </w:rPr>
              <w:t>القول الأوَّل</w:t>
            </w:r>
            <w:r>
              <w:rPr>
                <w:rStyle w:val="IndexLink"/>
                <w:rtl w:val="true"/>
              </w:rPr>
              <w:tab/>
            </w:r>
            <w:r>
              <w:rPr>
                <w:rStyle w:val="IndexLink"/>
              </w:rPr>
              <w:t>230</w:t>
            </w:r>
          </w:hyperlink>
        </w:p>
        <w:p>
          <w:pPr>
            <w:pStyle w:val="Contents6"/>
            <w:tabs>
              <w:tab w:val="clear" w:pos="7609"/>
              <w:tab w:val="right" w:pos="9026" w:leader="dot"/>
            </w:tabs>
            <w:rPr/>
          </w:pPr>
          <w:hyperlink w:anchor="__RefHeading___Toc3208761_2870459653">
            <w:r>
              <w:rPr>
                <w:webHidden/>
                <w:rStyle w:val="IndexLink"/>
                <w:rtl w:val="true"/>
              </w:rPr>
              <w:t>القول الآخر</w:t>
            </w:r>
            <w:r>
              <w:rPr>
                <w:rStyle w:val="IndexLink"/>
                <w:rtl w:val="true"/>
              </w:rPr>
              <w:tab/>
            </w:r>
            <w:r>
              <w:rPr>
                <w:rStyle w:val="IndexLink"/>
              </w:rPr>
              <w:t>230</w:t>
            </w:r>
          </w:hyperlink>
        </w:p>
        <w:p>
          <w:pPr>
            <w:pStyle w:val="Contents5"/>
            <w:tabs>
              <w:tab w:val="clear" w:pos="7892"/>
              <w:tab w:val="right" w:pos="9026" w:leader="dot"/>
            </w:tabs>
            <w:rPr/>
          </w:pPr>
          <w:hyperlink w:anchor="__RefHeading___Toc3208763_2870459653">
            <w:r>
              <w:rPr>
                <w:webHidden/>
                <w:rStyle w:val="IndexLink"/>
              </w:rPr>
              <w:t>4</w:t>
            </w:r>
            <w:r>
              <w:rPr>
                <w:rStyle w:val="IndexLink"/>
                <w:rtl w:val="true"/>
              </w:rPr>
              <w:t>. (</w:t>
            </w:r>
            <w:r>
              <w:rPr>
                <w:rStyle w:val="IndexLink"/>
                <w:rtl w:val="true"/>
              </w:rPr>
              <w:t>الحكم الرَّابع</w:t>
            </w:r>
            <w:r>
              <w:rPr>
                <w:rStyle w:val="IndexLink"/>
                <w:rtl w:val="true"/>
              </w:rPr>
              <w:t xml:space="preserve">) </w:t>
            </w:r>
            <w:r>
              <w:rPr>
                <w:rStyle w:val="IndexLink"/>
                <w:rtl w:val="true"/>
              </w:rPr>
              <w:t>في أنَّ الأدلّة يمكن أن تصنَّف بأحد الاعتبارات إلى أدلّة لفظيَّة أو لبِّية شرعيَّة كالإجماع والشهرة، أو لبِّية عقلائيَّة كالسِّيرة والارتكاز، أو أدلّة عقليَّة</w:t>
            </w:r>
            <w:r>
              <w:rPr>
                <w:rStyle w:val="IndexLink"/>
                <w:rtl w:val="true"/>
              </w:rPr>
              <w:tab/>
            </w:r>
            <w:r>
              <w:rPr>
                <w:rStyle w:val="IndexLink"/>
              </w:rPr>
              <w:t>231</w:t>
            </w:r>
          </w:hyperlink>
        </w:p>
        <w:p>
          <w:pPr>
            <w:pStyle w:val="Contents6"/>
            <w:tabs>
              <w:tab w:val="clear" w:pos="7609"/>
              <w:tab w:val="right" w:pos="9026" w:leader="dot"/>
            </w:tabs>
            <w:rPr/>
          </w:pPr>
          <w:hyperlink w:anchor="__RefHeading___Toc3208765_2870459653">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3208767_2870459653">
            <w:r>
              <w:rPr>
                <w:webHidden/>
                <w:rStyle w:val="IndexLink"/>
                <w:rtl w:val="true"/>
              </w:rPr>
              <w:t>الموضع الأوَّل</w:t>
            </w:r>
            <w:r>
              <w:rPr>
                <w:rStyle w:val="IndexLink"/>
                <w:rtl w:val="true"/>
              </w:rPr>
              <w:tab/>
            </w:r>
            <w:r>
              <w:rPr>
                <w:rStyle w:val="IndexLink"/>
              </w:rPr>
              <w:t>233</w:t>
            </w:r>
          </w:hyperlink>
        </w:p>
        <w:p>
          <w:pPr>
            <w:pStyle w:val="Contents6"/>
            <w:tabs>
              <w:tab w:val="clear" w:pos="7609"/>
              <w:tab w:val="right" w:pos="9026" w:leader="dot"/>
            </w:tabs>
            <w:rPr/>
          </w:pPr>
          <w:hyperlink w:anchor="__RefHeading___Toc3208769_2870459653">
            <w:r>
              <w:rPr>
                <w:webHidden/>
                <w:rStyle w:val="IndexLink"/>
                <w:rtl w:val="true"/>
              </w:rPr>
              <w:t>الموضع الثَّاني</w:t>
            </w:r>
            <w:r>
              <w:rPr>
                <w:rStyle w:val="IndexLink"/>
                <w:rtl w:val="true"/>
              </w:rPr>
              <w:tab/>
            </w:r>
            <w:r>
              <w:rPr>
                <w:rStyle w:val="IndexLink"/>
              </w:rPr>
              <w:t>236</w:t>
            </w:r>
          </w:hyperlink>
        </w:p>
        <w:p>
          <w:pPr>
            <w:pStyle w:val="Contents4"/>
            <w:tabs>
              <w:tab w:val="clear" w:pos="8176"/>
              <w:tab w:val="right" w:pos="9026" w:leader="dot"/>
            </w:tabs>
            <w:rPr/>
          </w:pPr>
          <w:hyperlink w:anchor="__RefHeading___Toc3208771_2870459653">
            <w:r>
              <w:rPr>
                <w:webHidden/>
                <w:rStyle w:val="IndexLink"/>
                <w:rtl w:val="true"/>
              </w:rPr>
              <w:t>الجهة الثانية</w:t>
            </w:r>
            <w:r>
              <w:rPr>
                <w:rStyle w:val="IndexLink"/>
                <w:rtl w:val="true"/>
              </w:rPr>
              <w:t xml:space="preserve">: </w:t>
            </w:r>
            <w:r>
              <w:rPr>
                <w:rStyle w:val="IndexLink"/>
                <w:rtl w:val="true"/>
              </w:rPr>
              <w:t>في الحكومة والورود</w:t>
            </w:r>
            <w:r>
              <w:rPr>
                <w:rStyle w:val="IndexLink"/>
                <w:rtl w:val="true"/>
              </w:rPr>
              <w:tab/>
            </w:r>
            <w:r>
              <w:rPr>
                <w:rStyle w:val="IndexLink"/>
              </w:rPr>
              <w:t>238</w:t>
            </w:r>
          </w:hyperlink>
        </w:p>
        <w:p>
          <w:pPr>
            <w:pStyle w:val="Contents5"/>
            <w:tabs>
              <w:tab w:val="clear" w:pos="7892"/>
              <w:tab w:val="right" w:pos="9026" w:leader="dot"/>
            </w:tabs>
            <w:rPr/>
          </w:pPr>
          <w:hyperlink w:anchor="__RefHeading___Toc3208773_2870459653">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3208775_2870459653">
            <w:r>
              <w:rPr>
                <w:webHidden/>
                <w:rStyle w:val="IndexLink"/>
                <w:rtl w:val="true"/>
              </w:rPr>
              <w:t>الجانب الأوَّل</w:t>
            </w:r>
            <w:r>
              <w:rPr>
                <w:rStyle w:val="IndexLink"/>
                <w:rtl w:val="true"/>
              </w:rPr>
              <w:t xml:space="preserve">: </w:t>
            </w:r>
            <w:r>
              <w:rPr>
                <w:rStyle w:val="IndexLink"/>
                <w:rtl w:val="true"/>
              </w:rPr>
              <w:t>الحكومة والورود على سبيل التَّضييق</w:t>
            </w:r>
            <w:r>
              <w:rPr>
                <w:rStyle w:val="IndexLink"/>
                <w:rtl w:val="true"/>
              </w:rPr>
              <w:tab/>
            </w:r>
            <w:r>
              <w:rPr>
                <w:rStyle w:val="IndexLink"/>
              </w:rPr>
              <w:t>239</w:t>
            </w:r>
          </w:hyperlink>
        </w:p>
        <w:p>
          <w:pPr>
            <w:pStyle w:val="Contents5"/>
            <w:tabs>
              <w:tab w:val="clear" w:pos="7892"/>
              <w:tab w:val="right" w:pos="9026" w:leader="dot"/>
            </w:tabs>
            <w:rPr/>
          </w:pPr>
          <w:hyperlink w:anchor="__RefHeading___Toc3208777_2870459653">
            <w:r>
              <w:rPr>
                <w:webHidden/>
                <w:rStyle w:val="IndexLink"/>
                <w:rtl w:val="true"/>
              </w:rPr>
              <w:t>الجانب الثَّاني</w:t>
            </w:r>
            <w:r>
              <w:rPr>
                <w:rStyle w:val="IndexLink"/>
                <w:rtl w:val="true"/>
              </w:rPr>
              <w:t xml:space="preserve">: </w:t>
            </w:r>
            <w:r>
              <w:rPr>
                <w:rStyle w:val="IndexLink"/>
                <w:rtl w:val="true"/>
              </w:rPr>
              <w:t>الحكومة والورود على سبيل التَّوسعة</w:t>
            </w:r>
            <w:r>
              <w:rPr>
                <w:rStyle w:val="IndexLink"/>
                <w:rtl w:val="true"/>
              </w:rPr>
              <w:tab/>
            </w:r>
            <w:r>
              <w:rPr>
                <w:rStyle w:val="IndexLink"/>
              </w:rPr>
              <w:t>241</w:t>
            </w:r>
          </w:hyperlink>
        </w:p>
        <w:p>
          <w:pPr>
            <w:pStyle w:val="Contents3"/>
            <w:tabs>
              <w:tab w:val="clear" w:pos="8459"/>
              <w:tab w:val="right" w:pos="9026" w:leader="dot"/>
            </w:tabs>
            <w:rPr/>
          </w:pPr>
          <w:hyperlink w:anchor="__RefHeading___Toc3208779_2870459653">
            <w:r>
              <w:rPr>
                <w:webHidden/>
                <w:rStyle w:val="IndexLink"/>
                <w:rtl w:val="true"/>
              </w:rPr>
              <w:t>مهم نتائج البحث</w:t>
            </w:r>
            <w:r>
              <w:rPr>
                <w:rStyle w:val="IndexLink"/>
                <w:rtl w:val="true"/>
              </w:rPr>
              <w:tab/>
            </w:r>
            <w:r>
              <w:rPr>
                <w:rStyle w:val="IndexLink"/>
              </w:rPr>
              <w:t>243</w:t>
            </w:r>
          </w:hyperlink>
        </w:p>
        <w:p>
          <w:pPr>
            <w:pStyle w:val="Contents4"/>
            <w:tabs>
              <w:tab w:val="clear" w:pos="8176"/>
              <w:tab w:val="right" w:pos="9026" w:leader="dot"/>
            </w:tabs>
            <w:rPr/>
          </w:pPr>
          <w:hyperlink w:anchor="__RefHeading___Toc3208781_2870459653">
            <w:r>
              <w:rPr>
                <w:webHidden/>
                <w:rStyle w:val="IndexLink"/>
                <w:rtl w:val="true"/>
              </w:rPr>
              <w:t>النَّتيجة الأولى</w:t>
            </w:r>
            <w:r>
              <w:rPr>
                <w:rStyle w:val="IndexLink"/>
                <w:rtl w:val="true"/>
              </w:rPr>
              <w:tab/>
            </w:r>
            <w:r>
              <w:rPr>
                <w:rStyle w:val="IndexLink"/>
              </w:rPr>
              <w:t>243</w:t>
            </w:r>
          </w:hyperlink>
        </w:p>
        <w:p>
          <w:pPr>
            <w:pStyle w:val="Contents5"/>
            <w:tabs>
              <w:tab w:val="clear" w:pos="7892"/>
              <w:tab w:val="right" w:pos="9026" w:leader="dot"/>
            </w:tabs>
            <w:rPr/>
          </w:pPr>
          <w:hyperlink w:anchor="__RefHeading___Toc3208783_2870459653">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3208785_2870459653">
            <w:r>
              <w:rPr>
                <w:webHidden/>
                <w:rStyle w:val="IndexLink"/>
                <w:rtl w:val="true"/>
              </w:rPr>
              <w:t>القول الأوَّل</w:t>
            </w:r>
            <w:r>
              <w:rPr>
                <w:rStyle w:val="IndexLink"/>
                <w:rtl w:val="true"/>
              </w:rPr>
              <w:tab/>
            </w:r>
            <w:r>
              <w:rPr>
                <w:rStyle w:val="IndexLink"/>
              </w:rPr>
              <w:t>243</w:t>
            </w:r>
          </w:hyperlink>
        </w:p>
        <w:p>
          <w:pPr>
            <w:pStyle w:val="Contents5"/>
            <w:tabs>
              <w:tab w:val="clear" w:pos="7892"/>
              <w:tab w:val="right" w:pos="9026" w:leader="dot"/>
            </w:tabs>
            <w:rPr/>
          </w:pPr>
          <w:hyperlink w:anchor="__RefHeading___Toc3208787_2870459653">
            <w:r>
              <w:rPr>
                <w:webHidden/>
                <w:rStyle w:val="IndexLink"/>
                <w:rtl w:val="true"/>
              </w:rPr>
              <w:t>القول الثَّاني</w:t>
            </w:r>
            <w:r>
              <w:rPr>
                <w:rStyle w:val="IndexLink"/>
                <w:rtl w:val="true"/>
              </w:rPr>
              <w:tab/>
            </w:r>
            <w:r>
              <w:rPr>
                <w:rStyle w:val="IndexLink"/>
              </w:rPr>
              <w:t>243</w:t>
            </w:r>
          </w:hyperlink>
        </w:p>
        <w:p>
          <w:pPr>
            <w:pStyle w:val="Contents5"/>
            <w:tabs>
              <w:tab w:val="clear" w:pos="7892"/>
              <w:tab w:val="right" w:pos="9026" w:leader="dot"/>
            </w:tabs>
            <w:rPr/>
          </w:pPr>
          <w:hyperlink w:anchor="__RefHeading___Toc3208789_2870459653">
            <w:r>
              <w:rPr>
                <w:webHidden/>
                <w:rStyle w:val="IndexLink"/>
                <w:rtl w:val="true"/>
              </w:rPr>
              <w:t>القول الثَّالث</w:t>
            </w:r>
            <w:r>
              <w:rPr>
                <w:rStyle w:val="IndexLink"/>
                <w:rtl w:val="true"/>
              </w:rPr>
              <w:tab/>
            </w:r>
            <w:r>
              <w:rPr>
                <w:rStyle w:val="IndexLink"/>
              </w:rPr>
              <w:t>243</w:t>
            </w:r>
          </w:hyperlink>
        </w:p>
        <w:p>
          <w:pPr>
            <w:pStyle w:val="Contents4"/>
            <w:tabs>
              <w:tab w:val="clear" w:pos="8176"/>
              <w:tab w:val="right" w:pos="9026" w:leader="dot"/>
            </w:tabs>
            <w:rPr/>
          </w:pPr>
          <w:hyperlink w:anchor="__RefHeading___Toc3208791_2870459653">
            <w:r>
              <w:rPr>
                <w:webHidden/>
                <w:rStyle w:val="IndexLink"/>
                <w:rtl w:val="true"/>
              </w:rPr>
              <w:t>النَّتيجة الثَّانية</w:t>
            </w:r>
            <w:r>
              <w:rPr>
                <w:rStyle w:val="IndexLink"/>
                <w:rtl w:val="true"/>
              </w:rPr>
              <w:tab/>
            </w:r>
            <w:r>
              <w:rPr>
                <w:rStyle w:val="IndexLink"/>
              </w:rPr>
              <w:t>243</w:t>
            </w:r>
          </w:hyperlink>
        </w:p>
        <w:p>
          <w:pPr>
            <w:pStyle w:val="Contents4"/>
            <w:tabs>
              <w:tab w:val="clear" w:pos="8176"/>
              <w:tab w:val="right" w:pos="9026" w:leader="dot"/>
            </w:tabs>
            <w:rPr/>
          </w:pPr>
          <w:hyperlink w:anchor="__RefHeading___Toc3208793_2870459653">
            <w:r>
              <w:rPr>
                <w:webHidden/>
                <w:rStyle w:val="IndexLink"/>
                <w:rtl w:val="true"/>
              </w:rPr>
              <w:t>النَّتيجة الثَّالثة</w:t>
            </w:r>
            <w:r>
              <w:rPr>
                <w:rStyle w:val="IndexLink"/>
                <w:rtl w:val="true"/>
              </w:rPr>
              <w:tab/>
            </w:r>
            <w:r>
              <w:rPr>
                <w:rStyle w:val="IndexLink"/>
              </w:rPr>
              <w:t>243</w:t>
            </w:r>
          </w:hyperlink>
        </w:p>
        <w:p>
          <w:pPr>
            <w:pStyle w:val="Contents4"/>
            <w:tabs>
              <w:tab w:val="clear" w:pos="8176"/>
              <w:tab w:val="right" w:pos="9026" w:leader="dot"/>
            </w:tabs>
            <w:rPr/>
          </w:pPr>
          <w:hyperlink w:anchor="__RefHeading___Toc3208795_2870459653">
            <w:r>
              <w:rPr>
                <w:webHidden/>
                <w:rStyle w:val="IndexLink"/>
                <w:rtl w:val="true"/>
              </w:rPr>
              <w:t>النَّتيجة الرَّابعة</w:t>
            </w:r>
            <w:r>
              <w:rPr>
                <w:rStyle w:val="IndexLink"/>
                <w:rtl w:val="true"/>
              </w:rPr>
              <w:tab/>
            </w:r>
            <w:r>
              <w:rPr>
                <w:rStyle w:val="IndexLink"/>
              </w:rPr>
              <w:t>244</w:t>
            </w:r>
          </w:hyperlink>
        </w:p>
        <w:p>
          <w:pPr>
            <w:pStyle w:val="Contents4"/>
            <w:tabs>
              <w:tab w:val="clear" w:pos="8176"/>
              <w:tab w:val="right" w:pos="9026" w:leader="dot"/>
            </w:tabs>
            <w:rPr/>
          </w:pPr>
          <w:hyperlink w:anchor="__RefHeading___Toc3208797_2870459653">
            <w:r>
              <w:rPr>
                <w:webHidden/>
                <w:rStyle w:val="IndexLink"/>
                <w:rtl w:val="true"/>
              </w:rPr>
              <w:t>النَّتيجة الخامسة</w:t>
            </w:r>
            <w:r>
              <w:rPr>
                <w:rStyle w:val="IndexLink"/>
                <w:rtl w:val="true"/>
              </w:rPr>
              <w:tab/>
            </w:r>
            <w:r>
              <w:rPr>
                <w:rStyle w:val="IndexLink"/>
              </w:rPr>
              <w:t>244</w:t>
            </w:r>
          </w:hyperlink>
        </w:p>
        <w:p>
          <w:pPr>
            <w:pStyle w:val="Contents4"/>
            <w:tabs>
              <w:tab w:val="clear" w:pos="8176"/>
              <w:tab w:val="right" w:pos="9026" w:leader="dot"/>
            </w:tabs>
            <w:rPr/>
          </w:pPr>
          <w:hyperlink w:anchor="__RefHeading___Toc3208799_2870459653">
            <w:r>
              <w:rPr>
                <w:webHidden/>
                <w:rStyle w:val="IndexLink"/>
                <w:rtl w:val="true"/>
              </w:rPr>
              <w:t>النَّتيجة السَّادسة</w:t>
            </w:r>
            <w:r>
              <w:rPr>
                <w:rStyle w:val="IndexLink"/>
                <w:rtl w:val="true"/>
              </w:rPr>
              <w:tab/>
            </w:r>
            <w:r>
              <w:rPr>
                <w:rStyle w:val="IndexLink"/>
              </w:rPr>
              <w:t>244</w:t>
            </w:r>
          </w:hyperlink>
        </w:p>
        <w:p>
          <w:pPr>
            <w:pStyle w:val="Contents4"/>
            <w:tabs>
              <w:tab w:val="clear" w:pos="8176"/>
              <w:tab w:val="right" w:pos="9026" w:leader="dot"/>
            </w:tabs>
            <w:rPr/>
          </w:pPr>
          <w:hyperlink w:anchor="__RefHeading___Toc3208801_2870459653">
            <w:r>
              <w:rPr>
                <w:webHidden/>
                <w:rStyle w:val="IndexLink"/>
                <w:rtl w:val="true"/>
              </w:rPr>
              <w:t>النَّتيجة السَّابعة</w:t>
            </w:r>
            <w:r>
              <w:rPr>
                <w:rStyle w:val="IndexLink"/>
                <w:rtl w:val="true"/>
              </w:rPr>
              <w:tab/>
            </w:r>
            <w:r>
              <w:rPr>
                <w:rStyle w:val="IndexLink"/>
              </w:rPr>
              <w:t>245</w:t>
            </w:r>
          </w:hyperlink>
        </w:p>
        <w:p>
          <w:pPr>
            <w:pStyle w:val="Contents3"/>
            <w:tabs>
              <w:tab w:val="clear" w:pos="8459"/>
              <w:tab w:val="right" w:pos="9026" w:leader="dot"/>
            </w:tabs>
            <w:rPr/>
          </w:pPr>
          <w:hyperlink w:anchor="__RefHeading___Toc3208803_2870459653">
            <w:r>
              <w:rPr>
                <w:webHidden/>
                <w:rStyle w:val="IndexLink"/>
                <w:rtl w:val="true"/>
              </w:rPr>
              <w:t>المصادر</w:t>
            </w:r>
            <w:r>
              <w:rPr>
                <w:rStyle w:val="IndexLink"/>
                <w:rtl w:val="true"/>
              </w:rPr>
              <w:tab/>
            </w:r>
            <w:r>
              <w:rPr>
                <w:rStyle w:val="IndexLink"/>
              </w:rPr>
              <w:t>247</w:t>
            </w:r>
          </w:hyperlink>
        </w:p>
        <w:p>
          <w:pPr>
            <w:pStyle w:val="Contents2"/>
            <w:tabs>
              <w:tab w:val="clear" w:pos="8743"/>
              <w:tab w:val="right" w:pos="9026" w:leader="dot"/>
            </w:tabs>
            <w:rPr/>
          </w:pPr>
          <w:hyperlink w:anchor="__RefHeading___Toc3208805_2870459653">
            <w:r>
              <w:rPr>
                <w:webHidden/>
                <w:rStyle w:val="IndexLink"/>
                <w:rtl w:val="true"/>
              </w:rPr>
              <w:t xml:space="preserve">تطبيق حساب الاحتمالات على ما رواهُ جميلُ بن درّاج عن بعضِ أصحابنا </w:t>
            </w:r>
            <w:r>
              <w:rPr>
                <w:rStyle w:val="IndexLink"/>
                <w:rtl w:val="true"/>
              </w:rPr>
              <w:t xml:space="preserve">- </w:t>
            </w:r>
            <w:r>
              <w:rPr>
                <w:rStyle w:val="IndexLink"/>
                <w:rtl w:val="true"/>
              </w:rPr>
              <w:t xml:space="preserve">الشيخ صلاح الرمّاحيّ </w:t>
            </w:r>
            <w:r>
              <w:rPr>
                <w:rStyle w:val="IndexLink"/>
                <w:rtl w:val="true"/>
              </w:rPr>
              <w:t>(</w:t>
            </w:r>
            <w:r>
              <w:rPr>
                <w:rStyle w:val="IndexLink"/>
                <w:rtl w:val="true"/>
              </w:rPr>
              <w:t>دام عزه</w:t>
            </w:r>
            <w:r>
              <w:rPr>
                <w:rStyle w:val="IndexLink"/>
                <w:rtl w:val="true"/>
              </w:rPr>
              <w:t>)</w:t>
              <w:tab/>
            </w:r>
            <w:r>
              <w:rPr>
                <w:rStyle w:val="IndexLink"/>
              </w:rPr>
              <w:t>253</w:t>
            </w:r>
          </w:hyperlink>
        </w:p>
        <w:p>
          <w:pPr>
            <w:pStyle w:val="Contents3"/>
            <w:tabs>
              <w:tab w:val="clear" w:pos="8459"/>
              <w:tab w:val="right" w:pos="9026" w:leader="dot"/>
            </w:tabs>
            <w:rPr/>
          </w:pPr>
          <w:hyperlink w:anchor="__RefHeading___Toc3208807_2870459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3208809_2870459653">
            <w:r>
              <w:rPr>
                <w:webHidden/>
                <w:rStyle w:val="IndexLink"/>
                <w:rtl w:val="true"/>
              </w:rPr>
              <w:t>المدخل</w:t>
            </w:r>
            <w:r>
              <w:rPr>
                <w:rStyle w:val="IndexLink"/>
                <w:rtl w:val="true"/>
              </w:rPr>
              <w:tab/>
            </w:r>
            <w:r>
              <w:rPr>
                <w:rStyle w:val="IndexLink"/>
              </w:rPr>
              <w:t>255</w:t>
            </w:r>
          </w:hyperlink>
        </w:p>
        <w:p>
          <w:pPr>
            <w:pStyle w:val="Contents3"/>
            <w:tabs>
              <w:tab w:val="clear" w:pos="8459"/>
              <w:tab w:val="right" w:pos="9026" w:leader="dot"/>
            </w:tabs>
            <w:rPr/>
          </w:pPr>
          <w:hyperlink w:anchor="__RefHeading___Toc3208811_2870459653">
            <w:r>
              <w:rPr>
                <w:webHidden/>
                <w:rStyle w:val="IndexLink"/>
                <w:rtl w:val="true"/>
              </w:rPr>
              <w:t>المبحث الأوّل</w:t>
            </w:r>
            <w:r>
              <w:rPr>
                <w:rStyle w:val="IndexLink"/>
                <w:rtl w:val="true"/>
              </w:rPr>
              <w:tab/>
            </w:r>
            <w:r>
              <w:rPr>
                <w:rStyle w:val="IndexLink"/>
              </w:rPr>
              <w:t>258</w:t>
            </w:r>
          </w:hyperlink>
        </w:p>
        <w:p>
          <w:pPr>
            <w:pStyle w:val="Contents4"/>
            <w:tabs>
              <w:tab w:val="clear" w:pos="8176"/>
              <w:tab w:val="right" w:pos="9026" w:leader="dot"/>
            </w:tabs>
            <w:rPr/>
          </w:pPr>
          <w:hyperlink w:anchor="__RefHeading___Toc3208813_2870459653">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3208815_2870459653">
            <w:r>
              <w:rPr>
                <w:webHidden/>
                <w:rStyle w:val="IndexLink"/>
                <w:rtl w:val="true"/>
              </w:rPr>
              <w:t>الأمر الأوّل</w:t>
            </w:r>
            <w:r>
              <w:rPr>
                <w:rStyle w:val="IndexLink"/>
                <w:rtl w:val="true"/>
              </w:rPr>
              <w:t xml:space="preserve">: </w:t>
            </w:r>
            <w:r>
              <w:rPr>
                <w:rStyle w:val="IndexLink"/>
                <w:rtl w:val="true"/>
              </w:rPr>
              <w:t>في بيان حال جميل بن درّاج، وأقوال الأعلام فيه، وكتبه</w:t>
            </w:r>
            <w:r>
              <w:rPr>
                <w:rStyle w:val="IndexLink"/>
                <w:rtl w:val="true"/>
              </w:rPr>
              <w:tab/>
            </w:r>
            <w:r>
              <w:rPr>
                <w:rStyle w:val="IndexLink"/>
              </w:rPr>
              <w:t>258</w:t>
            </w:r>
          </w:hyperlink>
        </w:p>
        <w:p>
          <w:pPr>
            <w:pStyle w:val="Contents4"/>
            <w:tabs>
              <w:tab w:val="clear" w:pos="8176"/>
              <w:tab w:val="right" w:pos="9026" w:leader="dot"/>
            </w:tabs>
            <w:rPr/>
          </w:pPr>
          <w:hyperlink w:anchor="__RefHeading___Toc3208817_2870459653">
            <w:r>
              <w:rPr>
                <w:webHidden/>
                <w:rStyle w:val="IndexLink"/>
                <w:rtl w:val="true"/>
              </w:rPr>
              <w:t>الأمر الثاني</w:t>
            </w:r>
            <w:r>
              <w:rPr>
                <w:rStyle w:val="IndexLink"/>
                <w:rtl w:val="true"/>
              </w:rPr>
              <w:t xml:space="preserve">: </w:t>
            </w:r>
            <w:r>
              <w:rPr>
                <w:rStyle w:val="IndexLink"/>
                <w:rtl w:val="true"/>
              </w:rPr>
              <w:t xml:space="preserve">في انصراف لفظ </w:t>
            </w:r>
            <w:r>
              <w:rPr>
                <w:rStyle w:val="IndexLink"/>
                <w:rtl w:val="true"/>
              </w:rPr>
              <w:t>(</w:t>
            </w:r>
            <w:r>
              <w:rPr>
                <w:rStyle w:val="IndexLink"/>
                <w:rtl w:val="true"/>
              </w:rPr>
              <w:t>جميل</w:t>
            </w:r>
            <w:r>
              <w:rPr>
                <w:rStyle w:val="IndexLink"/>
                <w:rtl w:val="true"/>
              </w:rPr>
              <w:t xml:space="preserve">) </w:t>
            </w:r>
            <w:r>
              <w:rPr>
                <w:rStyle w:val="IndexLink"/>
                <w:rtl w:val="true"/>
              </w:rPr>
              <w:t>عند إطلاقه إلى جميل بن درّاج</w:t>
            </w:r>
            <w:r>
              <w:rPr>
                <w:rStyle w:val="IndexLink"/>
                <w:rtl w:val="true"/>
              </w:rPr>
              <w:tab/>
            </w:r>
            <w:r>
              <w:rPr>
                <w:rStyle w:val="IndexLink"/>
              </w:rPr>
              <w:t>260</w:t>
            </w:r>
          </w:hyperlink>
        </w:p>
        <w:p>
          <w:pPr>
            <w:pStyle w:val="Contents4"/>
            <w:tabs>
              <w:tab w:val="clear" w:pos="8176"/>
              <w:tab w:val="right" w:pos="9026" w:leader="dot"/>
            </w:tabs>
            <w:rPr/>
          </w:pPr>
          <w:hyperlink w:anchor="__RefHeading___Toc3208819_2870459653">
            <w:r>
              <w:rPr>
                <w:webHidden/>
                <w:rStyle w:val="IndexLink"/>
                <w:rtl w:val="true"/>
              </w:rPr>
              <w:t>الأمر الثالث</w:t>
            </w:r>
            <w:r>
              <w:rPr>
                <w:rStyle w:val="IndexLink"/>
                <w:rtl w:val="true"/>
              </w:rPr>
              <w:t xml:space="preserve">: </w:t>
            </w:r>
            <w:r>
              <w:rPr>
                <w:rStyle w:val="IndexLink"/>
                <w:rtl w:val="true"/>
              </w:rPr>
              <w:t>في استقصاء ما رواه جميل عن بعض أصحابنا</w:t>
            </w:r>
            <w:r>
              <w:rPr>
                <w:rStyle w:val="IndexLink"/>
                <w:rtl w:val="true"/>
              </w:rPr>
              <w:tab/>
            </w:r>
            <w:r>
              <w:rPr>
                <w:rStyle w:val="IndexLink"/>
              </w:rPr>
              <w:t>262</w:t>
            </w:r>
          </w:hyperlink>
        </w:p>
        <w:p>
          <w:pPr>
            <w:pStyle w:val="Contents4"/>
            <w:tabs>
              <w:tab w:val="clear" w:pos="8176"/>
              <w:tab w:val="right" w:pos="9026" w:leader="dot"/>
            </w:tabs>
            <w:rPr/>
          </w:pPr>
          <w:hyperlink w:anchor="__RefHeading___Toc3208821_2870459653">
            <w:r>
              <w:rPr>
                <w:webHidden/>
                <w:rStyle w:val="IndexLink"/>
                <w:rtl w:val="true"/>
              </w:rPr>
              <w:t>الأمر الرابع</w:t>
            </w:r>
            <w:r>
              <w:rPr>
                <w:rStyle w:val="IndexLink"/>
                <w:rtl w:val="true"/>
              </w:rPr>
              <w:t xml:space="preserve">: </w:t>
            </w:r>
            <w:r>
              <w:rPr>
                <w:rStyle w:val="IndexLink"/>
                <w:rtl w:val="true"/>
              </w:rPr>
              <w:t>في بيان هل أنّ جميل بن درّاج روى عن مشهور بالضعف</w:t>
            </w:r>
            <w:r>
              <w:rPr>
                <w:rStyle w:val="IndexLink"/>
                <w:rtl w:val="true"/>
              </w:rPr>
              <w:tab/>
            </w:r>
            <w:r>
              <w:rPr>
                <w:rStyle w:val="IndexLink"/>
              </w:rPr>
              <w:t>268</w:t>
            </w:r>
          </w:hyperlink>
        </w:p>
        <w:p>
          <w:pPr>
            <w:pStyle w:val="Contents5"/>
            <w:tabs>
              <w:tab w:val="clear" w:pos="7892"/>
              <w:tab w:val="right" w:pos="9026" w:leader="dot"/>
            </w:tabs>
            <w:rPr/>
          </w:pPr>
          <w:hyperlink w:anchor="__RefHeading___Toc3208823_2870459653">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3208825_2870459653">
            <w:r>
              <w:rPr>
                <w:webHidden/>
                <w:rStyle w:val="IndexLink"/>
              </w:rPr>
              <w:t>1</w:t>
            </w:r>
            <w:r>
              <w:rPr>
                <w:rStyle w:val="IndexLink"/>
                <w:rtl w:val="true"/>
              </w:rPr>
              <w:t xml:space="preserve">. </w:t>
            </w:r>
            <w:r>
              <w:rPr>
                <w:rStyle w:val="IndexLink"/>
                <w:rtl w:val="true"/>
              </w:rPr>
              <w:t>حمزة بن محمّد الطيّار</w:t>
            </w:r>
            <w:r>
              <w:rPr>
                <w:rStyle w:val="IndexLink"/>
                <w:rtl w:val="true"/>
              </w:rPr>
              <w:tab/>
            </w:r>
            <w:r>
              <w:rPr>
                <w:rStyle w:val="IndexLink"/>
              </w:rPr>
              <w:t>269</w:t>
            </w:r>
          </w:hyperlink>
        </w:p>
        <w:p>
          <w:pPr>
            <w:pStyle w:val="Contents5"/>
            <w:tabs>
              <w:tab w:val="clear" w:pos="7892"/>
              <w:tab w:val="right" w:pos="9026" w:leader="dot"/>
            </w:tabs>
            <w:rPr/>
          </w:pPr>
          <w:hyperlink w:anchor="__RefHeading___Toc3208827_2870459653">
            <w:r>
              <w:rPr>
                <w:webHidden/>
                <w:rStyle w:val="IndexLink"/>
              </w:rPr>
              <w:t>2</w:t>
            </w:r>
            <w:r>
              <w:rPr>
                <w:rStyle w:val="IndexLink"/>
                <w:rtl w:val="true"/>
              </w:rPr>
              <w:t xml:space="preserve">. </w:t>
            </w:r>
            <w:r>
              <w:rPr>
                <w:rStyle w:val="IndexLink"/>
                <w:rtl w:val="true"/>
              </w:rPr>
              <w:t>زكريا بن يحيى الشعيريّ</w:t>
            </w:r>
            <w:r>
              <w:rPr>
                <w:rStyle w:val="IndexLink"/>
                <w:rtl w:val="true"/>
              </w:rPr>
              <w:tab/>
            </w:r>
            <w:r>
              <w:rPr>
                <w:rStyle w:val="IndexLink"/>
              </w:rPr>
              <w:t>269</w:t>
            </w:r>
          </w:hyperlink>
        </w:p>
        <w:p>
          <w:pPr>
            <w:pStyle w:val="Contents5"/>
            <w:tabs>
              <w:tab w:val="clear" w:pos="7892"/>
              <w:tab w:val="right" w:pos="9026" w:leader="dot"/>
            </w:tabs>
            <w:rPr/>
          </w:pPr>
          <w:hyperlink w:anchor="__RefHeading___Toc3208829_2870459653">
            <w:r>
              <w:rPr>
                <w:webHidden/>
                <w:rStyle w:val="IndexLink"/>
              </w:rPr>
              <w:t>3</w:t>
            </w:r>
            <w:r>
              <w:rPr>
                <w:rStyle w:val="IndexLink"/>
                <w:rtl w:val="true"/>
              </w:rPr>
              <w:t xml:space="preserve">. </w:t>
            </w:r>
            <w:r>
              <w:rPr>
                <w:rStyle w:val="IndexLink"/>
                <w:rtl w:val="true"/>
              </w:rPr>
              <w:t>سلمة بن محرز</w:t>
            </w:r>
            <w:r>
              <w:rPr>
                <w:rStyle w:val="IndexLink"/>
                <w:rtl w:val="true"/>
              </w:rPr>
              <w:tab/>
            </w:r>
            <w:r>
              <w:rPr>
                <w:rStyle w:val="IndexLink"/>
              </w:rPr>
              <w:t>270</w:t>
            </w:r>
          </w:hyperlink>
        </w:p>
        <w:p>
          <w:pPr>
            <w:pStyle w:val="Contents5"/>
            <w:tabs>
              <w:tab w:val="clear" w:pos="7892"/>
              <w:tab w:val="right" w:pos="9026" w:leader="dot"/>
            </w:tabs>
            <w:rPr/>
          </w:pPr>
          <w:hyperlink w:anchor="__RefHeading___Toc3208831_2870459653">
            <w:r>
              <w:rPr>
                <w:webHidden/>
                <w:rStyle w:val="IndexLink"/>
              </w:rPr>
              <w:t>4</w:t>
            </w:r>
            <w:r>
              <w:rPr>
                <w:rStyle w:val="IndexLink"/>
                <w:rtl w:val="true"/>
              </w:rPr>
              <w:t xml:space="preserve">. </w:t>
            </w:r>
            <w:r>
              <w:rPr>
                <w:rStyle w:val="IndexLink"/>
                <w:rtl w:val="true"/>
              </w:rPr>
              <w:t>عمرو بن الأشعث</w:t>
            </w:r>
            <w:r>
              <w:rPr>
                <w:rStyle w:val="IndexLink"/>
                <w:rtl w:val="true"/>
              </w:rPr>
              <w:tab/>
            </w:r>
            <w:r>
              <w:rPr>
                <w:rStyle w:val="IndexLink"/>
              </w:rPr>
              <w:t>271</w:t>
            </w:r>
          </w:hyperlink>
        </w:p>
        <w:p>
          <w:pPr>
            <w:pStyle w:val="Contents5"/>
            <w:tabs>
              <w:tab w:val="clear" w:pos="7892"/>
              <w:tab w:val="right" w:pos="9026" w:leader="dot"/>
            </w:tabs>
            <w:rPr/>
          </w:pPr>
          <w:hyperlink w:anchor="__RefHeading___Toc3208833_2870459653">
            <w:r>
              <w:rPr>
                <w:webHidden/>
                <w:rStyle w:val="IndexLink"/>
              </w:rPr>
              <w:t>5</w:t>
            </w:r>
            <w:r>
              <w:rPr>
                <w:rStyle w:val="IndexLink"/>
                <w:rtl w:val="true"/>
              </w:rPr>
              <w:t xml:space="preserve">. </w:t>
            </w:r>
            <w:r>
              <w:rPr>
                <w:rStyle w:val="IndexLink"/>
                <w:rtl w:val="true"/>
              </w:rPr>
              <w:t>عائذ الأحمسيّ</w:t>
            </w:r>
            <w:r>
              <w:rPr>
                <w:rStyle w:val="IndexLink"/>
                <w:rtl w:val="true"/>
              </w:rPr>
              <w:tab/>
            </w:r>
            <w:r>
              <w:rPr>
                <w:rStyle w:val="IndexLink"/>
              </w:rPr>
              <w:t>271</w:t>
            </w:r>
          </w:hyperlink>
        </w:p>
        <w:p>
          <w:pPr>
            <w:pStyle w:val="Contents5"/>
            <w:tabs>
              <w:tab w:val="clear" w:pos="7892"/>
              <w:tab w:val="right" w:pos="9026" w:leader="dot"/>
            </w:tabs>
            <w:rPr/>
          </w:pPr>
          <w:hyperlink w:anchor="__RefHeading___Toc3208835_2870459653">
            <w:r>
              <w:rPr>
                <w:webHidden/>
                <w:rStyle w:val="IndexLink"/>
              </w:rPr>
              <w:t>6</w:t>
            </w:r>
            <w:r>
              <w:rPr>
                <w:rStyle w:val="IndexLink"/>
                <w:rtl w:val="true"/>
              </w:rPr>
              <w:t xml:space="preserve">. </w:t>
            </w:r>
            <w:r>
              <w:rPr>
                <w:rStyle w:val="IndexLink"/>
                <w:rtl w:val="true"/>
              </w:rPr>
              <w:t>عبد الله بن عطاء</w:t>
            </w:r>
            <w:r>
              <w:rPr>
                <w:rStyle w:val="IndexLink"/>
                <w:rtl w:val="true"/>
              </w:rPr>
              <w:tab/>
            </w:r>
            <w:r>
              <w:rPr>
                <w:rStyle w:val="IndexLink"/>
              </w:rPr>
              <w:t>272</w:t>
            </w:r>
          </w:hyperlink>
        </w:p>
        <w:p>
          <w:pPr>
            <w:pStyle w:val="Contents5"/>
            <w:tabs>
              <w:tab w:val="clear" w:pos="7892"/>
              <w:tab w:val="right" w:pos="9026" w:leader="dot"/>
            </w:tabs>
            <w:rPr/>
          </w:pPr>
          <w:hyperlink w:anchor="__RefHeading___Toc3208837_2870459653">
            <w:r>
              <w:rPr>
                <w:webHidden/>
                <w:rStyle w:val="IndexLink"/>
              </w:rPr>
              <w:t>7</w:t>
            </w:r>
            <w:r>
              <w:rPr>
                <w:rStyle w:val="IndexLink"/>
                <w:rtl w:val="true"/>
              </w:rPr>
              <w:t xml:space="preserve">. </w:t>
            </w:r>
            <w:r>
              <w:rPr>
                <w:rStyle w:val="IndexLink"/>
                <w:rtl w:val="true"/>
              </w:rPr>
              <w:t>عبد الله بن محرز</w:t>
            </w:r>
            <w:r>
              <w:rPr>
                <w:rStyle w:val="IndexLink"/>
                <w:rtl w:val="true"/>
              </w:rPr>
              <w:tab/>
            </w:r>
            <w:r>
              <w:rPr>
                <w:rStyle w:val="IndexLink"/>
              </w:rPr>
              <w:t>272</w:t>
            </w:r>
          </w:hyperlink>
        </w:p>
        <w:p>
          <w:pPr>
            <w:pStyle w:val="Contents5"/>
            <w:tabs>
              <w:tab w:val="clear" w:pos="7892"/>
              <w:tab w:val="right" w:pos="9026" w:leader="dot"/>
            </w:tabs>
            <w:rPr/>
          </w:pPr>
          <w:hyperlink w:anchor="__RefHeading___Toc3208839_2870459653">
            <w:r>
              <w:rPr>
                <w:webHidden/>
                <w:rStyle w:val="IndexLink"/>
              </w:rPr>
              <w:t>8</w:t>
            </w:r>
            <w:r>
              <w:rPr>
                <w:rStyle w:val="IndexLink"/>
                <w:rtl w:val="true"/>
              </w:rPr>
              <w:t xml:space="preserve">. </w:t>
            </w:r>
            <w:r>
              <w:rPr>
                <w:rStyle w:val="IndexLink"/>
                <w:rtl w:val="true"/>
              </w:rPr>
              <w:t>عنبسة</w:t>
            </w:r>
            <w:r>
              <w:rPr>
                <w:rStyle w:val="IndexLink"/>
                <w:rtl w:val="true"/>
              </w:rPr>
              <w:tab/>
            </w:r>
            <w:r>
              <w:rPr>
                <w:rStyle w:val="IndexLink"/>
              </w:rPr>
              <w:t>272</w:t>
            </w:r>
          </w:hyperlink>
        </w:p>
        <w:p>
          <w:pPr>
            <w:pStyle w:val="Contents5"/>
            <w:tabs>
              <w:tab w:val="clear" w:pos="7892"/>
              <w:tab w:val="right" w:pos="9026" w:leader="dot"/>
            </w:tabs>
            <w:rPr/>
          </w:pPr>
          <w:hyperlink w:anchor="__RefHeading___Toc3208841_2870459653">
            <w:r>
              <w:rPr>
                <w:webHidden/>
                <w:rStyle w:val="IndexLink"/>
              </w:rPr>
              <w:t>9</w:t>
            </w:r>
            <w:r>
              <w:rPr>
                <w:rStyle w:val="IndexLink"/>
                <w:rtl w:val="true"/>
              </w:rPr>
              <w:t xml:space="preserve">. </w:t>
            </w:r>
            <w:r>
              <w:rPr>
                <w:rStyle w:val="IndexLink"/>
                <w:rtl w:val="true"/>
              </w:rPr>
              <w:t>عليّ الأزرق</w:t>
            </w:r>
            <w:r>
              <w:rPr>
                <w:rStyle w:val="IndexLink"/>
                <w:rtl w:val="true"/>
              </w:rPr>
              <w:tab/>
            </w:r>
            <w:r>
              <w:rPr>
                <w:rStyle w:val="IndexLink"/>
              </w:rPr>
              <w:t>273</w:t>
            </w:r>
          </w:hyperlink>
        </w:p>
        <w:p>
          <w:pPr>
            <w:pStyle w:val="Contents5"/>
            <w:tabs>
              <w:tab w:val="clear" w:pos="7892"/>
              <w:tab w:val="right" w:pos="9026" w:leader="dot"/>
            </w:tabs>
            <w:rPr/>
          </w:pPr>
          <w:hyperlink w:anchor="__RefHeading___Toc3208843_2870459653">
            <w:r>
              <w:rPr>
                <w:webHidden/>
                <w:rStyle w:val="IndexLink"/>
              </w:rPr>
              <w:t>10</w:t>
            </w:r>
            <w:r>
              <w:rPr>
                <w:rStyle w:val="IndexLink"/>
                <w:rtl w:val="true"/>
              </w:rPr>
              <w:t xml:space="preserve">. </w:t>
            </w:r>
            <w:r>
              <w:rPr>
                <w:rStyle w:val="IndexLink"/>
                <w:rtl w:val="true"/>
              </w:rPr>
              <w:t>منصور الصيقل</w:t>
            </w:r>
            <w:r>
              <w:rPr>
                <w:rStyle w:val="IndexLink"/>
                <w:rtl w:val="true"/>
              </w:rPr>
              <w:tab/>
            </w:r>
            <w:r>
              <w:rPr>
                <w:rStyle w:val="IndexLink"/>
              </w:rPr>
              <w:t>274</w:t>
            </w:r>
          </w:hyperlink>
        </w:p>
        <w:p>
          <w:pPr>
            <w:pStyle w:val="Contents5"/>
            <w:tabs>
              <w:tab w:val="clear" w:pos="7892"/>
              <w:tab w:val="right" w:pos="9026" w:leader="dot"/>
            </w:tabs>
            <w:rPr/>
          </w:pPr>
          <w:hyperlink w:anchor="__RefHeading___Toc3208845_2870459653">
            <w:r>
              <w:rPr>
                <w:webHidden/>
                <w:rStyle w:val="IndexLink"/>
              </w:rPr>
              <w:t>11</w:t>
            </w:r>
            <w:r>
              <w:rPr>
                <w:rStyle w:val="IndexLink"/>
                <w:rtl w:val="true"/>
              </w:rPr>
              <w:t xml:space="preserve">. </w:t>
            </w:r>
            <w:r>
              <w:rPr>
                <w:rStyle w:val="IndexLink"/>
                <w:rtl w:val="true"/>
              </w:rPr>
              <w:t>الحسن بن شهاب</w:t>
            </w:r>
            <w:r>
              <w:rPr>
                <w:rStyle w:val="IndexLink"/>
                <w:rtl w:val="true"/>
              </w:rPr>
              <w:tab/>
            </w:r>
            <w:r>
              <w:rPr>
                <w:rStyle w:val="IndexLink"/>
              </w:rPr>
              <w:t>274</w:t>
            </w:r>
          </w:hyperlink>
        </w:p>
        <w:p>
          <w:pPr>
            <w:pStyle w:val="Contents5"/>
            <w:tabs>
              <w:tab w:val="clear" w:pos="7892"/>
              <w:tab w:val="right" w:pos="9026" w:leader="dot"/>
            </w:tabs>
            <w:rPr/>
          </w:pPr>
          <w:hyperlink w:anchor="__RefHeading___Toc3208847_2870459653">
            <w:r>
              <w:rPr>
                <w:webHidden/>
                <w:rStyle w:val="IndexLink"/>
              </w:rPr>
              <w:t>12</w:t>
            </w:r>
            <w:r>
              <w:rPr>
                <w:rStyle w:val="IndexLink"/>
                <w:rtl w:val="true"/>
              </w:rPr>
              <w:t xml:space="preserve">. </w:t>
            </w:r>
            <w:r>
              <w:rPr>
                <w:rStyle w:val="IndexLink"/>
                <w:rtl w:val="true"/>
              </w:rPr>
              <w:t>يونس بن ظبيان</w:t>
            </w:r>
            <w:r>
              <w:rPr>
                <w:rStyle w:val="IndexLink"/>
                <w:rtl w:val="true"/>
              </w:rPr>
              <w:tab/>
            </w:r>
            <w:r>
              <w:rPr>
                <w:rStyle w:val="IndexLink"/>
              </w:rPr>
              <w:t>274</w:t>
            </w:r>
          </w:hyperlink>
        </w:p>
        <w:p>
          <w:pPr>
            <w:pStyle w:val="Contents3"/>
            <w:tabs>
              <w:tab w:val="clear" w:pos="8459"/>
              <w:tab w:val="right" w:pos="9026" w:leader="dot"/>
            </w:tabs>
            <w:rPr/>
          </w:pPr>
          <w:hyperlink w:anchor="__RefHeading___Toc3208849_2870459653">
            <w:r>
              <w:rPr>
                <w:webHidden/>
                <w:rStyle w:val="IndexLink"/>
                <w:rtl w:val="true"/>
              </w:rPr>
              <w:t>المبحث الثاني</w:t>
            </w:r>
            <w:r>
              <w:rPr>
                <w:rStyle w:val="IndexLink"/>
                <w:rtl w:val="true"/>
              </w:rPr>
              <w:t xml:space="preserve">: </w:t>
            </w:r>
            <w:r>
              <w:rPr>
                <w:rStyle w:val="IndexLink"/>
                <w:rtl w:val="true"/>
              </w:rPr>
              <w:t>في تطبيق حساب الاحتمالات على روايات جميل</w:t>
            </w:r>
            <w:r>
              <w:rPr>
                <w:rStyle w:val="IndexLink"/>
                <w:rtl w:val="true"/>
              </w:rPr>
              <w:tab/>
            </w:r>
            <w:r>
              <w:rPr>
                <w:rStyle w:val="IndexLink"/>
              </w:rPr>
              <w:t>276</w:t>
            </w:r>
          </w:hyperlink>
        </w:p>
        <w:p>
          <w:pPr>
            <w:pStyle w:val="Contents4"/>
            <w:tabs>
              <w:tab w:val="clear" w:pos="8176"/>
              <w:tab w:val="right" w:pos="9026" w:leader="dot"/>
            </w:tabs>
            <w:rPr/>
          </w:pPr>
          <w:hyperlink w:anchor="__RefHeading___Toc3208851_2870459653">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3208853_2870459653">
            <w:r>
              <w:rPr>
                <w:webHidden/>
                <w:rStyle w:val="IndexLink"/>
                <w:rtl w:val="true"/>
              </w:rPr>
              <w:t>الحالة الأولى</w:t>
            </w:r>
            <w:r>
              <w:rPr>
                <w:rStyle w:val="IndexLink"/>
                <w:rtl w:val="true"/>
              </w:rPr>
              <w:tab/>
            </w:r>
            <w:r>
              <w:rPr>
                <w:rStyle w:val="IndexLink"/>
              </w:rPr>
              <w:t>277</w:t>
            </w:r>
          </w:hyperlink>
        </w:p>
        <w:p>
          <w:pPr>
            <w:pStyle w:val="Contents4"/>
            <w:tabs>
              <w:tab w:val="clear" w:pos="8176"/>
              <w:tab w:val="right" w:pos="9026" w:leader="dot"/>
            </w:tabs>
            <w:rPr/>
          </w:pPr>
          <w:hyperlink w:anchor="__RefHeading___Toc3208855_2870459653">
            <w:r>
              <w:rPr>
                <w:webHidden/>
                <w:rStyle w:val="IndexLink"/>
                <w:rtl w:val="true"/>
              </w:rPr>
              <w:t>الحالة الثانية</w:t>
            </w:r>
            <w:r>
              <w:rPr>
                <w:rStyle w:val="IndexLink"/>
                <w:rtl w:val="true"/>
              </w:rPr>
              <w:tab/>
            </w:r>
            <w:r>
              <w:rPr>
                <w:rStyle w:val="IndexLink"/>
              </w:rPr>
              <w:t>277</w:t>
            </w:r>
          </w:hyperlink>
        </w:p>
        <w:p>
          <w:pPr>
            <w:pStyle w:val="Contents4"/>
            <w:tabs>
              <w:tab w:val="clear" w:pos="8176"/>
              <w:tab w:val="right" w:pos="9026" w:leader="dot"/>
            </w:tabs>
            <w:rPr/>
          </w:pPr>
          <w:hyperlink w:anchor="__RefHeading___Toc3208857_2870459653">
            <w:r>
              <w:rPr>
                <w:webHidden/>
                <w:rStyle w:val="IndexLink"/>
                <w:rtl w:val="true"/>
              </w:rPr>
              <w:t>الحالة الثالثة</w:t>
            </w:r>
            <w:r>
              <w:rPr>
                <w:rStyle w:val="IndexLink"/>
                <w:rtl w:val="true"/>
              </w:rPr>
              <w:tab/>
            </w:r>
            <w:r>
              <w:rPr>
                <w:rStyle w:val="IndexLink"/>
              </w:rPr>
              <w:t>278</w:t>
            </w:r>
          </w:hyperlink>
        </w:p>
        <w:p>
          <w:pPr>
            <w:pStyle w:val="Contents3"/>
            <w:tabs>
              <w:tab w:val="clear" w:pos="8459"/>
              <w:tab w:val="right" w:pos="9026" w:leader="dot"/>
            </w:tabs>
            <w:rPr/>
          </w:pPr>
          <w:hyperlink w:anchor="__RefHeading___Toc3208859_2870459653">
            <w:r>
              <w:rPr>
                <w:webHidden/>
                <w:rStyle w:val="IndexLink"/>
                <w:rtl w:val="true"/>
              </w:rPr>
              <w:t>الخاتمة</w:t>
            </w:r>
            <w:r>
              <w:rPr>
                <w:rStyle w:val="IndexLink"/>
                <w:rtl w:val="true"/>
              </w:rPr>
              <w:t xml:space="preserve">: </w:t>
            </w:r>
            <w:r>
              <w:rPr>
                <w:rStyle w:val="IndexLink"/>
                <w:rtl w:val="true"/>
              </w:rPr>
              <w:t>في خلاصة النتائج التي توصّلنا إليها من خلال الطرح المتقدّم</w:t>
            </w:r>
            <w:r>
              <w:rPr>
                <w:rStyle w:val="IndexLink"/>
                <w:rtl w:val="true"/>
              </w:rPr>
              <w:tab/>
            </w:r>
            <w:r>
              <w:rPr>
                <w:rStyle w:val="IndexLink"/>
              </w:rPr>
              <w:t>280</w:t>
            </w:r>
          </w:hyperlink>
        </w:p>
        <w:p>
          <w:pPr>
            <w:pStyle w:val="Contents3"/>
            <w:tabs>
              <w:tab w:val="clear" w:pos="8459"/>
              <w:tab w:val="right" w:pos="9026" w:leader="dot"/>
            </w:tabs>
            <w:rPr/>
          </w:pPr>
          <w:hyperlink w:anchor="__RefHeading___Toc3208861_2870459653">
            <w:r>
              <w:rPr>
                <w:webHidden/>
                <w:rStyle w:val="IndexLink"/>
                <w:rtl w:val="true"/>
              </w:rPr>
              <w:t>المصادر</w:t>
            </w:r>
            <w:r>
              <w:rPr>
                <w:rStyle w:val="IndexLink"/>
                <w:rtl w:val="true"/>
              </w:rPr>
              <w:tab/>
            </w:r>
            <w:r>
              <w:rPr>
                <w:rStyle w:val="IndexLink"/>
              </w:rPr>
              <w:t>281</w:t>
            </w:r>
          </w:hyperlink>
        </w:p>
        <w:p>
          <w:pPr>
            <w:pStyle w:val="Contents2"/>
            <w:tabs>
              <w:tab w:val="clear" w:pos="8743"/>
              <w:tab w:val="right" w:pos="9026" w:leader="dot"/>
            </w:tabs>
            <w:rPr/>
          </w:pPr>
          <w:hyperlink w:anchor="__RefHeading___Toc3208863_2870459653">
            <w:r>
              <w:rPr>
                <w:webHidden/>
                <w:rStyle w:val="IndexLink"/>
                <w:rtl w:val="true"/>
              </w:rPr>
              <w:t xml:space="preserve">تعليقة على رجالي الطوسيّ والنجاشيّ </w:t>
            </w:r>
            <w:r>
              <w:rPr>
                <w:rStyle w:val="IndexLink"/>
                <w:rtl w:val="true"/>
              </w:rPr>
              <w:t>(</w:t>
            </w:r>
            <w:r>
              <w:rPr>
                <w:rStyle w:val="IndexLink"/>
                <w:rtl w:val="true"/>
              </w:rPr>
              <w:t>رضوان الله تعالی علیهما</w:t>
            </w:r>
            <w:r>
              <w:rPr>
                <w:rStyle w:val="IndexLink"/>
                <w:rtl w:val="true"/>
              </w:rPr>
              <w:t xml:space="preserve">) </w:t>
            </w:r>
            <w:r>
              <w:rPr>
                <w:rStyle w:val="IndexLink"/>
                <w:rtl w:val="true"/>
              </w:rPr>
              <w:t xml:space="preserve">للمحقّق الداماد </w:t>
            </w:r>
            <w:r>
              <w:rPr>
                <w:rStyle w:val="IndexLink"/>
                <w:rtl w:val="true"/>
              </w:rPr>
              <w:t>(</w:t>
            </w:r>
            <w:r>
              <w:rPr>
                <w:rStyle w:val="IndexLink"/>
                <w:rtl w:val="true"/>
              </w:rPr>
              <w:t>قدس سره</w:t>
            </w:r>
            <w:r>
              <w:rPr>
                <w:rStyle w:val="IndexLink"/>
                <w:rtl w:val="true"/>
              </w:rPr>
              <w:t xml:space="preserve">) - </w:t>
            </w:r>
            <w:r>
              <w:rPr>
                <w:rStyle w:val="IndexLink"/>
                <w:rtl w:val="true"/>
              </w:rPr>
              <w:t xml:space="preserve">السّيّد جعفر الحسينيّ الإشكوريّ </w:t>
            </w:r>
            <w:r>
              <w:rPr>
                <w:rStyle w:val="IndexLink"/>
                <w:rtl w:val="true"/>
              </w:rPr>
              <w:t>(</w:t>
            </w:r>
            <w:r>
              <w:rPr>
                <w:rStyle w:val="IndexLink"/>
                <w:rtl w:val="true"/>
              </w:rPr>
              <w:t>دام عزه</w:t>
            </w:r>
            <w:r>
              <w:rPr>
                <w:rStyle w:val="IndexLink"/>
                <w:rtl w:val="true"/>
              </w:rPr>
              <w:t>)</w:t>
              <w:tab/>
            </w:r>
            <w:r>
              <w:rPr>
                <w:rStyle w:val="IndexLink"/>
              </w:rPr>
              <w:t>287</w:t>
            </w:r>
          </w:hyperlink>
        </w:p>
        <w:p>
          <w:pPr>
            <w:pStyle w:val="Contents3"/>
            <w:tabs>
              <w:tab w:val="clear" w:pos="8459"/>
              <w:tab w:val="right" w:pos="9026" w:leader="dot"/>
            </w:tabs>
            <w:rPr/>
          </w:pPr>
          <w:hyperlink w:anchor="__RefHeading___Toc3208865_2870459653">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3208867_2870459653">
            <w:r>
              <w:rPr>
                <w:webHidden/>
                <w:rStyle w:val="IndexLink"/>
                <w:rtl w:val="true"/>
              </w:rPr>
              <w:t>مقدّمة التحقيق</w:t>
            </w:r>
            <w:r>
              <w:rPr>
                <w:rStyle w:val="IndexLink"/>
                <w:rtl w:val="true"/>
              </w:rPr>
              <w:tab/>
            </w:r>
            <w:r>
              <w:rPr>
                <w:rStyle w:val="IndexLink"/>
              </w:rPr>
              <w:t>289</w:t>
            </w:r>
          </w:hyperlink>
        </w:p>
        <w:p>
          <w:pPr>
            <w:pStyle w:val="Contents4"/>
            <w:tabs>
              <w:tab w:val="clear" w:pos="8176"/>
              <w:tab w:val="right" w:pos="9026" w:leader="dot"/>
            </w:tabs>
            <w:rPr/>
          </w:pPr>
          <w:hyperlink w:anchor="__RefHeading___Toc3208869_2870459653">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3208871_2870459653">
            <w:r>
              <w:rPr>
                <w:webHidden/>
                <w:rStyle w:val="IndexLink"/>
                <w:rtl w:val="true"/>
              </w:rPr>
              <w:t>طريقي في العمل</w:t>
            </w:r>
            <w:r>
              <w:rPr>
                <w:rStyle w:val="IndexLink"/>
                <w:rtl w:val="true"/>
              </w:rPr>
              <w:tab/>
            </w:r>
            <w:r>
              <w:rPr>
                <w:rStyle w:val="IndexLink"/>
              </w:rPr>
              <w:t>290</w:t>
            </w:r>
          </w:hyperlink>
        </w:p>
        <w:p>
          <w:pPr>
            <w:pStyle w:val="Contents3"/>
            <w:tabs>
              <w:tab w:val="clear" w:pos="8459"/>
              <w:tab w:val="right" w:pos="9026" w:leader="dot"/>
            </w:tabs>
            <w:rPr/>
          </w:pPr>
          <w:hyperlink w:anchor="__RefHeading___Toc3208873_2870459653">
            <w:r>
              <w:rPr>
                <w:webHidden/>
                <w:rStyle w:val="IndexLink"/>
                <w:rtl w:val="true"/>
              </w:rPr>
              <w:t xml:space="preserve">تعليقة على رجال الطوسيّ </w:t>
            </w:r>
            <w:r>
              <w:rPr>
                <w:rStyle w:val="IndexLink"/>
                <w:rtl w:val="true"/>
              </w:rPr>
              <w:t>(</w:t>
            </w:r>
            <w:r>
              <w:rPr>
                <w:rStyle w:val="IndexLink"/>
                <w:rtl w:val="true"/>
              </w:rPr>
              <w:t>قدس سره</w:t>
            </w:r>
            <w:r>
              <w:rPr>
                <w:rStyle w:val="IndexLink"/>
                <w:rtl w:val="true"/>
              </w:rPr>
              <w:t>)</w:t>
              <w:tab/>
            </w:r>
            <w:r>
              <w:rPr>
                <w:rStyle w:val="IndexLink"/>
              </w:rPr>
              <w:t>293</w:t>
            </w:r>
          </w:hyperlink>
        </w:p>
        <w:p>
          <w:pPr>
            <w:pStyle w:val="Contents3"/>
            <w:tabs>
              <w:tab w:val="clear" w:pos="8459"/>
              <w:tab w:val="right" w:pos="9026" w:leader="dot"/>
            </w:tabs>
            <w:rPr/>
          </w:pPr>
          <w:hyperlink w:anchor="__RefHeading___Toc3208875_2870459653">
            <w:r>
              <w:rPr>
                <w:webHidden/>
                <w:rStyle w:val="IndexLink"/>
                <w:rtl w:val="true"/>
              </w:rPr>
              <w:t xml:space="preserve">تعليقة على رجال النجاشيّ </w:t>
            </w:r>
            <w:r>
              <w:rPr>
                <w:rStyle w:val="IndexLink"/>
                <w:rtl w:val="true"/>
              </w:rPr>
              <w:t>(</w:t>
            </w:r>
            <w:r>
              <w:rPr>
                <w:rStyle w:val="IndexLink"/>
                <w:rtl w:val="true"/>
              </w:rPr>
              <w:t>رحمة الله</w:t>
            </w:r>
            <w:r>
              <w:rPr>
                <w:rStyle w:val="IndexLink"/>
                <w:rtl w:val="true"/>
              </w:rPr>
              <w:t>)</w:t>
              <w:tab/>
            </w:r>
            <w:r>
              <w:rPr>
                <w:rStyle w:val="IndexLink"/>
              </w:rPr>
              <w:t>319</w:t>
            </w:r>
          </w:hyperlink>
        </w:p>
        <w:p>
          <w:pPr>
            <w:pStyle w:val="Contents3"/>
            <w:tabs>
              <w:tab w:val="clear" w:pos="8459"/>
              <w:tab w:val="right" w:pos="9026" w:leader="dot"/>
            </w:tabs>
            <w:rPr/>
          </w:pPr>
          <w:hyperlink w:anchor="__RefHeading___Toc3208877_2870459653">
            <w:r>
              <w:rPr>
                <w:webHidden/>
                <w:rStyle w:val="IndexLink"/>
                <w:rtl w:val="true"/>
              </w:rPr>
              <w:t>مصادر التحقيق</w:t>
            </w:r>
            <w:r>
              <w:rPr>
                <w:rStyle w:val="IndexLink"/>
                <w:rtl w:val="true"/>
              </w:rPr>
              <w:tab/>
            </w:r>
            <w:r>
              <w:rPr>
                <w:rStyle w:val="IndexLink"/>
              </w:rPr>
              <w:t>348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32_87488"/>
      <w:bookmarkStart w:id="1" w:name="pg10932_87488"/>
      <w:bookmarkEnd w:id="1"/>
    </w:p>
    <w:p>
      <w:pPr>
        <w:pStyle w:val="Heading2"/>
        <w:numPr>
          <w:ilvl w:val="1"/>
          <w:numId w:val="1"/>
        </w:numPr>
        <w:rPr/>
      </w:pPr>
      <w:bookmarkStart w:id="2" w:name="pg10932_87488"/>
      <w:bookmarkStart w:id="3" w:name="__RefHeading___Toc3208333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الهيأة العلمية</w:t>
      </w:r>
    </w:p>
    <w:p>
      <w:pPr>
        <w:pStyle w:val="BookText"/>
        <w:rPr/>
      </w:pPr>
      <w:r>
        <w:rPr>
          <w:rFonts w:ascii="Amiri" w:hAnsi="Amiri" w:eastAsia="Amiri" w:cs="Amiri"/>
          <w:color w:val="111111"/>
          <w:sz w:val="28"/>
          <w:sz w:val="28"/>
          <w:szCs w:val="28"/>
          <w:rtl w:val="true"/>
          <w:lang w:bidi="ar-SA"/>
        </w:rPr>
        <w:t>عدد من أساتذة الحوزة العلمية في النجف الأشرف</w:t>
      </w:r>
    </w:p>
    <w:p>
      <w:pPr>
        <w:pStyle w:val="BookText"/>
        <w:rPr/>
      </w:pPr>
      <w:r>
        <w:rPr>
          <w:rFonts w:ascii="Amiri" w:hAnsi="Amiri" w:eastAsia="Amiri" w:cs="Amiri"/>
          <w:color w:val="111111"/>
          <w:sz w:val="28"/>
          <w:sz w:val="28"/>
          <w:szCs w:val="28"/>
          <w:rtl w:val="true"/>
          <w:lang w:bidi="ar-SA"/>
        </w:rPr>
        <w:t>رئيس التحرير</w:t>
      </w:r>
    </w:p>
    <w:p>
      <w:pPr>
        <w:pStyle w:val="BookText"/>
        <w:rPr/>
      </w:pPr>
      <w:r>
        <w:rPr>
          <w:rFonts w:ascii="Amiri" w:hAnsi="Amiri" w:eastAsia="Amiri" w:cs="Amiri"/>
          <w:color w:val="111111"/>
          <w:sz w:val="28"/>
          <w:sz w:val="28"/>
          <w:szCs w:val="28"/>
          <w:rtl w:val="true"/>
          <w:lang w:bidi="ar-SA"/>
        </w:rPr>
        <w:t>السيد جواد الموسوي الغريفي</w:t>
      </w:r>
    </w:p>
    <w:p>
      <w:pPr>
        <w:pStyle w:val="BookText"/>
        <w:rPr/>
      </w:pPr>
      <w:r>
        <w:rPr>
          <w:rFonts w:ascii="Amiri" w:hAnsi="Amiri" w:eastAsia="Amiri" w:cs="Amiri"/>
          <w:color w:val="111111"/>
          <w:sz w:val="28"/>
          <w:sz w:val="28"/>
          <w:szCs w:val="28"/>
          <w:rtl w:val="true"/>
          <w:lang w:bidi="ar-SA"/>
        </w:rPr>
        <w:t>هيأة التحرير</w:t>
      </w:r>
    </w:p>
    <w:p>
      <w:pPr>
        <w:pStyle w:val="BookText"/>
        <w:rPr/>
      </w:pPr>
      <w:r>
        <w:rPr>
          <w:rFonts w:ascii="Amiri" w:hAnsi="Amiri" w:eastAsia="Amiri" w:cs="Amiri"/>
          <w:color w:val="111111"/>
          <w:sz w:val="28"/>
          <w:sz w:val="28"/>
          <w:szCs w:val="28"/>
          <w:rtl w:val="true"/>
          <w:lang w:bidi="ar-SA"/>
        </w:rPr>
        <w:t>السيد علي البعاج</w:t>
      </w:r>
    </w:p>
    <w:p>
      <w:pPr>
        <w:pStyle w:val="BookText"/>
        <w:rPr/>
      </w:pPr>
      <w:r>
        <w:rPr>
          <w:rFonts w:ascii="Amiri" w:hAnsi="Amiri" w:eastAsia="Amiri" w:cs="Amiri"/>
          <w:color w:val="111111"/>
          <w:sz w:val="28"/>
          <w:sz w:val="28"/>
          <w:szCs w:val="28"/>
          <w:rtl w:val="true"/>
          <w:lang w:bidi="ar-SA"/>
        </w:rPr>
        <w:t>الشيخ محمد الجعفري</w:t>
      </w:r>
    </w:p>
    <w:p>
      <w:pPr>
        <w:pStyle w:val="BookText"/>
        <w:rPr/>
      </w:pPr>
      <w:r>
        <w:rPr>
          <w:rFonts w:ascii="Amiri" w:hAnsi="Amiri" w:eastAsia="Amiri" w:cs="Amiri"/>
          <w:color w:val="111111"/>
          <w:sz w:val="28"/>
          <w:sz w:val="28"/>
          <w:szCs w:val="28"/>
          <w:rtl w:val="true"/>
          <w:lang w:bidi="ar-SA"/>
        </w:rPr>
        <w:t>الشيخ قاسم الطائي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دراسات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الرابع عشر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p>
    <w:p>
      <w:pPr>
        <w:pStyle w:val="BookText"/>
        <w:rPr/>
      </w:pPr>
      <w:r>
        <w:rPr>
          <w:rFonts w:ascii="IRNazanin" w:hAnsi="IRNazanin" w:eastAsia="IRNazanin"/>
          <w:color w:val="111111"/>
          <w:sz w:val="28"/>
          <w:sz w:val="28"/>
          <w:szCs w:val="28"/>
          <w:rtl w:val="true"/>
          <w:lang w:bidi="fa-IR"/>
        </w:rPr>
        <w:t>صورة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تعليقة المحقق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الشريف على رجال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والمنشورة في هذا العدد</w:t>
      </w:r>
      <w:r>
        <w:rPr>
          <w:rFonts w:eastAsia="IRNazanin" w:cs="IRNazanin"/>
          <w:color w:val="111111"/>
          <w:sz w:val="28"/>
          <w:szCs w:val="28"/>
          <w:rtl w:val="true"/>
          <w:lang w:bidi="fa-IR"/>
        </w:rPr>
        <w:t>.</w:t>
      </w:r>
    </w:p>
    <w:p>
      <w:pPr>
        <w:pStyle w:val="Heading2"/>
        <w:numPr>
          <w:ilvl w:val="1"/>
          <w:numId w:val="1"/>
        </w:numPr>
        <w:rPr/>
      </w:pPr>
      <w:bookmarkStart w:id="5" w:name="__RefHeading___Toc3208335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دراسات علمية</w:t>
      </w:r>
    </w:p>
    <w:p>
      <w:pPr>
        <w:pStyle w:val="BookText"/>
        <w:rPr/>
      </w:pPr>
      <w:r>
        <w:rPr>
          <w:rFonts w:ascii="Amiri" w:hAnsi="Amiri" w:eastAsia="Amiri" w:cs="Amiri"/>
          <w:color w:val="111111"/>
          <w:sz w:val="28"/>
          <w:sz w:val="28"/>
          <w:szCs w:val="28"/>
          <w:rtl w:val="true"/>
          <w:lang w:bidi="ar-SA"/>
        </w:rPr>
        <w:t>مجلة نصف سنونية تصدر عن المدرسة العلمية الاخون الصغرى في النجف الأشرف</w:t>
      </w:r>
    </w:p>
    <w:p>
      <w:pPr>
        <w:pStyle w:val="BookText"/>
        <w:rPr/>
      </w:pPr>
      <w:r>
        <w:rPr>
          <w:rFonts w:ascii="Amiri" w:hAnsi="Amiri" w:eastAsia="Amiri" w:cs="Amiri"/>
          <w:color w:val="111111"/>
          <w:sz w:val="28"/>
          <w:sz w:val="28"/>
          <w:szCs w:val="28"/>
          <w:rtl w:val="true"/>
          <w:lang w:bidi="ar-SA"/>
        </w:rPr>
        <w:t>تعنى بالابْحَاتِ التَّخَصُصِيَة في الحوزة العلمية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10932_87491"/>
    </w:p>
    <w:p>
      <w:pPr>
        <w:pStyle w:val="Heading2"/>
        <w:numPr>
          <w:ilvl w:val="1"/>
          <w:numId w:val="1"/>
        </w:numPr>
        <w:rPr/>
      </w:pPr>
      <w:bookmarkStart w:id="8" w:name="__RefHeading___Toc3208337_2870459653"/>
      <w:bookmarkStart w:id="9" w:name="_Toc3"/>
      <w:bookmarkEnd w:id="7"/>
      <w:bookmarkEnd w:id="8"/>
      <w:r>
        <w:rPr>
          <w:rtl w:val="true"/>
        </w:rPr>
        <w:t>الأسس المعتمدة للنشر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 بخطٍّ متوسّط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يزيد على ذلك يمكن جعله في حلقتين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استلام البحث كاملاً، ويمكن للمجلّة في ما زاد عن ذلك أن تنشره مستقلّا ً مع نشر قسمٍ منه في بعض أعدادها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البحث لمراجعة هيأة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للمجلَّة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يُنشر في المجلَّة لا يعدو كونه مطارحات علميّة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بالضرورة عن رأي المجلَّة</w:t>
      </w:r>
      <w:r>
        <w:rPr>
          <w:rFonts w:eastAsia="Amiri" w:cs="Amiri" w:ascii="Amiri" w:hAnsi="Amiri"/>
          <w:color w:val="111111"/>
          <w:sz w:val="28"/>
          <w:szCs w:val="28"/>
          <w:rtl w:val="true"/>
          <w:lang w:bidi="ar-SA"/>
        </w:rPr>
        <w:t xml:space="preserve">. </w:t>
      </w:r>
      <w:bookmarkStart w:id="10" w:name="pg10932_87492"/>
    </w:p>
    <w:p>
      <w:pPr>
        <w:pStyle w:val="Heading2"/>
        <w:numPr>
          <w:ilvl w:val="1"/>
          <w:numId w:val="1"/>
        </w:numPr>
        <w:rPr/>
      </w:pPr>
      <w:bookmarkStart w:id="11" w:name="__RefHeading___Toc3208339_2870459653"/>
      <w:bookmarkStart w:id="12" w:name="_Toc4"/>
      <w:bookmarkEnd w:id="10"/>
      <w:bookmarkEnd w:id="11"/>
      <w:r>
        <w:rPr>
          <w:rtl w:val="true"/>
        </w:rPr>
        <w:t>المحتوی</w:t>
      </w:r>
      <w:bookmarkEnd w:id="12"/>
    </w:p>
    <w:p>
      <w:pPr>
        <w:pStyle w:val="BookText"/>
        <w:rPr/>
      </w:pPr>
      <w:r>
        <w:rPr>
          <w:rFonts w:ascii="Amiri" w:hAnsi="Amiri" w:eastAsia="Amiri" w:cs="Amiri"/>
          <w:color w:val="111111"/>
          <w:sz w:val="28"/>
          <w:sz w:val="28"/>
          <w:szCs w:val="28"/>
          <w:rtl w:val="true"/>
          <w:lang w:bidi="ar-SA"/>
        </w:rPr>
        <w:t>كلمة العدد</w:t>
      </w:r>
    </w:p>
    <w:p>
      <w:pPr>
        <w:pStyle w:val="BookText"/>
        <w:rPr/>
      </w:pPr>
      <w:r>
        <w:rPr>
          <w:rFonts w:ascii="Amiri" w:hAnsi="Amiri" w:eastAsia="Amiri" w:cs="Amiri"/>
          <w:color w:val="111111"/>
          <w:sz w:val="28"/>
          <w:sz w:val="28"/>
          <w:szCs w:val="28"/>
          <w:rtl w:val="true"/>
          <w:lang w:bidi="ar-SA"/>
        </w:rPr>
        <w:t xml:space="preserve">إدارة المجلّة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جزئية البسملة</w:t>
      </w:r>
    </w:p>
    <w:p>
      <w:pPr>
        <w:pStyle w:val="BookText"/>
        <w:rPr/>
      </w:pPr>
      <w:r>
        <w:rPr>
          <w:rFonts w:ascii="Amiri" w:hAnsi="Amiri" w:eastAsia="Amiri" w:cs="Amiri"/>
          <w:color w:val="111111"/>
          <w:sz w:val="28"/>
          <w:sz w:val="28"/>
          <w:szCs w:val="28"/>
          <w:rtl w:val="true"/>
          <w:lang w:bidi="ar-SA"/>
        </w:rPr>
        <w:t xml:space="preserve">الشيخ رافد الزيداوي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إبداء المرأة وجهها وكفّيها ونظر الرّجل إليهما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جعفر اليعسوبي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حجّيّة الوجدان</w:t>
      </w:r>
    </w:p>
    <w:p>
      <w:pPr>
        <w:pStyle w:val="BookText"/>
        <w:rPr/>
      </w:pPr>
      <w:r>
        <w:rPr>
          <w:rFonts w:ascii="Amiri" w:hAnsi="Amiri" w:eastAsia="Amiri" w:cs="Amiri"/>
          <w:color w:val="111111"/>
          <w:sz w:val="28"/>
          <w:sz w:val="28"/>
          <w:szCs w:val="28"/>
          <w:rtl w:val="true"/>
          <w:lang w:bidi="ar-SA"/>
        </w:rPr>
        <w:t xml:space="preserve">الشيخ محمّد أمجد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نظرية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نجم الترابي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تطبيق حساب الاحتمالات على ما رواه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صلاح الرمّاحيّ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تعليقة على رجالي الطوسيّ والنجاشيّ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932_87494"/>
      <w:bookmarkStart w:id="14" w:name="pg10932_87494"/>
      <w:bookmarkEnd w:id="14"/>
    </w:p>
    <w:p>
      <w:pPr>
        <w:pStyle w:val="Heading2"/>
        <w:numPr>
          <w:ilvl w:val="1"/>
          <w:numId w:val="1"/>
        </w:numPr>
        <w:rPr/>
      </w:pPr>
      <w:bookmarkStart w:id="15" w:name="pg10932_87494"/>
      <w:bookmarkStart w:id="16" w:name="__RefHeading___Toc3208341_2870459653"/>
      <w:bookmarkStart w:id="17" w:name="_Toc5"/>
      <w:bookmarkEnd w:id="15"/>
      <w:bookmarkEnd w:id="16"/>
      <w:r>
        <w:rPr>
          <w:rtl w:val="true"/>
        </w:rPr>
        <w:t>کلمة العدد</w:t>
      </w:r>
      <w:bookmarkEnd w:id="17"/>
    </w:p>
    <w:p>
      <w:pPr>
        <w:pStyle w:val="Heading3"/>
        <w:numPr>
          <w:ilvl w:val="2"/>
          <w:numId w:val="1"/>
        </w:numPr>
        <w:rPr/>
      </w:pPr>
      <w:bookmarkStart w:id="18" w:name="__RefHeading___Toc3208343_2870459653"/>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النبيّين،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عشر عدداً صدر إلى الآن 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أكثر من سبع سنين، فُسح المجال فيها أمام كثيرٍ من الباحثين، يكتبون وينشرون أفكارهم وإسهاماتهم الذّهنيّة المتّصلة بسعيهم العلميّ والثّقافيّ المتنامي نتيجة تلقّيهم المستمر والمتفاعل لما يتدارسونه من العلوم الشّرعيّة وما يرتبط بها من ثقافات وقراءات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المجلّة طيلة هذه الفترة نافذةً يطلُّ منها عدد من روّاد البحث والكتابة على أروقةٍ وساحاتٍ تتجاوز ما تعوّدوا عليه في أروقة ومعاهد الدّراسة في الحوزة العلميّة، كما كانت نافذةً يطلُّ منها القُرّاءُ الآخرون من خارج تلك المعاهد على طبيعة الحركة الفكريّة فيها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208345_2870459653"/>
      <w:bookmarkStart w:id="21" w:name="_Toc7"/>
      <w:bookmarkEnd w:id="20"/>
      <w:r>
        <w:rPr>
          <w:rtl w:val="true"/>
        </w:rPr>
        <w:t>رأيٌّ في مستقبل الكتابة</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طبيعةِ كلِّ حركةٍ فكريّةٍ مدوّنةٍ ومكتوبةٍ بشكلٍ دوريٍّ وتريدُ مخاطبةَ مَن يتّصل بمحيطها والتّفاعل معه، النّموُّ والتّطوّرُ أُفقيّاً وعموديّاً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أُفقيّاً، فالمتوقّع أن نرى إقبالاً على تطوير الكتابة في كلِّ الاتّجاهات، في الأسلوب، والتّناول، والمنهجة، وتكريس صياغاتٍ جديدةٍ للأدلّة تبتعدُ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القولبة المتعارفة، وأخذ وسائل الاستدلال نحو رؤية منهجيّة متحرّكة من دون مغادرة جوهر محتوى الأدلّة المتعارفة، بل يمكن تحرّي القرائن والشواهد والمقايسات الاستقرائيّة لتقوية جانبٍ أو تضعيف آخر اعتماداً على التّطوّر الكبير الحاصل في تيسّر المعلومات والمصادر، وسرعة تجميعها كقاعدة بياناتٍ واسعة للمسألة المبحوث عنها وأثرها على نتائج مناقشتها والاستنتاج منها بسبب الوجود الرّقميّ للمصادر والمعلومات الّذي أصبح متيسّراً بقدرٍ معقولٍ لأغلب الكتّاب والباحثين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النّموُّ والتّطوّرُ عموديّاً، فلأنّ مقدّمات عددٍ لا بأس به من المسائل الشّرعيّة والفكريّة في الكتابات المناسبة في المجلّة ترتبط بنحوٍ أو بآخر بالمحتوى الفكريّ والعلميّ خارج الصّناعة الدائرة في معاهد الدّراسة الحوزيّة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الإصرار على تجاهل هذا الربط يُبقي كتاباتنا تدور في فلك التّراث، ولا تنهض شاهدةً على سعيٍ فكريٍّ ينتمي لعنوان موضوعات العصر ومشاكله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لا يُساء فهمنا نضرب مثالاً يتّضح فيه بعض الغاية الّتي نرمي إليها، فمثلاً ربّما لا يكون الموقف الفقهيّ ممّن يوصفون حديثاً بثنائيي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الخنثى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على العلامات المشهورة في باب الميراث والاحتياط في باقي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النظر إلى التّطوّر الحاصل في الكشوفات الطّبيّة وإمكان توجيه هؤلاء جراحيّاً أو طبّيّاً نحو جنس معيّن ورفع الاشتباه فيهم بإبراز علامات داخليّة تخصُّ أحد الجنسين كانت مخفيّة، ولم يكن بالإمكان الكشف والحديث عنها في عصر الدّليل الشّرعيّ، ممّا يؤول إلى تحديد جنسٍ معيّنٍ، ومن ثمَّ ترتيب الآثار الشّرعيّة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نوعٌ من اتّساع أُفق البحث الفقهيّ يرتبطُ بجهاتٍ خارجيّةٍ يستدعي طرحاً آخر في بحث </w:t>
      </w:r>
    </w:p>
    <w:p>
      <w:pPr>
        <w:pStyle w:val="BookText"/>
        <w:rPr/>
      </w:pPr>
      <w:r>
        <w:rPr>
          <w:rFonts w:ascii="Amiri" w:hAnsi="Amiri" w:eastAsia="Amiri" w:cs="Amiri"/>
          <w:color w:val="111111"/>
          <w:sz w:val="28"/>
          <w:sz w:val="28"/>
          <w:szCs w:val="28"/>
          <w:rtl w:val="true"/>
          <w:lang w:bidi="ar-SA"/>
        </w:rPr>
        <w:t>المسألة الفقهيّة بغضّ النّظر عن النّتيجة الّتي ينتهي إليها الباحث بمراقبةٍ موضوعيّةٍ للأدلّة النّقليّة في المسألة، فربّما يكتشف تفصيلاً في موضوع المسألة أو ينتهي إلى تحكيم إطلاق دليل الحكم المشهور لمطلق الموضوع من دون تفصيل، ولكن بثراءٍ في الجوانب التّصوّريّة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فيلاحظ أنّ كثيراً من أمثال هذه البحوث المرتبطة بانفتاح أسرار بعض المكنونات التّكوينيّة الخارجيّة تقدّم مادّة فكريّة وأُطراً قانونيّة تقرّب علم الأحكام ومصداقيّة أدواته من ضمير الإنسان المعاصر على المستوى النّظريّ، وتزيد من قناعته باتّصال منهاج عقيدته وبرنامجها العمليّ بمشكلاته، ومعالجتها بإطارها الزّمنيّ وفق معطياته التّصوريّة والتّصديقيّة بموازين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أصالة الفقه منحصرة في إسقاط لسان أدلّة الأحكام بإطلاقها الزّمنيّ على عناوينها التّصوّريّة، بل في تحقيق الحيثيّة أيضاً، الّتي من أجلها شمل إطلاق الحكم ذلك الموضوع، أو المناسبة الّتي بها استحقّ ذلك الحكم أن يكون في حدود إطارٍ خاصٍّ أو جهةٍ معيّنةٍ من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لدى الفقهاء أنّ نفس المداليل التّصوّريّة والتّصديقيّة للألفاظ في دليل الحكم لا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تطابق تلك الجهات والمناسبات معها في كثير من مناسبات الأحكام، وربّما كان لتغيّر طبيعة الاجتماع أو طبيعة التّلقّي للمفاهيم وارتكازاتها دور في الكشف عن دائرةِ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المختزنةِ سابقاً في الدّليل بتنقيح أمثال تلك المناسبات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ووظيفة الباحث أن يهيّئ بجرأته في البحث والتّفتيش والكتابة وجهات نظر لتقييم تلك الجهات والمناسبات، فربّما كانت مثل هذه المناقشات تؤدّي مع مرور الزّمن لثقافة عامّة وبيئة معرفيّة تكون أحد الروافد الّتي يستقي منها الفقيه الجامع للشّرائط نظرته في </w:t>
      </w:r>
      <w:bookmarkStart w:id="22" w:name="pg10932_87497"/>
    </w:p>
    <w:p>
      <w:pPr>
        <w:pStyle w:val="BookText"/>
        <w:rPr/>
      </w:pPr>
      <w:bookmarkEnd w:id="22"/>
      <w:r>
        <w:rPr>
          <w:rFonts w:ascii="Amiri" w:hAnsi="Amiri" w:eastAsia="Amiri" w:cs="Amiri"/>
          <w:color w:val="111111"/>
          <w:sz w:val="28"/>
          <w:sz w:val="28"/>
          <w:szCs w:val="28"/>
          <w:rtl w:val="true"/>
          <w:lang w:bidi="ar-SA"/>
        </w:rPr>
        <w:t>تقييم موضوع المسألة أو حدود الحكم في دليله، وبالتّالي نوع الإفتاء في المسألة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208347_2870459653"/>
      <w:bookmarkStart w:id="24" w:name="_Toc8"/>
      <w:bookmarkEnd w:id="23"/>
      <w:r>
        <w:rPr>
          <w:rtl w:val="true"/>
        </w:rPr>
        <w:t>في خصوص هذا العدد</w:t>
      </w:r>
      <w:bookmarkEnd w:id="24"/>
    </w:p>
    <w:p>
      <w:pPr>
        <w:pStyle w:val="BookText"/>
        <w:rPr/>
      </w:pPr>
      <w:r>
        <w:rPr>
          <w:rFonts w:ascii="Amiri" w:hAnsi="Amiri" w:eastAsia="Amiri" w:cs="Amiri"/>
          <w:color w:val="111111"/>
          <w:sz w:val="28"/>
          <w:sz w:val="28"/>
          <w:szCs w:val="28"/>
          <w:rtl w:val="true"/>
          <w:lang w:bidi="ar-SA"/>
        </w:rPr>
        <w:t>ولا غرو أن يجد القارئ المتتبّع في هذا العدد أقلاماً جديدة واسهامات أبكاراً في مجال الإنشاء والكتابة، بعد حسن الأثر الّذي تركته أعداد المجلّة الماضية على مشاركات أصحابها وتشجيعهم في التقدّم أكثر، لا سيّما وأنّهم وجدوا أنّ المجلّة معنيّة بتطوير أدوات الكتابة التّخصّصيّة لديهم عبر البرامج الّتي ترعاها، فنرجو لهم ولمن سبقهم التوفيق في مسعاهم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فنقرأ لهم في هذا العدد بحثاً يتناول جزئيّة البسملة للسّور القرآنيّة، وثانياً يتناول حجّيّة الوجدان ودليليّته، وثالثاً حول تطبيق حساب الاحتمالات على الراوي 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بعض الموضوعات الّتي تقدّم جزء منها في العدد السّابق، مثل نظريّة الحكومة، وحكم إبداء المرأة لوجهها وكفّيها للأجنبيّ ونظر الأخير إليهما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تعوّد القارئ في الأعداد السّابقة، نذيّل بحوث المجلّة بتحقيق أنيق لمخطوطةٍ مهمّةٍ ومختارةٍ من تراثنا الّتي دبجتها يراعات علمائنا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فوقع الاختيار في هذا العدد على تعليقة المحقّق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من كتاب الشّيخ الطّوسيّ في الرّجال وفهرست الشّيخ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ونتقدّم بالشّكر دائماً وأبداً لأصحاب السّماحة أعضاء اللّجنة العلميّة المستمرّين في رعاية البحوث ومراجعتها، وكذلك نشكر الأفاضل المساهمين في تنقيح وتصحيح وإعداد البحوث وإخراجها بالضّبط الفنّيّ والمنهجيّ بالشّكل المرضيّ الّذي تظهر به في كلّ 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نرجو ممّن يلاحظ على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مهمّة أو نقداً بنّاءً يراه واقعاً في طريق استكمال نقصٍ في جهةٍ من جهاتها، أو يكمل جانباً منها ألّا يبخل علينا بالإشارة إليه والإرشاد نحوه، فنكون له 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الله تعالى التّوفيق في استمرار هذا العمل واستكمال عناصر نجاحه،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المجلّة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ﻫ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0932_87500"/>
      <w:bookmarkStart w:id="26" w:name="pg10932_87500"/>
      <w:bookmarkEnd w:id="26"/>
    </w:p>
    <w:p>
      <w:pPr>
        <w:pStyle w:val="Heading2"/>
        <w:numPr>
          <w:ilvl w:val="1"/>
          <w:numId w:val="1"/>
        </w:numPr>
        <w:rPr/>
      </w:pPr>
      <w:bookmarkStart w:id="27" w:name="pg10932_87500"/>
      <w:bookmarkStart w:id="28" w:name="__RefHeading___Toc3208349_2870459653"/>
      <w:bookmarkStart w:id="29" w:name="_Toc9"/>
      <w:bookmarkEnd w:id="27"/>
      <w:bookmarkEnd w:id="28"/>
      <w:r>
        <w:rPr>
          <w:rtl w:val="true"/>
        </w:rPr>
        <w:t xml:space="preserve">جزئيّة البسملة </w:t>
      </w:r>
      <w:r>
        <w:rPr>
          <w:rtl w:val="true"/>
        </w:rPr>
        <w:t xml:space="preserve">- </w:t>
      </w:r>
      <w:r>
        <w:rPr>
          <w:rtl w:val="true"/>
        </w:rPr>
        <w:t xml:space="preserve">الشيخ رافد الزيداوي </w:t>
      </w:r>
      <w:r>
        <w:rPr>
          <w:rtl w:val="true"/>
        </w:rPr>
        <w:t>(</w:t>
      </w:r>
      <w:r>
        <w:rPr>
          <w:rtl w:val="true"/>
        </w:rPr>
        <w:t>دام عزه</w:t>
      </w:r>
      <w:r>
        <w:rPr>
          <w:rtl w:val="true"/>
        </w:rPr>
        <w:t>)</w:t>
      </w:r>
      <w:bookmarkEnd w:id="29"/>
    </w:p>
    <w:p>
      <w:pPr>
        <w:pStyle w:val="Heading3"/>
        <w:numPr>
          <w:ilvl w:val="2"/>
          <w:numId w:val="1"/>
        </w:numPr>
        <w:rPr/>
      </w:pPr>
      <w:bookmarkStart w:id="30" w:name="__RefHeading___Toc3208351_2870459653"/>
      <w:bookmarkStart w:id="31" w:name="_Toc10"/>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إنّ أهمّيّة البحث في مسألة ما تكمن وراء أمور عديدة كما لا يخفى، منها مستوى ابتلائيّة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صار البحث في جزئيّة البسملة ذا أهمّيّة واضحة؛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العقديّة، والتاريخيّة، والتفسيريّة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جنبة فقهيّة تترتّب عليها ثمرات عديدة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في تقصّي كلمات علماء الإسلام في هذه المسألة، واستجلاء الأدلّة النافية والمثبتة، ودراستها وفق نظريّات الأعلام</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0932_87502"/>
      <w:bookmarkStart w:id="33" w:name="pg10932_87502"/>
      <w:bookmarkEnd w:id="33"/>
    </w:p>
    <w:p>
      <w:pPr>
        <w:pStyle w:val="Heading3"/>
        <w:numPr>
          <w:ilvl w:val="2"/>
          <w:numId w:val="1"/>
        </w:numPr>
        <w:rPr/>
      </w:pPr>
      <w:bookmarkStart w:id="34" w:name="pg10932_87502"/>
      <w:bookmarkStart w:id="35" w:name="__RefHeading___Toc3208353_2870459653"/>
      <w:bookmarkStart w:id="36" w:name="_Toc11"/>
      <w:bookmarkEnd w:id="34"/>
      <w:bookmarkEnd w:id="35"/>
      <w:r>
        <w:rPr>
          <w:rtl w:val="true"/>
        </w:rPr>
        <w:t>تمهيد</w:t>
      </w:r>
      <w:bookmarkEnd w:id="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في أنَّ البسملة جزء من كلّ سورة أو أنَّها خارجة عن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بداية السورة من بعد البسملة دائماً، وكلامنا في هذا البحث ينصبّ على جزئيَّة البسملة في أوائل السور عدا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المسألة من المسائل التي تترتَّب عليها ثمرات فقهيّة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كانت جزء سورة التَّوحيد فلا يجوز عندنا العدول عنها إلى سورة أخرى بمجرّد قراءة البسملة، بناءً على ما هو المشهور من عدم جواز العدول عنها ولو قبل بلوغ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كانت من السورة فتعدُّ آيةً منها، فلا يجوز العدول عن السورة إذا بلغ بضميمة البسملة النِّصف</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كانت من السورة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المعروف بين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قصدها مع تلك السورة، أي قصد بسملة السورة الخاصَّة، وإلَّا فيجوز قراءة البسملة بلا قصد </w:t>
      </w:r>
    </w:p>
    <w:p>
      <w:pPr>
        <w:pStyle w:val="BookText"/>
        <w:rPr/>
      </w:pP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كانت من السورة فيجوز الرُّكوع بعدها في صلاة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كانت من السورة فلا تشرع للجنب قراءتها بقصد إحدى سور العزائم، بناءً على تحريم كلّ السورة على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تعدُّ من السَّبع آيات المكروه على الجنب قراءة الأكثر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الثَّمرات الّتي يمكن تصيّدها من ثنايا المباحث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منهجيّة البحث</w:t>
      </w:r>
    </w:p>
    <w:p>
      <w:pPr>
        <w:pStyle w:val="BookText"/>
        <w:rPr/>
      </w:pPr>
      <w:r>
        <w:rPr>
          <w:rFonts w:ascii="Amiri" w:hAnsi="Amiri" w:eastAsia="Amiri" w:cs="Amiri"/>
          <w:color w:val="111111"/>
          <w:sz w:val="28"/>
          <w:sz w:val="28"/>
          <w:szCs w:val="28"/>
          <w:rtl w:val="true"/>
          <w:lang w:bidi="ar-SA"/>
        </w:rPr>
        <w:t>ويقع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أقوال فقهاء الإسلام في المسألة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الرّوايات الواردة من طرق الخاصَّة في المسألة</w:t>
      </w:r>
      <w:r>
        <w:rPr>
          <w:rFonts w:eastAsia="Amiri" w:cs="Amiri" w:ascii="Amiri" w:hAnsi="Amiri"/>
          <w:color w:val="111111"/>
          <w:sz w:val="28"/>
          <w:szCs w:val="28"/>
          <w:rtl w:val="true"/>
          <w:lang w:bidi="ar-SA"/>
        </w:rPr>
        <w:t xml:space="preserve">. </w:t>
      </w:r>
      <w:bookmarkStart w:id="37" w:name="pg10932_87504"/>
    </w:p>
    <w:p>
      <w:pPr>
        <w:pStyle w:val="Heading3"/>
        <w:numPr>
          <w:ilvl w:val="2"/>
          <w:numId w:val="1"/>
        </w:numPr>
        <w:rPr/>
      </w:pPr>
      <w:bookmarkStart w:id="38" w:name="__RefHeading___Toc3208355_2870459653"/>
      <w:bookmarkStart w:id="39" w:name="_Toc12"/>
      <w:bookmarkEnd w:id="37"/>
      <w:bookmarkEnd w:id="38"/>
      <w:r>
        <w:rPr>
          <w:rtl w:val="true"/>
        </w:rPr>
        <w:t>المقام الأوَّل</w:t>
      </w:r>
      <w:r>
        <w:rPr>
          <w:rtl w:val="true"/>
        </w:rPr>
        <w:t xml:space="preserve">: </w:t>
      </w:r>
      <w:r>
        <w:rPr>
          <w:rtl w:val="true"/>
        </w:rPr>
        <w:t>أقوال فقهاء الإسلام في المسألة</w:t>
      </w:r>
      <w:bookmarkEnd w:id="39"/>
    </w:p>
    <w:p>
      <w:pPr>
        <w:pStyle w:val="BookText"/>
        <w:rPr/>
      </w:pPr>
      <w:r>
        <w:rPr>
          <w:rFonts w:ascii="Amiri" w:hAnsi="Amiri" w:eastAsia="Amiri" w:cs="Amiri"/>
          <w:color w:val="111111"/>
          <w:sz w:val="28"/>
          <w:sz w:val="28"/>
          <w:szCs w:val="28"/>
          <w:rtl w:val="true"/>
          <w:lang w:bidi="ar-SA"/>
        </w:rPr>
        <w:t>أمَّا فقهاء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 في بداية المجتهد على أنّ المسألة قد كثر الاختلاف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يفهم من كلامه أنّ القول بجزئيّتها من السور ليس مشهوراً بينهم، وكذلك عدم جزئيّتها</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ما في عون المعبود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النووي شهرة القول بالجزئيّة عندهم، حيث نسبه إلى خلائق لا يحصون من السلف، ونقل أقوال كثير من الصحابة والتابعين في ذلك</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والمعروف عن مالك أنّها ليست من القرآن حتّى في الفاتحة</w:t>
      </w:r>
      <w:r>
        <w:rPr>
          <w:rStyle w:val="FootnoteAnchor"/>
          <w:rtl w:val="true"/>
        </w:rPr>
        <w:footnoteReference w:id="5"/>
      </w:r>
      <w:r>
        <w:rPr>
          <w:rFonts w:ascii="Amiri" w:hAnsi="Amiri" w:eastAsia="Amiri" w:cs="Amiri"/>
          <w:color w:val="111111"/>
          <w:sz w:val="28"/>
          <w:sz w:val="28"/>
          <w:szCs w:val="28"/>
          <w:rtl w:val="true"/>
          <w:lang w:bidi="ar-SA"/>
        </w:rPr>
        <w:t>، والمشهور عن الشافعي أنَّها جزء من كلّ سورة أو بعض آية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ابن رشد</w:t>
      </w:r>
      <w:r>
        <w:rPr>
          <w:rStyle w:val="FootnoteAnchor"/>
          <w:rtl w:val="true"/>
        </w:rPr>
        <w:footnoteReference w:id="7"/>
      </w:r>
      <w:r>
        <w:rPr>
          <w:rFonts w:ascii="Amiri" w:hAnsi="Amiri" w:eastAsia="Amiri" w:cs="Amiri"/>
          <w:color w:val="111111"/>
          <w:sz w:val="28"/>
          <w:sz w:val="28"/>
          <w:szCs w:val="28"/>
          <w:rtl w:val="true"/>
          <w:lang w:bidi="ar-SA"/>
        </w:rPr>
        <w:t xml:space="preserve">أنَّه اختلف قول الشافعي هل هي جزء من كلّ سورة أم لا؟ </w:t>
      </w:r>
    </w:p>
    <w:p>
      <w:pPr>
        <w:pStyle w:val="BookText"/>
        <w:rPr/>
      </w:pPr>
      <w:r>
        <w:rPr>
          <w:rFonts w:ascii="Amiri" w:hAnsi="Amiri" w:eastAsia="Amiri" w:cs="Amiri"/>
          <w:color w:val="111111"/>
          <w:sz w:val="28"/>
          <w:sz w:val="28"/>
          <w:szCs w:val="28"/>
          <w:rtl w:val="true"/>
          <w:lang w:bidi="ar-SA"/>
        </w:rPr>
        <w:t>وأمَّا أبو حنيفة فقد اختلف النقل عنه وعن أتباعه، فنقل عنه السرخسي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المصلّي يسمّي في أوَّل صلاته، ثُمَّ لا يعيد؛ لأنَّها لافتتاح القراءة كالتّعوذ</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ومعنى هذا أنّها ليست من القرآن، بل هي كالاستعاذة، ومثله ما في المجموع من أنّ قوله قول مالك،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البسملة في أوائل السور كلّها قرآناً لا في الفاتحة ولا في غيرها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وهو أيضاً الذي نقله عنه الشيخ في الخلاف</w:t>
      </w:r>
      <w:r>
        <w:rPr>
          <w:rStyle w:val="FootnoteAnchor"/>
          <w:rtl w:val="true"/>
        </w:rPr>
        <w:footnoteReference w:id="10"/>
      </w:r>
      <w:r>
        <w:rPr>
          <w:rFonts w:ascii="Amiri" w:hAnsi="Amiri" w:eastAsia="Amiri" w:cs="Amiri"/>
          <w:color w:val="111111"/>
          <w:sz w:val="28"/>
          <w:sz w:val="28"/>
          <w:szCs w:val="28"/>
          <w:rtl w:val="true"/>
          <w:lang w:bidi="ar-SA"/>
        </w:rPr>
        <w:t>، لكن نقل عنه العيني أنَّها آية من كتاب الله تعالى مقترنة مع السورة</w:t>
      </w:r>
      <w:r>
        <w:rPr>
          <w:rStyle w:val="FootnoteAnchor"/>
          <w:rtl w:val="true"/>
        </w:rPr>
        <w:footnoteReference w:id="11"/>
      </w:r>
      <w:r>
        <w:rPr>
          <w:rFonts w:ascii="Amiri" w:hAnsi="Amiri" w:eastAsia="Amiri" w:cs="Amiri"/>
          <w:color w:val="111111"/>
          <w:sz w:val="28"/>
          <w:sz w:val="28"/>
          <w:szCs w:val="28"/>
          <w:rtl w:val="true"/>
          <w:lang w:bidi="ar-SA"/>
        </w:rPr>
        <w:t xml:space="preserve">، فنسب إليه أنَّها في كلّ موضعٍ وقعت تكون آية من القرآن غايته أنَّها ليست جزءاً من السورة، وهو قول آخر منسوب إليه، ونسب في عون المعبود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ليست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الحنفية</w:t>
      </w:r>
      <w:r>
        <w:rPr>
          <w:rStyle w:val="FootnoteAnchor"/>
          <w:rtl w:val="true"/>
        </w:rPr>
        <w:footnoteReference w:id="12"/>
      </w:r>
      <w:r>
        <w:rPr>
          <w:rFonts w:ascii="IRNazanin" w:hAnsi="IRNazanin" w:eastAsia="IRNazanin"/>
          <w:color w:val="111111"/>
          <w:sz w:val="28"/>
          <w:sz w:val="28"/>
          <w:szCs w:val="28"/>
          <w:rtl w:val="true"/>
          <w:lang w:bidi="fa-IR"/>
        </w:rPr>
        <w:t>، والقول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أنَّها آية من كتاب الله مقترنة مع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آخر من الحنفية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هناك شكّ في رأي أبي حنيفة وأتباعه، ومن ثَمَّ قال الشيخ البهائي في مشرق الشمسين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لم ينصّ في البسملة بشيء لكن لما كان كوفيّاً وقد نصّ الكوفيّون على جزئيّتها دونه، ظنّ أنّها ليست من السورة عنده، ولا يخفى أنّ عدم نصّه فيها لا يدلّ على ما ظُنَّ بشيء من الدلالات؛ لاحتمال توقّفه في أمرها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وقال الفخر الرازي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أبو حنيفة فلم ينصّ عليه، وإنّما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يقرأ بسم الله الرحمن الرحيم ويسرّ بها،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آية من أول السورة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فقهاء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تورّع أبو حنيفة وأصحابه عن الوقوع في هذه المسألة؛ لأنّ الخوض في إثبات أنّ التسمية من القرآن أو ليست منه أمر عظيم، فالأولى السكوت عنه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وقريب منه ما ذكره ابن عبد البر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النقل أيضاً عن أحمد، فقد 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في أوَّل الفاتحة، وليست بقرآن في أوائل السور، وعنه رواية أنَّها ليست من الفاتحة أيضاً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هذا أنَّ رأي أئمّتهم الأربعة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 مالك نفي جزئيَّتها من القرآن في أوائل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 الشَّافعي عكس ما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وأحمد قد اختلف النقل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عدم ثبوت شهرة عندهم على نفي جزئيَّتها من جميع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يمكن الخدش فيما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من أنّ المشهور عندهم جزئيَّتها في الفاتحة دون سائر السور</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ناظر إلى قول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البسملة جزء من كلّ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الكلام في بسملة الفاتحة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الشهرة ناظرة لها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دعوى الشهرة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العقدين، أعني شهرة جزئيَّتها من الفاتحة، وشهرة عدم جزئيّتها من جميع السور، فلاحظ</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دعوى ثبوت شهرة نفي جزئيَّتها من جميع السور عندهم غير</w:t>
      </w:r>
    </w:p>
    <w:p>
      <w:pPr>
        <w:pStyle w:val="BookText"/>
        <w:rPr/>
      </w:pP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تكرَّر نقل ذلك عن مالك، وهذا ممَّا لا يحقِّق الشهرة</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لكنّ هذا ممَّا لا مثبت له، فقد رأيت كلامهم، ولم يتَّضح منه أنّ القول بالجزئيَّة قول أكثرهم، بل المسألة عندهم محلّ خلاف، ولا يمكن اقتناص الشهرة عندهم على أيٍّ من طرفي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كلام النووي في المجموع الذي نقلناه أوّلاً أنّ المشهور ذلك، ولكنّنا لم نعثر على ذلك في غير كلامه، ولعلَّ الحامل له على ذلك تقوية رأي إمامه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 في تفسير كتاب الله المنزل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كلاماً عن تفسير المنار يقرب ممَّا في المجموع شرح المهذّب، وقال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مجموع ما ذكر يستفاد أنَّ الأكثرية الساحقة من أهل السنّة يرون أنَّ البسملة جزء من السورة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قدّمنا تعرف ما فيه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عدم جزئيَّتها عندهم في باقي السور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بين العامَّة أنَّها جزء لخصوص الفاتحة دون سائر السور، وعلى هذا جرت المصاحف حتَّى اليوم؛ فإنَّهم يذكرون علامة الآية بعد بسملة الفاتحة دون غيرها من بقية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استكشاف عدم جزئيَّة البسملة لباقي السور عندهم بأنَّ المصاحف جرت على عدم ذكر علامة الآية بعد بسملة السور، ويذكرونها بعد بسملة الفاتحة، فكأنَّ وجه ذلك أنَّهم لا يرونها جزءاً من السور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يدلُّ على معروفيَّة عدم جزئيَّتها عندهم، فعدم وضع العلامة بعدها في السور لا يستلزم ذلك؛ إذ قد يكون وضعها بعد ما يتلوها من </w:t>
      </w:r>
    </w:p>
    <w:p>
      <w:pPr>
        <w:pStyle w:val="BookText"/>
        <w:rPr/>
      </w:pPr>
      <w:r>
        <w:rPr>
          <w:rFonts w:ascii="Amiri" w:hAnsi="Amiri" w:eastAsia="Amiri" w:cs="Amiri"/>
          <w:color w:val="111111"/>
          <w:sz w:val="28"/>
          <w:sz w:val="28"/>
          <w:szCs w:val="28"/>
          <w:rtl w:val="true"/>
          <w:lang w:bidi="ar-SA"/>
        </w:rPr>
        <w:t>الكلام قائم على أساس اعتقاد أنَّها بعض آية لا آية مستقلَّة، كما هو موضع خلاف بين علمائهم على ما نقل العلّامة في المنتهى،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كونها آية من كلِّ سورة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آية من كلِّ أوَّل سورة،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بعض من أوَّل كلِّ سورة، ويتمّ بما بعدها آية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ومثله ما عن النَّووي في المجموع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إنِّي لم أجد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يظهر من السيّد ابن طاووس</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 نفي جزئيّتها من السور إلى مشهور العامَّة، فقد نقل الشيخ في الخلاف أقوالهم</w:t>
      </w:r>
      <w:r>
        <w:rPr>
          <w:rStyle w:val="FootnoteAnchor"/>
          <w:rtl w:val="true"/>
        </w:rPr>
        <w:footnoteReference w:id="23"/>
      </w:r>
      <w:r>
        <w:rPr>
          <w:rFonts w:ascii="Amiri" w:hAnsi="Amiri" w:eastAsia="Amiri" w:cs="Amiri"/>
          <w:color w:val="111111"/>
          <w:sz w:val="28"/>
          <w:sz w:val="28"/>
          <w:szCs w:val="28"/>
          <w:rtl w:val="true"/>
          <w:lang w:bidi="ar-SA"/>
        </w:rPr>
        <w:t>، وأكثر الأقوال الَّتي نقلها عنهم أنَّها آية من كلِّ سورة، وهكذا العلَّامة في المنتهى</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فقهاؤنا فلهم قولان في المسألة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والحدائق</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جزء من جميع السور، ونفى عنه الخلاف في المبسوط </w:t>
      </w:r>
      <w:r>
        <w:rPr>
          <w:rStyle w:val="FootnoteAnchor"/>
          <w:rtl w:val="true"/>
        </w:rPr>
        <w:footnoteReference w:id="26"/>
      </w:r>
      <w:r>
        <w:rPr>
          <w:rFonts w:ascii="Amiri" w:hAnsi="Amiri" w:eastAsia="Amiri" w:cs="Amiri"/>
          <w:color w:val="111111"/>
          <w:sz w:val="28"/>
          <w:sz w:val="28"/>
          <w:szCs w:val="28"/>
          <w:rtl w:val="true"/>
          <w:lang w:bidi="ar-SA"/>
        </w:rPr>
        <w:t>، بل ادَّعى عليه إجماع الفرقة في الخلاف</w:t>
      </w:r>
      <w:r>
        <w:rPr>
          <w:rStyle w:val="FootnoteAnchor"/>
          <w:rtl w:val="true"/>
        </w:rPr>
        <w:footnoteReference w:id="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ومثله في التبيان</w:t>
      </w:r>
      <w:r>
        <w:rPr>
          <w:rStyle w:val="FootnoteAnchor"/>
          <w:rtl w:val="true"/>
        </w:rPr>
        <w:footnoteReference w:id="28"/>
      </w:r>
      <w:r>
        <w:rPr>
          <w:rFonts w:ascii="Amiri" w:hAnsi="Amiri" w:eastAsia="Amiri" w:cs="Amiri"/>
          <w:color w:val="111111"/>
          <w:sz w:val="28"/>
          <w:sz w:val="28"/>
          <w:szCs w:val="28"/>
          <w:rtl w:val="true"/>
          <w:lang w:bidi="ar-SA"/>
        </w:rPr>
        <w:t>، ومجمع البيان</w:t>
      </w:r>
      <w:r>
        <w:rPr>
          <w:rStyle w:val="FootnoteAnchor"/>
          <w:rtl w:val="true"/>
        </w:rPr>
        <w:footnoteReference w:id="29"/>
      </w:r>
      <w:r>
        <w:rPr>
          <w:rFonts w:ascii="IRNazanin" w:hAnsi="IRNazanin" w:eastAsia="IRNazanin"/>
          <w:color w:val="111111"/>
          <w:sz w:val="28"/>
          <w:sz w:val="28"/>
          <w:szCs w:val="28"/>
          <w:rtl w:val="true"/>
          <w:lang w:bidi="fa-IR"/>
        </w:rPr>
        <w:t xml:space="preserve">، ومنتهى المطلب </w:t>
      </w:r>
      <w:r>
        <w:rPr>
          <w:rStyle w:val="FootnoteAnchor"/>
          <w:rtl w:val="true"/>
        </w:rPr>
        <w:footnoteReference w:id="30"/>
      </w:r>
      <w:r>
        <w:rPr>
          <w:rFonts w:ascii="Amiri" w:hAnsi="Amiri" w:eastAsia="Amiri" w:cs="Amiri"/>
          <w:color w:val="111111"/>
          <w:sz w:val="28"/>
          <w:sz w:val="28"/>
          <w:szCs w:val="28"/>
          <w:rtl w:val="true"/>
          <w:lang w:bidi="ar-SA"/>
        </w:rPr>
        <w:t>، وذكرى الشيعة</w:t>
      </w:r>
      <w:r>
        <w:rPr>
          <w:rStyle w:val="FootnoteAnchor"/>
          <w:rtl w:val="true"/>
        </w:rPr>
        <w:footnoteReference w:id="31"/>
      </w:r>
      <w:r>
        <w:rPr>
          <w:rFonts w:ascii="IRNazanin" w:hAnsi="IRNazanin" w:eastAsia="IRNazanin"/>
          <w:color w:val="111111"/>
          <w:sz w:val="28"/>
          <w:sz w:val="28"/>
          <w:szCs w:val="28"/>
          <w:rtl w:val="true"/>
          <w:lang w:bidi="fa-IR"/>
        </w:rPr>
        <w:t>، وروض الجنان</w:t>
      </w:r>
      <w:r>
        <w:rPr>
          <w:rStyle w:val="FootnoteAnchor"/>
          <w:rtl w:val="true"/>
        </w:rPr>
        <w:footnoteReference w:id="32"/>
      </w:r>
      <w:r>
        <w:rPr>
          <w:rFonts w:ascii="Amiri" w:hAnsi="Amiri" w:eastAsia="Amiri" w:cs="Amiri"/>
          <w:color w:val="111111"/>
          <w:sz w:val="28"/>
          <w:sz w:val="28"/>
          <w:szCs w:val="28"/>
          <w:rtl w:val="true"/>
          <w:lang w:bidi="ar-SA"/>
        </w:rPr>
        <w:t>، وروضة المتقين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فأوّل من ادّعى الإجماع على جزئيّتها في جميع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بأيدينا من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والتبيان، ولعلّ الباقين ممَّن تأخَّر عنه اعتمد عليه فيها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ابن الجنيد من القول بعدم جزئيَّتها فيما عدا الفاتحة</w:t>
      </w:r>
      <w:r>
        <w:rPr>
          <w:rStyle w:val="FootnoteAnchor"/>
          <w:rtl w:val="true"/>
        </w:rPr>
        <w:footnoteReference w:id="34"/>
      </w:r>
      <w:r>
        <w:rPr>
          <w:rFonts w:ascii="Amiri" w:hAnsi="Amiri" w:eastAsia="Amiri" w:cs="Amiri"/>
          <w:color w:val="111111"/>
          <w:sz w:val="28"/>
          <w:sz w:val="28"/>
          <w:szCs w:val="28"/>
          <w:rtl w:val="true"/>
          <w:lang w:bidi="ar-SA"/>
        </w:rPr>
        <w:t xml:space="preserve">، وإليه ذهب جماعة من الأعلام في العصور المتأخِّرة، كشيخ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 في تقريرات بحثه</w:t>
      </w:r>
      <w:r>
        <w:rPr>
          <w:rStyle w:val="FootnoteAnchor"/>
          <w:rtl w:val="true"/>
        </w:rPr>
        <w:footnoteReference w:id="35"/>
      </w:r>
      <w:r>
        <w:rPr>
          <w:rFonts w:ascii="Amiri" w:hAnsi="Amiri" w:eastAsia="Amiri" w:cs="Amiri"/>
          <w:color w:val="111111"/>
          <w:sz w:val="28"/>
          <w:sz w:val="28"/>
          <w:szCs w:val="28"/>
          <w:rtl w:val="true"/>
          <w:lang w:bidi="ar-SA"/>
        </w:rPr>
        <w:t xml:space="preserve">، والسيِّد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 وتوقَّف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المسألة على </w:t>
      </w:r>
      <w:bookmarkStart w:id="40" w:name="pg10932_87510"/>
    </w:p>
    <w:p>
      <w:pPr>
        <w:pStyle w:val="BookText"/>
        <w:rPr/>
      </w:pPr>
      <w:bookmarkEnd w:id="40"/>
      <w:r>
        <w:rPr>
          <w:rFonts w:ascii="Amiri" w:hAnsi="Amiri" w:eastAsia="Amiri" w:cs="Amiri"/>
          <w:color w:val="111111"/>
          <w:sz w:val="28"/>
          <w:sz w:val="28"/>
          <w:szCs w:val="28"/>
          <w:rtl w:val="true"/>
          <w:lang w:bidi="ar-SA"/>
        </w:rPr>
        <w:t xml:space="preserve">ما يظهر من رسالة منهاج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208357_2870459653"/>
      <w:bookmarkStart w:id="42" w:name="_Toc13"/>
      <w:bookmarkEnd w:id="41"/>
      <w:r>
        <w:rPr>
          <w:rtl w:val="true"/>
        </w:rPr>
        <w:t>المقام الثَّاني</w:t>
      </w:r>
      <w:r>
        <w:rPr>
          <w:rtl w:val="true"/>
        </w:rPr>
        <w:t xml:space="preserve">: </w:t>
      </w:r>
      <w:r>
        <w:rPr>
          <w:rtl w:val="true"/>
        </w:rPr>
        <w:t>الروايات الواردة في المسألة</w:t>
      </w:r>
      <w:bookmarkEnd w:id="42"/>
    </w:p>
    <w:p>
      <w:pPr>
        <w:pStyle w:val="Heading4"/>
        <w:numPr>
          <w:ilvl w:val="3"/>
          <w:numId w:val="1"/>
        </w:numPr>
        <w:rPr/>
      </w:pPr>
      <w:bookmarkStart w:id="43" w:name="__RefHeading___Toc3208359_2870459653"/>
      <w:bookmarkStart w:id="44" w:name="_Toc14"/>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وهي على طائفتين</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208361_2870459653"/>
      <w:bookmarkStart w:id="46" w:name="_Toc15"/>
      <w:bookmarkEnd w:id="45"/>
      <w:r>
        <w:rPr>
          <w:rtl w:val="true"/>
        </w:rPr>
        <w:t>الطائفة الأولى</w:t>
      </w:r>
      <w:r>
        <w:rPr>
          <w:rtl w:val="true"/>
        </w:rPr>
        <w:t xml:space="preserve">: </w:t>
      </w:r>
      <w:r>
        <w:rPr>
          <w:rtl w:val="true"/>
        </w:rPr>
        <w:t>الروايات التي يمكن أن يستدلَّ بها على جزئيَّة البسملة لجميع السور</w:t>
      </w:r>
      <w:bookmarkEnd w:id="46"/>
    </w:p>
    <w:p>
      <w:pPr>
        <w:pStyle w:val="Heading5"/>
        <w:numPr>
          <w:ilvl w:val="4"/>
          <w:numId w:val="1"/>
        </w:numPr>
        <w:rPr/>
      </w:pPr>
      <w:bookmarkStart w:id="47" w:name="__RefHeading___Toc3208363_2870459653"/>
      <w:bookmarkStart w:id="48" w:name="_Toc16"/>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وهي ثلاث روايات</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3208365_2870459653"/>
      <w:bookmarkStart w:id="50" w:name="_Toc17"/>
      <w:bookmarkEnd w:id="49"/>
      <w:r>
        <w:rPr>
          <w:rtl w:val="true"/>
        </w:rPr>
        <w:t>الرواية الأولى</w:t>
      </w:r>
      <w:bookmarkEnd w:id="50"/>
    </w:p>
    <w:p>
      <w:pPr>
        <w:pStyle w:val="BookText"/>
        <w:rPr/>
      </w:pPr>
      <w:r>
        <w:rPr>
          <w:rFonts w:ascii="IRNazanin" w:hAnsi="IRNazanin" w:eastAsia="IRNazanin"/>
          <w:color w:val="111111"/>
          <w:sz w:val="28"/>
          <w:sz w:val="28"/>
          <w:szCs w:val="28"/>
          <w:rtl w:val="true"/>
          <w:lang w:bidi="fa-IR"/>
        </w:rPr>
        <w:t xml:space="preserve">وهي رواية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للصلاة أقرأ بسم الله الرحمن الرحيم في فاتحة القرآن؟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فاتحة القرآن أقرأ بسم الله الرحمن الرحيم مع السورة؟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استدلّ بها كثير من الأعلام</w:t>
      </w:r>
      <w:r>
        <w:rPr>
          <w:rStyle w:val="FootnoteAnchor"/>
          <w:rtl w:val="true"/>
        </w:rPr>
        <w:footnoteReference w:id="38"/>
      </w:r>
      <w:r>
        <w:rPr>
          <w:rFonts w:ascii="Amiri" w:hAnsi="Amiri" w:eastAsia="Amiri" w:cs="Amiri"/>
          <w:color w:val="111111"/>
          <w:sz w:val="28"/>
          <w:sz w:val="28"/>
          <w:szCs w:val="28"/>
          <w:rtl w:val="true"/>
          <w:lang w:bidi="ar-SA"/>
        </w:rPr>
        <w:t xml:space="preserve">، 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عمدة الأخبار</w:t>
      </w:r>
      <w:r>
        <w:rPr>
          <w:rStyle w:val="FootnoteAnchor"/>
          <w:rtl w:val="true"/>
        </w:rPr>
        <w:footnoteReference w:id="39"/>
      </w:r>
      <w:r>
        <w:rPr>
          <w:rFonts w:ascii="Amiri" w:hAnsi="Amiri" w:eastAsia="Amiri" w:cs="Amiri"/>
          <w:color w:val="111111"/>
          <w:sz w:val="28"/>
          <w:sz w:val="28"/>
          <w:szCs w:val="28"/>
          <w:rtl w:val="true"/>
          <w:lang w:bidi="ar-SA"/>
        </w:rPr>
        <w:t>، وسندها صحيح، بناءً على ما هو المشهور من وثاقة محمّد بن عيسى واعتماد روايته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دلالتها على المطلوب فقد قرَّبها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بما يرجع إلى مقدّمتين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سؤال معاوية ليس عن الجواز؛ إذ لم ينقل عن أحد حرمة قراءتها في </w:t>
      </w:r>
    </w:p>
    <w:p>
      <w:pPr>
        <w:pStyle w:val="BookText"/>
        <w:rPr/>
      </w:pPr>
      <w:r>
        <w:rPr>
          <w:rFonts w:ascii="Amiri" w:hAnsi="Amiri" w:eastAsia="Amiri" w:cs="Amiri"/>
          <w:color w:val="111111"/>
          <w:sz w:val="28"/>
          <w:sz w:val="28"/>
          <w:szCs w:val="28"/>
          <w:rtl w:val="true"/>
          <w:lang w:bidi="ar-SA"/>
        </w:rPr>
        <w:t>الصلاة؛ لأنَّها قرآن بلا إشكال، لا أقلّ في سورة النمل والفاتحة بإجماع علمائنا، ومشهور العامَّة، ولا حرمة في قراءة القرآن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السؤال عن الاستحباب أيضاً؛ لأنَّ جوازها يساوق رجحانها؛ إذ هي عبادة، فتعيَّن أن يكون السؤال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هذه المقدّمة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السؤال ليس عن الجواز؛ فإنَّه مسلّم عند الكلّ، بل من الضروريات، ولا عن الاستحباب؛ لوضوحه أيضاً، لا سيّما لمثل معاوية ابن عمار؛ فإنّ جواز قراءة القرآن مساوق لرجحانه، فلا محالة يكون عن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مرتكز عند السائل من وجوب البسملة، ومن الواضح أنّ الوجوب في أمثال المقام ظاهر في الجزئيّة؛ لعدم احتمال النفسيّة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 أن لا مثبت لعدم إرادة الوجوب النفسي من الرواية، وإنّما الثابت أصل الوجوب، وهو الذي يمكن دعوى الإجماع عليه، وكونه من المسلّمات دون الجزئيّة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مدفوعة بأنّا إذا سلَّمنا دلالتها على أصل الوجوب فالحقّ مع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السؤال حينئذٍ عن وجوبها في الصلاة التي هي من المركبات، وقد 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 من المحقّقين على أنَّ الأصل الثانوي في الأوامر الواردة في المركبات هو الإرشاديّة، فيكون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أقرّ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إرشاداً إلى جزئيَّتها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يكون مقصود المعترض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السيّد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مجرّد الحكم بقراءة البسملة مع السورة أعمّ من جزئيّتها لها، لاحتمال جزئيّتها للصلاة أو شرطيّتها لها، فلا مساس لها بالسورة مساس الجزء بالكلّ</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يؤيّد هذا بأنَّ السائل عندما سأل عن البسملة مع الفاتحة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bookmarkStart w:id="51" w:name="pg10932_87512"/>
    </w:p>
    <w:p>
      <w:pPr>
        <w:pStyle w:val="BookText"/>
        <w:rPr/>
      </w:pPr>
      <w:bookmarkEnd w:id="51"/>
      <w:r>
        <w:rPr>
          <w:rFonts w:ascii="Amiri" w:hAnsi="Amiri" w:eastAsia="Amiri" w:cs="Amiri"/>
          <w:color w:val="111111"/>
          <w:sz w:val="28"/>
          <w:sz w:val="28"/>
          <w:szCs w:val="28"/>
          <w:rtl w:val="true"/>
          <w:lang w:bidi="ar-SA"/>
        </w:rPr>
        <w:t>المشعرة بدخول المظروف في الظرف، حيث ورد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للصلاة أقرأ بسم الله الرحمن الرحيم في فاتحة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سأل عن البسملة في السورة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المشعرة بالمصاحبة وعدم الدخول، حيث ورد فيها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فاتحة القرآن أقرأ بسم الله الرحمن الرحيم مع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فتسليم ظهور الوجوب في الجزئيَّة في هكذا مقام لا يستلزم أن تكون جزءاً من السورة، بل يمكن أن تكون جزءاً من الصلاة أو شرطاً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ملاحظة الجوّ الفقهي الذي صدرت فيه الرواية يقتضي أنَّ السؤال كان عن جزئيَّتها من السورة، حيث إنَّ ذلك هو مورد الخلاف بيننا وبين الجمهور، فسؤال السائل عن قراءتها مع السورة الذي فرضنا أنّه سؤال عن الوجوب المساوق للجزئيّة ناشئ عن أنَّها هل تكون جزءاً من السورة فتقرأ، أو لا تكون كذلك فلا تقرأ؟ فجواب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ظاهراً في جزئيَّتها للسورة،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يخطر بالبال إمكان الإيراد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عن الاستحباب؛ لوضوحه أيضاً لا سيّما لمثل معاوية بن عمار؛ فإنَّ جواز قراءة القرآن مساوق لرجحانه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الاستحباب الواضح الذي لا يخفى على مثل معاوية بن عمار هو ما كان بعنوانه العامّ، كقراءة القرآن في الصلاة التي هي عبادة، وجوازها مساوق لاستحبابها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السؤال عن استحبابها قبل السورة بنحو التوظيف فهذا قد يدّعى عدم وضوحه لدى السائل، وهو احتمال لا دافع له، ومعه تكون الرواية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لهذا أو غيره توقَّف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المدّعى</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3208367_2870459653"/>
      <w:bookmarkStart w:id="53" w:name="_Toc18"/>
      <w:bookmarkEnd w:id="52"/>
      <w:r>
        <w:rPr>
          <w:rtl w:val="true"/>
        </w:rPr>
        <w:t>الرواية الثانية</w:t>
      </w:r>
      <w:bookmarkEnd w:id="53"/>
    </w:p>
    <w:p>
      <w:pPr>
        <w:pStyle w:val="Heading6"/>
        <w:numPr>
          <w:ilvl w:val="5"/>
          <w:numId w:val="1"/>
        </w:numPr>
        <w:rPr/>
      </w:pPr>
      <w:bookmarkStart w:id="54" w:name="__RefHeading___Toc3208369_2870459653"/>
      <w:bookmarkStart w:id="55" w:name="_Toc19"/>
      <w:bookmarkEnd w:id="54"/>
      <w:r>
        <w:rPr>
          <w:rtl w:val="true"/>
        </w:rPr>
        <w:t>اشارة</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يحيى بن أبي عمران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w:t>
      </w:r>
      <w:bookmarkStart w:id="56" w:name="pg10932_87513"/>
    </w:p>
    <w:p>
      <w:pPr>
        <w:pStyle w:val="BookText"/>
        <w:rPr/>
      </w:pPr>
      <w:bookmarkEnd w:id="56"/>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رجل ابتدأ ببسم الله الرحمن الرحيم في صلاته وحده في أمّ الكتاب فلمّا صار إلى غير أمّ الكتاب من السورة تركها، فقال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بذلك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يعيدها، مرّتين على 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العباسي</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بها جملة من الأعلام، منهم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مستمسك العروة الوثقى</w:t>
      </w:r>
      <w:r>
        <w:rPr>
          <w:rStyle w:val="FootnoteAnchor"/>
          <w:rtl w:val="true"/>
        </w:rPr>
        <w:footnoteReference w:id="45"/>
      </w:r>
      <w:r>
        <w:rPr>
          <w:rFonts w:ascii="Amiri" w:hAnsi="Amiri" w:eastAsia="Amiri" w:cs="Amiri"/>
          <w:color w:val="111111"/>
          <w:sz w:val="28"/>
          <w:sz w:val="28"/>
          <w:szCs w:val="28"/>
          <w:rtl w:val="true"/>
          <w:lang w:bidi="ar-SA"/>
        </w:rPr>
        <w:t xml:space="preserve">،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هذه الرواية يقع من جهتين</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3208371_2870459653"/>
      <w:bookmarkStart w:id="58" w:name="_Toc20"/>
      <w:bookmarkEnd w:id="57"/>
      <w:r>
        <w:rPr>
          <w:rtl w:val="true"/>
        </w:rPr>
        <w:t>الجهة الأولى</w:t>
      </w:r>
      <w:r>
        <w:rPr>
          <w:rtl w:val="true"/>
        </w:rPr>
        <w:t xml:space="preserve">: </w:t>
      </w:r>
      <w:r>
        <w:rPr>
          <w:rtl w:val="true"/>
        </w:rPr>
        <w:t>في السند</w:t>
      </w:r>
      <w:bookmarkEnd w:id="58"/>
    </w:p>
    <w:p>
      <w:pPr>
        <w:pStyle w:val="BookText"/>
        <w:rPr/>
      </w:pPr>
      <w:r>
        <w:rPr>
          <w:rFonts w:ascii="Amiri" w:hAnsi="Amiri" w:eastAsia="Amiri" w:cs="Amiri"/>
          <w:color w:val="111111"/>
          <w:sz w:val="28"/>
          <w:sz w:val="28"/>
          <w:szCs w:val="28"/>
          <w:rtl w:val="true"/>
          <w:lang w:bidi="ar-SA"/>
        </w:rPr>
        <w:t>فقد يشكل فيه من جهة الراوي المباشر، والكلام فيها يقع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تشخيصه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الموجود في الكافي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عمران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الاستبصار</w:t>
      </w:r>
      <w:r>
        <w:rPr>
          <w:rStyle w:val="FootnoteAnchor"/>
          <w:rtl w:val="true"/>
        </w:rPr>
        <w:footnoteReference w:id="47"/>
      </w:r>
      <w:r>
        <w:rPr>
          <w:rFonts w:ascii="IRNazanin" w:hAnsi="IRNazanin" w:eastAsia="IRNazanin"/>
          <w:color w:val="111111"/>
          <w:sz w:val="28"/>
          <w:sz w:val="28"/>
          <w:szCs w:val="28"/>
          <w:rtl w:val="true"/>
          <w:lang w:bidi="fa-IR"/>
        </w:rPr>
        <w:t>، والوسائل</w:t>
      </w:r>
      <w:r>
        <w:rPr>
          <w:rStyle w:val="FootnoteAnchor"/>
          <w:rtl w:val="true"/>
        </w:rPr>
        <w:footnoteReference w:id="48"/>
      </w:r>
      <w:r>
        <w:rPr>
          <w:rFonts w:ascii="Amiri" w:hAnsi="Amiri" w:eastAsia="Amiri" w:cs="Amiri"/>
          <w:color w:val="111111"/>
          <w:sz w:val="28"/>
          <w:sz w:val="28"/>
          <w:szCs w:val="28"/>
          <w:rtl w:val="true"/>
          <w:lang w:bidi="ar-SA"/>
        </w:rPr>
        <w:t>، والوافي</w:t>
      </w:r>
      <w:r>
        <w:rPr>
          <w:rStyle w:val="FootnoteAnchor"/>
          <w:rtl w:val="true"/>
        </w:rPr>
        <w:footnoteReference w:id="49"/>
      </w:r>
      <w:r>
        <w:rPr>
          <w:rFonts w:ascii="Amiri" w:hAnsi="Amiri" w:eastAsia="Amiri" w:cs="Amiri"/>
          <w:color w:val="111111"/>
          <w:sz w:val="28"/>
          <w:sz w:val="28"/>
          <w:szCs w:val="28"/>
          <w:rtl w:val="true"/>
          <w:lang w:bidi="ar-SA"/>
        </w:rPr>
        <w:t>، ومرآة العقول</w:t>
      </w:r>
      <w:r>
        <w:rPr>
          <w:rStyle w:val="FootnoteAnchor"/>
          <w:rtl w:val="true"/>
        </w:rPr>
        <w:footnoteReference w:id="50"/>
      </w:r>
      <w:r>
        <w:rPr>
          <w:rFonts w:ascii="Amiri" w:hAnsi="Amiri" w:eastAsia="Amiri" w:cs="Amiri"/>
          <w:color w:val="111111"/>
          <w:sz w:val="28"/>
          <w:sz w:val="28"/>
          <w:szCs w:val="28"/>
          <w:rtl w:val="true"/>
          <w:lang w:bidi="ar-SA"/>
        </w:rPr>
        <w:t>، كلّها نقلاً عن الكافي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نسخة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طبعة دار الحديث</w:t>
      </w:r>
      <w:r>
        <w:rPr>
          <w:rStyle w:val="FootnoteAnchor"/>
          <w:rtl w:val="true"/>
        </w:rPr>
        <w:footnoteReference w:id="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عمران </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التهذيب</w:t>
      </w:r>
      <w:r>
        <w:rPr>
          <w:rStyle w:val="FootnoteAnchor"/>
          <w:rtl w:val="true"/>
        </w:rPr>
        <w:footnoteReference w:id="52"/>
      </w:r>
      <w:r>
        <w:rPr>
          <w:rFonts w:ascii="IRNazanin" w:hAnsi="IRNazanin" w:eastAsia="IRNazanin"/>
          <w:color w:val="111111"/>
          <w:sz w:val="28"/>
          <w:sz w:val="28"/>
          <w:szCs w:val="28"/>
          <w:rtl w:val="true"/>
          <w:lang w:bidi="fa-IR"/>
        </w:rPr>
        <w:t>، وموضع آخر من الوسائل</w:t>
      </w:r>
      <w:r>
        <w:rPr>
          <w:rStyle w:val="FootnoteAnchor"/>
          <w:rtl w:val="true"/>
        </w:rPr>
        <w:footnoteReference w:id="53"/>
      </w:r>
      <w:r>
        <w:rPr>
          <w:rFonts w:ascii="Amiri" w:hAnsi="Amiri" w:eastAsia="Amiri" w:cs="Amiri"/>
          <w:color w:val="111111"/>
          <w:sz w:val="28"/>
          <w:sz w:val="28"/>
          <w:szCs w:val="28"/>
          <w:rtl w:val="true"/>
          <w:lang w:bidi="ar-SA"/>
        </w:rPr>
        <w:t>نقلاً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الصدوق في المشيخة، وقال عند ذكر طريقه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تلميذ يونس بن عبد الرحمن</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 وأيضاً ذكره البرقي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ولم يعنوَن في غيره من كتب الرجال، وإنَّما المعنوَن في رجال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عمران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كما وقع في الرواية محلّ البحث بنقل التهذيب،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ذكر بعض الوجوه لتوثيقه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وليس هناك وجه لتوثيقه، فحينئذٍ قد يقال بأنَّ الرواية على فرض التعدّد مردّدة بين شخصين أحدهما مجهول، فتسقط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الصحيح في محلّ الكلام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بنى عليه جملة من الأعلام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يشهد له أنَّ الرواية المبحوث عنها هي مكاتبة له إلى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رويت مكاتبة أخرى ليحيى إلى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أبي عمران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وكذا توجد مكاتبة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بهذا العنوان</w:t>
      </w:r>
      <w:r>
        <w:rPr>
          <w:rStyle w:val="FootnoteAnchor"/>
          <w:rtl w:val="true"/>
        </w:rPr>
        <w:footnoteReference w:id="59"/>
      </w:r>
      <w:r>
        <w:rPr>
          <w:rFonts w:ascii="Amiri" w:hAnsi="Amiri" w:eastAsia="Amiri" w:cs="Amiri"/>
          <w:color w:val="111111"/>
          <w:sz w:val="28"/>
          <w:sz w:val="28"/>
          <w:szCs w:val="28"/>
          <w:rtl w:val="true"/>
          <w:lang w:bidi="ar-SA"/>
        </w:rPr>
        <w:t xml:space="preserve">، ولم تنقل مكاتبة في مورد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بنى عليه جملة من الأعلام</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أبي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واحد، وقد سقطت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التهذيب في الرواية محلّ البحث، وكذلك من رجال الشيخ، 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الشيخ ذكر في رجاله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عمران الهمداني،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يونسي، والظاهر أنّه هو يحيى بن أبي عمران، وقد سقطت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الشيخ، أو من قلم النسّاخ</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يشهد لذلك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يونسي، ومن يروي عن يونس مكرّراً في الأسانيد جاء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عمران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ولم يقع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إلَّا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الكافي</w:t>
      </w:r>
      <w:r>
        <w:rPr>
          <w:rStyle w:val="FootnoteAnchor"/>
          <w:rtl w:val="true"/>
        </w:rPr>
        <w:footnoteReference w:id="63"/>
      </w:r>
      <w:r>
        <w:rPr>
          <w:rFonts w:ascii="Amiri" w:hAnsi="Amiri" w:eastAsia="Amiri" w:cs="Amiri"/>
          <w:color w:val="111111"/>
          <w:sz w:val="28"/>
          <w:sz w:val="28"/>
          <w:szCs w:val="28"/>
          <w:rtl w:val="true"/>
          <w:lang w:bidi="ar-SA"/>
        </w:rPr>
        <w:t xml:space="preserve">، ولكن في التهذيب عنه وكذلك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ابن أبي عمران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أيضاً، وثانيهما في بصائر الدرجات</w:t>
      </w:r>
      <w:r>
        <w:rPr>
          <w:rStyle w:val="FootnoteAnchor"/>
          <w:rtl w:val="true"/>
        </w:rPr>
        <w:footnoteReference w:id="65"/>
      </w:r>
      <w:r>
        <w:rPr>
          <w:rFonts w:ascii="Amiri" w:hAnsi="Amiri" w:eastAsia="Amiri" w:cs="Amiri"/>
          <w:color w:val="111111"/>
          <w:sz w:val="28"/>
          <w:sz w:val="28"/>
          <w:szCs w:val="28"/>
          <w:rtl w:val="true"/>
          <w:lang w:bidi="ar-SA"/>
        </w:rPr>
        <w:t xml:space="preserve">، ولكن في جميع الموارد الأخرى </w:t>
      </w:r>
    </w:p>
    <w:p>
      <w:pPr>
        <w:pStyle w:val="BookText"/>
        <w:rPr/>
      </w:pPr>
      <w:r>
        <w:rPr>
          <w:rFonts w:ascii="Amiri" w:hAnsi="Amiri" w:eastAsia="Amiri" w:cs="Amiri"/>
          <w:color w:val="111111"/>
          <w:sz w:val="28"/>
          <w:sz w:val="28"/>
          <w:szCs w:val="28"/>
          <w:rtl w:val="true"/>
          <w:lang w:bidi="ar-SA"/>
        </w:rPr>
        <w:t xml:space="preserve">من البصائر جاء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ثبت أنّهما شخص واحد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لما ذكره الشيخ محمد حفيد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العلَّامة في الخلاصة ذكر في القسم الأوّل 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عمران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يونسيّ، ولم أقف عليه في غير الخلاصة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فإنَّه نفسه الذي ذكره الشيخ الصدوق في المشيخة، وعنونه الشيخ والبرقي في الرجال، كما مرَّ،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الآخر في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ينصّ على وثاقة يحيى بن أبي عمران في كتب الرجال، ويمكن أن يذكر لإثباتها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w:t>
      </w:r>
      <w:r>
        <w:rPr>
          <w:rStyle w:val="FootnoteAnchor"/>
          <w:rtl w:val="true"/>
        </w:rPr>
        <w:footnoteReference w:id="68"/>
      </w:r>
      <w:r>
        <w:rPr>
          <w:rFonts w:ascii="Amiri" w:hAnsi="Amiri" w:eastAsia="Amiri" w:cs="Amiri"/>
          <w:color w:val="111111"/>
          <w:sz w:val="28"/>
          <w:sz w:val="28"/>
          <w:szCs w:val="28"/>
          <w:rtl w:val="true"/>
          <w:lang w:bidi="ar-SA"/>
        </w:rPr>
        <w:t>من وقوعه في أسانيد تفسير القمّيّ، فتكون الرواية عنده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الكبرى غير تامّة عند جملة من الأعلام</w:t>
      </w:r>
      <w:r>
        <w:rPr>
          <w:rStyle w:val="FootnoteAnchor"/>
          <w:rtl w:val="true"/>
        </w:rPr>
        <w:footnoteReference w:id="69"/>
      </w:r>
      <w:r>
        <w:rPr>
          <w:rFonts w:ascii="Amiri" w:hAnsi="Amiri" w:eastAsia="Amiri" w:cs="Amiri"/>
          <w:color w:val="111111"/>
          <w:sz w:val="28"/>
          <w:sz w:val="28"/>
          <w:szCs w:val="28"/>
          <w:rtl w:val="true"/>
          <w:lang w:bidi="ar-SA"/>
        </w:rPr>
        <w:t xml:space="preserve">، والملاحظ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فقهه</w:t>
      </w:r>
      <w:r>
        <w:rPr>
          <w:rStyle w:val="FootnoteAnchor"/>
          <w:rtl w:val="true"/>
        </w:rPr>
        <w:footnoteReference w:id="70"/>
      </w:r>
      <w:r>
        <w:rPr>
          <w:rFonts w:ascii="Amiri" w:hAnsi="Amiri" w:eastAsia="Amiri" w:cs="Amiri"/>
          <w:color w:val="111111"/>
          <w:sz w:val="28"/>
          <w:sz w:val="28"/>
          <w:szCs w:val="28"/>
          <w:rtl w:val="true"/>
          <w:lang w:bidi="ar-SA"/>
        </w:rPr>
        <w:t xml:space="preserve">بضعف الرواية؛ لجهالة يحيى هذا،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استقرّ رأيه إلى آخر حياته الشريفة على وثاقة مَن وقع في أسانيد تفسير القمي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وكلاء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 كما في بصائر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كتاباً وأمرني أن لا أفكّه حتّى يموت يحيى بن أبي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الكتاب عندي سنين، فلمّا كان اليوم الذي مات فيه يحيى بن أبي عمران فككت الكتاب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بما كان يقوم به، أو نحو هذا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يحيى وإسحاق ابنا سليمان بن داود أنّ إبراهيم قرأ هذا الكتاب في المقبرة يوم مات يحيى، وكان إبراهيم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لا أخاف الموت ما كان يحيى بن أبي عمران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بذلك الحسن بن عبد الله بن سليمان</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تامّة السند على رأي</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إبراهيم بن محمّد من الوكلاء، وبنى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الوكالة تستلزم الجلالة والوثاقة، فيكون هذا السند تامّاً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بنى على كلّ ذلك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مصباح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بنى على وثاقة إبراهيم بن محمّد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بنى على ذلك كلّه أيضاً أستاذنا الشيخ هادي آل راضي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تلقّيناه منه مراراً في مجلس البحث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وإن لم ينصّ على وثاقته إلَّا أنّه كان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نصّ عليه الكشي والنجاشي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والوكالة تستلزم الوثاقة</w:t>
      </w:r>
      <w:r>
        <w:rPr>
          <w:rFonts w:eastAsia="Amiri" w:cs="Amiri" w:ascii="Amiri" w:hAnsi="Amiri"/>
          <w:color w:val="111111"/>
          <w:sz w:val="28"/>
          <w:szCs w:val="28"/>
          <w:rtl w:val="true"/>
          <w:lang w:bidi="ar-SA"/>
        </w:rPr>
        <w:t>.</w:t>
      </w:r>
      <w:bookmarkStart w:id="59" w:name="pg10932_87518"/>
    </w:p>
    <w:p>
      <w:pPr>
        <w:pStyle w:val="BookText"/>
        <w:rPr/>
      </w:pPr>
      <w:bookmarkEnd w:id="59"/>
      <w:r>
        <w:rPr>
          <w:rFonts w:ascii="IRNazanin" w:hAnsi="IRNazanin" w:eastAsia="IRNazanin"/>
          <w:color w:val="111111"/>
          <w:sz w:val="28"/>
          <w:sz w:val="28"/>
          <w:szCs w:val="28"/>
          <w:rtl w:val="true"/>
          <w:lang w:bidi="fa-IR"/>
        </w:rPr>
        <w:t xml:space="preserve">أمَّا دلالتها على وثاقة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أبي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فلأنَّها تدلّ على أنّه كان وكيلاً للجواد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ذكره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على قول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تستلزم الوثاقة،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بلحاظ سند رواية يحيى بن أبي عمران، وقد رأيت أنَّها معتبرة على مبنى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على بعض المباني الأخرى</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3208373_2870459653"/>
      <w:bookmarkStart w:id="61" w:name="_Toc21"/>
      <w:bookmarkEnd w:id="60"/>
      <w:r>
        <w:rPr>
          <w:rtl w:val="true"/>
        </w:rPr>
        <w:t>الجهة الثانية</w:t>
      </w:r>
      <w:r>
        <w:rPr>
          <w:rtl w:val="true"/>
        </w:rPr>
        <w:t xml:space="preserve">: </w:t>
      </w:r>
      <w:r>
        <w:rPr>
          <w:rtl w:val="true"/>
        </w:rPr>
        <w:t>في الدلالة</w:t>
      </w:r>
      <w:bookmarkEnd w:id="61"/>
    </w:p>
    <w:p>
      <w:pPr>
        <w:pStyle w:val="BookText"/>
        <w:rPr/>
      </w:pPr>
      <w:r>
        <w:rPr>
          <w:rFonts w:ascii="Amiri" w:hAnsi="Amiri" w:eastAsia="Amiri" w:cs="Amiri"/>
          <w:color w:val="111111"/>
          <w:sz w:val="28"/>
          <w:sz w:val="28"/>
          <w:szCs w:val="28"/>
          <w:rtl w:val="true"/>
          <w:lang w:bidi="ar-SA"/>
        </w:rPr>
        <w:t>ويمكن تقريب دلالتها في المقام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سأل الإمام عمّن ترك البسملة في السورة، والإمام أمره أن يعيدها، فدلَّ ذلك على وجوبها؛ إذ لو لم تكن واجبةً لما كان وجه للأمر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اتَّضح لي من كلماتهم في تقريب الاستدلال بهذه الرواية على جزئيَّة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الواضح أنّ هذا المقدار لا يكفي لإثبات المطلوب إلَّا بضمّ المقدّمة الثانية التي ذكرها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بالرواية الأولى؛ إذ بدونها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الدلالة على الوجوب ولكنّها لا تدلّ على الجزئيَّة، بل لعلّها واجب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ويحسن بنا هنا أن نشير إلى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الرواية قد ذكرت وجوه لتفسيره في كلماتهم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 من الأعلام</w:t>
      </w:r>
      <w:r>
        <w:rPr>
          <w:rStyle w:val="FootnoteAnchor"/>
          <w:rtl w:val="true"/>
        </w:rPr>
        <w:footnoteReference w:id="75"/>
      </w:r>
      <w:r>
        <w:rPr>
          <w:rFonts w:ascii="IRNazanin" w:hAnsi="IRNazanin" w:eastAsia="IRNazanin"/>
          <w:color w:val="111111"/>
          <w:sz w:val="28"/>
          <w:sz w:val="28"/>
          <w:szCs w:val="28"/>
          <w:rtl w:val="true"/>
          <w:lang w:bidi="fa-IR"/>
        </w:rPr>
        <w:t>من أنَّه متعلّق بالكتابة، فالسائل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ذلك مرّتين، وليس متعلّقاً بإعادة الصلاة؛ إذ لا معنى لإعادتها مرّتين، ولعلّ وجه التكرار في الكتابة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المبالغة في الإنكار على العباسيّ أو </w:t>
      </w:r>
    </w:p>
    <w:p>
      <w:pPr>
        <w:pStyle w:val="BookText"/>
        <w:rPr/>
      </w:pPr>
      <w:r>
        <w:rPr>
          <w:rFonts w:ascii="Amiri" w:hAnsi="Amiri" w:eastAsia="Amiri" w:cs="Amiri"/>
          <w:color w:val="111111"/>
          <w:sz w:val="28"/>
          <w:sz w:val="28"/>
          <w:szCs w:val="28"/>
          <w:rtl w:val="true"/>
          <w:lang w:bidi="ar-SA"/>
        </w:rPr>
        <w:t xml:space="preserve">العياشيّ كما ذكره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من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راجعاً للصلاة، بل للبسملة، والمعنى يعيد البسملة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الركعة الأولى، وأخرى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بعيد، بل ظاهر الرواية رجوعه إلى الصلاة بسبب ترك جزء السورة وهو البسملة، كما عن جملة من الأعلام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بعده أنّ السائل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وقوع الصلاة من الرجل، ولا معنى لأن يأمره بإعادة البسملة حينذاك، 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عود الضمير إلى السورة بعيد غايته، ومخالفة للظاهر جدّاً؛ فإنَّ المسؤول عنه قضيّة خارجيّة استفتي عنها العباسي أوّلاً ثُمَّ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 بخلافه، وكلّ ذلك بطبيعة الحال بعد فراغ المصلّي عن صلاته، لا حين الاشتغال بها كي يتّجه الأمر بإعادة السورة خاصّة، فلا يمكن التدارك بعد فرض وجود الخلل لترك البسملة عن السورة عمداً إلَّا بإعادة الصلاة رأساً كما لا يخفى، ومنه تعرف ضعف احتمال عود الضمير إلى البسملة</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فبيَّن وجه بُعد عود الضمير إلى السورة بما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يلاحظ على الاستدلال بالرواية أنَّه قائم على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السؤال عائد إلى الصلاة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السورة؛ إذ الأغلب في عود </w:t>
      </w:r>
    </w:p>
    <w:p>
      <w:pPr>
        <w:pStyle w:val="BookText"/>
        <w:rPr/>
      </w:pPr>
      <w:r>
        <w:rPr>
          <w:rFonts w:ascii="Amiri" w:hAnsi="Amiri" w:eastAsia="Amiri" w:cs="Amiri"/>
          <w:color w:val="111111"/>
          <w:sz w:val="28"/>
          <w:sz w:val="28"/>
          <w:szCs w:val="28"/>
          <w:rtl w:val="true"/>
          <w:lang w:bidi="ar-SA"/>
        </w:rPr>
        <w:t>الضمير أن يكون على الأقرب إلّا مع وجود القرينة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مورد سؤال السائل هو عن وجوب قراءة السورة بعد الفاتحة في الصلاة، ومعه تكون الرواية أجنبيّة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يتأمّل في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الضمير هو البسملة لا السورة؛ إذ الظاهر اهتمام السائل بالسؤال عن حكم البسملة في السورة؛ ولذا قدّم ذكرها، ولو كان يريد السؤال عن حكم الاتيان بالسورة بعد الفاتحة لما كان داعٍ إلى هذا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بنفي التطويل؛ إذ مآل السؤال إلى أنّه أتى بالفاتحة مع البسملة فهل يكتفى بها إذا ترك السورة؟</w:t>
      </w:r>
    </w:p>
    <w:p>
      <w:pPr>
        <w:pStyle w:val="BookText"/>
        <w:rPr/>
      </w:pPr>
      <w:r>
        <w:rPr>
          <w:rFonts w:ascii="IRNazanin" w:hAnsi="IRNazanin" w:eastAsia="IRNazanin"/>
          <w:color w:val="111111"/>
          <w:sz w:val="28"/>
          <w:sz w:val="28"/>
          <w:szCs w:val="28"/>
          <w:rtl w:val="true"/>
          <w:lang w:bidi="fa-IR"/>
        </w:rPr>
        <w:t xml:space="preserve">أي أنَّ المصلي عندما أكمل الحمد وجاء للسورة تركها، وحينئذ يكون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 على وجوب السورة في الصلاة، وعلى هذا الاحتمال تكون الرواية أجنبية عن محلّ الكلام، ومن أدلّة وجوب السورة في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الإيراد الذي ذكره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الرواية المتقدّمة، فإنَّه قد أورده هنا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عن جزئيّتها للسورة؛ لاحتمال شرطيّتها لها، أو جزئيّتها للصلاة بلا مساس لها بالسورة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 بن أذينة الطويلة،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ذكري فسمِّ باسمي، فمن أجل ذلك جعل بسم الله الرحمن الرحيم في أوّل السورة، ثمّ أوحى الله عزَّ وجلَّ إليه اقرأ يا محمّد نسبة ربك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وتقريب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الرواية قد ورد فيها الأمر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بقراءة البسملة في أوَّل السورة فتدلّ على أنَّها جزء منها؛ لأنّ أوّل الشيء منه، فعندما تقول دخلت في أوّل الطريق يدلّ على أنّك دخلت في الطريق، وحمل أوّل الشيء على ما كان خارجاً عنه خلاف الظاهر، لا يحمل الكلام عليه بلا قرينة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يمكن أن يورد عليه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دلالتها على الجزئيَّة؛ لأنَّ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بنقل الكليني، لكن الصدوق نقلها في العلل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استقبال السورة</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وهذا التعبير لا ظهور له في أنَّ البسملة جزء من السورة إنْ لم نقل بظهوره في خروجها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التأمّل فيما ذكره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على الاستدلال بهذه الرواية،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إلى ذلك إشعاره بخروجها عن السورة، حيث عبّر فيها باستقبال السورة الظاهر في أنّ السورة هي ما يأتي بعد البسملة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فإنّه وإنْ ذكر هذا بلسان الإشعار لا الظهور لكنَّك عرفت أنّ لفظ الاستقبال كلفظ أوّل السورة لم يثبت على أيٍّ منهما صدرت الرواية؛ لاختلاف النقل فيها، فلا يصحّ الاستشهاد بهذه الفقرة لا على الجزئيَّة، ولا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الروايات التي استُدلّ بها على جزئيّة البسملة للسورة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بعدم نهوضها لإثبات جزئيَّة البسملة للسورة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لعدم تماميّتها سنداً بأن لم نقل في الرواية الأولى بوثاقة محمّد بن عيسى، أو قلنا بوثاقته ولكن لم نأخذ برواياته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نقل في الرواية الثانية بوثاقة يحيى بن أبي </w:t>
      </w:r>
      <w:bookmarkStart w:id="62" w:name="pg10932_87525"/>
    </w:p>
    <w:p>
      <w:pPr>
        <w:pStyle w:val="BookText"/>
        <w:rPr/>
      </w:pPr>
      <w:bookmarkEnd w:id="62"/>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فتسقط الروايتان الأولى والثانية عن الاستدلال وإن تمّت دلالتهما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الدلالة فتسقط الثالثة وإن تمّ سندها، فحينئذٍ نفقد الدليل على جزئيَّة البسملة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سلّمنا بها سنداً ودلالةً على ذلك تمَّ الدليل على جزئيَّتها، لكن حينئذٍ ننتقل إلى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جزئيَّتها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كيف يتمُّ التعامل بينها وبين هذه الطائفة</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3208375_2870459653"/>
      <w:bookmarkStart w:id="64" w:name="_Toc22"/>
      <w:bookmarkEnd w:id="63"/>
      <w:r>
        <w:rPr>
          <w:rtl w:val="true"/>
        </w:rPr>
        <w:t>الطائفة الثانية</w:t>
      </w:r>
      <w:r>
        <w:rPr>
          <w:rtl w:val="true"/>
        </w:rPr>
        <w:t xml:space="preserve">: </w:t>
      </w:r>
      <w:r>
        <w:rPr>
          <w:rtl w:val="true"/>
        </w:rPr>
        <w:t>الروايات الدالّة على عدم جزئيّة البسملة في باقي السور غير الفاتحة</w:t>
      </w:r>
      <w:bookmarkEnd w:id="64"/>
    </w:p>
    <w:p>
      <w:pPr>
        <w:pStyle w:val="Heading5"/>
        <w:numPr>
          <w:ilvl w:val="4"/>
          <w:numId w:val="1"/>
        </w:numPr>
        <w:rPr/>
      </w:pPr>
      <w:bookmarkStart w:id="65" w:name="__RefHeading___Toc3208377_2870459653"/>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وهي ثلاث روايات أيضاً</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3208379_2870459653"/>
      <w:bookmarkStart w:id="68" w:name="_Toc24"/>
      <w:bookmarkEnd w:id="67"/>
      <w:r>
        <w:rPr>
          <w:rtl w:val="true"/>
        </w:rPr>
        <w:t>الرواية الأولى</w:t>
      </w:r>
      <w:bookmarkEnd w:id="68"/>
    </w:p>
    <w:p>
      <w:pPr>
        <w:pStyle w:val="BookText"/>
        <w:rPr/>
      </w:pPr>
      <w:r>
        <w:rPr>
          <w:rFonts w:ascii="IRNazanin" w:hAnsi="IRNazanin" w:eastAsia="IRNazanin"/>
          <w:color w:val="111111"/>
          <w:sz w:val="28"/>
          <w:sz w:val="28"/>
          <w:szCs w:val="28"/>
          <w:rtl w:val="true"/>
          <w:lang w:bidi="fa-IR"/>
        </w:rPr>
        <w:t xml:space="preserve">صحيحة الحلبيَّين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عبيد الله بن علي ومحمّد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أنَّهما سألاه عمّن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يريد يقرأ فاتحة الكتاب،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شاء سرّاً وإن شاء جهراً،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أفيقرأها مع السورة الأخرى؟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من حيث السند لا إشكال فيها، وهي من حيث الدلالة لا تدلّ على مجرّد عدم وجوب قراءتها مع السورة، بل ظاهرها النهي عن قراءتها، قال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أنّ حمل هذا الحديث على التقيّة أولى؛ لأنّ ظاهره نفي رجحان قراءتها مع السورة الأخرى، وليس الأمر كذلك</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فحملها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الوجوه الآتية؛ لأنَّها تدلّ على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وكيفما كان فسواء قلنا بظهورها في عدم وجوب القراءة أو النهي فعلى كلا التقديرين تدلّ على أنَّها ليست جزءاً من السورة؛ إذ لو كانت جزءاً لما صحّت السورة بدونها، فكيف يقول الإمام بعدم وجوبها أو ينهى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تعارض روايات الطائفة الأولى إنْ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وللأعلام في التعامل معها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الاستبصار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يكون المراد به مَن كان في صلاة نافلة وأراد أن يقرأ من بعض سورة جاز له أن لا يقرأ بسم الله الرحمن الرحيم</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على هذا الحمل بما رواه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يفتتح القراءة في الصلاة أيقرأ بسم الله الرحمن الرحيم؟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افتتح الصلاة فليقلها في أوّل ما يفتتح، ثُمَّ يكفيه ممّا بعد ذلك</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هذا الجمع أيضاً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خلاف الظاهر، فلا تحمل الرواية عليه بلا شاهد، وما استشهد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فإنَّ الرواية التي ذكرها ليس فيها ما يدلُّ على اختصاصها بالنافلة، بل هي من روايات الطائفة الثانية محلّ الكلام، ولا تصلح شاهداً على ما 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كتبت هذا اطَّلعت على ما يقرب منه في كلام الشيخ محمّد حفيد الشهيد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الشيخ على صلاة النافلة من البعد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الخبر الذي استشهد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إن أراد الشيخ به بيان حكم النافلة كما هو الظاهر، فالخبر لا يدلّ عليه </w:t>
      </w:r>
    </w:p>
    <w:p>
      <w:pPr>
        <w:pStyle w:val="BookText"/>
        <w:rPr/>
      </w:pP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ولعلّه إلى ما ذكرنا يشير الشيخ حسن في منتقى الجمان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لتأويل هذا الخبر في التهذيب وجهاً ضعيفاً</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وصاحب الحدائق بعد أن نقل هذا الجمع عن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بُعده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ولم يبيِّن وجه البعد، فلعلّه يشير إلى ما ذكرنا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الرواية ناظرة إلى الصلاة الواجبة؛ لأنّ السائل عندما سأل كان فارغاً عن أنّ السورة يؤتى بها، وإنَّما يسأل هل يؤتى معها بالبسملة أو لا؟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الفراغ عن الإتيان بالسورة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يتأتَّى في الصلاة الواجبة، حيث تجب السورة فيها دون النافلة،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تضمّنه هذا الخبر من كفاية تلاوة البسملة في الفاتحة عن تلاوتها مع السورة لا إشكال فيه على القول بعدم وجوب قراءة السورة؛ لأنّه إذا جاز تركها جاز تبعيضها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تكون الرواية متعرّضةً لجواز التبعيض في السورة، كما هو رأي جماعة من الأعلام</w:t>
      </w:r>
      <w:r>
        <w:rPr>
          <w:rStyle w:val="FootnoteAnchor"/>
          <w:rtl w:val="true"/>
        </w:rPr>
        <w:footnoteReference w:id="92"/>
      </w:r>
      <w:r>
        <w:rPr>
          <w:rFonts w:ascii="Amiri" w:hAnsi="Amiri" w:eastAsia="Amiri" w:cs="Amiri"/>
          <w:color w:val="111111"/>
          <w:sz w:val="28"/>
          <w:sz w:val="28"/>
          <w:szCs w:val="28"/>
          <w:rtl w:val="true"/>
          <w:lang w:bidi="ar-SA"/>
        </w:rPr>
        <w:t>، وحينئذٍ لا تدلّ على عدم جزئيّة البسملة للسورة، وتكون أجنبيّة عن المقام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الوجه هو مقصود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أنّ هذه الروايات إنّما تدلّ على عدم وجوب قراءة البسملة عند قراءة السورة، وربّما كان الوجه </w:t>
      </w:r>
    </w:p>
    <w:p>
      <w:pPr>
        <w:pStyle w:val="BookText"/>
        <w:rPr/>
      </w:pPr>
      <w:r>
        <w:rPr>
          <w:rFonts w:ascii="Amiri" w:hAnsi="Amiri" w:eastAsia="Amiri" w:cs="Amiri"/>
          <w:color w:val="111111"/>
          <w:sz w:val="28"/>
          <w:sz w:val="28"/>
          <w:szCs w:val="28"/>
          <w:rtl w:val="true"/>
          <w:lang w:bidi="ar-SA"/>
        </w:rPr>
        <w:t>فيه عدم وجوب قراءة السورة، كما هو أحد قولي الأصحاب، ولا دلالة لها على كونها ليست آية من السورة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يصحّ لو كانت الرواية دالّة على نفي وجوب قراءة البسملة، لكنّها لا تدلّ على ذلك، وإنَّما تنهى عن قراءتها معها، فهي إرشاد إلى عدم الإتيان بها، فلا تكون ناظرة إلى ذاك المطلب، بل دالّة على عدم جزئيَّتها للسورة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فيقرؤها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فاتحة الكتاب، وأنَّهما سألا هل يجوز أن يقرأ مع الفاتحة سورة أخرى ببسملة واحدة</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ذلك، فهي حينئذ لا تنهى عن قراءة البسملة مع السورة، بل تنهى عن أنْ يقرأ الحمد والسورة ببسملة واحدة، وحينئذ تكون الرواية من أدلّة جزئيَّتها للسورة، لا أنَّها من أدلّة عدم الجزئيَّة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الوجه خير مخرج إنْ تمّ أو احتملناه احتمالاً معتدّاً به بحيث يجعل الرواية مجملة فلا تدلُّ على أيّ من الطرفين، لكنَّه احتمال مخالف للظهور جدَّاً؛ إذ ظاهر الرواية صدراً وذيلاً السؤال عن قراءة البسملة فتارةً سأل عن قراءتها مع الفاتحة وأخرى مع السورة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كثير من الأعلام، وأوَّلهم مَن ذكره الشيخ في الاستبصار من أنَّ هذه الرواية محمولة على التقيّة</w:t>
      </w:r>
      <w:r>
        <w:rPr>
          <w:rStyle w:val="FootnoteAnchor"/>
          <w:rtl w:val="true"/>
        </w:rPr>
        <w:footnoteReference w:id="95"/>
      </w:r>
      <w:r>
        <w:rPr>
          <w:rFonts w:ascii="Amiri" w:hAnsi="Amiri" w:eastAsia="Amiri" w:cs="Amiri"/>
          <w:color w:val="111111"/>
          <w:sz w:val="28"/>
          <w:sz w:val="28"/>
          <w:szCs w:val="28"/>
          <w:rtl w:val="true"/>
          <w:lang w:bidi="ar-SA"/>
        </w:rPr>
        <w:t xml:space="preserve">، وقد مرَّ أنّ أبا حنيفة قد نقل عنه غير واحد من أصحابنا ومن الجمهور القول بعدم وجوبها في السورة، وفقه أبي حنيفة هو السائد في </w:t>
      </w:r>
    </w:p>
    <w:p>
      <w:pPr>
        <w:pStyle w:val="BookText"/>
        <w:rPr/>
      </w:pPr>
      <w:r>
        <w:rPr>
          <w:rFonts w:ascii="Amiri" w:hAnsi="Amiri" w:eastAsia="Amiri" w:cs="Amiri"/>
          <w:color w:val="111111"/>
          <w:sz w:val="28"/>
          <w:sz w:val="28"/>
          <w:szCs w:val="28"/>
          <w:rtl w:val="true"/>
          <w:lang w:bidi="ar-SA"/>
        </w:rPr>
        <w:t>زمن صدور النصّ، وعلى أساسه يمكن حمل هذه الرواية على التقيّة؛ لموافقتها للعامّة، وإبقاء الطائفة الأولى على ما هي عليه من الدلالة على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النفس شيء من هذا الحمل؛ لأنَّ أبا حنيفة أيضاً نقل عنه أقوال أخر، بل مرَّ نقل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عن بعض أنَّ أبا حنيفة لم يصرّح بشيء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المنقول عن مالك قولاً واحداً وهو نفي جزئيَّتها حتَّى عن الفاتحة، ولكنَّه لا ينفعنا في المقام؛ لأنَّ التقيّة بلحاظه تقتضي أن ينفي الإمام جزئيَّتها حتَّى عن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أنَّ هذه الرواية وما شاكلها لا مجال للعمل بها بعد حكاية الإجماعات القطعية على خلافها، فلتحمل على التقيّة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حمل هذه الرواية على التقيّة فقد عرفت ما يمكن أن يقال فيه، وأمَّا عدم إمكان العمل بها لمخالفتها للإجماعات القطعيّة فقد مرَّ أنَّ الإجماع أوّل مَن ادّعاه الشيخ في الخلاف والتبيان، ونفى عنه الخلاف في المبسوط</w:t>
      </w:r>
      <w:r>
        <w:rPr>
          <w:rStyle w:val="FootnoteAnchor"/>
          <w:rtl w:val="true"/>
        </w:rPr>
        <w:footnoteReference w:id="98"/>
      </w:r>
      <w:r>
        <w:rPr>
          <w:rFonts w:ascii="Amiri" w:hAnsi="Amiri" w:eastAsia="Amiri" w:cs="Amiri"/>
          <w:color w:val="111111"/>
          <w:sz w:val="28"/>
          <w:sz w:val="28"/>
          <w:szCs w:val="28"/>
          <w:rtl w:val="true"/>
          <w:lang w:bidi="ar-SA"/>
        </w:rPr>
        <w:t>، وما وصل إلينا من كلمات فقهائنا السابقين ليس فيه تعرّض للمسألة لا نفياً ولا إثباتاً، كالفقيه الأقدم علي ابن بابويه</w:t>
      </w:r>
      <w:r>
        <w:rPr>
          <w:rStyle w:val="FootnoteAnchor"/>
          <w:rtl w:val="true"/>
        </w:rPr>
        <w:footnoteReference w:id="99"/>
      </w:r>
      <w:r>
        <w:rPr>
          <w:rFonts w:ascii="Amiri" w:hAnsi="Amiri" w:eastAsia="Amiri" w:cs="Amiri"/>
          <w:color w:val="111111"/>
          <w:sz w:val="28"/>
          <w:sz w:val="28"/>
          <w:szCs w:val="28"/>
          <w:rtl w:val="true"/>
          <w:lang w:bidi="ar-SA"/>
        </w:rPr>
        <w:t xml:space="preserve">، وكذلك ولده الشيخ الصدوق في كتبه الواصلة إلينا كالهداية والمقنع، بل في </w:t>
      </w:r>
      <w:bookmarkStart w:id="69" w:name="pg10932_87535"/>
    </w:p>
    <w:p>
      <w:pPr>
        <w:pStyle w:val="BookText"/>
        <w:rPr/>
      </w:pPr>
      <w:bookmarkEnd w:id="69"/>
      <w:r>
        <w:rPr>
          <w:rFonts w:ascii="Amiri" w:hAnsi="Amiri" w:eastAsia="Amiri" w:cs="Amiri"/>
          <w:color w:val="111111"/>
          <w:sz w:val="28"/>
          <w:sz w:val="28"/>
          <w:szCs w:val="28"/>
          <w:rtl w:val="true"/>
          <w:lang w:bidi="ar-SA"/>
        </w:rPr>
        <w:t>الفقيه</w:t>
      </w:r>
      <w:r>
        <w:rPr>
          <w:rStyle w:val="FootnoteAnchor"/>
          <w:rtl w:val="true"/>
        </w:rPr>
        <w:footnoteReference w:id="100"/>
      </w:r>
      <w:r>
        <w:rPr>
          <w:rFonts w:ascii="Amiri" w:hAnsi="Amiri" w:eastAsia="Amiri" w:cs="Amiri"/>
          <w:color w:val="111111"/>
          <w:sz w:val="28"/>
          <w:sz w:val="28"/>
          <w:szCs w:val="28"/>
          <w:rtl w:val="true"/>
          <w:lang w:bidi="ar-SA"/>
        </w:rPr>
        <w:t>لم ينقل روايات المسألة، والسيّد المرتضى في الانتصار تعرّض لمسائل خلافيّة مع العامّة في القراءة ولم يتعرّض للبسملة</w:t>
      </w:r>
      <w:r>
        <w:rPr>
          <w:rStyle w:val="FootnoteAnchor"/>
          <w:rtl w:val="true"/>
        </w:rPr>
        <w:footnoteReference w:id="101"/>
      </w:r>
      <w:r>
        <w:rPr>
          <w:rFonts w:ascii="Amiri" w:hAnsi="Amiri" w:eastAsia="Amiri" w:cs="Amiri"/>
          <w:color w:val="111111"/>
          <w:sz w:val="28"/>
          <w:sz w:val="28"/>
          <w:szCs w:val="28"/>
          <w:rtl w:val="true"/>
          <w:lang w:bidi="ar-SA"/>
        </w:rPr>
        <w:t>، وكذا ابن إدريس في السرائر</w:t>
      </w:r>
      <w:r>
        <w:rPr>
          <w:rStyle w:val="FootnoteAnchor"/>
          <w:rtl w:val="true"/>
        </w:rPr>
        <w:footnoteReference w:id="102"/>
      </w:r>
      <w:r>
        <w:rPr>
          <w:rFonts w:ascii="Amiri" w:hAnsi="Amiri" w:eastAsia="Amiri" w:cs="Amiri"/>
          <w:color w:val="111111"/>
          <w:sz w:val="28"/>
          <w:sz w:val="28"/>
          <w:szCs w:val="28"/>
          <w:rtl w:val="true"/>
          <w:lang w:bidi="ar-SA"/>
        </w:rPr>
        <w:t>، والسيّد ابن زهرة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ظاهر الشيخ المفيد وجوب قراءتها في الصلاة مع السورة</w:t>
      </w:r>
      <w:r>
        <w:rPr>
          <w:rStyle w:val="FootnoteAnchor"/>
          <w:rtl w:val="true"/>
        </w:rPr>
        <w:footnoteReference w:id="104"/>
      </w:r>
      <w:r>
        <w:rPr>
          <w:rFonts w:ascii="Amiri" w:hAnsi="Amiri" w:eastAsia="Amiri" w:cs="Amiri"/>
          <w:color w:val="111111"/>
          <w:sz w:val="28"/>
          <w:sz w:val="28"/>
          <w:szCs w:val="28"/>
          <w:rtl w:val="true"/>
          <w:lang w:bidi="ar-SA"/>
        </w:rPr>
        <w:t>إلَّا أنّه لم يظهر منه جزئيّتها لها، وهكذا أبو الصلاح الحلبي</w:t>
      </w:r>
      <w:r>
        <w:rPr>
          <w:rStyle w:val="FootnoteAnchor"/>
          <w:rtl w:val="true"/>
        </w:rPr>
        <w:footnoteReference w:id="105"/>
      </w:r>
      <w:r>
        <w:rPr>
          <w:rFonts w:ascii="IRNazanin" w:hAnsi="IRNazanin" w:eastAsia="IRNazanin"/>
          <w:color w:val="111111"/>
          <w:sz w:val="28"/>
          <w:sz w:val="28"/>
          <w:szCs w:val="28"/>
          <w:rtl w:val="true"/>
          <w:lang w:bidi="fa-IR"/>
        </w:rPr>
        <w:t>وابن البراج</w:t>
      </w:r>
      <w:r>
        <w:rPr>
          <w:rStyle w:val="FootnoteAnchor"/>
          <w:rtl w:val="true"/>
        </w:rPr>
        <w:footnoteReference w:id="106"/>
      </w:r>
      <w:r>
        <w:rPr>
          <w:rFonts w:ascii="Amiri" w:hAnsi="Amiri" w:eastAsia="Amiri" w:cs="Amiri"/>
          <w:color w:val="111111"/>
          <w:sz w:val="28"/>
          <w:sz w:val="28"/>
          <w:szCs w:val="28"/>
          <w:rtl w:val="true"/>
          <w:lang w:bidi="ar-SA"/>
        </w:rPr>
        <w:t>، وابن حمزة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فيصعب الركون إلى أنَّه من الإجماعات القطعيّة التي تسقط الرواية معه عن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احتمال استناد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الروايات التي ذكروها في المسألة، فيكون الإجماع مدركيّاً لا تعبّديّاً كاشفاً عن رأي المعصوم</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3208381_2870459653"/>
      <w:bookmarkStart w:id="71" w:name="_Toc25"/>
      <w:bookmarkEnd w:id="70"/>
      <w:r>
        <w:rPr>
          <w:rtl w:val="true"/>
        </w:rPr>
        <w:t>الرواية الثانية</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يفتتح القراءة في الصلاة أيقرأ بسم الله الرحمن الرحيم؟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افتتح الصلاة فليقلها في أوّل ما يفتتح، ثمَّ يكفيه ما بعد ذلك</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دالّة على عدم وجوب البسملة فيما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تكون جزءاً منها؛ إذ لو كانت كذلك لما كانت السورة تكفي بدونها، بناءً على ما هو المعروف من وجوب سورة كاملة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تدلّ أيضاً على عدم وجوب البسملة في الفاتحة في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يمكن الالتزام به، لا أقل من أنَّ دلالتها على ذلك بالإطلاق، فيقيّد بالروايات الدالّة على جزئيَّتها في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عدم وجوب البسملة في الفاتحة في الركعة الثانية لم يقل به أحد من الفريقين، ومنه يمكن الخدش فيما قاله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والصحيحة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وجوب البسملة في الحمد أيضاً في الركعة الثانية، وهو خلاف الإجماع والأخبار، وهذا شاهد قويّ على ورودها مورد التقيّة</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على عدم جزئيَّة البسملة مع الفاتحة في الركعة الثانية بالإطلاق فيمكن فيها الجمع الدلاليّ، فلا تصل النوبة إلى الحمل على التقيّة من هذه الجهة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قاله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القول بمفاد تلك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بالبسملة في مجرّد الافتتاح لم ينقل عن العامّة أيضاً حتّى يحمل على التقيّة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 لحمل الرواية على التقيّة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أجابوا عنها بوجوه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كثير من الأعلام منهم السيّد الحكيم</w:t>
      </w:r>
      <w:r>
        <w:rPr>
          <w:rStyle w:val="FootnoteAnchor"/>
          <w:rtl w:val="true"/>
        </w:rPr>
        <w:footnoteReference w:id="111"/>
      </w: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اللذان حملا كل روايات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مرّ ما فيه، بل قد يكون حمل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أبعد في الحمل على التقيّة من الرواية المتقدّمة؛ لما مرَّ في المقام الأوّل من أنَّ القول بعدم جزئيَّة البسملة من باقي السور ثبتت نسبته لمالك، واختلف النقل عن أبي حنيفة، ففي زمن الباقر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يثبت أنَّ رأي العامّة على عدم الجزئيَّة، لتحمل هذه الرواية على التقيّة، بل قد نقلنا عن المجموع أنَّ القول بجزئيَّتها من جميع السور ممّا قال به كثير من الصحابة والتابعين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ما نقلناه آنفاً عن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بمفاد الرواية من الاكتفاء بالبسملة في مجرّد الافتتاح لم ينقل عن العامّة أيضاً حتّى يحمل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النافلة، كما عن الشيخ في التهذيبين</w:t>
      </w:r>
      <w:r>
        <w:rPr>
          <w:rStyle w:val="FootnoteAnchor"/>
          <w:rtl w:val="true"/>
        </w:rPr>
        <w:footnoteReference w:id="113"/>
      </w:r>
      <w:r>
        <w:rPr>
          <w:rFonts w:ascii="Amiri" w:hAnsi="Amiri" w:eastAsia="Amiri" w:cs="Amiri"/>
          <w:color w:val="111111"/>
          <w:sz w:val="28"/>
          <w:sz w:val="28"/>
          <w:szCs w:val="28"/>
          <w:rtl w:val="true"/>
          <w:lang w:bidi="ar-SA"/>
        </w:rPr>
        <w:t xml:space="preserve">، وتبعه عليه جماعة من الأعلام منهم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وحمل ما دلّ على اللزوم على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محمولة على عدم وجوب قراءة سورة كاملة بعد الفاتحة، فحينئذٍ لا مشكلة في عدم وجوب قراءة البسملة بعد الافتتاح بها في الفاتحة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تدلّ على عدم وجوب قراءة البسملة بعد أن افتتح بها أوّل الصلاة سواء أكانت السورة واجبة بعد الفاتحة أم لم تكن</w:t>
      </w:r>
      <w:r>
        <w:rPr>
          <w:rFonts w:eastAsia="Amiri" w:cs="Amiri" w:ascii="Amiri" w:hAnsi="Amiri"/>
          <w:color w:val="111111"/>
          <w:sz w:val="28"/>
          <w:szCs w:val="28"/>
          <w:rtl w:val="true"/>
          <w:lang w:bidi="ar-SA"/>
        </w:rPr>
        <w:t xml:space="preserve">. </w:t>
      </w:r>
      <w:bookmarkStart w:id="72" w:name="pg10932_87542"/>
    </w:p>
    <w:p>
      <w:pPr>
        <w:pStyle w:val="Heading5"/>
        <w:numPr>
          <w:ilvl w:val="4"/>
          <w:numId w:val="1"/>
        </w:numPr>
        <w:rPr/>
      </w:pPr>
      <w:bookmarkStart w:id="73" w:name="__RefHeading___Toc3208383_2870459653"/>
      <w:bookmarkStart w:id="74" w:name="_Toc26"/>
      <w:bookmarkEnd w:id="72"/>
      <w:bookmarkEnd w:id="73"/>
      <w:r>
        <w:rPr>
          <w:rtl w:val="true"/>
        </w:rPr>
        <w:t>الرواية الثالثة</w:t>
      </w:r>
      <w:bookmarkEnd w:id="74"/>
    </w:p>
    <w:p>
      <w:pPr>
        <w:pStyle w:val="BookText"/>
        <w:rPr/>
      </w:pPr>
      <w:r>
        <w:rPr>
          <w:rFonts w:ascii="Amiri" w:hAnsi="Amiri" w:eastAsia="Amiri" w:cs="Amiri"/>
          <w:color w:val="111111"/>
          <w:sz w:val="28"/>
          <w:sz w:val="28"/>
          <w:szCs w:val="28"/>
          <w:rtl w:val="true"/>
          <w:lang w:bidi="ar-SA"/>
        </w:rPr>
        <w:t>الرواية الثالثة</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التهذيب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محبوب، عن محمّد بن الحسين، عن صفوان، عن عبد الله بن بكير، عن مسمع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بسم الله الرحمن الرحيم الحمد لله رب العالمين، ثمّ قرأ السورة التي بعد الحمد، ولم يقرأ بسم الله الرحمن الرحيم، ثمّ قام في الثانية فقرأ الحمد، ولم يقرأ بسم الله الرحمن الرحيم، ثمّ قرأ بسورة أخرى</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ابتدأها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علي بن محبوب، وطريقه إليه في المشيخة</w:t>
      </w:r>
      <w:r>
        <w:rPr>
          <w:rStyle w:val="FootnoteAnchor"/>
          <w:rtl w:val="true"/>
        </w:rPr>
        <w:footnoteReference w:id="117"/>
      </w:r>
      <w:r>
        <w:rPr>
          <w:rFonts w:ascii="Amiri" w:hAnsi="Amiri" w:eastAsia="Amiri" w:cs="Amiri"/>
          <w:color w:val="111111"/>
          <w:sz w:val="28"/>
          <w:sz w:val="28"/>
          <w:szCs w:val="28"/>
          <w:rtl w:val="true"/>
          <w:lang w:bidi="ar-SA"/>
        </w:rPr>
        <w:t>وإن كان فيه أحمد بن محمّد بن يحيى العطّار الذي لم ينصّ على وثاقته في كتب الرجال، إلّا أنَّه ممَّن ترضّى عليه الصدوق في جملة من كتبه</w:t>
      </w:r>
      <w:r>
        <w:rPr>
          <w:rStyle w:val="FootnoteAnchor"/>
          <w:rtl w:val="true"/>
        </w:rPr>
        <w:footnoteReference w:id="118"/>
      </w:r>
      <w:r>
        <w:rPr>
          <w:rFonts w:ascii="Amiri" w:hAnsi="Amiri" w:eastAsia="Amiri" w:cs="Amiri"/>
          <w:color w:val="111111"/>
          <w:sz w:val="28"/>
          <w:sz w:val="28"/>
          <w:szCs w:val="28"/>
          <w:rtl w:val="true"/>
          <w:lang w:bidi="ar-SA"/>
        </w:rPr>
        <w:t>، وقد بنى جملة من الأعلام</w:t>
      </w:r>
      <w:r>
        <w:rPr>
          <w:rStyle w:val="FootnoteAnchor"/>
          <w:rtl w:val="true"/>
        </w:rPr>
        <w:footnoteReference w:id="119"/>
      </w:r>
      <w:r>
        <w:rPr>
          <w:rFonts w:ascii="Amiri" w:hAnsi="Amiri" w:eastAsia="Amiri" w:cs="Amiri"/>
          <w:color w:val="111111"/>
          <w:sz w:val="28"/>
          <w:sz w:val="28"/>
          <w:szCs w:val="28"/>
          <w:rtl w:val="true"/>
          <w:lang w:bidi="ar-SA"/>
        </w:rPr>
        <w:t>على أنَّ الترضي في كلمات المتقدّمين آية الجلالة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بني على ذلك كان الطريق صحيحاً، وإلَّا فقد يقال بأنَّه يوجد للشيخ إلى جميع كتب محمّد بن علي بن محبوب في الفهرست طرق وبعضها معتبر</w:t>
      </w:r>
      <w:r>
        <w:rPr>
          <w:rStyle w:val="FootnoteAnchor"/>
          <w:rtl w:val="true"/>
        </w:rPr>
        <w:footnoteReference w:id="120"/>
      </w:r>
      <w:r>
        <w:rPr>
          <w:rFonts w:ascii="IRNazanin" w:hAnsi="IRNazanin" w:eastAsia="IRNazanin"/>
          <w:color w:val="111111"/>
          <w:sz w:val="28"/>
          <w:sz w:val="28"/>
          <w:szCs w:val="28"/>
          <w:rtl w:val="true"/>
          <w:lang w:bidi="fa-IR"/>
        </w:rPr>
        <w:t xml:space="preserve">، وقد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آخر المشيخة</w:t>
      </w:r>
      <w:r>
        <w:rPr>
          <w:rStyle w:val="FootnoteAnchor"/>
          <w:rtl w:val="true"/>
        </w:rPr>
        <w:footnoteReference w:id="121"/>
      </w:r>
      <w:r>
        <w:rPr>
          <w:rFonts w:ascii="Amiri" w:hAnsi="Amiri" w:eastAsia="Amiri" w:cs="Amiri"/>
          <w:color w:val="111111"/>
          <w:sz w:val="28"/>
          <w:sz w:val="28"/>
          <w:szCs w:val="28"/>
          <w:rtl w:val="true"/>
          <w:lang w:bidi="ar-SA"/>
        </w:rPr>
        <w:t>على أنَّه إنَّما أورد بعض طرقه إلى مَن ابتدأ بأسمائهم في التهذيب، وقد استوفاها في الفهرست، وعلى ذلك يمكن الاعتماد على السند المعتبر المذكور في الفهرست لتصحيح ما ابتدأ فيه بمحمّد بن علي بن محبوب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ارتضى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الطريقة فصحّح عدّة روايات للشيخ اعتماداً على الطريق الذي يذكره في الفهرست، كما فعل في روايات إسحاق بن عمّار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تأمّل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بكلام ذكر في قبسات من علم الرجال</w:t>
      </w:r>
      <w:r>
        <w:rPr>
          <w:rStyle w:val="FootnoteAnchor"/>
          <w:rtl w:val="true"/>
        </w:rPr>
        <w:footnoteReference w:id="123"/>
      </w:r>
      <w:r>
        <w:rPr>
          <w:rFonts w:ascii="Amiri" w:hAnsi="Amiri" w:eastAsia="Amiri" w:cs="Amiri"/>
          <w:color w:val="111111"/>
          <w:sz w:val="28"/>
          <w:sz w:val="28"/>
          <w:szCs w:val="28"/>
          <w:rtl w:val="true"/>
          <w:lang w:bidi="ar-SA"/>
        </w:rPr>
        <w:t>،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طريق الشيخ إلى محمّد بن علي بن محبوب معتبر بناءً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الحسين منصرف إلى ابن أبي الخطاب بقرينة الراوي والمروي عنه على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w:t>
      </w:r>
      <w:r>
        <w:rPr>
          <w:rStyle w:val="FootnoteAnchor"/>
          <w:rtl w:val="true"/>
        </w:rPr>
        <w:footnoteReference w:id="124"/>
      </w:r>
      <w:r>
        <w:rPr>
          <w:rFonts w:ascii="Amiri" w:hAnsi="Amiri" w:eastAsia="Amiri" w:cs="Amiri"/>
          <w:color w:val="111111"/>
          <w:sz w:val="28"/>
          <w:sz w:val="28"/>
          <w:szCs w:val="28"/>
          <w:rtl w:val="true"/>
          <w:lang w:bidi="ar-SA"/>
        </w:rPr>
        <w:t>، وهو أيضاً ثقة بلا إشكال، ومسمع هو ابن عبد الملك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علي بن الحسن ابن فضّال</w:t>
      </w:r>
      <w:r>
        <w:rPr>
          <w:rStyle w:val="FootnoteAnchor"/>
          <w:rtl w:val="true"/>
        </w:rPr>
        <w:footnoteReference w:id="125"/>
      </w:r>
      <w:r>
        <w:rPr>
          <w:rFonts w:ascii="Amiri" w:hAnsi="Amiri" w:eastAsia="Amiri" w:cs="Amiri"/>
          <w:color w:val="111111"/>
          <w:sz w:val="28"/>
          <w:sz w:val="28"/>
          <w:szCs w:val="28"/>
          <w:rtl w:val="true"/>
          <w:lang w:bidi="ar-SA"/>
        </w:rPr>
        <w:t>، وله مدح في رجال النجاشي</w:t>
      </w:r>
      <w:r>
        <w:rPr>
          <w:rStyle w:val="FootnoteAnchor"/>
          <w:rtl w:val="true"/>
        </w:rPr>
        <w:footnoteReference w:id="126"/>
      </w:r>
      <w:r>
        <w:rPr>
          <w:rFonts w:ascii="Amiri" w:hAnsi="Amiri" w:eastAsia="Amiri" w:cs="Amiri"/>
          <w:color w:val="111111"/>
          <w:sz w:val="28"/>
          <w:sz w:val="28"/>
          <w:szCs w:val="28"/>
          <w:rtl w:val="true"/>
          <w:lang w:bidi="ar-SA"/>
        </w:rPr>
        <w:t>قد يستفاد منه الاعتماد عليه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فالرواية تامّة السند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دلالتها فهي تدلّ على عدم جزئيّة البسملة للسورة؛ إذ لو كانت جزءاً لما تركها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صلاته، وهذا أيضاً بناءً على ما هو المعروف من وجوب سورة كاملة في الصلاة، وحملها على صلاة النافلة خلاف الظاهر؛ إذ إنَّها ظاهرة في أنّ مسمعاً صلّى مع الإمام جماعة، كما أشار إلى ذلك السيّد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وأجابوا عنها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ينافي هذا الخبر ما قدّمناه من تأكيد الجهر ببسم الله الرحمن الرحيم؛ لأنَّه يتضمَّن حكاية فعل، ويجوز أن يكون مسمع لم يسمع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ببسم الله الرحمن الرحيم لبعد كان بينه وبينه</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xml:space="preserve">، وهذا يعني المفروغيّة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دلالتها على نفي الجزئيّة، بل لا تدلّ على عدم تأكّد الجهر؛ لما قاله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يبدو أنَّ هذا الحمل ضعيف، فإذا كان مسمع لم يسمع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لبُعده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سمع أنَّ الإمام قرأها مع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يقرأها، فهو يخبر بذلك، فلو كان الإمام قد قرأ وهو لم يسمع فإخباره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الأمانة في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أنّي لم أسمعه يقرأ خلاف الظاهر، لا يحمل الكلام عليه بلا قرينة، ولعلّه لذلك قال في الوافي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حملها في التهذيب على محامل بعيدة، والصواب أن تحمل على التقيّة كما جوّزه في الاستبصار</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ضرب من الاضطرار والتقيّة، كما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w:t>
      </w:r>
      <w:r>
        <w:rPr>
          <w:rStyle w:val="FootnoteAnchor"/>
          <w:rtl w:val="true"/>
        </w:rPr>
        <w:footnoteReference w:id="130"/>
      </w:r>
      <w:r>
        <w:rPr>
          <w:rFonts w:ascii="IRNazanin" w:hAnsi="IRNazanin" w:eastAsia="IRNazanin"/>
          <w:color w:val="111111"/>
          <w:sz w:val="28"/>
          <w:sz w:val="28"/>
          <w:szCs w:val="28"/>
          <w:rtl w:val="true"/>
          <w:lang w:bidi="fa-IR"/>
        </w:rPr>
        <w:t xml:space="preserve">، وتبعه على ذلك جماعة، منهم المحدّث الكاشانيّ كما مرّ نقل عبارته، ويبدو أنَّ مقصود الشيخ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البسملة في السورة، ولكن ترك الجهر بها تقيّة، كما يظهر ذلك بمراجعة كلامه في الاستبصار، فالتقيّة في ترك الجهر بالبسملة لا في ترك أصل البسملة مع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جهر ببسملة الحمد، وحينئذٍ حملها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يجهر بها مع السورة يقتضي أنَّ هذا التفصيل في الجهر هو حكم العامّة، ليتّقي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بفعله، ويوافقهم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ولكنّني لم أجد هكذا تفصيل عند العامّة، قال في 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ذكرنا أنّ مذهبنا استحباب الجهر بها حيث يجهر بالقراءة في الفاتحة والسورة جميعاً، فلها في الجهر حكم باقي الفاتحة والسورة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أكثر العلماء من الصحابة والتابعين ومن بعدهم من الفقهاء والقرّاء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وذهبت طائفة إلى أنّ السنّة الإسرار بها في الصلاة السرّيّة والجهريّة، وهذا حكاه ابن المنذر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القاضي أبو الطيب وغيره عن ابن أبي ليلى والحكم أنّ الجهر والإسرار سواء</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فالنووي نقل الأقوال في مسألة الجهر، ولم ينقل قولاً بالتفصيل في الجهر بين بسملة الفاتحة والسورة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الجهر ببسم الله الرحمن الرحيم في الحمد وفي كلّ سورة بعدها كما يجب بالقراءة، هذا فيما يجب الجهر فيه، فإن كانت الصلاة لا </w:t>
      </w:r>
    </w:p>
    <w:p>
      <w:pPr>
        <w:pStyle w:val="BookText"/>
        <w:rPr/>
      </w:pPr>
      <w:r>
        <w:rPr>
          <w:rFonts w:ascii="Amiri" w:hAnsi="Amiri" w:eastAsia="Amiri" w:cs="Amiri"/>
          <w:color w:val="111111"/>
          <w:sz w:val="28"/>
          <w:sz w:val="28"/>
          <w:szCs w:val="28"/>
          <w:rtl w:val="true"/>
          <w:lang w:bidi="ar-SA"/>
        </w:rPr>
        <w:t>يجهر فيها استحبّ أن يجهر ببسم الله الرحمن الرحيم، وإن جمع في النوافل بين سور كثيرة وجب أن يقرأ بسم الله الرحمن الرحيم مع كلّ سورة، وهو مذهب الشافعي، إلّا أنّه لم يذكر استحباب الجهر فيما يسرّ فيه بالقراءة، ذكر ذلك في البويطي، وفي اختلاف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المنذر عن عطاء وطاووس ومجاهد وسعيد بن جبير أنّهم كانوا يجهرون ببسم الله الرحمن الرحيم، وروي مثل ذلك عن ابن عمر أنّه كان لا يدع الجهر ببسم الله الرحمن الرحيم في أمّ القرآن والسورة التي بعدها، وذهب أبو حنيفة وسفيان الثوري والأوزاعي وأبو عبيدة وأحمد إلى أنّه يسرّ بها،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أن لا يقرأ بسم الله الرحمن الرحيم، ويفتتح القراءة بالحمد لله ربّ العالمين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فأيضاً لم ينقل تفصيلاً عنهم في الجهر بين بسملة الفاتحة وبين بسملة السورة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التقيّة في ترك بسملة السورة، 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للتقيّة لموافقته لمذاهب كثير من العامّة، مع أنّه يمكن أن يكون قرأها سرّاً ولم يسمعها الراوي</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فيظهر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التقيّة هو في ترك البسملة بقرينة ما ذكره بعد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منه أنّ هذا توجيه آخر في قبال الحمل على التقيّة، فليست التقيّة في كلامه في ترك الجهر، وهكذا فعل غيره كالمحدّث البحراني</w:t>
      </w:r>
      <w:r>
        <w:rPr>
          <w:rStyle w:val="FootnoteAnchor"/>
          <w:rtl w:val="true"/>
        </w:rPr>
        <w:footnoteReference w:id="134"/>
      </w:r>
      <w:r>
        <w:rPr>
          <w:rFonts w:ascii="Amiri" w:hAnsi="Amiri" w:eastAsia="Amiri" w:cs="Amiri"/>
          <w:color w:val="111111"/>
          <w:sz w:val="28"/>
          <w:sz w:val="28"/>
          <w:szCs w:val="28"/>
          <w:rtl w:val="true"/>
          <w:lang w:bidi="ar-SA"/>
        </w:rPr>
        <w:t>، والمحقّق الهمدانيّ</w:t>
      </w:r>
      <w:r>
        <w:rPr>
          <w:rStyle w:val="FootnoteAnchor"/>
          <w:rtl w:val="true"/>
        </w:rPr>
        <w:footnoteReference w:id="135"/>
      </w:r>
      <w:r>
        <w:rPr>
          <w:rFonts w:ascii="Amiri" w:hAnsi="Amiri" w:eastAsia="Amiri" w:cs="Amiri"/>
          <w:color w:val="111111"/>
          <w:sz w:val="28"/>
          <w:sz w:val="28"/>
          <w:szCs w:val="28"/>
          <w:rtl w:val="true"/>
          <w:lang w:bidi="ar-SA"/>
        </w:rPr>
        <w:t>حيث ذكرا هذه الرواية في ضمن الروايات الدالّة على ترك البسملة، وحملا جميع الروايات على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ما مرَّ من الكلام في الحمل على التقيّة حول الرواية الأولى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أنَّ الروايات الدالّة على نفي الجزئيّة تامّة، ونحن قد ذكرنا سابقاً أنَّ الروايات التي استُدلّ بها على الجزئيَّة لم تكن دلالتها بذلك الوضوح، فلا يبقى لروايات الطائفة الثانية معارض، فيثبت عدم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دلالة الطائفة الأولى على الجزئيّة يقع التعارض بين الطائفتين، وقد عرفت عدم وجود جمع عرفي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ترجيح الطائفة الأولى بمخالفتها للعامّة؛ لما عرفت من إمكان التأمُّل في ذلك، فحينئذٍ تصل النوبة إلى التساقط، والرجوع إلى الأصل العمليّ، والأصل الجاري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الجزئيّة بنحو العدم الأزليّ، ولعلّه إلى ذلك أشار 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في الموارد المشكوكة عدم الجزئيّة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أو استصحاب عدم وجوب البسملة الثابت قبل التشريع بناءً على جريانه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لمَّا كان المشهور بين فقهائنا هو القول بالجزئيَّة، بل لم ينقل الخلاف إلَّا عن ابن الجنيد فيصعب الإفتاء بالخلاف، فيكون الأنسب هو الاحتياط؛ حذراً من مخالفتهم، كما صنع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رسالة منهاج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603</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الإجماع لكان الحمل على جواز الترك، وفعلها ندباً أولى؛ لكثرة أخبار صحيحة صريحة في الترك</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فيظهر منه أنَّ الصناعة تقتضي عدم الجزئيَّة لولا الإجماع الذي قد عرفت سابقاً أنَّ أوَّل مَن ادّعاه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والخلاف</w:t>
      </w:r>
      <w:r>
        <w:rPr>
          <w:rFonts w:eastAsia="Amiri" w:cs="Amiri" w:ascii="Amiri" w:hAnsi="Amiri"/>
          <w:color w:val="111111"/>
          <w:sz w:val="28"/>
          <w:szCs w:val="28"/>
          <w:rtl w:val="true"/>
          <w:lang w:bidi="ar-SA"/>
        </w:rPr>
        <w:t xml:space="preserve">. </w:t>
      </w:r>
      <w:bookmarkStart w:id="75" w:name="pg10932_87554"/>
    </w:p>
    <w:p>
      <w:pPr>
        <w:pStyle w:val="Heading3"/>
        <w:numPr>
          <w:ilvl w:val="2"/>
          <w:numId w:val="1"/>
        </w:numPr>
        <w:rPr/>
      </w:pPr>
      <w:bookmarkStart w:id="76" w:name="__RefHeading___Toc3208385_2870459653"/>
      <w:bookmarkStart w:id="77" w:name="_Toc27"/>
      <w:bookmarkEnd w:id="75"/>
      <w:bookmarkEnd w:id="76"/>
      <w:r>
        <w:rPr>
          <w:rtl w:val="true"/>
        </w:rPr>
        <w:t>تذنيب</w:t>
      </w:r>
      <w:bookmarkEnd w:id="77"/>
    </w:p>
    <w:p>
      <w:pPr>
        <w:pStyle w:val="BookText"/>
        <w:rPr/>
      </w:pPr>
      <w:r>
        <w:rPr>
          <w:rFonts w:ascii="Amiri" w:hAnsi="Amiri" w:eastAsia="Amiri" w:cs="Amiri"/>
          <w:color w:val="111111"/>
          <w:sz w:val="28"/>
          <w:sz w:val="28"/>
          <w:szCs w:val="28"/>
          <w:rtl w:val="true"/>
          <w:lang w:bidi="ar-SA"/>
        </w:rPr>
        <w:t xml:space="preserve">قد عرفت أنّ الأدلّة لا تثبت جزئيّة البسملة من جميع السور في الصلاة، وهنا يبقى بحث وهو أنّه هل يلتزم القائل بعدم جزئيّتها من السور بأنّ البسملة التي وقعت في افتتاح السور ليست قرآناً، أو يمكن التزامه بذلك وإن لم تكن جزءاً من السور، وإنَّما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جيء به لافتتاح السور، أو للفصل بينها؟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غيرها افتتاح لها</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لا يأبى عن الحمل على الثاني، والذي يبدو أنّ كونها آية من القرآن أينما ذكرت قريب، ويدلّ عليه ما ذكره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استقرّت سيرة المسلمين على قراءة البسملة في أوائل السور غير سورة براءة، وثبت بالتواتر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يقرؤها، ولو لم تكن من القرآن للزم على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يصرّح بذلك، فإنّ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مقام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في أنّ جميع ما يقرأ قرآن، ولو لم يكن بعض ما يقرأ قرآناً ثمّ لم يصرّح بذلك لكان ذلك منه إغراءً منه بالجهل وهو قبيح، وفي ما يرجع إلى الوحي الإلهي أشدّ قبحاً، ولو صرّح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لنقل إلينا بالتواتر مع أنّه لم يُنقل حتّى بالآحاد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الملاحظ أنّ غاية ما يثبته هذا الدليل أنّها أينما ذكرت في القرآن تكون منه، فلا ينافي ما قدّمنا في أصل البحث، وهذا ما نبّه عليه جماعة منهم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دليل قريب ممّا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وبأنّ السلف حافظوا على إثباتها في المصاحف مع مبالغتهم على تجريد القرآن من غيرها، وهذا دالّ </w:t>
      </w:r>
    </w:p>
    <w:p>
      <w:pPr>
        <w:pStyle w:val="BookText"/>
        <w:rPr/>
      </w:pPr>
      <w:r>
        <w:rPr>
          <w:rFonts w:ascii="Amiri" w:hAnsi="Amiri" w:eastAsia="Amiri" w:cs="Amiri"/>
          <w:color w:val="111111"/>
          <w:sz w:val="28"/>
          <w:sz w:val="28"/>
          <w:szCs w:val="28"/>
          <w:rtl w:val="true"/>
          <w:lang w:bidi="ar-SA"/>
        </w:rPr>
        <w:t>على كونها آيةً من القرآن في المواضع المثبتة فيه كما هو أحد الأقوال، لا أنّها جزء من السورة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يتّضح إمكان الخدش فيما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على جزئيّتها للفاتحة مضافاً إلى ضبطها كذلك في المصاحف، واستمرار العمل بذلك، وعدم تركها الظاهر منه الجزئيّة</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ومثله ما ذكره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الاستدلال بالإجماع على أنّ ما بين الدفتين كلام الله جلّ وعلا واتّفاق الأمة على إثباتها في المصاحف مع مبالغتهم في تجريد القرآن فنِعمَ الاستدلال على ما هو المدّعى من جزئيّتها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فإنّ هذا كلّه لا يدلّ على جزئيّتها من كلّ سورة، بل غاية ما يدلّ عليه أنَّها قرآن أينما ذكرت في الكتاب العزيز، وقد تكون للفصل بين السور أو للافتتاح أو غير ذلك، وقد ذكرنا أنّه قريب لا مانع من الالتزام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bookmarkStart w:id="78" w:name="pg10932_87558"/>
    </w:p>
    <w:p>
      <w:pPr>
        <w:pStyle w:val="Heading3"/>
        <w:numPr>
          <w:ilvl w:val="2"/>
          <w:numId w:val="1"/>
        </w:numPr>
        <w:rPr/>
      </w:pPr>
      <w:bookmarkStart w:id="79" w:name="__RefHeading___Toc3208387_2870459653"/>
      <w:bookmarkStart w:id="80" w:name="_Toc28"/>
      <w:bookmarkEnd w:id="78"/>
      <w:bookmarkEnd w:id="79"/>
      <w:r>
        <w:rPr>
          <w:rtl w:val="true"/>
        </w:rPr>
        <w:t>المصادر</w:t>
      </w:r>
      <w:bookmarkEnd w:id="80"/>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الشيخ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ط الرابعة،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استقصاء الاعتبار في شرح الاستبصار، الشيخ محمّد بن الحسن بن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أبو جعفر محمّد بن علي بن الحسين بن موسى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الأمثل في تفسير كتاب الله المنزل، الشيخ ناصر مكارم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إيران، قم، تاريخ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الانتصار، السيد المرتضى علم الهدى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المجتهد ونهاية المقتصد، أبو الوليد محمّد بن أحمد بن محمّد بن أحمد بن رشد القرطبي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 الحفيد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تنقيح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الشيخ أبو جعفر محمّد بن الحسن بن فروخ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كوجه باغي،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مطبعة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ط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ط دار 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على منهج المقال، الشيخ محمّد باقر بن محمّد أكمل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مكتبة أهل البيت الإلكترونية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الصراط المستقيم،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 رضا بن علي أكبر،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 للطباعة والنشر،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أبو عمر يوسف بن عبد 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أحمد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الكبير البكري،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عموم الأوقاف والشؤون الإسلاميّة،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ط الثالثة،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الشيخ أبو جعفر محمّد بن علي بن الحسن ابن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المحقّق محمّد بن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مستدرك الوسائل، الميرزا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الشيخ 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المحقّقين،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تمهيديّة في الفقه الاستدلاليّ، الشيخ محمّد باقر الأيرواني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الفقه للطباعة والنشر،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الثانية،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دروس في علم الأصول،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ذخيرة المعاد، الشيخ محمّد باقر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ذكرى الشيعة في أحكام الشريعة، الشيخ محمّد بن جمال الدين مكّي العامليّ الجزيني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البرقي، الشيخ أبو جعفر أحمد بن أبي عبد الله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محمّد علي البغدادي،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الثانية،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جواد القيّوميّ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 الشيخ أبو العباس أحمد بن علي بن أحمد بن العباس النجاشيّ الأسديّ الكوفيّ،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الخامسة،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في شرح إرشاد الأذهان، الشهيد الثاني 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في شرح من لا يحضره الفقيه، الشيخ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والشيخ علي پناه الأشتهاردي،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فرهنك إسلاميّ حاج محمّد حسين كوشانپور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السعود، السيّد رضي الدين أبو القاسم علي بن موسى بن جعفر بن محمّد </w:t>
      </w:r>
    </w:p>
    <w:p>
      <w:pPr>
        <w:pStyle w:val="BookText"/>
        <w:rPr/>
      </w:pPr>
      <w:r>
        <w:rPr>
          <w:rFonts w:ascii="Amiri" w:hAnsi="Amiri" w:eastAsia="Amiri" w:cs="Amiri"/>
          <w:color w:val="111111"/>
          <w:sz w:val="28"/>
          <w:sz w:val="28"/>
          <w:szCs w:val="28"/>
          <w:rtl w:val="true"/>
          <w:lang w:bidi="ar-SA"/>
        </w:rPr>
        <w:t xml:space="preserve">ابن طاووس الحسنيّ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الشيخ أبو جعفر محمّد بن علي بن الحسين بن موسى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الطبع،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القاري، أبو محمّد 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شرح سنن أبي داود، أبو الطيّب محمّد شمس الحقّ العظيم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أبو جعفر محمّد بن علي بن الحسين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الأعلميّ،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غنائم الأيّام في مسائل الحلال والحرام، المحقّق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تبريزيان،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غنية النزوع إلى علمي الأصول والفروع، السيّد حمزة بن علي بن زهرة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قبسات من علم الرجال، السيّد محمّد رضا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المؤرّخ العربيّ، ط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 رسالة شرائع الإسلام، الفقيه الأقدم الشيخ علي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p>
    <w:p>
      <w:pPr>
        <w:pStyle w:val="BookText"/>
        <w:rPr/>
      </w:pPr>
      <w:r>
        <w:rPr>
          <w:rFonts w:ascii="Amiri" w:hAnsi="Amiri" w:eastAsia="Amiri" w:cs="Amiri"/>
          <w:color w:val="111111"/>
          <w:sz w:val="28"/>
          <w:sz w:val="28"/>
          <w:szCs w:val="28"/>
          <w:rtl w:val="true"/>
          <w:lang w:bidi="ar-SA"/>
        </w:rPr>
        <w:t xml:space="preserve">مجلّة دراسات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الفقهية، تقرير أبحاث سماحة السيّد علي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بقلم السيّد محمّد علي الربّاني، النسخة المرفوعة على موقع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www.taghrirat.net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في الفقه، أبو الصلاح تقي الدين بن نجم بن عبيد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رضا أستادي،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ط الخامسة،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أحكام الصلاة، تقرير بحث شيخ الشريعة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محمّد حسين السبحاني،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تقرير بحث السيّد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عبد الله الجواديّ الآمليّ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انتشارات دفتر تبليغات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الشيخ بهاء الدين محمّد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المبسوط،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آثار </w:t>
      </w:r>
    </w:p>
    <w:p>
      <w:pPr>
        <w:pStyle w:val="BookText"/>
        <w:rPr/>
      </w:pPr>
      <w:r>
        <w:rPr>
          <w:rFonts w:ascii="Amiri" w:hAnsi="Amiri" w:eastAsia="Amiri" w:cs="Amiri"/>
          <w:color w:val="111111"/>
          <w:sz w:val="28"/>
          <w:sz w:val="28"/>
          <w:szCs w:val="28"/>
          <w:rtl w:val="true"/>
          <w:lang w:bidi="ar-SA"/>
        </w:rPr>
        <w:t>الجعفرية،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شمس الدين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الشيخ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والمحقّقين،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في شرح إرشاد الأذهان، المحقّق المولى أحمد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مجتبى العراقيّ، والشيخ علي پناه الأشتهارديّ، والشيخ حسين اليزديّ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أبو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أبو محمّد علي بن أحمد بن سعيد 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الأحكام في شرح شرائع الإسلام، 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في شرح أخبار آل الرسول، المولى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ط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مستمسك العروة الوثقى، 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الرابعة، مطبعة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مشرق الشمسين وإكسير السعادتين، الشيخ بهاء الدين محمّد بن الحسين بن عبد </w:t>
      </w:r>
    </w:p>
    <w:p>
      <w:pPr>
        <w:pStyle w:val="BookText"/>
        <w:rPr/>
      </w:pPr>
      <w:r>
        <w:rPr>
          <w:rFonts w:ascii="Amiri" w:hAnsi="Amiri" w:eastAsia="Amiri" w:cs="Amiri"/>
          <w:color w:val="111111"/>
          <w:sz w:val="28"/>
          <w:sz w:val="28"/>
          <w:szCs w:val="28"/>
          <w:rtl w:val="true"/>
          <w:lang w:bidi="ar-SA"/>
        </w:rPr>
        <w:t>الصمد العامليّ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مشيخة الفقيه، الشيخ أبو جعفر محمّد بن علي بن الحسين بن موسى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طبع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الشيخ آغا رضا بن محمّد هادي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المنهاج، السيّد محمّد سعيد الحكيم،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جاويد، ط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الشيخ 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في شرح المختصر، الشيخ نجم الدين أبو القاسم جعفر بن الحسن 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الأفاضل،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مركز نشر الثّقافة الإسلاميّة، ط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الشيخ أبو عبد الله محمّد بن محمّد بن النعمان العكبريّ البغداديّ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منتقى الجمان، الشيخ جمال الدين أبو منصور الحسن بن زين الدين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المطبعة الإسلاميّة، ط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 الشيخ جمال الدين أبو منصور الحسن بن يوسف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 البحوث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في الآستانة الرضويّة المقدّسة، ط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الخوئي الإسلاميّة،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الشيخ محمّد محسن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ضياء الدين الحسينيّ،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أصفهان، طباعة أفست نشاط أصفهان، ط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إلى تحصيل مسائل الشريعة، الشيخ محمّد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الوسيلة إلى نيل الفضيلة، الشيخ أبو جعفر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السيّد المرعشيّ النجفيّ،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0932_87577"/>
      <w:bookmarkStart w:id="82" w:name="pg10932_87577"/>
      <w:bookmarkEnd w:id="82"/>
    </w:p>
    <w:p>
      <w:pPr>
        <w:pStyle w:val="Heading2"/>
        <w:numPr>
          <w:ilvl w:val="1"/>
          <w:numId w:val="1"/>
        </w:numPr>
        <w:rPr/>
      </w:pPr>
      <w:bookmarkStart w:id="83" w:name="pg10932_87577"/>
      <w:bookmarkStart w:id="84" w:name="__RefHeading___Toc3208389_2870459653"/>
      <w:bookmarkStart w:id="85" w:name="_Toc29"/>
      <w:bookmarkEnd w:id="83"/>
      <w:bookmarkEnd w:id="84"/>
      <w:r>
        <w:rPr>
          <w:rtl w:val="true"/>
        </w:rPr>
        <w:t xml:space="preserve">إبداء المرأة وجهها وكفّيها ونظر الرّجل إليهما </w:t>
      </w:r>
      <w:r>
        <w:rPr>
          <w:rtl w:val="true"/>
        </w:rPr>
        <w:t>(</w:t>
      </w:r>
      <w:r>
        <w:rPr>
          <w:rtl w:val="true"/>
        </w:rPr>
        <w:t>الحلقة الثانية</w:t>
      </w:r>
      <w:r>
        <w:rPr>
          <w:rtl w:val="true"/>
        </w:rPr>
        <w:t xml:space="preserve">) - </w:t>
      </w:r>
      <w:r>
        <w:rPr>
          <w:rtl w:val="true"/>
        </w:rPr>
        <w:t xml:space="preserve">الشيخ جعفر اليعسوبي </w:t>
      </w:r>
      <w:r>
        <w:rPr>
          <w:rtl w:val="true"/>
        </w:rPr>
        <w:t>(</w:t>
      </w:r>
      <w:r>
        <w:rPr>
          <w:rtl w:val="true"/>
        </w:rPr>
        <w:t>دام عزه</w:t>
      </w:r>
      <w:r>
        <w:rPr>
          <w:rtl w:val="true"/>
        </w:rPr>
        <w:t>)</w:t>
      </w:r>
      <w:bookmarkEnd w:id="85"/>
    </w:p>
    <w:p>
      <w:pPr>
        <w:pStyle w:val="Heading3"/>
        <w:numPr>
          <w:ilvl w:val="2"/>
          <w:numId w:val="1"/>
        </w:numPr>
        <w:rPr/>
      </w:pPr>
      <w:bookmarkStart w:id="86" w:name="__RefHeading___Toc3208391_2870459653"/>
      <w:bookmarkStart w:id="87" w:name="_Toc30"/>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تتميّز الشريعة الإسلاميَّة بمراعاة قوانينها للقيم الأخلاقيَّة في العفّة والسَّتر من جهةٍ وعدم التَّضييق على المكلَّف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لاستكشاف رؤية الإسلام في موضوعٍ ملحٍّ لعموم النَّاس ألا وهو كشف المرأة لوجهها وكفيّها أمام الرَّجل الأجنبيّ ونظر الرَّجل إليهما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من خلال قراءة النصوص الشرعيّة وعرض آراء مَن يمثّلون الطوائف الإسلاميّة ومناقشتها</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0932_87581"/>
      <w:bookmarkStart w:id="89" w:name="pg10932_87581"/>
      <w:bookmarkEnd w:id="89"/>
    </w:p>
    <w:p>
      <w:pPr>
        <w:pStyle w:val="BookText"/>
        <w:rPr/>
      </w:pPr>
      <w:bookmarkStart w:id="90" w:name="pg10932_87581"/>
      <w:bookmarkEnd w:id="90"/>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ذكرنا في الحلقة السابقة أنّ في المسألة المبحوث عنها أقوالاً خمسة، وكان القول الأوّل حرمة كشف المرأة لشيءٍ من جسدها للأجنبي، وحرمة نظر الأجنبي إليه، واستُدلّ لذلك بعدّة أدلّة، كان أوّلها الكتاب العزيز الذي استُدلّ بأربع آيات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الكلام إلى الدليل الثاني وهو السُنّة الشريفة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208393_2870459653"/>
      <w:bookmarkStart w:id="92" w:name="_Toc31"/>
      <w:bookmarkEnd w:id="91"/>
      <w:r>
        <w:rPr>
          <w:rtl w:val="true"/>
        </w:rPr>
        <w:t>الدليل الثاني</w:t>
      </w:r>
      <w:r>
        <w:rPr>
          <w:rtl w:val="true"/>
        </w:rPr>
        <w:t xml:space="preserve">: </w:t>
      </w:r>
      <w:r>
        <w:rPr>
          <w:rtl w:val="true"/>
        </w:rPr>
        <w:t>على حرمة النظر إلى وجه المرأة ويديها هو السُنّة</w:t>
      </w:r>
      <w:bookmarkEnd w:id="92"/>
    </w:p>
    <w:p>
      <w:pPr>
        <w:pStyle w:val="Heading4"/>
        <w:numPr>
          <w:ilvl w:val="3"/>
          <w:numId w:val="1"/>
        </w:numPr>
        <w:rPr/>
      </w:pPr>
      <w:bookmarkStart w:id="93" w:name="__RefHeading___Toc3208395_2870459653"/>
      <w:bookmarkStart w:id="94" w:name="_Toc32"/>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وهو عدّة روايات</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208397_2870459653"/>
      <w:bookmarkStart w:id="96" w:name="_Toc33"/>
      <w:bookmarkEnd w:id="95"/>
      <w:r>
        <w:rPr>
          <w:rtl w:val="true"/>
        </w:rPr>
        <w:t>الرواية الأولى</w:t>
      </w:r>
      <w:bookmarkEnd w:id="96"/>
    </w:p>
    <w:p>
      <w:pPr>
        <w:pStyle w:val="Heading5"/>
        <w:numPr>
          <w:ilvl w:val="4"/>
          <w:numId w:val="1"/>
        </w:numPr>
        <w:rPr/>
      </w:pPr>
      <w:bookmarkStart w:id="97" w:name="__RefHeading___Toc3208399_2870459653"/>
      <w:bookmarkStart w:id="98" w:name="_Toc34"/>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خبر الخثعمية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تستفتيه في الحج وكان الفضل بن عباس رديف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ينظر إليها وأخذت تنظر إليه، فصرف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الفضل عنها،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شاب وامرأة شابّة فخشيت أن يدخل بينهما الشيطان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إلى ضعفها السندي مال المحقّق الداماد إلى صلاحيّة هذه الرواية لتأييد ما </w:t>
      </w:r>
      <w:bookmarkStart w:id="99" w:name="pg10932_87583"/>
    </w:p>
    <w:p>
      <w:pPr>
        <w:pStyle w:val="BookText"/>
        <w:rPr/>
      </w:pPr>
      <w:bookmarkEnd w:id="99"/>
      <w:r>
        <w:rPr>
          <w:rFonts w:ascii="IRNazanin" w:hAnsi="IRNazanin" w:eastAsia="IRNazanin"/>
          <w:color w:val="111111"/>
          <w:sz w:val="28"/>
          <w:sz w:val="28"/>
          <w:szCs w:val="28"/>
          <w:rtl w:val="true"/>
          <w:lang w:bidi="fa-IR"/>
        </w:rPr>
        <w:t xml:space="preserve">ذهب إليه؛ باعتبار أنّ 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الفضل كان من باب النهي عن المنكر، وهو بهذا العمل قد نهى الخثعميّة عن كشف الوجه أيضاً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ضعفها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هذا الخبر مؤيّداً لأدلّة الجواز لكان أقرب من جعله مؤيّداً لأدلة المنع؛ وذلك من وجوه</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3208401_2870459653"/>
      <w:bookmarkStart w:id="101" w:name="_Toc35"/>
      <w:bookmarkEnd w:id="100"/>
      <w:r>
        <w:rPr>
          <w:rtl w:val="true"/>
        </w:rPr>
        <w:t>الوجه الأوَّل</w:t>
      </w:r>
      <w:bookmarkEnd w:id="101"/>
    </w:p>
    <w:p>
      <w:pPr>
        <w:pStyle w:val="BookText"/>
        <w:rPr/>
      </w:pPr>
      <w:r>
        <w:rPr>
          <w:rFonts w:ascii="IRNazanin" w:hAnsi="IRNazanin" w:eastAsia="IRNazanin"/>
          <w:color w:val="111111"/>
          <w:sz w:val="28"/>
          <w:sz w:val="28"/>
          <w:szCs w:val="28"/>
          <w:rtl w:val="true"/>
          <w:lang w:bidi="fa-IR"/>
        </w:rPr>
        <w:t xml:space="preserve">أنّ اكتفاء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وجه الفضل وعدم ذمّه له على هذا النظر يدلّ على عدم حرمته؛ لأنّ الردع ينبغي أن يكون بما يناسب ما ردع عنه في شدّة القبح</w:t>
      </w:r>
      <w:r>
        <w:rPr>
          <w:rFonts w:eastAsia="IRNazanin" w:cs="IRNazanin"/>
          <w:color w:val="111111"/>
          <w:sz w:val="28"/>
          <w:szCs w:val="28"/>
          <w:rtl w:val="true"/>
          <w:lang w:bidi="fa-IR"/>
        </w:rPr>
        <w:t>.</w:t>
      </w:r>
    </w:p>
    <w:p>
      <w:pPr>
        <w:pStyle w:val="Heading5"/>
        <w:numPr>
          <w:ilvl w:val="4"/>
          <w:numId w:val="1"/>
        </w:numPr>
        <w:rPr/>
      </w:pPr>
      <w:bookmarkStart w:id="102" w:name="__RefHeading___Toc3208403_2870459653"/>
      <w:bookmarkStart w:id="103" w:name="_Toc36"/>
      <w:bookmarkEnd w:id="102"/>
      <w:r>
        <w:rPr>
          <w:rtl w:val="true"/>
        </w:rPr>
        <w:t>الوجه الثاني</w:t>
      </w:r>
      <w:bookmarkEnd w:id="103"/>
    </w:p>
    <w:p>
      <w:pPr>
        <w:pStyle w:val="BookText"/>
        <w:rPr/>
      </w:pP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خشيت أن يدخل بينهما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صرف وجهه لم يكن لأجل حرمة النظر، بل لأجل الخوف من الوقوع في الحرام</w:t>
      </w:r>
      <w:r>
        <w:rPr>
          <w:rFonts w:eastAsia="IRNazanin" w:cs="IRNazanin"/>
          <w:color w:val="111111"/>
          <w:sz w:val="28"/>
          <w:szCs w:val="28"/>
          <w:rtl w:val="true"/>
          <w:lang w:bidi="fa-IR"/>
        </w:rPr>
        <w:t>.</w:t>
      </w:r>
    </w:p>
    <w:p>
      <w:pPr>
        <w:pStyle w:val="Heading5"/>
        <w:numPr>
          <w:ilvl w:val="4"/>
          <w:numId w:val="1"/>
        </w:numPr>
        <w:rPr/>
      </w:pPr>
      <w:bookmarkStart w:id="104" w:name="__RefHeading___Toc3208405_2870459653"/>
      <w:bookmarkStart w:id="105" w:name="_Toc37"/>
      <w:bookmarkEnd w:id="104"/>
      <w:r>
        <w:rPr>
          <w:rtl w:val="true"/>
        </w:rPr>
        <w:t>الوجه الثالث</w:t>
      </w:r>
      <w:bookmarkEnd w:id="105"/>
    </w:p>
    <w:p>
      <w:pPr>
        <w:pStyle w:val="BookText"/>
        <w:rPr/>
      </w:pP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ينه الخثعميّة عن كشف الوجه، وهو تقرير من المعصوم على الجواز، وصرف وجه الفضل لا يلازم ردعها عن عملها</w:t>
      </w:r>
      <w:r>
        <w:rPr>
          <w:rFonts w:eastAsia="IRNazanin" w:cs="IRNazanin"/>
          <w:color w:val="111111"/>
          <w:sz w:val="28"/>
          <w:szCs w:val="28"/>
          <w:rtl w:val="true"/>
          <w:lang w:bidi="fa-IR"/>
        </w:rPr>
        <w:t>.</w:t>
      </w:r>
    </w:p>
    <w:p>
      <w:pPr>
        <w:pStyle w:val="Heading5"/>
        <w:numPr>
          <w:ilvl w:val="4"/>
          <w:numId w:val="1"/>
        </w:numPr>
        <w:rPr/>
      </w:pPr>
      <w:bookmarkStart w:id="106" w:name="__RefHeading___Toc3208407_2870459653"/>
      <w:bookmarkStart w:id="107" w:name="_Toc38"/>
      <w:bookmarkEnd w:id="106"/>
      <w:r>
        <w:rPr>
          <w:rtl w:val="true"/>
        </w:rPr>
        <w:t>الوجه الرابع</w:t>
      </w:r>
      <w:bookmarkEnd w:id="107"/>
    </w:p>
    <w:p>
      <w:pPr>
        <w:pStyle w:val="BookText"/>
        <w:rPr/>
      </w:pPr>
      <w:r>
        <w:rPr>
          <w:rFonts w:ascii="Amiri" w:hAnsi="Amiri" w:eastAsia="Amiri" w:cs="Amiri"/>
          <w:color w:val="111111"/>
          <w:sz w:val="28"/>
          <w:sz w:val="28"/>
          <w:szCs w:val="28"/>
          <w:rtl w:val="true"/>
          <w:lang w:bidi="ar-SA"/>
        </w:rPr>
        <w:t>أنّ هذا يدلّ على أنّ عدم ستر المرأة المسلمة لوجهها كان أمراً طبيعيّاً ولم يكن منكراً شرعيّاً</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208409_2870459653"/>
      <w:bookmarkStart w:id="109" w:name="_Toc39"/>
      <w:bookmarkEnd w:id="108"/>
      <w:r>
        <w:rPr>
          <w:rtl w:val="true"/>
        </w:rPr>
        <w:t>الرواية الثانية</w:t>
      </w:r>
      <w:bookmarkEnd w:id="109"/>
    </w:p>
    <w:p>
      <w:pPr>
        <w:pStyle w:val="BookText"/>
        <w:rPr/>
      </w:pPr>
      <w:r>
        <w:rPr>
          <w:rFonts w:ascii="IRNazanin" w:hAnsi="IRNazanin" w:eastAsia="IRNazanin"/>
          <w:color w:val="111111"/>
          <w:sz w:val="28"/>
          <w:sz w:val="28"/>
          <w:szCs w:val="28"/>
          <w:rtl w:val="true"/>
          <w:lang w:bidi="fa-IR"/>
        </w:rPr>
        <w:t xml:space="preserve">معتبرة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تبدأوا النساء بالسلام، ولا تدعوهنّ إلى الطعام؛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عيّ وعورة، فاستروا عيّهنّ بالسكوت، واستروا عوراتهنّ بالبيوت</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يقال بدلالتها على حرمة الكشف عن الوجه واليدين؛ لإطلاق كون النساء عيّاً وعورة، ومطلق وجوب الستر يستلزم حرمة مطلق النظر إلى البدن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الكلام غير تامّ؛ فإنّ الرواية لا تدلّ على حرمة كشف وجه المرأة أمام </w:t>
      </w:r>
      <w:bookmarkStart w:id="110" w:name="pg10932_87585"/>
    </w:p>
    <w:p>
      <w:pPr>
        <w:pStyle w:val="BookText"/>
        <w:rPr/>
      </w:pPr>
      <w:bookmarkEnd w:id="110"/>
      <w:r>
        <w:rPr>
          <w:rFonts w:ascii="IRNazanin" w:hAnsi="IRNazanin" w:eastAsia="IRNazanin"/>
          <w:color w:val="111111"/>
          <w:sz w:val="28"/>
          <w:sz w:val="28"/>
          <w:szCs w:val="28"/>
          <w:rtl w:val="true"/>
          <w:lang w:bidi="fa-IR"/>
        </w:rPr>
        <w:t xml:space="preserve">الأجانب، وإنَّما هو ترغيب وحثّ على عدم خروج النساء من البيوت، ولا يمكن الالتزام بحرمة خروجهنّ من البيت مطلقاً كالدعوة إلى الطعام؛ فإنّه غير محرّم في الشريعة، فغاية ما تدلّ عليه الرواية هو استحباب بقاء المرأة في داخل المنزل، أو كراهة خروجها، فهي مثل ما ورد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معتبرة غياث بن إبراهيم، قال مخاطباً لأهل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العراق، نُبّئتُ أنّ نساءكم يدافعن الرجال في الطريق، أما تستحيون</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اختلاط النساء مع الرجال في الطريق أو السوق لم يكن في حدّ نفسه محرّماً، لكنّه ممّا يكره في الإسلام، فلا مساس لأمثالها من الروايات بمقامنا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208411_2870459653"/>
      <w:bookmarkStart w:id="112" w:name="_Toc40"/>
      <w:bookmarkEnd w:id="111"/>
      <w:r>
        <w:rPr>
          <w:rtl w:val="true"/>
        </w:rPr>
        <w:t>الرواية الثالثة</w:t>
      </w:r>
      <w:bookmarkEnd w:id="112"/>
    </w:p>
    <w:p>
      <w:pPr>
        <w:pStyle w:val="BookText"/>
        <w:rPr/>
      </w:pPr>
      <w:r>
        <w:rPr>
          <w:rFonts w:ascii="IRNazanin" w:hAnsi="IRNazanin" w:eastAsia="IRNazanin"/>
          <w:color w:val="111111"/>
          <w:sz w:val="28"/>
          <w:sz w:val="28"/>
          <w:szCs w:val="28"/>
          <w:rtl w:val="true"/>
          <w:lang w:bidi="fa-IR"/>
        </w:rPr>
        <w:t>صحيحة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الذراعين من المرأة، هما من الزينة التي 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 إِلَّا لِبُعُولَتِهِنَّ؟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وما دون الخمار من الزينة، وما دون السوارين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ظاهرها هو كون الوجه واليدين من الزينة التي لا يجوز إبداؤها إلَّا للزوج، حيث ألحق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السوارين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الذراعين، فجعل المجموع من مصاديق الآية الكريمة الدالّة على حرمة إبداء الزينة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بهذه الصحيحة على الحرمة مبني على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دون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الوجه أيضاً،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السوارين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يكون دونهما إلى أطراف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غير تام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المتفاهم العرفي من مثل هذا الكلام هو الموضع الذي يستره الخمار </w:t>
      </w:r>
    </w:p>
    <w:p>
      <w:pPr>
        <w:pStyle w:val="BookText"/>
        <w:rPr/>
      </w:pPr>
      <w:r>
        <w:rPr>
          <w:rFonts w:ascii="IRNazanin" w:hAnsi="IRNazanin" w:eastAsia="IRNazanin"/>
          <w:color w:val="111111"/>
          <w:sz w:val="28"/>
          <w:sz w:val="28"/>
          <w:szCs w:val="28"/>
          <w:rtl w:val="true"/>
          <w:lang w:bidi="fa-IR"/>
        </w:rPr>
        <w:t>والسوار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معانٍ، أحدها هو الأسفل وتحت، المقابل للفوق، كما ذكر في الصحاح،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فوق، وهو تقصير عن الغاية</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فوق، وهو تقصير عن الغاية، ويكون ظرفاً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تأتي بمعنى خلف وقُدّام، كما ذكره ابن منظور والفيروزآبادي</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ولها معنى ثالث، وهو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وأدنى مكان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المدّعى أنّ المراد في الحديث هو أحد المعنيين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يكون المراد هو ما يستره الخمار والسواران من بدن المرأة، فهذا المقدار من بدنها يكون من الزينة التي يجب 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الوجه والكفّان فهما خارجان عن هذه الزينة، بل هي زينة ظاهرة،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مقام تحديد آخِر منطقة من جسم المرأة التي يحرم عليها إبداؤها للأجانب، وهو ما يستره الخمار والسوار، فيصحّ استعمال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هذا المعنى؛ لأنَّ هذا المكان هو تحت الخمار والسوار، وكذلك هو خلف الخمار والسوار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يكون المقصود هو المعنى الثالث الذي قيل إنّه هو المعنى الحقيقي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المكان القريب من الخمار والسوار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والكفّان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الزينة المحرّم إبداؤها، بل حتَّى لو أريد المعنى الأوَّل والثاني فمن </w:t>
      </w:r>
    </w:p>
    <w:p>
      <w:pPr>
        <w:pStyle w:val="BookText"/>
        <w:rPr/>
      </w:pPr>
      <w:r>
        <w:rPr>
          <w:rFonts w:ascii="Amiri" w:hAnsi="Amiri" w:eastAsia="Amiri" w:cs="Amiri"/>
          <w:color w:val="111111"/>
          <w:sz w:val="28"/>
          <w:sz w:val="28"/>
          <w:szCs w:val="28"/>
          <w:rtl w:val="true"/>
          <w:lang w:bidi="ar-SA"/>
        </w:rPr>
        <w:t>المناسب إرادة الوجه والكفّين منهما؛ لأنّ الوجه هو خلف الخمار وأسفل منه، وكذلك الكفّان بالنسبة إلى السوار، فماذا يمنع من قصد الوجه والكفّين من هذا التعبير؟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إرادة الوجه والكفّين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الخلف أو الأسفل فهو بعيد جدّاً؛ فإنّ الوجه ليس أسفل من الخمار، بل ما يحيطه الخمار بشكل دائري، وليس خلف الخمار أيضاً، وكذلك الكفّ لا يقال فيه إنّه خلف 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يصدق عليه أنَّه أسفل من السوار، وكذلك يمكن قصد الوجه والكفّين لو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ندّعي أنّ هذا التعبير ظاهر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أموراً أربعة الالتفات إليها يقرّب هذا المعنى، ولاسيّما بضمّ بعضها إلى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أضيفت إلى شيء ملبوس على بدن الإنسان أو غيره تكون ظاهرةً في المكان الذي تحت هذا الملبوس، أي محاطاً به من جسم اللابس، وقصد المعنى الآخر يحتاج إلى قرينة، كما ورد في معتبرة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الجريدة توضع من دون الثياب أو من فوقها؟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القميص ودون الخاصرة</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المكان المستور بالثياب، أي توضع الجريدة ملتصقة بالبدن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صحيحة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الحائض تعرق في ثوبها؟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دون الدّرع إزار فإنّما يصيب العرق ما دون الإزار؟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تغسله</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أصاب العرق ما تحت الإزار فقط، ولم يصل إليه أصلاً وإلى الجانب الظاهري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الشاعر أبو زبيد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نِعْمَتْ بِطانةُ يَوْمِ الدَّجْنِ تَجْعَلُها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الثِّيابِ وقد سَرَّيْتَ أَثْواباً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أي تحت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السيّد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يستعمل لإرادة الوجه منه</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بلا شاهد؛ لأنَّ الشاهد الذي ذكره غير صالح، وهو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قِناعاً دونه الشمسُ واتّقَتْ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موصولَين كفّ ومعصم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الشمس هو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عدم صلاحيّته للشهادة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هنا توجد قرينة على أنّ المتغزّل بها كانت ساترةً وجهها بالقناع، فلمّا ألقته احتاجت إلى ستر وجهها بالكفّ والمعصم، وعلى هذا يكون البيت المذكور شاهداً لنا، لا له؛ لأنّ دون القناع أريد منه ما كان مستوراً 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كان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بيان أنّ الوجه والكفّين أيضاً من الزينة المنهي عن إبدائها لكان من المناسب جدّاً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بل الوجه والكفّان من هذه الزينة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يكون في مقام دفع توهّم السائل بعدم وجوب ستر الوجه والكفّين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التعبير عن هذا المعنى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دون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السوارين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فيشبه أن يكون من باب الأكل من القفا، ولم أفهم ما ذكره السيّد عليّ نقي النقويّ من وجه التناسب بين هذا التعبير وبين هذا المعنى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لم يرد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المعنى لما ذكر حرف </w:t>
      </w:r>
    </w:p>
    <w:p>
      <w:pPr>
        <w:pStyle w:val="BookText"/>
        <w:rPr/>
      </w:pPr>
      <w:r>
        <w:rPr>
          <w:rFonts w:ascii="Amiri" w:hAnsi="Amiri" w:eastAsia="Amiri" w:cs="Amiri"/>
          <w:color w:val="111111"/>
          <w:sz w:val="28"/>
          <w:sz w:val="28"/>
          <w:szCs w:val="28"/>
          <w:rtl w:val="true"/>
          <w:lang w:bidi="ar-SA"/>
        </w:rPr>
        <w:t>العطف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وما دون الخمار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المناسب حينئذٍ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دون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الواو العاطفة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تبيّن من خلال ما تقدّم الاحتياج إلى ذكر حرف العطف؛ لبيان المعنى الذي اخترناه للرواية، وهو بيان آخر منطقة من جسد المرأة يجب ستره عن الأجانب من جهة الرأس واليدين، فكان من المناسب جدّاً أن يعبّر عنه بهذا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هو المنسجم مع بقية الروايات الواردة في تفسير هذه الآية كما في موثّقة زرارة، وصحيحة أبي بصير</w:t>
      </w:r>
      <w:r>
        <w:rPr>
          <w:rStyle w:val="FootnoteAnchor"/>
          <w:rtl w:val="true"/>
        </w:rPr>
        <w:footnoteReference w:id="157"/>
      </w:r>
      <w:r>
        <w:rPr>
          <w:rFonts w:ascii="Amiri" w:hAnsi="Amiri" w:eastAsia="Amiri" w:cs="Amiri"/>
          <w:color w:val="111111"/>
          <w:sz w:val="28"/>
          <w:sz w:val="28"/>
          <w:szCs w:val="28"/>
          <w:rtl w:val="true"/>
          <w:lang w:bidi="ar-SA"/>
        </w:rPr>
        <w:t>، ومرسلة مسعدة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تدلّ على وجود الارتكاز عند السائل بعدم كون الوجه والكفّين من الزينة، والشكّ في الذراع، وإلّا لسأله عنهما، ولم يُعلم ردع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الارتكاز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بالنظر إلى هذا أو ذاك ذهب كثير من الأعلام إلى ما اخترناه من المعنى، حتّى أنَّ بعض مَن ذهب منهم إلى عدم جواز إبداء الوجه والكفّين سلّم دلالة هذه الرواية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Style w:val="FootnoteAnchor"/>
          <w:rtl w:val="true"/>
        </w:rPr>
        <w:footnoteReference w:id="159"/>
      </w:r>
      <w:r>
        <w:rPr>
          <w:rFonts w:ascii="Amiri" w:hAnsi="Amiri" w:eastAsia="Amiri" w:cs="Amiri"/>
          <w:color w:val="111111"/>
          <w:sz w:val="28"/>
          <w:sz w:val="28"/>
          <w:szCs w:val="28"/>
          <w:rtl w:val="true"/>
          <w:lang w:bidi="ar-SA"/>
        </w:rPr>
        <w:t xml:space="preserve">، وكذلك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هذا المعنى للرواية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13" w:name="pg10932_87595"/>
    </w:p>
    <w:p>
      <w:pPr>
        <w:pStyle w:val="BookText"/>
        <w:rPr/>
      </w:pPr>
      <w:bookmarkEnd w:id="113"/>
      <w:r>
        <w:rPr>
          <w:rFonts w:ascii="Amiri" w:hAnsi="Amiri" w:eastAsia="Amiri" w:cs="Amiri"/>
          <w:color w:val="111111"/>
          <w:sz w:val="28"/>
          <w:sz w:val="28"/>
          <w:szCs w:val="28"/>
          <w:rtl w:val="true"/>
          <w:lang w:bidi="ar-SA"/>
        </w:rPr>
        <w:t xml:space="preserve">وبهذا فسّر الرواية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62"/>
      </w:r>
      <w:r>
        <w:rPr>
          <w:rFonts w:ascii="Amiri" w:hAnsi="Amiri" w:eastAsia="Amiri" w:cs="Amiri"/>
          <w:color w:val="111111"/>
          <w:sz w:val="28"/>
          <w:sz w:val="28"/>
          <w:szCs w:val="28"/>
          <w:rtl w:val="true"/>
          <w:lang w:bidi="ar-SA"/>
        </w:rPr>
        <w:t xml:space="preserve">، والمجلسيّ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الشيخ الكلينيّ والشيخ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Style w:val="FootnoteAnchor"/>
          <w:rtl w:val="true"/>
        </w:rPr>
        <w:footnoteReference w:id="164"/>
      </w:r>
      <w:r>
        <w:rPr>
          <w:rFonts w:ascii="IRNazanin" w:hAnsi="IRNazanin" w:eastAsia="IRNazanin"/>
          <w:color w:val="111111"/>
          <w:sz w:val="28"/>
          <w:sz w:val="28"/>
          <w:szCs w:val="28"/>
          <w:rtl w:val="true"/>
          <w:lang w:bidi="fa-IR"/>
        </w:rPr>
        <w:t>والوسائل</w:t>
      </w:r>
      <w:r>
        <w:rPr>
          <w:rStyle w:val="FootnoteAnchor"/>
          <w:rtl w:val="true"/>
        </w:rPr>
        <w:footnoteReference w:id="165"/>
      </w:r>
      <w:r>
        <w:rPr>
          <w:rFonts w:ascii="Amiri" w:hAnsi="Amiri" w:eastAsia="Amiri" w:cs="Amiri"/>
          <w:color w:val="111111"/>
          <w:sz w:val="28"/>
          <w:sz w:val="28"/>
          <w:szCs w:val="28"/>
          <w:rtl w:val="true"/>
          <w:lang w:bidi="ar-SA"/>
        </w:rPr>
        <w:t>هذه الرواية من الروايات الدالّة على استثناء بعض أعضاء بدن المرأة من حكم حرمة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فالرواية تصلح للاستدلال بها على القول بالجواز لا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تسليم عدم ظهور الرواية في المعنى الذي ادّعيناه، فإنّها لا أقل مجملة غير صالحة للاستدلال بها على شيء من الأقوال، كما اعترف به بعض آخر من القائلين بالحرمة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3208413_2870459653"/>
      <w:bookmarkStart w:id="115" w:name="_Toc41"/>
      <w:bookmarkEnd w:id="114"/>
      <w:r>
        <w:rPr>
          <w:rtl w:val="true"/>
        </w:rPr>
        <w:t>الرواية الرابعة</w:t>
      </w:r>
      <w:bookmarkEnd w:id="115"/>
    </w:p>
    <w:p>
      <w:pPr>
        <w:pStyle w:val="BookText"/>
        <w:rPr/>
      </w:pPr>
      <w:r>
        <w:rPr>
          <w:rFonts w:ascii="IRNazanin" w:hAnsi="IRNazanin" w:eastAsia="IRNazanin"/>
          <w:color w:val="111111"/>
          <w:sz w:val="28"/>
          <w:sz w:val="28"/>
          <w:szCs w:val="28"/>
          <w:rtl w:val="true"/>
          <w:lang w:bidi="fa-IR"/>
        </w:rPr>
        <w:t>خبر أبي هريرة وعبد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اطّلع في بيت جاره فنظر إلى عورة رجل، أو شعر امرأة، أو شيء من جسدها كان حقّاً على الله أن يدخله النار مع المنافقين</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أيّد الخاجوئي مدّعاه بها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المناقشة فيها من 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السند؛ فإنَّ الرواية ضعيفة لوجود أكثر من مجهول في سندها، ومن ثَمَّ</w:t>
      </w:r>
      <w:bookmarkStart w:id="116" w:name="pg10932_87597"/>
    </w:p>
    <w:p>
      <w:pPr>
        <w:pStyle w:val="BookText"/>
        <w:rPr/>
      </w:pPr>
      <w:bookmarkEnd w:id="116"/>
      <w:r>
        <w:rPr>
          <w:rFonts w:ascii="Amiri" w:hAnsi="Amiri" w:eastAsia="Amiri" w:cs="Amiri"/>
          <w:color w:val="111111"/>
          <w:sz w:val="28"/>
          <w:sz w:val="28"/>
          <w:szCs w:val="28"/>
          <w:rtl w:val="true"/>
          <w:lang w:bidi="ar-SA"/>
        </w:rPr>
        <w:t>فهي غير صالحة للاستدلال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الحرمة من جهة الاطّلاع على بيت الجار، لا لمجرّد النظر كما يقتضيه سياق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تسليم أنّ الحرمة من جهة النظر، فلعلّها لأجل أنّ هذا النظر كان بالتعدّي وخرق الستر، ولا مانع من أن يُلتزم بحرمة مثل هذا النظر حتّى إلى الوجه واليدين، وليس هذا هو محلّ الكلام؛ لأنّ كلامنا في النظر إلى وجه المرأة ويديها إذا كانت هي كاشفة عنهما لا مطلقاً</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208415_2870459653"/>
      <w:bookmarkStart w:id="118" w:name="_Toc42"/>
      <w:bookmarkEnd w:id="117"/>
      <w:r>
        <w:rPr>
          <w:rtl w:val="true"/>
        </w:rPr>
        <w:t>الرواية الخامسة</w:t>
      </w:r>
      <w:bookmarkEnd w:id="118"/>
    </w:p>
    <w:p>
      <w:pPr>
        <w:pStyle w:val="BookText"/>
        <w:rPr/>
      </w:pPr>
      <w:r>
        <w:rPr>
          <w:rFonts w:ascii="IRNazanin" w:hAnsi="IRNazanin" w:eastAsia="IRNazanin"/>
          <w:color w:val="111111"/>
          <w:sz w:val="28"/>
          <w:sz w:val="28"/>
          <w:szCs w:val="28"/>
          <w:rtl w:val="true"/>
          <w:lang w:bidi="fa-IR"/>
        </w:rPr>
        <w:t>خبر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فيما كتب من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النظر إلى شعور النساء المحجوبات بالأزواج وغيرهن من النساء؛ لما فيه من تهييج الرجال، وما يدعو التهييج إليه من الفساد والدخول فيما لا يحلّ ولا يجمل، وكذلك ما أشبه الشعور</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بأنّ ما أشبه الشعور في التهييج فقد حرّم لذلك، ومعلوم أنّ النظر إلى جسد المرأة كلّه يهيّج الرجال فيدعو إلى الفساد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الخبر ضعيف بمحمّد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والكفّان؛ إذ إنَّ هذا اللفظ مجمل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والكفّين لكانا أولى بالتصريح بهما، ويذكر الشعر </w:t>
      </w:r>
      <w:bookmarkStart w:id="119" w:name="pg10932_87599"/>
    </w:p>
    <w:p>
      <w:pPr>
        <w:pStyle w:val="BookText"/>
        <w:rPr/>
      </w:pPr>
      <w:bookmarkEnd w:id="119"/>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الرواية استثنى من هذا الحكم النظر إلى شعور العجائز، فيعلم منه أنّ النظر إلى الوجه والكفّين لم يكن داخلاً في المستثنى منه، وإلّا لذكر في الاستثناء بالنسبة إلى العجائز</w:t>
      </w:r>
      <w:r>
        <w:rPr>
          <w:rFonts w:eastAsia="IRNazanin" w:cs="IRNazanin"/>
          <w:color w:val="111111"/>
          <w:sz w:val="28"/>
          <w:szCs w:val="28"/>
          <w:rtl w:val="true"/>
          <w:lang w:bidi="fa-IR"/>
        </w:rPr>
        <w:t>.</w:t>
      </w:r>
    </w:p>
    <w:p>
      <w:pPr>
        <w:pStyle w:val="Heading4"/>
        <w:numPr>
          <w:ilvl w:val="3"/>
          <w:numId w:val="1"/>
        </w:numPr>
        <w:rPr/>
      </w:pPr>
      <w:bookmarkStart w:id="120" w:name="__RefHeading___Toc3208417_2870459653"/>
      <w:bookmarkStart w:id="121" w:name="_Toc43"/>
      <w:bookmarkEnd w:id="120"/>
      <w:r>
        <w:rPr>
          <w:rtl w:val="true"/>
        </w:rPr>
        <w:t>الرواية السادسة</w:t>
      </w:r>
      <w:bookmarkEnd w:id="121"/>
    </w:p>
    <w:p>
      <w:pPr>
        <w:pStyle w:val="BookText"/>
        <w:rPr/>
      </w:pPr>
      <w:r>
        <w:rPr>
          <w:rFonts w:ascii="IRNazanin" w:hAnsi="IRNazanin" w:eastAsia="IRNazanin"/>
          <w:color w:val="111111"/>
          <w:sz w:val="28"/>
          <w:sz w:val="28"/>
          <w:szCs w:val="28"/>
          <w:rtl w:val="true"/>
          <w:lang w:bidi="fa-IR"/>
        </w:rPr>
        <w:t xml:space="preserve">موثّقة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المحرمة،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 بها رجل استترت منه بثوبها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فدلّت بالأولويّة على وجوب ستر الوجه لغير المحرمة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أمر ورد مورد الحظر فلا دلالة له على اللزوم، فالرواية تحمل على أنّ مَن أرادت من النساء المحجّبات ستر وجهها فلها أن تفعل بهذه الطريقة، ولا مجال لحملها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المحقّق الداماد</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لوجود روايات أخرى تدلّ على رجحان كشف الوجه للمرأة تكون قرينة على أنَّ المراد من هذه الرواية هو الجواز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وهناك طوائف أُخر من الروايات استدلّ بها على حرمة نظر الأجنبي إلى وجه المرأة ويديها</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3208419_2870459653"/>
      <w:bookmarkStart w:id="123" w:name="_Toc44"/>
      <w:bookmarkEnd w:id="122"/>
      <w:r>
        <w:rPr>
          <w:rtl w:val="true"/>
        </w:rPr>
        <w:t>الطائفة الأولى</w:t>
      </w:r>
      <w:r>
        <w:rPr>
          <w:rtl w:val="true"/>
        </w:rPr>
        <w:t xml:space="preserve">: </w:t>
      </w:r>
      <w:r>
        <w:rPr>
          <w:rtl w:val="true"/>
        </w:rPr>
        <w:t>ما دلّ على جواز النظر إلى وجه وكفّي بعض أقسام النساء كاستثناءٍ عن الحكم العامّ بعدم جوازه في غيرها</w:t>
      </w:r>
      <w:bookmarkEnd w:id="123"/>
    </w:p>
    <w:p>
      <w:pPr>
        <w:pStyle w:val="Heading5"/>
        <w:numPr>
          <w:ilvl w:val="4"/>
          <w:numId w:val="1"/>
        </w:numPr>
        <w:rPr/>
      </w:pPr>
      <w:bookmarkStart w:id="124" w:name="__RefHeading___Toc3208421_2870459653"/>
      <w:bookmarkStart w:id="125" w:name="_Toc45"/>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وهذه النساء أقسام</w:t>
      </w:r>
      <w:r>
        <w:rPr>
          <w:rFonts w:eastAsia="IRNazanin" w:cs="IRNazanin"/>
          <w:color w:val="111111"/>
          <w:sz w:val="28"/>
          <w:szCs w:val="28"/>
          <w:rtl w:val="true"/>
          <w:lang w:bidi="fa-IR"/>
        </w:rPr>
        <w:t>..</w:t>
      </w:r>
    </w:p>
    <w:p>
      <w:pPr>
        <w:pStyle w:val="Heading5"/>
        <w:numPr>
          <w:ilvl w:val="4"/>
          <w:numId w:val="1"/>
        </w:numPr>
        <w:rPr/>
      </w:pPr>
      <w:bookmarkStart w:id="126" w:name="__RefHeading___Toc3208423_2870459653"/>
      <w:bookmarkStart w:id="127" w:name="_Toc46"/>
      <w:bookmarkEnd w:id="126"/>
      <w:r>
        <w:rPr>
          <w:rtl w:val="true"/>
        </w:rPr>
        <w:t>القسم الأوَّل</w:t>
      </w:r>
      <w:bookmarkEnd w:id="127"/>
    </w:p>
    <w:p>
      <w:pPr>
        <w:pStyle w:val="Heading6"/>
        <w:numPr>
          <w:ilvl w:val="5"/>
          <w:numId w:val="1"/>
        </w:numPr>
        <w:rPr/>
      </w:pPr>
      <w:bookmarkStart w:id="128" w:name="__RefHeading___Toc3208425_2870459653"/>
      <w:bookmarkStart w:id="129" w:name="_Toc47"/>
      <w:bookmarkEnd w:id="128"/>
      <w:r>
        <w:rPr>
          <w:rtl w:val="true"/>
        </w:rPr>
        <w:t>اشارة</w:t>
      </w:r>
      <w:bookmarkEnd w:id="1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التي أريد الزواج بها</w:t>
      </w:r>
      <w:r>
        <w:rPr>
          <w:rFonts w:eastAsia="Amiri" w:cs="Amiri" w:ascii="Amiri" w:hAnsi="Amiri"/>
          <w:color w:val="111111"/>
          <w:sz w:val="28"/>
          <w:szCs w:val="28"/>
          <w:rtl w:val="true"/>
          <w:lang w:bidi="ar-SA"/>
        </w:rPr>
        <w:t xml:space="preserve">. </w:t>
      </w:r>
      <w:bookmarkStart w:id="130" w:name="pg10932_87601"/>
    </w:p>
    <w:p>
      <w:pPr>
        <w:pStyle w:val="BookText"/>
        <w:rPr/>
      </w:pPr>
      <w:bookmarkEnd w:id="130"/>
      <w:r>
        <w:rPr>
          <w:rFonts w:ascii="IRNazanin" w:hAnsi="IRNazanin" w:eastAsia="IRNazanin"/>
          <w:color w:val="111111"/>
          <w:sz w:val="28"/>
          <w:sz w:val="28"/>
          <w:szCs w:val="28"/>
          <w:rtl w:val="true"/>
          <w:lang w:bidi="fa-IR"/>
        </w:rPr>
        <w:t xml:space="preserve">فإنّ هناك مجموعة من الروايات دلّت على جواز نظر الرجل إلى المرأة التي يريد الزواج بها، مثل صحيحة عبد الله بن سنان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يريد أن يتزوج المرأة، أينظر إلى شعرها؟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يريد أن يشتريها بأغلى الثمن</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هشام بن سالم وحمّاد بن عثمان وحفص بن البختري كلّهم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ينظر إلى وجهها ومعاصمها إذا أراد أن يتزوجها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أُخر دلّت على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الدالّة على جواز النظر إلى وجه المرأة ويديها إذا أراد تزويجها على نحو القضية الشرطيّة، فإنّ مفهومها هو عدم الجواز إذا لم يكن مريداً تزويجها، وحمل النظر في هذه الروايات على المقترن بالتلذّذ فلا تدلّ بمفهومها على عدم جواز النظر المجرّد إذا لم يكن قاصداً تزويجها بعيد جدّاً، ولا موجب له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المرتكز في ذهن السائل والمجهول حكمه له هو النظر إليها، فكان في ذهنه أنّ النظر إلى المرأة إلى أيّ موضع منها محظور في سائر الموارد، فسأل عن جوازه عند إرادة النكاح،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قرّره على هذا الارتكاز</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يتيسّر الاستدلال بهذه الطائفة من الروايات على المدّعى؛ وذلك لوجود فارقين بين النظر الذي جوّز لمن يريد التزويج، وبين النظر الذي هو مورد البحث</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3208427_2870459653"/>
      <w:bookmarkStart w:id="132" w:name="_Toc48"/>
      <w:bookmarkEnd w:id="131"/>
      <w:r>
        <w:rPr>
          <w:rtl w:val="true"/>
        </w:rPr>
        <w:t>الفارق الأوَّل</w:t>
      </w:r>
      <w:bookmarkEnd w:id="1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النظر إلى مَن أريد التزوج بها ليس نظراً عامّاً عابراً عادياً، بل نظر </w:t>
      </w:r>
      <w:bookmarkStart w:id="133" w:name="pg10932_87603"/>
    </w:p>
    <w:p>
      <w:pPr>
        <w:pStyle w:val="BookText"/>
        <w:rPr/>
      </w:pPr>
      <w:bookmarkEnd w:id="133"/>
      <w:r>
        <w:rPr>
          <w:rFonts w:ascii="IRNazanin" w:hAnsi="IRNazanin" w:eastAsia="IRNazanin"/>
          <w:color w:val="111111"/>
          <w:sz w:val="28"/>
          <w:sz w:val="28"/>
          <w:szCs w:val="28"/>
          <w:rtl w:val="true"/>
          <w:lang w:bidi="fa-IR"/>
        </w:rPr>
        <w:t xml:space="preserve">تأمّل وفحص عن الميزات التي يريد وجودها في المرأة من الحُسن والجمال، ومن السمن أو الهزل، ومن الطول والقصر، وغير ذلك من الخصوصيات حتّى يستطيع أن يقدّر إمكان العيش معها أو عدمه، وهو لا يفارق حصول التلذّذ وإن لم يكن قاصداً له من الأوَّل، كما هو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يشتريها بأغلى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مثل هذا النظر هو مورد للبحث، فنفيه عن غير مَن يريد التزوّج بها لا يستلزم نفي النظر الخالي عن كلّ قصد</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3208429_2870459653"/>
      <w:bookmarkStart w:id="135" w:name="_Toc49"/>
      <w:bookmarkEnd w:id="134"/>
      <w:r>
        <w:rPr>
          <w:rtl w:val="true"/>
        </w:rPr>
        <w:t>الفارق الآخر</w:t>
      </w:r>
      <w:bookmarkEnd w:id="135"/>
    </w:p>
    <w:p>
      <w:pPr>
        <w:pStyle w:val="BookText"/>
        <w:rPr/>
      </w:pPr>
      <w:r>
        <w:rPr>
          <w:rFonts w:ascii="Amiri" w:hAnsi="Amiri" w:eastAsia="Amiri" w:cs="Amiri"/>
          <w:color w:val="111111"/>
          <w:sz w:val="28"/>
          <w:sz w:val="28"/>
          <w:szCs w:val="28"/>
          <w:rtl w:val="true"/>
          <w:lang w:bidi="ar-SA"/>
        </w:rPr>
        <w:t>أنّ النظر الجائز بالنسبة إلى المرأة التي يريد الزواج بها لا يقتصر على الوجه والكفّين، بل يجوز النظر إلى جميع محاسنها وشعرها كما ورد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واستفادة عدم جواز مثل هذا النظر الشامل للوجه والمعاصم والمحاسن والشعر إلى غير مَن يريد أن يتزوّجها لا يستلزم حرمة النظر إلى الوجه والكفّين فقط وإن كان بلا تلذّذ وخوف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قضيّة الارتكاز فهو لا يظهر إلَّا بمقدار أنّه كان المرتكز عند السائل أنّ النظر إلى جسد المرأة ومحاسنها مع التأمّل فيه بهدف معرفة ملاءمتها معه أو لا، لا يجوز بالنسبة إلى الأجنبي إذا لم يكن يريد الزواج بها، وهذا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أنّه لا إطلاق لهذا القسم من الروايات في حرمة النظر إلى الأجنبية</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3208431_2870459653"/>
      <w:bookmarkStart w:id="137" w:name="_Toc50"/>
      <w:bookmarkEnd w:id="136"/>
      <w:r>
        <w:rPr>
          <w:rtl w:val="true"/>
        </w:rPr>
        <w:t>القسم الثاني</w:t>
      </w:r>
      <w:bookmarkEnd w:id="137"/>
    </w:p>
    <w:p>
      <w:pPr>
        <w:pStyle w:val="BookText"/>
        <w:rPr/>
      </w:pPr>
      <w:r>
        <w:rPr>
          <w:rFonts w:ascii="Amiri" w:hAnsi="Amiri" w:eastAsia="Amiri" w:cs="Amiri"/>
          <w:color w:val="111111"/>
          <w:sz w:val="28"/>
          <w:sz w:val="28"/>
          <w:szCs w:val="28"/>
          <w:rtl w:val="true"/>
          <w:lang w:bidi="ar-SA"/>
        </w:rPr>
        <w:t>النساء التي لا حرمة لهن؛ إمّا لكفرهن، وإمّا لأنّهن لا ينتهين بالنهي عن كشف محاسنهنّ أمام الرجال، فإنّ هناك روايات دلّت على جواز النظر إليهنّ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عبّاد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بالنظر إلى رؤوس نساء أهل تهامة، والأعراب، وأهل السواد، والعلوج؛ لأنّهم إذا نهوا لا </w:t>
      </w:r>
    </w:p>
    <w:p>
      <w:pPr>
        <w:pStyle w:val="BookText"/>
        <w:rPr/>
      </w:pPr>
      <w:r>
        <w:rPr>
          <w:rFonts w:ascii="Amiri" w:hAnsi="Amiri" w:eastAsia="Amiri" w:cs="Amiri"/>
          <w:color w:val="111111"/>
          <w:sz w:val="28"/>
          <w:sz w:val="28"/>
          <w:szCs w:val="28"/>
          <w:rtl w:val="true"/>
          <w:lang w:bidi="ar-SA"/>
        </w:rPr>
        <w:t>ينتهون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حرمة لنساء أهل الذمّة أن ينظر إلى شعورهنّ وأيديهنّ</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وأوضح من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جواز النظر إلى من يريد التزوج بها في الدلالة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جواز النظر إلى وجه الذمّيّة ويديها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بأنّهنّ لا حرمة لهنّ، فإنّه كالصريح في أنّ منشأ الجواز إنَّما هو عدم وجود حرمة لأعراضهنّ، فيدلّ على عدم الجواز إذا كانت المرأة مسلمة وذات حرمة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المستدرك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لنساء أهل الذمّة حرمة، لا بأس بالنظر إلى وجوههنّ وشعورهنّ ونحورهنّ وبدنهنّ ما لم يتعمّد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تفريع جواز النظر إلى المواضع المزبورة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منها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الحرمة لهنّ يدلّ بالمفهوم على عدم جوازه إليها في المسلمات التي لهنّ حرمة في الشريعة</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ولكنّك خبير بأنّ التركيز في هذه الروايات ليس على النظر إلى وجوههنّ، بل على رؤوسهنّ وشعورهنّ، فاختصاص جواز النظر إلى شعورهنّ لا يستلزم عدم جواز النظر إلى وجه غيرهن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الوجه في خبر المستدرك، ولكنّه ضعيف سنداً ودلالةً</w:t>
      </w:r>
      <w:r>
        <w:rPr>
          <w:rFonts w:eastAsia="Amiri" w:cs="Amiri" w:ascii="Amiri" w:hAnsi="Amiri"/>
          <w:color w:val="111111"/>
          <w:sz w:val="28"/>
          <w:szCs w:val="28"/>
          <w:rtl w:val="true"/>
          <w:lang w:bidi="ar-SA"/>
        </w:rPr>
        <w:t xml:space="preserve">.. </w:t>
      </w:r>
      <w:bookmarkStart w:id="138" w:name="pg10932_87607"/>
    </w:p>
    <w:p>
      <w:pPr>
        <w:pStyle w:val="BookText"/>
        <w:rPr/>
      </w:pPr>
      <w:bookmarkEnd w:id="138"/>
      <w:r>
        <w:rPr>
          <w:rFonts w:ascii="Amiri" w:hAnsi="Amiri" w:eastAsia="Amiri" w:cs="Amiri"/>
          <w:color w:val="111111"/>
          <w:sz w:val="28"/>
          <w:sz w:val="28"/>
          <w:szCs w:val="28"/>
          <w:rtl w:val="true"/>
          <w:lang w:bidi="ar-SA"/>
        </w:rPr>
        <w:t>أمّا الأوّل فلأنّه مأخوذ من الجعفريّات، ولم تثبت صحّة النسخة الموجودة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والقدر المتيقّن هو عدم جواز نظر الرجل إلى جميع هذه الأعضاء المذكورة من المرأة المسلمة، وأمّا إرادة حرمة النظر إلى كلّ عضو من هذه الأعضاء من المسلمة فهو مجرّد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تقدّم عدم تمامّية دلالة الطائفة الأولى على مرام مَن ذهب إلى الحرمة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208433_2870459653"/>
      <w:bookmarkStart w:id="140" w:name="_Toc51"/>
      <w:bookmarkEnd w:id="139"/>
      <w:r>
        <w:rPr>
          <w:rtl w:val="true"/>
        </w:rPr>
        <w:t>الطائفة الثانية</w:t>
      </w:r>
      <w:r>
        <w:rPr>
          <w:rtl w:val="true"/>
        </w:rPr>
        <w:t xml:space="preserve">: </w:t>
      </w:r>
      <w:r>
        <w:rPr>
          <w:rtl w:val="true"/>
        </w:rPr>
        <w:t>ما دلّ على جواز كشف المرأة لوجهها لإقامة الشهادة عليها أو عدم جوازه</w:t>
      </w:r>
      <w:bookmarkEnd w:id="140"/>
    </w:p>
    <w:p>
      <w:pPr>
        <w:pStyle w:val="Heading5"/>
        <w:numPr>
          <w:ilvl w:val="4"/>
          <w:numId w:val="1"/>
        </w:numPr>
        <w:rPr/>
      </w:pPr>
      <w:bookmarkStart w:id="141" w:name="__RefHeading___Toc3208435_2870459653"/>
      <w:bookmarkStart w:id="142" w:name="_Toc52"/>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وفي هذه الطائفة روايات</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3208437_2870459653"/>
      <w:bookmarkStart w:id="144" w:name="_Toc53"/>
      <w:bookmarkEnd w:id="143"/>
      <w:r>
        <w:rPr>
          <w:rtl w:val="true"/>
        </w:rPr>
        <w:t>الرواية الأولى</w:t>
      </w:r>
      <w:bookmarkEnd w:id="144"/>
    </w:p>
    <w:p>
      <w:pPr>
        <w:pStyle w:val="BookText"/>
        <w:rPr/>
      </w:pPr>
      <w:r>
        <w:rPr>
          <w:rFonts w:ascii="IRNazanin" w:hAnsi="IRNazanin" w:eastAsia="IRNazanin"/>
          <w:color w:val="111111"/>
          <w:sz w:val="28"/>
          <w:sz w:val="28"/>
          <w:szCs w:val="28"/>
          <w:rtl w:val="true"/>
          <w:lang w:bidi="fa-IR"/>
        </w:rPr>
        <w:t>مكاتبة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أراد أن يشهد على امرأة ليس لها بمحرم، هل يجوز له أن يشهد عليها وهي من وراء الستر ويسمع كلامها إذا شهد رجلان عدلان أنّها فلانة بنت فلان التي تشهدك وهذا كلامها، أو لا تجوز له الشهادة حتّى تبرز ويثبتها بعينها؟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تتنقب وتظهر للشهود</w:t>
      </w:r>
      <w:r>
        <w:rPr>
          <w:rFonts w:eastAsia="IRNazanin" w:cs="IRNazanin"/>
          <w:color w:val="111111"/>
          <w:sz w:val="28"/>
          <w:szCs w:val="28"/>
          <w:rtl w:val="true"/>
          <w:lang w:bidi="fa-IR"/>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الفقيه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3208439_2870459653"/>
      <w:bookmarkStart w:id="146" w:name="_Toc54"/>
      <w:bookmarkEnd w:id="145"/>
      <w:r>
        <w:rPr>
          <w:rtl w:val="true"/>
        </w:rPr>
        <w:t>الرواية الثانية</w:t>
      </w:r>
      <w:bookmarkEnd w:id="146"/>
    </w:p>
    <w:p>
      <w:pPr>
        <w:pStyle w:val="BookText"/>
        <w:rPr/>
      </w:pPr>
      <w:r>
        <w:rPr>
          <w:rFonts w:ascii="IRNazanin" w:hAnsi="IRNazanin" w:eastAsia="IRNazanin"/>
          <w:color w:val="111111"/>
          <w:sz w:val="28"/>
          <w:sz w:val="28"/>
          <w:szCs w:val="28"/>
          <w:rtl w:val="true"/>
          <w:lang w:bidi="fa-IR"/>
        </w:rPr>
        <w:t xml:space="preserve">الصدوق بسنده، عن علي بن يقطين،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بالشهادة على إقرار المرأة وليست بمسفرة إذا عرفت عينها، أو يحضر من عرفها، ولا يجوز عندهم أن يشهد الشهود على إقرارها دون أن تسفر فينظر إليها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صحيحان صريحان في عدم جواز النظر حتّى وقت تحمّل الشهادة، وأنّ شهادة المرأة على إقرارها ليس من الضرورات التي توجب إباحة كشف </w:t>
      </w:r>
    </w:p>
    <w:p>
      <w:pPr>
        <w:pStyle w:val="BookText"/>
        <w:rPr/>
      </w:pPr>
      <w:r>
        <w:rPr>
          <w:rFonts w:ascii="Amiri" w:hAnsi="Amiri" w:eastAsia="Amiri" w:cs="Amiri"/>
          <w:color w:val="111111"/>
          <w:sz w:val="28"/>
          <w:sz w:val="28"/>
          <w:szCs w:val="28"/>
          <w:rtl w:val="true"/>
          <w:lang w:bidi="ar-SA"/>
        </w:rPr>
        <w:t>وجهها ونظر الشهود إلى وجهها مكشوفاً، بل ذلك حرام عليها وعليهم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اكتفى بدعوى وجود هذه الدلالة، ولم يقرّب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مكاتبة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عبارة عن لبس ما يستر مقداراً من فوق الأنف فما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الشهادة يدلّ بوضوح على عدم جواز النظر إلى وجه المرأة في حدّ نفسه، وإلّا فلم يكن وجه لأمرها بالتنقّب، وحمل الأمر على استحياء المرأة خارجاً مع قطع النظر عن الحكم الشرعي لا وجه له بالمرّة؛ فإنّ ظاهر الأمر هو بيان التكليف والوظيفة الشرعيّة، فحمله على غيره يحتاج إلى القرينة والدليل</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التقريب غير سليم من الإشكال؛ وهو أنّ الأمر في مثل هذا المورد لا يدلّ على اللزوم؛ لأنّه قد فرض في المسألة أنّ المرأة محجّبة لا تظهر أمام الأجانب مكشوفة الوجه عادةً، فالسؤال وقع عن كيفيّة الشهادة عليها، والسائل ردّدها بين 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وراء الستر، وإمّا بخروجها أمام الأجانب كاشفة وجهها، ولمّا كانت الكيفيّة الأولى غير جائزة، والكيفيّة الثانية توقع المرأة المحجّبة في حرج، طرح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ثالثة، وهي أن تخرج متنقّبة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تصحّ الشهادة عليها، وتراعى مشاعرها وأحاسيسها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بصدد بيان جواز نظر الأجنبي إلى وجه المرأة وعدمه أصلاً، بل كان بصدد بيان عدم جواز الشهادة على المرأة من وراء الستر، بل يجب أن تُرى بعينها إذا كانت المرأة محجّبة وأرادت الحفاظ على تستّرها عن الأجانب، فيكون خروجها بطريقة تلائم حياء المرأة المحجّبة، فهي تجمع بين الأمرين بخروجها متنقّبة، فلا ظهور </w:t>
      </w:r>
    </w:p>
    <w:p>
      <w:pPr>
        <w:pStyle w:val="BookText"/>
        <w:rPr/>
      </w:pPr>
      <w:r>
        <w:rPr>
          <w:rFonts w:ascii="IRNazanin" w:hAnsi="IRNazanin" w:eastAsia="IRNazanin"/>
          <w:color w:val="111111"/>
          <w:sz w:val="28"/>
          <w:sz w:val="28"/>
          <w:szCs w:val="28"/>
          <w:rtl w:val="true"/>
          <w:lang w:bidi="fa-IR"/>
        </w:rPr>
        <w:t xml:space="preserve">لكلامه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النساء يجب عليهن ستر الوجه إذا خرجن أمام الأجانب، ويحرم على الأجنبي النظر إليهن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مثل ما إذا سأل أحد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حكم الحاكم بالعيد، ولم يثبت عندنا هلال شوال، فهل يجوز أن أفطر مع القوم، أو يجب عليّ الصوم، وإلّا تلزم الكفارة؟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وأفطر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الكلام غير ظاهر في أنّه كلّما صار كذلك يجب السفر والإفطار ولا يجوز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يرَ جواز الإفطار في هذه الصورة ذكر له أمراً ثالثاً يجمع به بين التكليف بالصوم وبين رفع ما يجد فيه نوعاً من الحزازة من انفراده عنهم في موسم العيد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يشبه الأمر الوارد مورد الحظر؛ لأنَّه كان يحتمل عدم جواز ستر الوجه للمرأة في مقام الشهادة عليها ولزوم كشفه، فالأمر بالتنقّب لا يكون ظاهراً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أن يقرّب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بدلالتها على وجود السيرة للمتديّنين على أنّ نساءهم لم يكنّ يخرجن كاشفات الوجوه أمام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تام؛ فإنّ غاية ما دلّت عليه هذه الرواية وأمثالها هو وجود بعض النساء كنّ يتحجبنّ عن الرجال الأجانب في الجملة، وأمّا أنَّ هذه كانت سيرة المتديّنين كلّهم، وعن جميع الأجانب حتّى لو كانوا أقرباء، وكانت على نحو الالتزام الشرعي، فلا يمكن استفادته منها، وتفصيل الكلام فيه سيأتي في دليل السيرة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أن يقرّب الاستدلال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الرواية تدلّ على وجود ارتكاز </w:t>
      </w:r>
      <w:bookmarkStart w:id="147" w:name="pg10932_87613"/>
    </w:p>
    <w:p>
      <w:pPr>
        <w:pStyle w:val="BookText"/>
        <w:rPr/>
      </w:pPr>
      <w:bookmarkEnd w:id="147"/>
      <w:r>
        <w:rPr>
          <w:rFonts w:ascii="Amiri" w:hAnsi="Amiri" w:eastAsia="Amiri" w:cs="Amiri"/>
          <w:color w:val="111111"/>
          <w:sz w:val="28"/>
          <w:sz w:val="28"/>
          <w:szCs w:val="28"/>
          <w:rtl w:val="true"/>
          <w:lang w:bidi="ar-SA"/>
        </w:rPr>
        <w:t>عند السائل بعدم جواز كشف وجه المرأة أمام الأجانب، ولكنّه يسأل عن كون الشهادة من الأمور المجوّزة له أو لا؟</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مثل هذا الارتكاز؛ فإنّ السائل يسأل عن كيفيّة الشهادة الجائزة عند الشرع مع وجود هذه الحالة، وهل يجب أن تسفر المرأة المحجّبة عن وجهها أو تُمضى شهادتها وهي على حالها؟ لا إشعار في هذا السؤال على الارتكاز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ومثلها في الاستدلال بها والجواب عنه خبر ابن يقطين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أنّ هذا القسم أيضاً لا يصحّ الاستدلال به على المدّعى</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208441_2870459653"/>
      <w:bookmarkStart w:id="149" w:name="_Toc55"/>
      <w:bookmarkEnd w:id="148"/>
      <w:r>
        <w:rPr>
          <w:rtl w:val="true"/>
        </w:rPr>
        <w:t>الطائفة الثالثة</w:t>
      </w:r>
      <w:r>
        <w:rPr>
          <w:rtl w:val="true"/>
        </w:rPr>
        <w:t xml:space="preserve">: </w:t>
      </w:r>
      <w:r>
        <w:rPr>
          <w:rtl w:val="true"/>
        </w:rPr>
        <w:t>وهي التي دلّت على أنّ النظر سهم من سهام إبليس، أو من الشيطان، أو أنّه يوجب الفتنة، أو الحسرة</w:t>
      </w:r>
      <w:bookmarkEnd w:id="149"/>
    </w:p>
    <w:p>
      <w:pPr>
        <w:pStyle w:val="Heading5"/>
        <w:numPr>
          <w:ilvl w:val="4"/>
          <w:numId w:val="1"/>
        </w:numPr>
        <w:rPr/>
      </w:pPr>
      <w:bookmarkStart w:id="150" w:name="__RefHeading___Toc3208443_2870459653"/>
      <w:bookmarkStart w:id="151" w:name="_Toc56"/>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وهي أيضاً روايات</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3208445_2870459653"/>
      <w:bookmarkStart w:id="153" w:name="_Toc57"/>
      <w:bookmarkEnd w:id="152"/>
      <w:r>
        <w:rPr>
          <w:rtl w:val="true"/>
        </w:rPr>
        <w:t>الرواية الأولى</w:t>
      </w:r>
      <w:bookmarkEnd w:id="153"/>
    </w:p>
    <w:p>
      <w:pPr>
        <w:pStyle w:val="BookText"/>
        <w:rPr/>
      </w:pPr>
      <w:r>
        <w:rPr>
          <w:rFonts w:ascii="IRNazanin" w:hAnsi="IRNazanin" w:eastAsia="IRNazanin"/>
          <w:color w:val="111111"/>
          <w:sz w:val="28"/>
          <w:sz w:val="28"/>
          <w:szCs w:val="28"/>
          <w:rtl w:val="true"/>
          <w:lang w:bidi="fa-IR"/>
        </w:rPr>
        <w:t xml:space="preserve">خبر عقبة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من سهام إبليس مسموم، وكم من نظرة أورثت حسرة طويلة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3208447_2870459653"/>
      <w:bookmarkStart w:id="155" w:name="_Toc58"/>
      <w:bookmarkEnd w:id="154"/>
      <w:r>
        <w:rPr>
          <w:rtl w:val="true"/>
        </w:rPr>
        <w:t>الرواية الثانية</w:t>
      </w:r>
      <w:bookmarkEnd w:id="155"/>
    </w:p>
    <w:p>
      <w:pPr>
        <w:pStyle w:val="BookText"/>
        <w:rPr/>
      </w:pP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إنَّما النظرة من الشيطان، فمَن وجد من ذلك شيئاً فليأتِ أهله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3208449_2870459653"/>
      <w:bookmarkStart w:id="157" w:name="_Toc59"/>
      <w:bookmarkEnd w:id="156"/>
      <w:r>
        <w:rPr>
          <w:rtl w:val="true"/>
        </w:rPr>
        <w:t>الرواية الثالثة</w:t>
      </w:r>
      <w:bookmarkEnd w:id="1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أبي جميلة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إلّا وهو يصيب حظّاً من الزنى، فزنا العينين النظر، وزنى الفم القبلة، وزنى اليدين اللمس</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58" w:name="pg10932_87615"/>
    </w:p>
    <w:p>
      <w:pPr>
        <w:pStyle w:val="BookText"/>
        <w:rPr/>
      </w:pPr>
      <w:bookmarkEnd w:id="158"/>
      <w:r>
        <w:rPr>
          <w:rFonts w:ascii="Amiri" w:hAnsi="Amiri" w:eastAsia="Amiri" w:cs="Amiri"/>
          <w:color w:val="111111"/>
          <w:sz w:val="28"/>
          <w:sz w:val="28"/>
          <w:szCs w:val="28"/>
          <w:rtl w:val="true"/>
          <w:lang w:bidi="ar-SA"/>
        </w:rPr>
        <w:t xml:space="preserve">استدلّ بها الخاجوئي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وببعضها المحقّق الداماد على حرمة النظر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 بما يقرب من ألفاظ المحقّق الداماد</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القدر المتيقّن من النظر المذكور في هذه الروايات هو النظر إلى الجنس المخالف، ولازم كون هذا النظر من الشيطان، أو من سهام إبليس، أو من زنا العينين، أو فتنة، أنّه حرام، ولمّا لم يقيّد بقيد الشهوة واللّذة فالحرمة تثبت مطلقاً، وكذلك ليس بمقيّد بما عدا الوجه والكفّين فيكون شاملاً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يتمّ من هذه الطائفة رواية واحدة من حيث السند، فهي غير صالحة للاستدلال بها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ظاهرة في الحرمة، بل هذه التعبيرات أقرب إلى الموعظة الأخلاقية منها إلى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ظاهرة في أنّ النظر قد يؤدّي إلى الفتنة والحسرة، ويسبب الوقوع في شباك الشيطان، ولكن لا دلالة لها على أنّ النظر في حدّ نفسه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سلّمنا دلالتها على الحرمة مع التسليم بالإطلاق فإنّها تدلّ على حرمة النظر إلى الوجه واليدين بالإطلاق، وهو قابل للتقييد إذا تمّ الدليل عليه، وسيأتي الكلام في المقيّد، وأنّه تامّ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3208451_2870459653"/>
      <w:bookmarkStart w:id="160" w:name="_Toc60"/>
      <w:bookmarkEnd w:id="159"/>
      <w:r>
        <w:rPr>
          <w:rtl w:val="true"/>
        </w:rPr>
        <w:t>الطائفة الرابعة</w:t>
      </w:r>
      <w:r>
        <w:rPr>
          <w:rtl w:val="true"/>
        </w:rPr>
        <w:t xml:space="preserve">: </w:t>
      </w:r>
      <w:r>
        <w:rPr>
          <w:rtl w:val="true"/>
        </w:rPr>
        <w:t>وهي التي دلّت على المنع من تكرار النظر وتتابعه</w:t>
      </w:r>
      <w:bookmarkEnd w:id="160"/>
    </w:p>
    <w:p>
      <w:pPr>
        <w:pStyle w:val="Heading5"/>
        <w:numPr>
          <w:ilvl w:val="4"/>
          <w:numId w:val="1"/>
        </w:numPr>
        <w:rPr/>
      </w:pPr>
      <w:bookmarkStart w:id="161" w:name="__RefHeading___Toc3208453_2870459653"/>
      <w:bookmarkStart w:id="162" w:name="_Toc61"/>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وهي عدّة روايات</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208455_2870459653"/>
      <w:bookmarkStart w:id="164" w:name="_Toc62"/>
      <w:bookmarkEnd w:id="163"/>
      <w:r>
        <w:rPr>
          <w:rtl w:val="true"/>
        </w:rPr>
        <w:t>الرواية الأولى</w:t>
      </w:r>
      <w:bookmarkEnd w:id="1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معتبرة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النظرة بعد النظرة </w:t>
      </w:r>
      <w:bookmarkStart w:id="165" w:name="pg10932_87618"/>
    </w:p>
    <w:p>
      <w:pPr>
        <w:pStyle w:val="BookText"/>
        <w:rPr/>
      </w:pPr>
      <w:bookmarkEnd w:id="165"/>
      <w:r>
        <w:rPr>
          <w:rFonts w:ascii="Amiri" w:hAnsi="Amiri" w:eastAsia="Amiri" w:cs="Amiri"/>
          <w:color w:val="111111"/>
          <w:sz w:val="28"/>
          <w:sz w:val="28"/>
          <w:szCs w:val="28"/>
          <w:rtl w:val="true"/>
          <w:lang w:bidi="ar-SA"/>
        </w:rPr>
        <w:t>تزرع في القلب الشهوة، وكفى بها لصاحبها فتنة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3208457_2870459653"/>
      <w:bookmarkStart w:id="167" w:name="_Toc63"/>
      <w:bookmarkEnd w:id="166"/>
      <w:r>
        <w:rPr>
          <w:rtl w:val="true"/>
        </w:rPr>
        <w:t>الرواية الثانية</w:t>
      </w:r>
      <w:bookmarkEnd w:id="167"/>
    </w:p>
    <w:p>
      <w:pPr>
        <w:pStyle w:val="BookText"/>
        <w:rPr/>
      </w:pPr>
      <w:r>
        <w:rPr>
          <w:rFonts w:ascii="IRNazanin" w:hAnsi="IRNazanin" w:eastAsia="IRNazanin"/>
          <w:color w:val="111111"/>
          <w:sz w:val="28"/>
          <w:sz w:val="28"/>
          <w:szCs w:val="28"/>
          <w:rtl w:val="true"/>
          <w:lang w:bidi="fa-IR"/>
        </w:rPr>
        <w:t>مرسلة الشعيري،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أطلق ناظره أتعب خاطره، مَن تتابعت لحظاته دامت حسراته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3208459_2870459653"/>
      <w:bookmarkStart w:id="169" w:name="_Toc64"/>
      <w:bookmarkEnd w:id="168"/>
      <w:r>
        <w:rPr>
          <w:rtl w:val="true"/>
        </w:rPr>
        <w:t>الرواية الثالثة</w:t>
      </w:r>
      <w:bookmarkEnd w:id="169"/>
    </w:p>
    <w:p>
      <w:pPr>
        <w:pStyle w:val="BookText"/>
        <w:rPr/>
      </w:pP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نظرة لك، والثانية عليك ولا لك، والثالثة فيها الهلاك</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3208461_2870459653"/>
      <w:bookmarkStart w:id="171" w:name="_Toc65"/>
      <w:bookmarkEnd w:id="170"/>
      <w:r>
        <w:rPr>
          <w:rtl w:val="true"/>
        </w:rPr>
        <w:t>الرواية الرابعة</w:t>
      </w:r>
      <w:bookmarkEnd w:id="171"/>
    </w:p>
    <w:p>
      <w:pPr>
        <w:pStyle w:val="BookText"/>
        <w:rPr/>
      </w:pPr>
      <w:r>
        <w:rPr>
          <w:rFonts w:ascii="IRNazanin" w:hAnsi="IRNazanin" w:eastAsia="IRNazanin"/>
          <w:color w:val="111111"/>
          <w:sz w:val="28"/>
          <w:sz w:val="28"/>
          <w:szCs w:val="28"/>
          <w:rtl w:val="true"/>
          <w:lang w:bidi="fa-IR"/>
        </w:rPr>
        <w:t xml:space="preserve">خبر أبي بصير ومحمّد بن مسلم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أوّل نظرة إلى المرأة، فلا تتبعوها بنظرة أخرى، واحذروا الفتنة</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مستدلّا ً بمعتبرة الكاهلي على مرامه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نطاق الحكم سعة وضيقاً ليس بيد المكلّف، بكون المورد زارعاً للشهوة أو غير زارع له، بل الشارع حيث إنّه لاحظ كون النظر بذاته ولو خلّي وطبعه عرضة لزرع الشهوة حكم بعدم جوازه مطلقاً إذا كانت النظرة ثانية، أو مستدامة من الأولى</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النصوص ليست في مقام الفرق بين النظرة الأولى والثانية من حيث العدد، إنَّما هي بصدد الفرق بينهما من حيث إنّ الأولى اتّفاقيّة وغير مقصودة، بخلاف الثانية فإنّها مقصودة للناظر، فتحرم الثانية دون الأولى، ولا بُدَّ من تقييد إطلاق هذه الروايات؛ لأنّها تدلّ بإطلاقها على جواز النظرة الأولى متعمّداً إلى </w:t>
      </w:r>
    </w:p>
    <w:p>
      <w:pPr>
        <w:pStyle w:val="BookText"/>
        <w:rPr/>
      </w:pPr>
      <w:r>
        <w:rPr>
          <w:rFonts w:ascii="Amiri" w:hAnsi="Amiri" w:eastAsia="Amiri" w:cs="Amiri"/>
          <w:color w:val="111111"/>
          <w:sz w:val="28"/>
          <w:sz w:val="28"/>
          <w:szCs w:val="28"/>
          <w:rtl w:val="true"/>
          <w:lang w:bidi="ar-SA"/>
        </w:rPr>
        <w:t>جميع أجزاء بدن المرأة، وهو ممّا لا يقول به أحد، وأمر التقييد يدور بين تقييدها بالوجه واليدين وبين تقييدها بالاختيار وعدمه، ولمّا كان الثاني بنظر العرف هو الأظهر تعيّن التقييد به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غير معتبرة سنداً ما عدا الأولى، وهي غير ظاهرة في الحرمة، بل غاية ما دلّت عليه هو أنّ النظرة المتكرّرة قد تؤدّي إلى الحرام بسبب خلقها شهوة في القلب، وتوجب الوقوع في الفتنة، وهذا وحده لا يستلزم الحرمة، بل يمكن دعوى عدم ظهور أيّ واحدة منها في الحرمة ما عدا الأخيرة؛ فإنّ العمل الذي قد يسبّب الوقوع في عمل آخر يوجب الندامة أو الهلاك أو الحسرة لا يكفي هذا في حرمته؛ فإنّ المتفاهم العرفي أنّ النظر بنفسه لا يوجب الهلاك أو الندامة والحسرة، بل ما يؤدّي إليه من الفجور والخيانة، بل حتّى الأخيرة يمكن الخدش في ظهورها في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نهياً عن تكرار النظر، وهو ظاهر في نفسه في الحرمة، لكن تعقيب النهي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واحذروا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هذا الظهور؛ لأنّه دلّ على أنّ المنع من تكرار النظر لأجل الحذر من وقوع الفتنة، فالحرام هو تلك الفتنة وليس النظر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فغاية ما يستفاد من الروايات هو كراهة هذا العمل ومبغوضيّته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سلّمنا دلالتها على الحرمة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تختصّ بالنظرة مع الشهوة واللّذة، لا مطلقاً؛ لأنّها هي التي توجب الشهوة في القلب، أو الحسرة والندامة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سلّمنا إطلاقها لبدن المرأة كلّه فتصلح للتقييد إذا تمّ المقيّد، وهو تامّ كما </w:t>
      </w:r>
      <w:bookmarkStart w:id="172" w:name="pg10932_87622"/>
    </w:p>
    <w:p>
      <w:pPr>
        <w:pStyle w:val="BookText"/>
        <w:rPr/>
      </w:pPr>
      <w:bookmarkEnd w:id="172"/>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ممّا تقدّم أنّه لا توجد رواية تامّة سنداً ودلالة يمكن الاستدلال بها على حرمة النظر إلى وجه المرأة وكفّيها ولو بدون قصد التلذّذ والشهوة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التسليم فهي مطلقات يمكن تقييدها بما دلّ على جواز النظر إليها إن تمّ هذا المقيّد، وهو تامّ كما سيأتي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3208463_2870459653"/>
      <w:bookmarkStart w:id="174" w:name="_Toc66"/>
      <w:bookmarkEnd w:id="173"/>
      <w:r>
        <w:rPr>
          <w:rtl w:val="true"/>
        </w:rPr>
        <w:t>الدليل الثالث</w:t>
      </w:r>
      <w:r>
        <w:rPr>
          <w:rtl w:val="true"/>
        </w:rPr>
        <w:t xml:space="preserve">: </w:t>
      </w:r>
      <w:r>
        <w:rPr>
          <w:rtl w:val="true"/>
        </w:rPr>
        <w:t>على الحرمة الإجماع</w:t>
      </w:r>
      <w:bookmarkEnd w:id="174"/>
    </w:p>
    <w:p>
      <w:pPr>
        <w:pStyle w:val="BookText"/>
        <w:rPr/>
      </w:pPr>
      <w:r>
        <w:rPr>
          <w:rFonts w:ascii="Amiri" w:hAnsi="Amiri" w:eastAsia="Amiri" w:cs="Amiri"/>
          <w:color w:val="111111"/>
          <w:sz w:val="28"/>
          <w:sz w:val="28"/>
          <w:szCs w:val="28"/>
          <w:rtl w:val="true"/>
          <w:lang w:bidi="ar-SA"/>
        </w:rPr>
        <w:t>اختار الفاضل المقداد القول بحرمة كشف المرأة عن وجهها وكفّيها للرجل الأجنبي في تفسير آية الإبداء مدّعياً إطباق الفقهاء على أنّ بدن المرأة كلّه عورة إلّا على الزوج والمحارم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حجّة عليه، 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دعوى الإجماع مع ذهاب بعض الأعلام إلى خلافه، كما عرفت عندما ذكرنا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دعوى الإجماع مع أنّه قد ادّعى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الجواز</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هناك شبهة إجماع لما انفرد هو في دعوى وجوده</w:t>
      </w:r>
      <w:r>
        <w:rPr>
          <w:rFonts w:eastAsia="Amiri" w:cs="Amiri" w:ascii="Amiri" w:hAnsi="Amiri"/>
          <w:color w:val="111111"/>
          <w:sz w:val="28"/>
          <w:szCs w:val="28"/>
          <w:rtl w:val="true"/>
          <w:lang w:bidi="ar-SA"/>
        </w:rPr>
        <w:t xml:space="preserve">. </w:t>
      </w:r>
      <w:bookmarkStart w:id="175" w:name="pg10932_87624"/>
    </w:p>
    <w:p>
      <w:pPr>
        <w:pStyle w:val="Heading3"/>
        <w:numPr>
          <w:ilvl w:val="2"/>
          <w:numId w:val="1"/>
        </w:numPr>
        <w:rPr/>
      </w:pPr>
      <w:bookmarkStart w:id="176" w:name="__RefHeading___Toc3208465_2870459653"/>
      <w:bookmarkStart w:id="177" w:name="_Toc67"/>
      <w:bookmarkEnd w:id="175"/>
      <w:bookmarkEnd w:id="176"/>
      <w:r>
        <w:rPr>
          <w:rtl w:val="true"/>
        </w:rPr>
        <w:t>الدليل الرابع</w:t>
      </w:r>
      <w:r>
        <w:rPr>
          <w:rtl w:val="true"/>
        </w:rPr>
        <w:t xml:space="preserve">: </w:t>
      </w:r>
      <w:r>
        <w:rPr>
          <w:rtl w:val="true"/>
        </w:rPr>
        <w:t>على الحرمة العقل</w:t>
      </w:r>
      <w:bookmarkEnd w:id="177"/>
    </w:p>
    <w:p>
      <w:pPr>
        <w:pStyle w:val="Heading4"/>
        <w:numPr>
          <w:ilvl w:val="3"/>
          <w:numId w:val="1"/>
        </w:numPr>
        <w:rPr/>
      </w:pPr>
      <w:bookmarkStart w:id="178" w:name="__RefHeading___Toc3208467_2870459653"/>
      <w:bookmarkStart w:id="179" w:name="_Toc68"/>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وله تقريبان</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3208469_2870459653"/>
      <w:bookmarkStart w:id="181" w:name="_Toc69"/>
      <w:bookmarkEnd w:id="180"/>
      <w:r>
        <w:rPr>
          <w:rtl w:val="true"/>
        </w:rPr>
        <w:t>التقريب الأوّل</w:t>
      </w:r>
      <w:bookmarkEnd w:id="181"/>
    </w:p>
    <w:p>
      <w:pPr>
        <w:pStyle w:val="BookText"/>
        <w:rPr/>
      </w:pPr>
      <w:r>
        <w:rPr>
          <w:rFonts w:ascii="Amiri" w:hAnsi="Amiri" w:eastAsia="Amiri" w:cs="Amiri"/>
          <w:color w:val="111111"/>
          <w:sz w:val="28"/>
          <w:sz w:val="28"/>
          <w:szCs w:val="28"/>
          <w:rtl w:val="true"/>
          <w:lang w:bidi="ar-SA"/>
        </w:rPr>
        <w:t>أنّ النظر يهيّج الوساوس، وربّما يتعلّق القلب ويتعذّر الوصول، فيفضي إلى تعب شديد وهو ضرر يجب دفعه، ولا يمكن إلّا بكفّ النفس عن النظر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مآل هذا الكلام إلى أنّ النظر إلى الأجنبيّة مطلقاً يؤدّي إلى إدخال الضرر، وهو حرام فيجب دفعه، وهو متوقّف على ترك النظر فيجب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 النظر يؤدّي إلى الحرام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كلّ ضرر يحرم على الشخص إدخاله على نفسه، ويجب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 كلّيّته يكون إدخال الضرر هو الحرام لا النظر؛ لأنّ مقدّمة الحرام ليست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حرمة المقدّمة ليس كلّ نظر كذلك، بل كثيراً ما لا يؤدّي النظر إلى الضرر، وهو النظر الخالي عن قصد التلذّذ والشهوة، فلا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النظر مع الشهوة لا يكون دائماً موجباً لإدخال الضرر، فلا يكون حراماً دائماً بهذا البيان وإن ثبتت حرمته بدليل آخر</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208471_2870459653"/>
      <w:bookmarkStart w:id="183" w:name="_Toc70"/>
      <w:bookmarkEnd w:id="182"/>
      <w:r>
        <w:rPr>
          <w:rtl w:val="true"/>
        </w:rPr>
        <w:t>التقريب الآخر</w:t>
      </w:r>
      <w:bookmarkEnd w:id="18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البعض أنّ النظر إلى الوجه يوجب التفتّن والشهوة في القلب، وهو يؤدّي بالأخير إلى الفساد وارتكاب الحرام، فلا يمكن أن يسمح لنا الشارع بالنظر </w:t>
      </w:r>
      <w:bookmarkStart w:id="184" w:name="pg10932_87626"/>
    </w:p>
    <w:p>
      <w:pPr>
        <w:pStyle w:val="BookText"/>
        <w:rPr/>
      </w:pPr>
      <w:bookmarkEnd w:id="184"/>
      <w:r>
        <w:rPr>
          <w:rFonts w:ascii="Amiri" w:hAnsi="Amiri" w:eastAsia="Amiri" w:cs="Amiri"/>
          <w:color w:val="111111"/>
          <w:sz w:val="28"/>
          <w:sz w:val="28"/>
          <w:szCs w:val="28"/>
          <w:rtl w:val="true"/>
          <w:lang w:bidi="ar-SA"/>
        </w:rPr>
        <w:t>إلى وجه المرأة الأجنبيّة، وقد عرفنا من ذوقه وبقيّة الأحكام المتعلّقة بالنساء أنّه يحتاط احتياطاً تامّاً في هذا الأمر، ويجنّب المكلّفين عن كلّ فعل له أدنى مساس بهذه القضيّة ككراهة السلام على الشابّة، وكراهة الجلوس في مكان المرأة ما دامت الحرارة فيه، وحرمة إظهار ما خفي من الزينة على المرأة بضرب رجلها، وكراهة الخروج إلى الجمعة والجماعة، وكراهة اختلاطهنّ مع الرجال في الأسواق وغيرها، ومع كلّ هذا كيف يمكن أن يجوّز النظر إلى وجوههن، وهو مركز الجمال ومثار الفتنة، والنظر إليه من مواقع التهلكة غالباً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لا يصل إلى مستوى البرهان؛ لأنّنا لا نعلم ملاكات الأحكام الشرعيّة ومقتضياتها ومزاحماتها، فمن أين لنا أن نثبت أنّ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كشف المرأة عن وجهها وكفّيها، ونظر الرجل إليها بدون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تقتضي الجعل الشرعي بحرمته، وليس فيه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مصلحة التسهيل على العباد وعدم التضييق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تلك المفسدة، وبدون الجزم بهذا الأمر كيف نجزم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نظر يستتبع الافتتان، بل هو النظر مع الشهوة وقد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كراهة النظر إلى الأجنبية مطلقاً عند الشارع؛ بالنظر إلى مجموع الآيات والروايات الواردة في هذا المجال، والبيان المذكور لا يقتضي أكثر من هذا</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208473_2870459653"/>
      <w:bookmarkStart w:id="186" w:name="_Toc71"/>
      <w:bookmarkEnd w:id="185"/>
      <w:r>
        <w:rPr>
          <w:rtl w:val="true"/>
        </w:rPr>
        <w:t>الدليل الخامس</w:t>
      </w:r>
      <w:r>
        <w:rPr>
          <w:rtl w:val="true"/>
        </w:rPr>
        <w:t xml:space="preserve">: </w:t>
      </w:r>
      <w:r>
        <w:rPr>
          <w:rtl w:val="true"/>
        </w:rPr>
        <w:t>على الحرمة السيرة</w:t>
      </w:r>
      <w:bookmarkEnd w:id="18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أكثر من واحد وجود سيرة للمتشرعة على عدم خروج نسائهم من منازلهن </w:t>
      </w:r>
    </w:p>
    <w:p>
      <w:pPr>
        <w:pStyle w:val="BookText"/>
        <w:rPr/>
      </w:pPr>
      <w:r>
        <w:rPr>
          <w:rFonts w:ascii="Amiri" w:hAnsi="Amiri" w:eastAsia="Amiri" w:cs="Amiri"/>
          <w:color w:val="111111"/>
          <w:sz w:val="28"/>
          <w:sz w:val="28"/>
          <w:szCs w:val="28"/>
          <w:rtl w:val="true"/>
          <w:lang w:bidi="ar-SA"/>
        </w:rPr>
        <w:t>سافرات الوجوه، منهم العلّامة، قال في التذكرة ناقلاً عن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الوجه والكفّين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المسلمين على منع النساء من أن يخرجن سافرات، ولو حلّ النظر لنزّلن منزلة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الأقوى عندي</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ذلك السيّد البروجردي أيضاً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تناقش دعوى السيرة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تثبت على نطاق واسع بحيث التزم بها جميع المتشرعة، بل يمكن أن يدّعى وجود السيرة على العكس من هذه الدعوى كما سوف يأتي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البيوت التزمت بذلك مثل بيوت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التنزّل وقبول السيرة نقول إنّها لم تكن على الستر عن غير المحارم كلّهم، بل عن غير الأقارب من الرجال فقط، وأمّا الأقارب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زوج المرأة، وابني عمّها وخالها فلم تكن تلتزم بستر الوجه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نعلم ما هي النكتة في انعقاد السيرة، فهل هي مستمدّة من الشارع، أم كانت لأجل المبالغة في الاحتشام والغيرة؟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تسليم عموم السيرة وأنّها كانت متلقّاة من الشرع لكن لا نعلم اتّصالها بزمن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فلّعلها حدثت نتيجة فتاوى العلماء</w:t>
      </w:r>
      <w:r>
        <w:rPr>
          <w:rFonts w:eastAsia="IRNazanin" w:cs="IRNazanin"/>
          <w:color w:val="111111"/>
          <w:sz w:val="28"/>
          <w:szCs w:val="28"/>
          <w:rtl w:val="true"/>
          <w:lang w:bidi="fa-IR"/>
        </w:rPr>
        <w:t xml:space="preserve">. </w:t>
      </w:r>
      <w:bookmarkStart w:id="187" w:name="pg10932_87630"/>
    </w:p>
    <w:p>
      <w:pPr>
        <w:pStyle w:val="Heading3"/>
        <w:numPr>
          <w:ilvl w:val="2"/>
          <w:numId w:val="1"/>
        </w:numPr>
        <w:rPr/>
      </w:pPr>
      <w:bookmarkStart w:id="188" w:name="__RefHeading___Toc3208475_2870459653"/>
      <w:bookmarkStart w:id="189" w:name="_Toc72"/>
      <w:bookmarkEnd w:id="187"/>
      <w:bookmarkEnd w:id="188"/>
      <w:r>
        <w:rPr>
          <w:rtl w:val="true"/>
        </w:rPr>
        <w:t>أدلّة القول الثاني</w:t>
      </w:r>
      <w:r>
        <w:rPr>
          <w:rtl w:val="true"/>
        </w:rPr>
        <w:t xml:space="preserve">: </w:t>
      </w:r>
      <w:r>
        <w:rPr>
          <w:rtl w:val="true"/>
        </w:rPr>
        <w:t>وهو الجواز</w:t>
      </w:r>
      <w:bookmarkEnd w:id="189"/>
    </w:p>
    <w:p>
      <w:pPr>
        <w:pStyle w:val="Heading4"/>
        <w:numPr>
          <w:ilvl w:val="3"/>
          <w:numId w:val="1"/>
        </w:numPr>
        <w:rPr/>
      </w:pPr>
      <w:bookmarkStart w:id="190" w:name="__RefHeading___Toc3208477_2870459653"/>
      <w:bookmarkStart w:id="191" w:name="_Toc73"/>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لمّا لم يثبت عندنا تماميّة الأدلّة على وجوب ستر المرأة وجهها وكفّيها عن الأجانب، وكذلك حرمة نظر الأجنبي إلى هذين الموضعين منها بدون قصد التلذّذ والشهوة وبدون خوف الفتنة والريبة نستعرض أدلّة القائلين بالجواز حتّى نرى هل أنّها تامّة أو لا؟ فإن تمّت فبها ونعمت، وإلّا تصل النوبة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عدة أدلّة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208479_2870459653"/>
      <w:bookmarkStart w:id="193" w:name="_Toc74"/>
      <w:bookmarkEnd w:id="192"/>
      <w:r>
        <w:rPr>
          <w:rtl w:val="true"/>
        </w:rPr>
        <w:t>الدليل الأوَّل</w:t>
      </w:r>
      <w:r>
        <w:rPr>
          <w:rtl w:val="true"/>
        </w:rPr>
        <w:t xml:space="preserve">: </w:t>
      </w:r>
      <w:r>
        <w:rPr>
          <w:rtl w:val="true"/>
        </w:rPr>
        <w:t>الكتاب</w:t>
      </w:r>
      <w:bookmarkEnd w:id="193"/>
    </w:p>
    <w:p>
      <w:pPr>
        <w:pStyle w:val="Heading5"/>
        <w:numPr>
          <w:ilvl w:val="4"/>
          <w:numId w:val="1"/>
        </w:numPr>
        <w:rPr/>
      </w:pPr>
      <w:bookmarkStart w:id="194" w:name="__RefHeading___Toc3208481_2870459653"/>
      <w:bookmarkStart w:id="195" w:name="_Toc75"/>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وهو آيتان استدلّ بهما على جواز كشف المرأة لوجهها وكفّيها، وعدم حرمة نظر الأجنبي إليهما</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3208483_2870459653"/>
      <w:bookmarkStart w:id="197" w:name="_Toc76"/>
      <w:bookmarkEnd w:id="196"/>
      <w:r>
        <w:rPr>
          <w:rtl w:val="true"/>
        </w:rPr>
        <w:t>الآية الأولى</w:t>
      </w:r>
      <w:bookmarkEnd w:id="197"/>
    </w:p>
    <w:p>
      <w:pPr>
        <w:pStyle w:val="Heading6"/>
        <w:numPr>
          <w:ilvl w:val="5"/>
          <w:numId w:val="1"/>
        </w:numPr>
        <w:rPr/>
      </w:pPr>
      <w:bookmarkStart w:id="198" w:name="__RefHeading___Toc3208485_2870459653"/>
      <w:bookmarkStart w:id="199" w:name="_Toc77"/>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قوله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 إِلَّا مَا ظَهَرَ مِنْهَا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فيما سبق أنّ الظاهر من لفظ الزينة مطلق ما تتزيّن به المرأة الشامل لأعضاء بدنها، وما تتجمّل به من الحلي والأصباغ، وقد حُرّم عليها إبداؤها إلّا ما ظهر منها، والذي هو ظاهر بالوضع الطبيعيّ للإنسان هو الملابس، ثُمَّ الوجه واليدان فلا يكون إظهارها محرّماً على المرأة، ثُمَّ ما حرّم على المرأة إبداؤه جُوّز لها الكشف عنه لبعض الأقسام من الرجال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لِبُعُولَتِهِنَّ أَوْ آَبَائِهِنَّ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وللحصول على مزيد اطمئنان بأنّ هذا المعنى هو المراد بالآية نذكر الروايات الواردة في تفسير هذه الآية</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3208487_2870459653"/>
      <w:bookmarkStart w:id="201" w:name="_Toc78"/>
      <w:bookmarkEnd w:id="200"/>
      <w:r>
        <w:rPr>
          <w:rtl w:val="true"/>
        </w:rPr>
        <w:t>الرواية الأولى</w:t>
      </w:r>
      <w:bookmarkEnd w:id="2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w:t>
      </w:r>
      <w:bookmarkStart w:id="202" w:name="pg10932_87632"/>
    </w:p>
    <w:p>
      <w:pPr>
        <w:pStyle w:val="BookText"/>
        <w:rPr/>
      </w:pPr>
      <w:bookmarkEnd w:id="202"/>
      <w:r>
        <w:rPr>
          <w:rFonts w:ascii="Amiri" w:hAnsi="Amiri" w:eastAsia="Amiri" w:cs="Amiri"/>
          <w:color w:val="111111"/>
          <w:sz w:val="28"/>
          <w:sz w:val="28"/>
          <w:szCs w:val="28"/>
          <w:rtl w:val="true"/>
          <w:lang w:bidi="ar-SA"/>
        </w:rPr>
        <w:t>إِلَّا مَا ظَهَرَ مِنْهَا فهي الثياب والكحل والخاتم وخضاب الكفّ والسوار</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التصريح بتطبيق ما يجوز إظهاره على خضاب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إظهار الكحل والخاتم أيضاً مستلزم لجواز إظهار الوجه والكفّين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السوار فلا يمكن الالتزام بجواز إظهاره؛ لمعارضة هذه الرواية مع صحيحة الفضيل الآتية</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3208489_2870459653"/>
      <w:bookmarkStart w:id="204" w:name="_Toc79"/>
      <w:bookmarkEnd w:id="203"/>
      <w:r>
        <w:rPr>
          <w:rtl w:val="true"/>
        </w:rPr>
        <w:t>الرواية الثانية</w:t>
      </w:r>
      <w:bookmarkEnd w:id="204"/>
    </w:p>
    <w:p>
      <w:pPr>
        <w:pStyle w:val="BookText"/>
        <w:rPr/>
      </w:pPr>
      <w:r>
        <w:rPr>
          <w:rFonts w:ascii="IRNazanin" w:hAnsi="IRNazanin" w:eastAsia="IRNazanin"/>
          <w:color w:val="111111"/>
          <w:sz w:val="28"/>
          <w:sz w:val="28"/>
          <w:szCs w:val="28"/>
          <w:rtl w:val="true"/>
          <w:lang w:bidi="fa-IR"/>
        </w:rPr>
        <w:t xml:space="preserve">معتبرة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وتعالى</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إِلَّا مَا ظَهَرَ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والخاتم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وعبّرنا عنها بالمعتبرة مع وجود القاسم بن عروة، وهو لم يوثّق في الكتب الرجاليّة، ولكنّه قد روى عنه ابن أبي عمير عدّة روايات كما في الكافي</w:t>
      </w:r>
      <w:r>
        <w:rPr>
          <w:rStyle w:val="FootnoteAnchor"/>
          <w:rtl w:val="true"/>
        </w:rPr>
        <w:footnoteReference w:id="208"/>
      </w:r>
      <w:r>
        <w:rPr>
          <w:rFonts w:ascii="Amiri" w:hAnsi="Amiri" w:eastAsia="Amiri" w:cs="Amiri"/>
          <w:color w:val="111111"/>
          <w:sz w:val="28"/>
          <w:sz w:val="28"/>
          <w:szCs w:val="28"/>
          <w:rtl w:val="true"/>
          <w:lang w:bidi="ar-SA"/>
        </w:rPr>
        <w:t>، وكذلك روى عنه ابن أبي نصر البزنطي</w:t>
      </w:r>
      <w:r>
        <w:rPr>
          <w:rStyle w:val="FootnoteAnchor"/>
          <w:rtl w:val="true"/>
        </w:rPr>
        <w:footnoteReference w:id="209"/>
      </w:r>
      <w:r>
        <w:rPr>
          <w:rFonts w:ascii="Amiri" w:hAnsi="Amiri" w:eastAsia="Amiri" w:cs="Amiri"/>
          <w:color w:val="111111"/>
          <w:sz w:val="28"/>
          <w:sz w:val="28"/>
          <w:szCs w:val="28"/>
          <w:rtl w:val="true"/>
          <w:lang w:bidi="ar-SA"/>
        </w:rPr>
        <w:t>، فتثبت وثاقته بناءً على وثاقة من يروي عنه المشايخ الثلاثة، فيتمّ السند، وهذه الرواية أيضاً دلّت باللازم على جواز إبداء الوجه والكفّين</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3208491_2870459653"/>
      <w:bookmarkStart w:id="206" w:name="_Toc80"/>
      <w:bookmarkEnd w:id="205"/>
      <w:r>
        <w:rPr>
          <w:rtl w:val="true"/>
        </w:rPr>
        <w:t>الرواية الثالثة</w:t>
      </w:r>
      <w:bookmarkEnd w:id="206"/>
    </w:p>
    <w:p>
      <w:pPr>
        <w:pStyle w:val="BookText"/>
        <w:rPr/>
      </w:pPr>
      <w:r>
        <w:rPr>
          <w:rFonts w:ascii="IRNazanin" w:hAnsi="IRNazanin" w:eastAsia="IRNazanin"/>
          <w:color w:val="111111"/>
          <w:sz w:val="28"/>
          <w:sz w:val="28"/>
          <w:szCs w:val="28"/>
          <w:rtl w:val="true"/>
          <w:lang w:bidi="fa-IR"/>
        </w:rPr>
        <w:t xml:space="preserve">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 إِلَّا مَا ظَهَرَ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 وَالمَسَكَةُ وهي القُلْبُ</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واضحة الدلالة على المدّعى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السند ففيه سعدان بن مسلم، وهو غير موثّق في الكتب الرجاليّة، لكن يمكن الاعتماد على رواياته بالنظر إلى عدّة أمور</w:t>
      </w:r>
      <w:r>
        <w:rPr>
          <w:rFonts w:eastAsia="Amiri" w:cs="Amiri" w:ascii="Amiri" w:hAnsi="Amiri"/>
          <w:color w:val="111111"/>
          <w:sz w:val="28"/>
          <w:szCs w:val="28"/>
          <w:rtl w:val="true"/>
          <w:lang w:bidi="ar-SA"/>
        </w:rPr>
        <w:t xml:space="preserve">: </w:t>
      </w:r>
      <w:bookmarkStart w:id="207" w:name="pg10932_87634"/>
    </w:p>
    <w:p>
      <w:pPr>
        <w:pStyle w:val="BookText"/>
        <w:rPr/>
      </w:pPr>
      <w:bookmarkEnd w:id="207"/>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رواية لابن أبي عمير عنه في الكافي</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سعدان بن مسلم، له أصل أخبرنا جماعة عن أبي المفضّل، عن ابن بطّة، عن أحمد بن محمّد بن عيسى، عن محمّد بن إسماعيل بن بزيع، عن صفوان بن يحيى، عن سعدان</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فصفوان بن يحيى هو راوي كتاب سعدان، أو على الأقل إجازةً، وصفوان من المشايخ الثلاثة الذين لا يروون ولا يرسلون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من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الشيخ في حقّه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كبير المنزلة من خواص أبي محمّد</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 من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الخادم، وعبد الله بن ميمون، وبكر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روايته عن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فبالنظر إلى مكانته وإلى عمله يبدو بعيداً جدّاً أن يكثر عن شخص ضعيف، أو مجهول في نظره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يمكن اعتبار هذه الرواية</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3208493_2870459653"/>
      <w:bookmarkStart w:id="209" w:name="_Toc81"/>
      <w:bookmarkEnd w:id="208"/>
      <w:r>
        <w:rPr>
          <w:rtl w:val="true"/>
        </w:rPr>
        <w:t>الرواية الرابعة</w:t>
      </w:r>
      <w:bookmarkEnd w:id="2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الذراعين من المرأة هما من الزينة التي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 إِلَّا لِبُعُولَتِهِنَّ؟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وما دون الخمار من الزينة، وما دون السوارين</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دلّت على أنّ آخر حدّ من الزينة الواجب سترها من بدن المرأة هو ما يستره الخمار والسواران، فتدلّ بمفهوم الغاية على خروج </w:t>
      </w:r>
      <w:bookmarkStart w:id="210" w:name="pg10932_87636"/>
    </w:p>
    <w:p>
      <w:pPr>
        <w:pStyle w:val="BookText"/>
        <w:rPr/>
      </w:pPr>
      <w:bookmarkEnd w:id="210"/>
      <w:r>
        <w:rPr>
          <w:rFonts w:ascii="Amiri" w:hAnsi="Amiri" w:eastAsia="Amiri" w:cs="Amiri"/>
          <w:color w:val="111111"/>
          <w:sz w:val="28"/>
          <w:sz w:val="28"/>
          <w:szCs w:val="28"/>
          <w:rtl w:val="true"/>
          <w:lang w:bidi="ar-SA"/>
        </w:rPr>
        <w:t>الوجه والكفّين من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تقريب وجه اختيار هذا المعنى للرواية دون ما ذهب إليه السيّد الخوئي وغيره من الأعلام من شمول هذا التعبير للوجه والكفّين، وجعلهما من الزينة المحرّم إبداؤها</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3208495_2870459653"/>
      <w:bookmarkStart w:id="212" w:name="_Toc82"/>
      <w:bookmarkEnd w:id="211"/>
      <w:r>
        <w:rPr>
          <w:rtl w:val="true"/>
        </w:rPr>
        <w:t>الرواية الخامسة</w:t>
      </w:r>
      <w:bookmarkEnd w:id="212"/>
    </w:p>
    <w:p>
      <w:pPr>
        <w:pStyle w:val="BookText"/>
        <w:rPr/>
      </w:pPr>
      <w:r>
        <w:rPr>
          <w:rFonts w:ascii="IRNazanin" w:hAnsi="IRNazanin" w:eastAsia="IRNazanin"/>
          <w:color w:val="111111"/>
          <w:sz w:val="28"/>
          <w:sz w:val="28"/>
          <w:szCs w:val="28"/>
          <w:rtl w:val="true"/>
          <w:lang w:bidi="fa-IR"/>
        </w:rPr>
        <w:t>موثّقة مسعدة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عمّا تظهر المرأة من زينتها؟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والكفّين</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معتبرة السند، واضحة الدلالة على عدم وجوب ستر الوجه والكفّين على المرأة</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3208497_2870459653"/>
      <w:bookmarkStart w:id="214" w:name="_Toc83"/>
      <w:bookmarkEnd w:id="213"/>
      <w:r>
        <w:rPr>
          <w:rtl w:val="true"/>
        </w:rPr>
        <w:t>الرواية السادسة</w:t>
      </w:r>
      <w:bookmarkEnd w:id="214"/>
    </w:p>
    <w:p>
      <w:pPr>
        <w:pStyle w:val="BookText"/>
        <w:rPr/>
      </w:pPr>
      <w:r>
        <w:rPr>
          <w:rFonts w:ascii="Amiri" w:hAnsi="Amiri" w:eastAsia="Amiri" w:cs="Amiri"/>
          <w:color w:val="111111"/>
          <w:sz w:val="28"/>
          <w:sz w:val="28"/>
          <w:szCs w:val="28"/>
          <w:rtl w:val="true"/>
          <w:lang w:bidi="ar-SA"/>
        </w:rPr>
        <w:t>مرسلة تفسير جوامع الجامع،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الكفّان والأصابع</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فبالنظر إلى مجموع هذه الروايات الواردة في تفسير الآية وأكثرها معتبر سنداً يحصل الاطمئنان بأنّ الزينة التي يجوز إبداؤها، وهي مصداق الزينة المذكورة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شاملة للوجه والكفّين</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3208499_2870459653"/>
      <w:bookmarkStart w:id="216" w:name="_Toc84"/>
      <w:bookmarkEnd w:id="215"/>
      <w:r>
        <w:rPr>
          <w:rtl w:val="true"/>
        </w:rPr>
        <w:t>الآية الثانية</w:t>
      </w:r>
      <w:bookmarkEnd w:id="216"/>
    </w:p>
    <w:p>
      <w:pPr>
        <w:pStyle w:val="BookText"/>
        <w:rPr/>
      </w:pPr>
      <w:r>
        <w:rPr>
          <w:rFonts w:ascii="IRNazanin" w:hAnsi="IRNazanin" w:eastAsia="IRNazanin"/>
          <w:color w:val="111111"/>
          <w:sz w:val="28"/>
          <w:sz w:val="28"/>
          <w:szCs w:val="28"/>
          <w:rtl w:val="true"/>
          <w:lang w:bidi="fa-IR"/>
        </w:rPr>
        <w:t>قوله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وَلْيَضْرِبْنَ بِخُمُرِهِنَّ عَلَىٰ جُيُوبِهِنَّ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الكلام مفصّلاً حول هذه الجملة من الآية في أدلّة القول الأوّل، وقد قرّبنا دلالتها على القول الثاني، ومنعنا الاستدلال بها على الأوّل، فلا حاجة إلى إعادة الكلام فيها</w:t>
      </w:r>
      <w:r>
        <w:rPr>
          <w:rFonts w:eastAsia="Amiri" w:cs="Amiri" w:ascii="Amiri" w:hAnsi="Amiri"/>
          <w:color w:val="111111"/>
          <w:sz w:val="28"/>
          <w:szCs w:val="28"/>
          <w:rtl w:val="true"/>
          <w:lang w:bidi="ar-SA"/>
        </w:rPr>
        <w:t xml:space="preserve">. </w:t>
      </w:r>
      <w:bookmarkStart w:id="217" w:name="pg10932_87638"/>
    </w:p>
    <w:p>
      <w:pPr>
        <w:pStyle w:val="Heading5"/>
        <w:numPr>
          <w:ilvl w:val="4"/>
          <w:numId w:val="1"/>
        </w:numPr>
        <w:rPr/>
      </w:pPr>
      <w:bookmarkStart w:id="218" w:name="__RefHeading___Toc3208501_2870459653"/>
      <w:bookmarkStart w:id="219" w:name="_Toc85"/>
      <w:bookmarkEnd w:id="217"/>
      <w:bookmarkEnd w:id="218"/>
      <w:r>
        <w:rPr>
          <w:rtl w:val="true"/>
        </w:rPr>
        <w:t>الآية الثالثة</w:t>
      </w:r>
      <w:bookmarkEnd w:id="219"/>
    </w:p>
    <w:p>
      <w:pPr>
        <w:pStyle w:val="BookText"/>
        <w:rPr/>
      </w:pPr>
      <w:r>
        <w:rPr>
          <w:rFonts w:ascii="IRNazanin" w:hAnsi="IRNazanin" w:eastAsia="IRNazanin"/>
          <w:color w:val="111111"/>
          <w:sz w:val="28"/>
          <w:sz w:val="28"/>
          <w:szCs w:val="28"/>
          <w:rtl w:val="true"/>
          <w:lang w:bidi="fa-IR"/>
        </w:rPr>
        <w:t>قوله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الاكتفاء بالأمر بإدناء الجلباب عند بروز النساء أمام الأجانب يدلّ على عدم لزوم ستر الوجه عنهم؛ لأنّه قد عرفت فيما تقدّم عدم إفادة هذا التعبير للزوم ستر الوجه، فلو كان ستره واجباً لكان من المناسب جدّاً ذكره هنا، فيُفهم من عدم ذكره عدم لزومه</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3208503_2870459653"/>
      <w:bookmarkStart w:id="221" w:name="_Toc86"/>
      <w:bookmarkEnd w:id="220"/>
      <w:r>
        <w:rPr>
          <w:rtl w:val="true"/>
        </w:rPr>
        <w:t>الدليل الثاني</w:t>
      </w:r>
      <w:r>
        <w:rPr>
          <w:rtl w:val="true"/>
        </w:rPr>
        <w:t xml:space="preserve">: </w:t>
      </w:r>
      <w:r>
        <w:rPr>
          <w:rtl w:val="true"/>
        </w:rPr>
        <w:t>الروايات</w:t>
      </w:r>
      <w:bookmarkEnd w:id="221"/>
    </w:p>
    <w:p>
      <w:pPr>
        <w:pStyle w:val="Heading5"/>
        <w:numPr>
          <w:ilvl w:val="4"/>
          <w:numId w:val="1"/>
        </w:numPr>
        <w:rPr/>
      </w:pPr>
      <w:bookmarkStart w:id="222" w:name="__RefHeading___Toc3208505_2870459653"/>
      <w:bookmarkStart w:id="223" w:name="_Toc87"/>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الروايات في تفسير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إِلَّا مَا ظَهَرَ مِنْهَا التي قرّبنا دلالتها على أنّ المراد من الزينة الظاهرة التي لا يحرم إبداؤها هو الوجه والكفّان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قيل أو يمكن أن يقال بدلالتها على أنّ ستر الوجه والكفّين لم يكن واجباً على المرأة في حدّ نفسه، وكذلك النظر إلى هذين الموضعين منها لم يكن محظوراً إذا كان بلا شهوة وتلذّذ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هي</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3208507_2870459653"/>
      <w:bookmarkStart w:id="225" w:name="_Toc88"/>
      <w:bookmarkEnd w:id="224"/>
      <w:r>
        <w:rPr>
          <w:rtl w:val="true"/>
        </w:rPr>
        <w:t>الرواية الأولى</w:t>
      </w:r>
      <w:bookmarkEnd w:id="225"/>
    </w:p>
    <w:p>
      <w:pPr>
        <w:pStyle w:val="BookText"/>
        <w:rPr/>
      </w:pPr>
      <w:r>
        <w:rPr>
          <w:rFonts w:ascii="IRNazanin" w:hAnsi="IRNazanin" w:eastAsia="IRNazanin"/>
          <w:color w:val="111111"/>
          <w:sz w:val="28"/>
          <w:sz w:val="28"/>
          <w:szCs w:val="28"/>
          <w:rtl w:val="true"/>
          <w:lang w:bidi="fa-IR"/>
        </w:rPr>
        <w:t xml:space="preserve">مرسلة مروك بن عبيد،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يحلّ للرجل أن يرى من المرأة إذا لم يكن مَحرماً؟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والكفّان والقدمان</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واضحة الدلالة على جواز نظر الرجل الأجنبي إلى الوجه والكفّين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إلحاق القدمين بالوجه والكفّين يأتي في القول الخامس</w:t>
      </w:r>
      <w:r>
        <w:rPr>
          <w:rFonts w:eastAsia="Amiri" w:cs="Amiri" w:ascii="Amiri" w:hAnsi="Amiri"/>
          <w:color w:val="111111"/>
          <w:sz w:val="28"/>
          <w:szCs w:val="28"/>
          <w:rtl w:val="true"/>
          <w:lang w:bidi="ar-SA"/>
        </w:rPr>
        <w:t xml:space="preserve">. </w:t>
      </w:r>
      <w:bookmarkStart w:id="226" w:name="pg10932_87640"/>
    </w:p>
    <w:p>
      <w:pPr>
        <w:pStyle w:val="BookText"/>
        <w:rPr/>
      </w:pPr>
      <w:bookmarkEnd w:id="226"/>
      <w:r>
        <w:rPr>
          <w:rFonts w:ascii="Amiri" w:hAnsi="Amiri" w:eastAsia="Amiri" w:cs="Amiri"/>
          <w:color w:val="111111"/>
          <w:sz w:val="28"/>
          <w:sz w:val="28"/>
          <w:szCs w:val="28"/>
          <w:rtl w:val="true"/>
          <w:lang w:bidi="ar-SA"/>
        </w:rPr>
        <w:t>هذا 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السند فإنّها ضعيفة السند؛ لإرسالها</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3208509_2870459653"/>
      <w:bookmarkStart w:id="228" w:name="_Toc89"/>
      <w:bookmarkEnd w:id="227"/>
      <w:r>
        <w:rPr>
          <w:rtl w:val="true"/>
        </w:rPr>
        <w:t>الرواية الثانية</w:t>
      </w:r>
      <w:bookmarkEnd w:id="228"/>
    </w:p>
    <w:p>
      <w:pPr>
        <w:pStyle w:val="BookText"/>
        <w:rPr/>
      </w:pPr>
      <w:r>
        <w:rPr>
          <w:rFonts w:ascii="IRNazanin" w:hAnsi="IRNazanin" w:eastAsia="IRNazanin"/>
          <w:color w:val="111111"/>
          <w:sz w:val="28"/>
          <w:sz w:val="28"/>
          <w:szCs w:val="28"/>
          <w:rtl w:val="true"/>
          <w:lang w:bidi="fa-IR"/>
        </w:rPr>
        <w:t>صحيحة علي بن سويد،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مبتلى بالنظر إلى المرأة الجميلة، فيعجبني النظر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بأس إذا عرف الله من نيّتك الصدق، وإيّاك والزنا؛ فإنّه يمحق البركة ويهلك الدين</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النيّة الصادقة هو أنّ النظر يكون بعدم قصد التلذّذ والريبة، بل لمجرّد إدراك حُسن المرأة، فهي دلّت على عدم البأس في هذا النظر من الأجنبي إلى جسد المرأة، وتقيّد بالنظر إلى الوجه والكفّين؛ لثبوت الحرمة قطعاً في ما عداهما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كلام في القدمين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وحذّرت من عواقب هذا العمل؛ لأنَّه قد يوقع الناظر في ما لم يكن قاصداً له في البداية من المحرّمات، وإليه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ناقش جماعة من الأعلام في دلالة هذه الصحيحة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الابتلاء الاضطرار إليه، وعدم إمكان التحرّز، وقد يحمل على الاتّفاقي أيضاً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الكلام خلاف ظاهر الرواية جدّاً؛ فإنّ ظاهر الكلام أنَّه عرض حالته النفسية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لارتكاب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يعلم حكمه، فإن كان جائزاً فهو، وإلّا يتركه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الممكن أن يعتبر مثل هذا العذر اضطراراً ليسوّغ ارتكاب الحرام لو </w:t>
      </w:r>
    </w:p>
    <w:p>
      <w:pPr>
        <w:pStyle w:val="BookText"/>
        <w:rPr/>
      </w:pPr>
      <w:r>
        <w:rPr>
          <w:rFonts w:ascii="Amiri" w:hAnsi="Amiri" w:eastAsia="Amiri" w:cs="Amiri"/>
          <w:color w:val="111111"/>
          <w:sz w:val="28"/>
          <w:sz w:val="28"/>
          <w:szCs w:val="28"/>
          <w:rtl w:val="true"/>
          <w:lang w:bidi="ar-SA"/>
        </w:rPr>
        <w:t>كان النظر محرّماً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هذا النظر على الاتّفاقي بعيد عن الظاهر كلّ البعد؛ فإنّ الظاهر هو تقصّده النظر لإعجابه بجمال النساء؛ ولذا قيّد النظر بالنظر إلى الجميلة من النساء التي تعجبه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 فإنّه فسّر الابتلاء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الناشئ عن نوع عمل وكسب يؤدّي قهراً وضرورة إلى النظر، وفسّر الإعجاب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الحاصل بعد الانتهاء عن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فالمسؤول عنه في الرواية هو لزوم التحفّظ، وقطع الربط المنتهي إلى النظر قهراً أو اختياراً عن ضرورة الكسب ونحوه،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البأس، وعدم لزوم التحفّظ الكذائي بقطع الربط إذا علم من نيّته عدم الانتهاء إلى الفاسد، وأنّ الإعجاب اللاحق لا يتعدّى عن طور الخيال إلى عالم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لا مساس لهذه الرواية باستثناء الوجه والكفّين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في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المذكور في الرواية على الابتلاء القهري، أو الابتلاء الناشئ عن ضرورة الكسب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الابتلاء بمعنى الاشتياق المانع عن ترك النظر بحيث يكون مصبّ السؤال هو الاعتياد بالنظر المعجب، ويكون مفاد الجواب هو تجويزه ممّا لا يمكن الالتزام به؛ لحرمته قطعاً واتّفاقاً</w:t>
      </w:r>
      <w:r>
        <w:rPr>
          <w:rStyle w:val="FootnoteAnchor"/>
          <w:rtl w:val="true"/>
        </w:rPr>
        <w:footnoteReference w:id="222"/>
      </w:r>
      <w:r>
        <w:rPr>
          <w:rFonts w:ascii="Amiri" w:hAnsi="Amiri" w:eastAsia="Amiri" w:cs="Amiri"/>
          <w:color w:val="111111"/>
          <w:sz w:val="28"/>
          <w:sz w:val="28"/>
          <w:szCs w:val="28"/>
          <w:rtl w:val="true"/>
          <w:lang w:bidi="ar-SA"/>
        </w:rPr>
        <w:t>، فتحمل الرواية على المعنى المذكور وإن لزم منه مخالفة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على الابتلاء القهري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وكذلك حمل </w:t>
      </w:r>
    </w:p>
    <w:p>
      <w:pPr>
        <w:pStyle w:val="BookText"/>
        <w:rPr/>
      </w:pPr>
      <w:r>
        <w:rPr>
          <w:rFonts w:ascii="Amiri" w:hAnsi="Amiri" w:eastAsia="Amiri" w:cs="Amiri"/>
          <w:color w:val="111111"/>
          <w:sz w:val="28"/>
          <w:sz w:val="28"/>
          <w:szCs w:val="28"/>
          <w:rtl w:val="true"/>
          <w:lang w:bidi="ar-SA"/>
        </w:rPr>
        <w:t>الإعجاب على الإعجاب الحاصل بعد النظر خلاف الظاهر، لا يصار إليه مع إمكان الحفاظ على ظاهر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المرأة في الجوار أو المعاملة معها لا يستلزم النظر المتكرّر قهراً، ولا يعتبر هذا ضرورة مسوّغة للنظر، والظاهر من السؤال أنّه يكرّر النظر متعمّداً للإعجاب بالمرأة الجميلة لا لأجل الضرورة، ولو كان النظر ناشئاً عن ضرورة أو قهر لم يكن خاصّاً بالجميلة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النظر الناشئ عن الشوق إلى جمال النساء لم تثبت حرمته بالاتّفاق والقطع إذا لم يقصد الشهوة، ولم يكن هناك خوف فتنة أو ريبة، فلا وجه لحمل الرواية على خلاف ظاهرها؛ فإنّ ظاهر الرواية هو أنّه كان يحبّ أن ينظر إلى جمال النساء، لكنّه بلا قصد شهوة وتلذّذ، كما يظهر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 الله من نيّتك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 الحاصل من النظر إلى الأجنبية على قسمين يمكن إدراكهما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 والشهوة المحرّكة للغريزة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 غير الشهوي الذي لا يحرّك الغريزة، وهو التلذّذ الحاصل من النظر إلى أيِّ أمرٍ جميل بغضّ النظر عن كونه إنساناً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اتّفاقاً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حمل الإعجاب على الإعجاب اللاحق بعد الانتهاء عن النظر لا المقارن له للاتّفاق على حرمة هذا الأخير، وهذا الحمل غير واضح؛ فإنّ النظر إلى وجه المرأة مع الإعجاب بها وحده لم تثبت حرمته بالاتّفاق إذا لم يكن مقارناً للشهوة وخوف الريبة، فلا وجه لارتكاب هذا التكلّف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ممّا ذكره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ناقش به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الرواية في </w:t>
      </w:r>
    </w:p>
    <w:p>
      <w:pPr>
        <w:pStyle w:val="BookText"/>
        <w:rPr/>
      </w:pPr>
      <w:r>
        <w:rPr>
          <w:rFonts w:ascii="Amiri" w:hAnsi="Amiri" w:eastAsia="Amiri" w:cs="Amiri"/>
          <w:color w:val="111111"/>
          <w:sz w:val="28"/>
          <w:sz w:val="28"/>
          <w:szCs w:val="28"/>
          <w:rtl w:val="true"/>
          <w:lang w:bidi="ar-SA"/>
        </w:rPr>
        <w:t>المستمسك</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عنه هو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الغريب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بعدما سلّم وضوح دلالة هذه الرواية على الجواز في كتاب الصلاة</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ناقش في دلالتها في كتاب النكاح بمناقشات أجاب عنها في 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بُدَّية حمل الرواية على النظر الاتّفاقي؛ لعدم إمكان الأخذ بظاهرها، وهو جواز النظر عمداً مع قصد التلذّذ من الأوَّل؛ لحرمته اتّفاقاً، وعدم إمكان صدوره عن مثل علي بن سويد، وعدم إمكان إقرار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كلامه في كتاب النكاح من شرحه على العروة الوثقى</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هذا، لكن كيف عرف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سويد لا ينظر بقصد الشهوة والريبة مع تصريحه أنّه تعجبه المرأة الجميلة؟ وكيف لم يمنعه الإمام عن هذا النظر ولو من باب الاحتياط وأخذ الحذر؟ فإنّ النظر قد يجرّ صاحبه إلى ما لم يكن قاصداً له من الأوَّل،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هذا المورد خلاف طريقة الأئمّة ’، وهذا كلّه إن دلّ فهو يدلّ على خلل في الرواية يسلب الوثوق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قضيّة في واقعة لا نعلم ملابساتها، فيحتمل أنّ جلالة ومكانة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تمنع من احتمال كون نظره مع الشهوة والريبة، ولم يكن من الممكن أن يتجرّأ مثله على السؤال عن جواز مثل هذا العمل القبيح</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ورفع البأس فلعلّه لرعاية مقتضى عمله وكسبه، وأنّه كان </w:t>
      </w:r>
      <w:bookmarkStart w:id="229" w:name="pg10932_87649"/>
    </w:p>
    <w:p>
      <w:pPr>
        <w:pStyle w:val="BookText"/>
        <w:rPr/>
      </w:pPr>
      <w:bookmarkEnd w:id="229"/>
      <w:r>
        <w:rPr>
          <w:rFonts w:ascii="Amiri" w:hAnsi="Amiri" w:eastAsia="Amiri" w:cs="Amiri"/>
          <w:color w:val="111111"/>
          <w:sz w:val="28"/>
          <w:sz w:val="28"/>
          <w:szCs w:val="28"/>
          <w:rtl w:val="true"/>
          <w:lang w:bidi="ar-SA"/>
        </w:rPr>
        <w:t>يبتلى بالنساء كثيراً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تقديم النصح فإنّه قد 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 الله من نيّتك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والزنا فإنّه يمحق البركة، ويهلك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رسالة من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بن سويد يظهر منها جلالته، رواها الكشّي</w:t>
      </w:r>
      <w:r>
        <w:rPr>
          <w:rStyle w:val="FootnoteAnchor"/>
          <w:rtl w:val="true"/>
        </w:rPr>
        <w:footnoteReference w:id="226"/>
      </w:r>
      <w:r>
        <w:rPr>
          <w:rFonts w:ascii="Amiri" w:hAnsi="Amiri" w:eastAsia="Amiri" w:cs="Amiri"/>
          <w:color w:val="111111"/>
          <w:sz w:val="28"/>
          <w:sz w:val="28"/>
          <w:szCs w:val="28"/>
          <w:rtl w:val="true"/>
          <w:lang w:bidi="ar-SA"/>
        </w:rPr>
        <w:t>، ورواها الكليني بطرق ثلاثة</w:t>
      </w:r>
      <w:r>
        <w:rPr>
          <w:rStyle w:val="FootnoteAnchor"/>
          <w:rtl w:val="true"/>
        </w:rPr>
        <w:footnoteReference w:id="227"/>
      </w:r>
      <w:r>
        <w:rPr>
          <w:rFonts w:ascii="IRNazanin" w:hAnsi="IRNazanin" w:eastAsia="IRNazanin"/>
          <w:color w:val="111111"/>
          <w:sz w:val="28"/>
          <w:sz w:val="28"/>
          <w:szCs w:val="28"/>
          <w:rtl w:val="true"/>
          <w:lang w:bidi="fa-IR"/>
        </w:rPr>
        <w:t xml:space="preserve">، وهذه الطرق وإن كانت كلّها ضعيفة، لكنّه يمكن الوثوق بها لتعدّدها، وفيها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فإنّك امرؤ أنزلك الله من آل محمّد بمنزلة خاصّة مودّة بما ألهمك من رشدك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توثيق الشيخ له في رجاله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تامّة السند والدلالة على الجواز</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3208511_2870459653"/>
      <w:bookmarkStart w:id="231" w:name="_Toc90"/>
      <w:bookmarkEnd w:id="230"/>
      <w:r>
        <w:rPr>
          <w:rtl w:val="true"/>
        </w:rPr>
        <w:t>الرواية الثالثة</w:t>
      </w:r>
      <w:bookmarkEnd w:id="231"/>
    </w:p>
    <w:p>
      <w:pPr>
        <w:pStyle w:val="BookText"/>
        <w:rPr/>
      </w:pPr>
      <w:r>
        <w:rPr>
          <w:rFonts w:ascii="IRNazanin" w:hAnsi="IRNazanin" w:eastAsia="IRNazanin"/>
          <w:color w:val="111111"/>
          <w:sz w:val="28"/>
          <w:sz w:val="28"/>
          <w:szCs w:val="28"/>
          <w:rtl w:val="true"/>
          <w:lang w:bidi="fa-IR"/>
        </w:rPr>
        <w:t xml:space="preserve">خبر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ما يصلح له أن ينظر إليه من المرأة التي لا تحلّ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والكفّ وموضع السوار</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واضحة الدلالة على جواز نظر الأجنبي إلى وجه المرأة وكفّها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واشتمالها على موضع السوار لا يضرّ، وتسقط عن الحجّيّة في هذا المفاد بمعارضة ما دلّ على وجوب ستر موضع السوار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صحيحة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وبوجود الإجماع على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ولكنّها ضعيفة السند؛ لعدم ثبوت وثاقة راوي مسائل علي بن جعفر، وهو عبد الله ابن الحسن، فهي لا تصلح إلَّا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هذه الرواية، واستغرب من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 دلالة الرواية على الجواز،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واردة في المرأة التي يحرم نكاحها، ومن الواضح أنّها ليست إلّا المحرم، فلا يبقى لها ارتباط بمحلّ كلامنا، أعني الأجنبيّة، بل يمكننا استفادة الحرمة منها؛ نظراً إلى تخصيص الجواز بالمحارم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لا يمكن المساعدة عليه؛ لأنّ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به عن المرأة الأجنبيّة لا المحرم، وأمّا المحرم فيعبّر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بالمحرم، أو التي تحرم، أو يحرم نكاحها وأمثالها،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لا يحلّ له نكاحها، كما فسّر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معناه لا يحلّ له مسّها ولا النظر إلى جسدها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اخترناه من التفسير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الأسئلة يقرّب هذا التفسير؛ لأنّ السؤال السابق على هذا السؤال هو سؤال عن مقدار ما تستره المرأة الحرّة من بدنها في الصلاة، والسؤال اللاحق لهذا السؤال هو سؤال عن حكم الرجل من حيث ستر بدنه، فالمناسب هو أن يسأل عن حكم المرأة من حيث ستر بدنها ونظر الأجنبي إليها مع قطع النظر عن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 النظر إلى الوجه والكفّ وموضع السوار فقط، مع أنّه من الثابت أنّ النظر إلى المحارم لا يقتصر جوازه على هذه الأعضاء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الأعلام من الفقهاء لم يحتملوا التفسير الذي ذهب إليه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bookmarkStart w:id="232" w:name="pg10932_87653"/>
    </w:p>
    <w:p>
      <w:pPr>
        <w:pStyle w:val="BookText"/>
        <w:rPr/>
      </w:pPr>
      <w:bookmarkEnd w:id="232"/>
      <w:r>
        <w:rPr>
          <w:rFonts w:ascii="Amiri" w:hAnsi="Amiri" w:eastAsia="Amiri" w:cs="Amiri"/>
          <w:color w:val="111111"/>
          <w:sz w:val="28"/>
          <w:sz w:val="28"/>
          <w:szCs w:val="28"/>
          <w:rtl w:val="true"/>
          <w:lang w:bidi="ar-SA"/>
        </w:rPr>
        <w:t>المحقّق الداماد في كتاب النكاح</w:t>
      </w:r>
      <w:r>
        <w:rPr>
          <w:rStyle w:val="FootnoteAnchor"/>
          <w:rtl w:val="true"/>
        </w:rPr>
        <w:footnoteReference w:id="231"/>
      </w:r>
      <w:r>
        <w:rPr>
          <w:rFonts w:ascii="Amiri" w:hAnsi="Amiri" w:eastAsia="Amiri" w:cs="Amiri"/>
          <w:color w:val="111111"/>
          <w:sz w:val="28"/>
          <w:sz w:val="28"/>
          <w:szCs w:val="28"/>
          <w:rtl w:val="true"/>
          <w:lang w:bidi="ar-SA"/>
        </w:rPr>
        <w:t>، والسبزواري في الكفاية</w:t>
      </w:r>
      <w:r>
        <w:rPr>
          <w:rStyle w:val="FootnoteAnchor"/>
          <w:rtl w:val="true"/>
        </w:rPr>
        <w:footnoteReference w:id="232"/>
      </w:r>
      <w:r>
        <w:rPr>
          <w:rFonts w:ascii="Amiri" w:hAnsi="Amiri" w:eastAsia="Amiri" w:cs="Amiri"/>
          <w:color w:val="111111"/>
          <w:sz w:val="28"/>
          <w:sz w:val="28"/>
          <w:szCs w:val="28"/>
          <w:rtl w:val="true"/>
          <w:lang w:bidi="ar-SA"/>
        </w:rPr>
        <w:t>، والسيّد الطباطبائي في الرياض</w:t>
      </w:r>
      <w:r>
        <w:rPr>
          <w:rStyle w:val="FootnoteAnchor"/>
          <w:rtl w:val="true"/>
        </w:rPr>
        <w:footnoteReference w:id="233"/>
      </w:r>
      <w:r>
        <w:rPr>
          <w:rFonts w:ascii="Amiri" w:hAnsi="Amiri" w:eastAsia="Amiri" w:cs="Amiri"/>
          <w:color w:val="111111"/>
          <w:sz w:val="28"/>
          <w:sz w:val="28"/>
          <w:szCs w:val="28"/>
          <w:rtl w:val="true"/>
          <w:lang w:bidi="ar-SA"/>
        </w:rPr>
        <w:t>، والنراقي في المستند</w:t>
      </w:r>
      <w:r>
        <w:rPr>
          <w:rStyle w:val="FootnoteAnchor"/>
          <w:rtl w:val="true"/>
        </w:rPr>
        <w:footnoteReference w:id="234"/>
      </w:r>
      <w:r>
        <w:rPr>
          <w:rFonts w:ascii="Amiri" w:hAnsi="Amiri" w:eastAsia="Amiri" w:cs="Amiri"/>
          <w:color w:val="111111"/>
          <w:sz w:val="28"/>
          <w:sz w:val="28"/>
          <w:szCs w:val="28"/>
          <w:rtl w:val="true"/>
          <w:lang w:bidi="ar-SA"/>
        </w:rPr>
        <w:t>، والشيخ الأنصاري في كتاب النكاح</w:t>
      </w:r>
      <w:r>
        <w:rPr>
          <w:rStyle w:val="FootnoteAnchor"/>
          <w:rtl w:val="true"/>
        </w:rPr>
        <w:footnoteReference w:id="235"/>
      </w:r>
      <w:r>
        <w:rPr>
          <w:rFonts w:ascii="Amiri" w:hAnsi="Amiri" w:eastAsia="Amiri" w:cs="Amiri"/>
          <w:color w:val="111111"/>
          <w:sz w:val="28"/>
          <w:sz w:val="28"/>
          <w:szCs w:val="28"/>
          <w:rtl w:val="true"/>
          <w:lang w:bidi="ar-SA"/>
        </w:rPr>
        <w:t>، السيّد الحكيم في المستمسك</w:t>
      </w:r>
      <w:r>
        <w:rPr>
          <w:rStyle w:val="FootnoteAnchor"/>
          <w:rtl w:val="true"/>
        </w:rPr>
        <w:footnoteReference w:id="236"/>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أجد مَن احتمل هذا المعنى فضلاً عن الجزم به كما حصل ذلك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معتبرة السند واضحة الدلالة على عدم وجوب ستر الوجه والكفّين على المرأة</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3208513_2870459653"/>
      <w:bookmarkStart w:id="234" w:name="_Toc91"/>
      <w:bookmarkEnd w:id="233"/>
      <w:r>
        <w:rPr>
          <w:rtl w:val="true"/>
        </w:rPr>
        <w:t>الرواية الرابعة</w:t>
      </w:r>
      <w:bookmarkEnd w:id="234"/>
    </w:p>
    <w:p>
      <w:pPr>
        <w:pStyle w:val="BookText"/>
        <w:rPr/>
      </w:pPr>
      <w:r>
        <w:rPr>
          <w:rFonts w:ascii="IRNazanin" w:hAnsi="IRNazanin" w:eastAsia="IRNazanin"/>
          <w:color w:val="111111"/>
          <w:sz w:val="28"/>
          <w:sz w:val="28"/>
          <w:szCs w:val="28"/>
          <w:rtl w:val="true"/>
          <w:lang w:bidi="fa-IR"/>
        </w:rPr>
        <w:t>صحيحة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الجارية التي لم تدرك متى ينبغي لها أن تغطّي رأسها ممّن ليس بينها وبينه محرم؟ ومتى يجب عليها أن تقنّع رأسها للصلاة؟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تغطّي رأسها حتّى تحرم عليها الصلاة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فهي دلّت على أنّ ما كان واجباً على المرأة بعد بلوغها بينها وبين غير المحرم هو تغطية الرأس، فلو كان يجب عليها ستر الوجه أيضاً لكان أولى بالسؤال، ولا أقلّ كان من المناسب جدّاً أن يضيفه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الرأس في وجوب التغطية</w:t>
      </w:r>
      <w:r>
        <w:rPr>
          <w:rFonts w:eastAsia="IRNazanin" w:cs="IRNazanin"/>
          <w:color w:val="111111"/>
          <w:sz w:val="28"/>
          <w:szCs w:val="28"/>
          <w:rtl w:val="true"/>
          <w:lang w:bidi="fa-IR"/>
        </w:rPr>
        <w:t>.</w:t>
      </w:r>
    </w:p>
    <w:p>
      <w:pPr>
        <w:pStyle w:val="Heading5"/>
        <w:numPr>
          <w:ilvl w:val="4"/>
          <w:numId w:val="1"/>
        </w:numPr>
        <w:rPr/>
      </w:pPr>
      <w:bookmarkStart w:id="235" w:name="__RefHeading___Toc3208515_2870459653"/>
      <w:bookmarkStart w:id="236" w:name="_Toc92"/>
      <w:bookmarkEnd w:id="235"/>
      <w:r>
        <w:rPr>
          <w:rtl w:val="true"/>
        </w:rPr>
        <w:t>الرواية الخامسة</w:t>
      </w:r>
      <w:bookmarkEnd w:id="23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يؤخذ الغلام بالصلاة </w:t>
      </w:r>
      <w:bookmarkStart w:id="237" w:name="pg10932_87655"/>
    </w:p>
    <w:p>
      <w:pPr>
        <w:pStyle w:val="BookText"/>
        <w:rPr/>
      </w:pPr>
      <w:bookmarkEnd w:id="237"/>
      <w:r>
        <w:rPr>
          <w:rFonts w:ascii="Amiri" w:hAnsi="Amiri" w:eastAsia="Amiri" w:cs="Amiri"/>
          <w:color w:val="111111"/>
          <w:sz w:val="28"/>
          <w:sz w:val="28"/>
          <w:szCs w:val="28"/>
          <w:rtl w:val="true"/>
          <w:lang w:bidi="ar-SA"/>
        </w:rPr>
        <w:t>وهو ابن سبع سنين، ولا تغطّي المرأة شعرها منه حتّى يحتلم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دلّت بوضوح على أنّ الغلام إذا بلغ تُكلّف المرأة بتغطية الشعر عنه، وبالأولويّة بقيّة بدنها، وأمّا الوجه فلو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التغطية لكان أولى بالذكر، أو يقع السؤال بلا تخصيص،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تغطّي المرأة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المرأة في الرواية هي الأجنبيّة قطعاً؛ لأنّ المحرم لا يجب على المرأة ستر رأسها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ومثلها صحيحة أخرى للبزنطي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تغطّي المرأة رأسها عن الغلام حتّى يبلغ الحلم</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3208517_2870459653"/>
      <w:bookmarkStart w:id="239" w:name="_Toc93"/>
      <w:bookmarkEnd w:id="238"/>
      <w:r>
        <w:rPr>
          <w:rtl w:val="true"/>
        </w:rPr>
        <w:t>الرواية السادسة</w:t>
      </w:r>
      <w:bookmarkEnd w:id="239"/>
    </w:p>
    <w:p>
      <w:pPr>
        <w:pStyle w:val="BookText"/>
        <w:rPr/>
      </w:pPr>
      <w:r>
        <w:rPr>
          <w:rFonts w:ascii="IRNazanin" w:hAnsi="IRNazanin" w:eastAsia="IRNazanin"/>
          <w:color w:val="111111"/>
          <w:sz w:val="28"/>
          <w:sz w:val="28"/>
          <w:szCs w:val="28"/>
          <w:rtl w:val="true"/>
          <w:lang w:bidi="fa-IR"/>
        </w:rPr>
        <w:t xml:space="preserve">صحيحة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المسلمة، يصيبها البلاء في جسدها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كسر، أو جراح في مكان لا يصلح النظر إليه، ويكون الرجال أرفق بعلاجه من النساء، أيصلح له أن ينظر إليها؟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اضطرّت إليه فليعالجها إن شاء الله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على وجود الارتكاز عند أبي حمزة الثمالي على أنّه ليس بدن المرأة كلّه ممّا لا يجوز النظر إليه،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مكان لا يصلح النظر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قرّره عليه، والقدر المتيقّن من المكان الذي يجوز النظر إليه هو الوجه والكفّان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هذه الصفة إنّما هو لمجرّد التوضيح، وليس لبيان أنّ المكان المصاب هو ممّا لا يجوز النظر إليه</w:t>
      </w:r>
      <w:r>
        <w:rPr>
          <w:rFonts w:eastAsia="Amiri" w:cs="Amiri" w:ascii="Amiri" w:hAnsi="Amiri"/>
          <w:color w:val="111111"/>
          <w:sz w:val="28"/>
          <w:szCs w:val="28"/>
          <w:rtl w:val="true"/>
          <w:lang w:bidi="ar-SA"/>
        </w:rPr>
        <w:t xml:space="preserve">. </w:t>
      </w:r>
      <w:bookmarkStart w:id="240" w:name="pg10932_87657"/>
    </w:p>
    <w:p>
      <w:pPr>
        <w:pStyle w:val="BookText"/>
        <w:rPr/>
      </w:pPr>
      <w:bookmarkEnd w:id="240"/>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القيد الاحتراز، فلو كان جسد المرأة كلّه غير صالح للنظر لكان من المناسب جدّاً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المسلمة يصيب البلاء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كسر أو جراح، ويكون الرجال أرفق بعلاجه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 لا يصلح النظر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يتيسّر حمل مثل هذا التعبير على مجرّد التوضيح،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هذه الرواية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التقييد بملاحظة جنس النساء بمعنى أنّ المرأة يجوز للرجل النظر إلى بعض أفرادها، وهي الزوجة والمحرم، ولا يجوز إلى بعض، وهي الأجنبية، فالتقييد لعلّه بهذه الملاحظة، فلا يصحّ الاستشهاد</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فإنّه خلاف الظاهر جدّاً؛ لأنّ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الرجال أرفق بعلاجه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السؤال عن علاج الرجل الأجنبي لا مطلق الرجل،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مورد الابتلاء هو المرأة المحجّبة، حيث إنّ المرأة الملتزمة كانت تلتزم بعدم الكشف للمعالج الأجنبي مع إمكان العلاج بمراجعة النساء، أمّا غير المسلمة أو غير الملتزمة فما كانت تكترث بهذا الأمر، فالسؤال وقع عمّا إذا كان الرجل الأجنبي أرفق بالعلاج، فهل يجوز لها أن تكشف عن مكان من بدنها الذي لا يجوز النظر إليه في الحالة الطبيعية؟</w:t>
      </w:r>
    </w:p>
    <w:p>
      <w:pPr>
        <w:pStyle w:val="BookText"/>
        <w:rPr/>
      </w:pPr>
      <w:r>
        <w:rPr>
          <w:rFonts w:ascii="Amiri" w:hAnsi="Amiri" w:eastAsia="Amiri" w:cs="Amiri"/>
          <w:color w:val="111111"/>
          <w:sz w:val="28"/>
          <w:sz w:val="28"/>
          <w:szCs w:val="28"/>
          <w:rtl w:val="true"/>
          <w:lang w:bidi="ar-SA"/>
        </w:rPr>
        <w:t xml:space="preserve">ومن ثَمَّ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الرواية كالصريحة في أنّ من جسد المرأة ما يصلح النظر إليه وما لا يصلح</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3208519_2870459653"/>
      <w:bookmarkStart w:id="242" w:name="_Toc94"/>
      <w:bookmarkEnd w:id="241"/>
      <w:r>
        <w:rPr>
          <w:rtl w:val="true"/>
        </w:rPr>
        <w:t>الرواية السابعة</w:t>
      </w:r>
      <w:bookmarkEnd w:id="24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قناع الحرائر من الخصيان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كانوا يدخلون على بنات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يتقنّعن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أحراراً؟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فالأحرار يتقنّع منهم؟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واضحة الدلالة على أنّ الواجب على المرأة أن تتقنّع عن الأجنبي إذا لم يكن خصيّاً، وأمّا إذا كان خصيّاً فلا يجب القناع سواء كان حرّاً أو 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والقناع هو ثوب يستر الرأس دون الوجه، كما ورد في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الأَمة قناع في الصلاة، ولا على المدبّرة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فدلّت بالمقابل على أنّ الحرّة يجب عليها القناع في الصلاة، ومعلوم أنّ الواجب في الصلاة هو ستر الرأس فقط دون الوجه، فلازم هذا الكلام أنّ القناع لا يستر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صحيحة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 غطّى رأسه ناسياً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يلقي القناع عن رأسه، ويلبّي، ولا شيء عليه</w:t>
      </w:r>
      <w:r>
        <w:rPr>
          <w:rFonts w:eastAsia="IRNazanin" w:cs="IRNazanin"/>
          <w:color w:val="111111"/>
          <w:sz w:val="28"/>
          <w:szCs w:val="28"/>
          <w:rtl w:val="true"/>
          <w:lang w:bidi="fa-IR"/>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القناع على ثوب يغطّي الرأس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محمّد بن مسلم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الأَمَة تغطّي رأسها إذا صلّت؟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الأَمَة قناع</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هذه الروايات روايات أخرى تدلّ على أنّ القناع في الروايات يعبّر به عن ثوب يغطّي الرأس فقط، لا الوجه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ذكره أهل اللغة، ففي جمهرة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مغطٍّ رأسه فهو مقنّع</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تهذيب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تقنّع به المرأة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والقناع أوسع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بينهما عند العرب، وهما مثل لحاف وملحفة، وقرام ومقرمة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وقناع المرأة معروف؛ لأنّها تديره برأسها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المخصّص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المقنعة التي تغطّي بها المرأة رأسها، والقناع أوسع منه، وقد تقنّعت به،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المقنِّع والمقنَّع وهو الذي قد لبس البيضة والمغفر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تجعلها المرأة على رأسها كالقناع</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 في غريب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رجل مقنّع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المتغطّي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على رأسه بيضة، وهي الخوذة؛ لأنّ الرأس موضع القناع</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أهل اللغة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تمّت دلالة الصحيحة على أنّ الواجب على المرأة أمام الرجل غير الخصي هو ستر الرأس دون الوجه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وإن كان لها معارض في حكم المرأة تجاه الخصيّ، وهي معتبرة محمّد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للرجل الخصيّ يدخل على نسائه فيناولهنّ الوضوء، فيرى شعورهنّ؟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43" w:name="pg10932_87664"/>
    </w:p>
    <w:p>
      <w:pPr>
        <w:pStyle w:val="BookText"/>
        <w:rPr/>
      </w:pPr>
      <w:bookmarkEnd w:id="243"/>
      <w:r>
        <w:rPr>
          <w:rFonts w:ascii="Amiri" w:hAnsi="Amiri" w:eastAsia="Amiri" w:cs="Amiri"/>
          <w:color w:val="111111"/>
          <w:sz w:val="28"/>
          <w:sz w:val="28"/>
          <w:szCs w:val="28"/>
          <w:rtl w:val="true"/>
          <w:lang w:bidi="ar-SA"/>
        </w:rPr>
        <w:t>ولكن كلاهما يؤكّدان على أنّ الفارق الموجود أو الذي احتمله السائل هو جواز الكشف للمرأة عن رأسها أمام الخصيّ وعدمه، وحُملت الأولى على التقيّة للجمع بينها وبين هذه الثانية</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3208521_2870459653"/>
      <w:bookmarkStart w:id="245" w:name="_Toc95"/>
      <w:bookmarkEnd w:id="244"/>
      <w:r>
        <w:rPr>
          <w:rtl w:val="true"/>
        </w:rPr>
        <w:t>الرواية الثامنة</w:t>
      </w:r>
      <w:bookmarkEnd w:id="245"/>
    </w:p>
    <w:p>
      <w:pPr>
        <w:pStyle w:val="BookText"/>
        <w:rPr/>
      </w:pPr>
      <w:r>
        <w:rPr>
          <w:rFonts w:ascii="IRNazanin" w:hAnsi="IRNazanin" w:eastAsia="IRNazanin"/>
          <w:color w:val="111111"/>
          <w:sz w:val="28"/>
          <w:sz w:val="28"/>
          <w:szCs w:val="28"/>
          <w:rtl w:val="true"/>
          <w:lang w:bidi="fa-IR"/>
        </w:rPr>
        <w:t xml:space="preserve">صحيحة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أيحلّ له أن ينظر إلى شعر أخت امرأته؟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تكون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امرأته والغريبة سواء؟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 من النظر إليه 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شعرها وذراعها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حرّم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شعر أخت الزوجة فَهِم البزنطي أنَّه حينئذٍ لا فرق بينها وبين الغريبة،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أقرّه على هذا الفهم، فهي دلّت على أنّ الثابت المعلوم عندهم في الغريبة هو عدم جواز النظر إلى شعرها، ولا يحتمل الفرق بينهما بحرمة النظر إلى وجه الغريبة دون أخت الزوجة، بل أصل السؤال عن النظر إلى شعر أخت الزوجة فيه دلالة على أنّ المحرّم المرتكز عند السائل هو النظر إلى شعر المرأة دون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يحتمل أنَّه لم يسأل عن النظر إلى وجهها للارتكاز عنده بعدم الجواز؛ لأنَّه مع هذا الارتكاز لا يشكّ في حرمة النظر إلى الشعر فإنّه أولى من الوجه، وكذلك ذيلها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لي من النظر إليه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القواعد بقرينة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شعرها وذراعها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على أنّ غير القواعد يحرم النظر إلى الشعر والذراع منها دون الوجه</w:t>
      </w:r>
      <w:r>
        <w:rPr>
          <w:rFonts w:eastAsia="IRNazanin" w:cs="IRNazanin"/>
          <w:color w:val="111111"/>
          <w:sz w:val="28"/>
          <w:szCs w:val="28"/>
          <w:rtl w:val="true"/>
          <w:lang w:bidi="fa-IR"/>
        </w:rPr>
        <w:t>.</w:t>
      </w:r>
    </w:p>
    <w:p>
      <w:pPr>
        <w:pStyle w:val="Heading5"/>
        <w:numPr>
          <w:ilvl w:val="4"/>
          <w:numId w:val="1"/>
        </w:numPr>
        <w:rPr/>
      </w:pPr>
      <w:bookmarkStart w:id="246" w:name="__RefHeading___Toc3208523_2870459653"/>
      <w:bookmarkStart w:id="247" w:name="_Toc96"/>
      <w:bookmarkEnd w:id="246"/>
      <w:r>
        <w:rPr>
          <w:rtl w:val="true"/>
        </w:rPr>
        <w:t>الرواية التاسعة</w:t>
      </w:r>
      <w:bookmarkEnd w:id="24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وَالْقَوَاعِدُ مِنَ النِّسَاءِ اللَّاتِي لَا يَرْجُونَ نِكَاحًا ما الذي يصلح لهنّ أن يضعن من </w:t>
      </w:r>
      <w:bookmarkStart w:id="248" w:name="pg10932_87666"/>
    </w:p>
    <w:p>
      <w:pPr>
        <w:pStyle w:val="BookText"/>
        <w:rPr/>
      </w:pPr>
      <w:bookmarkEnd w:id="248"/>
      <w:r>
        <w:rPr>
          <w:rFonts w:ascii="Amiri" w:hAnsi="Amiri" w:eastAsia="Amiri" w:cs="Amiri"/>
          <w:color w:val="111111"/>
          <w:sz w:val="28"/>
          <w:sz w:val="28"/>
          <w:szCs w:val="28"/>
          <w:rtl w:val="true"/>
          <w:lang w:bidi="ar-SA"/>
        </w:rPr>
        <w:t>ثيابهن؟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صحيحة الحلبي مع إضافة الخمار إلى الجلباب</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فالمرخّص للقواعد هو وضع الجلباب والخمار دون الشابّة، وقد تقدّم أنّ الجلباب وكذلك الخمار لا يستر الوجه، فلو كان ستر الوجه واجباً على الشابّة لكان أولى بالذكر فيما يجوز وضعه للقواعد من ثياب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الدلالة على المطلوب صحيحة حريز</w:t>
      </w:r>
      <w:r>
        <w:rPr>
          <w:rStyle w:val="FootnoteAnchor"/>
          <w:rtl w:val="true"/>
        </w:rPr>
        <w:footnoteReference w:id="256"/>
      </w:r>
      <w:r>
        <w:rPr>
          <w:rFonts w:ascii="Amiri" w:hAnsi="Amiri" w:eastAsia="Amiri" w:cs="Amiri"/>
          <w:color w:val="111111"/>
          <w:sz w:val="28"/>
          <w:sz w:val="28"/>
          <w:szCs w:val="28"/>
          <w:rtl w:val="true"/>
          <w:lang w:bidi="ar-SA"/>
        </w:rPr>
        <w:t>، ومعتبرة محمّد بن أبي حمزة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السيّد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من عدم ذكر جواز الكشف للقواعد عن وجوههن أنّه ليس من مختصّاتهنّ، بل لعلّه أيضاً من مختصّاتهنّ ومع هذا لم يذكر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لكنّك قد عرفت أنّه من غير المناسب جدّاً عدم ذكر جواز كشف الوجه للقواعد مع فرض حرمته لغيرها، بل كان هو أولى بالذكر، ولم يذكر ولا في رواية واحدة، فهذا إن دلّ فهو يدلّ على وضوح عدم لزوم ستره على المرأة، ومعلوميّة هذا الأمر بين السائل والمجيب</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208525_2870459653"/>
      <w:bookmarkStart w:id="250" w:name="_Toc97"/>
      <w:bookmarkEnd w:id="249"/>
      <w:r>
        <w:rPr>
          <w:rtl w:val="true"/>
        </w:rPr>
        <w:t>الرواية العاشرة</w:t>
      </w:r>
      <w:bookmarkEnd w:id="25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الأَمَة إذا ولدت، عليها الخمار؟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عليها لكان عليها إذا حاضت، وليس عليها التقنّع في </w:t>
      </w:r>
      <w:bookmarkStart w:id="251" w:name="pg10932_87668"/>
    </w:p>
    <w:p>
      <w:pPr>
        <w:pStyle w:val="BookText"/>
        <w:rPr/>
      </w:pPr>
      <w:bookmarkEnd w:id="251"/>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فبلحاظ أنّ أمّ الولد تعتبر مشرفة على الحرّيّة تكون لها أحكام تختلف عن الأَمَة غير أمّ الولد، مثل جواز البيع وعدمه، فاحتمل السائل أنّ حكمها من جهة الحجاب حكم المرأة الحرّة، فقال هل عليها الخمار؟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وجوبه، فتدلّ الرواية على أنّ الواجب على المرأة غير الأَمَة هو الخمار الذي يستر الرأس دون الوجه، فلو كان ستر الوجه أيضاً واجباً لكان أولى بالذكر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يحتمل أنّ ستر الوجه للحرّة كان واجباً، لكن لمّا احتمل السائل أنّ الواجب في حقّ الأَمَة هو ستر الرأس فقط، سأل عنه دون الوجه؛ لأنَّه لا وجه يستند إليه هذا الاحتمال المبني على أنّ حكم المرأة الأَمَة أمّ الولد هو بين الحرّة وبين الأَمَة غير أمّ الولد</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3208527_2870459653"/>
      <w:bookmarkStart w:id="253" w:name="_Toc98"/>
      <w:bookmarkEnd w:id="252"/>
      <w:r>
        <w:rPr>
          <w:rtl w:val="true"/>
        </w:rPr>
        <w:t>الرواية الحادية عشرة</w:t>
      </w:r>
      <w:bookmarkEnd w:id="253"/>
    </w:p>
    <w:p>
      <w:pPr>
        <w:pStyle w:val="BookText"/>
        <w:rPr/>
      </w:pPr>
      <w:r>
        <w:rPr>
          <w:rFonts w:ascii="IRNazanin" w:hAnsi="IRNazanin" w:eastAsia="IRNazanin"/>
          <w:color w:val="111111"/>
          <w:sz w:val="28"/>
          <w:sz w:val="28"/>
          <w:szCs w:val="28"/>
          <w:rtl w:val="true"/>
          <w:lang w:bidi="fa-IR"/>
        </w:rPr>
        <w:t>خبر القاسم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إليه أمّ علي تسأل عن كشف الرأس بين يدي الخادم،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شيعتك اختلفوا عليّ في ذلك،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كشف الرأس بين يدي الخادم، لا تكشفي رأسك بين يديه، فإنّ ذلك مكروه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على أنّ المُسلّم الثابت عند الشيعة أنّ ما وجب ستره على المرأة أمام الأجنبي هو الرأس لا الوجه، ولكنهم اختلفوا في استثناء الخادم عن هذا الحكم وعدمه، ولا يحتمل أنَّه مع الاتّفاق على حرمة الكشف عن الوجه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للخادم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جواز كشف الرأس للخادم وعدمه؛ لوضوح بطلانه، كما لا يحتمل أنّهم اتّفقوا على حرمة الكشف عن الوجه للأجنبي غير الخادم، وكذلك لا يحتمل أنّهم اتّفقوا على </w:t>
      </w:r>
      <w:bookmarkStart w:id="254" w:name="pg10932_87670"/>
    </w:p>
    <w:p>
      <w:pPr>
        <w:pStyle w:val="BookText"/>
        <w:rPr/>
      </w:pPr>
      <w:bookmarkEnd w:id="254"/>
      <w:r>
        <w:rPr>
          <w:rFonts w:ascii="Amiri" w:hAnsi="Amiri" w:eastAsia="Amiri" w:cs="Amiri"/>
          <w:color w:val="111111"/>
          <w:sz w:val="28"/>
          <w:sz w:val="28"/>
          <w:szCs w:val="28"/>
          <w:rtl w:val="true"/>
          <w:lang w:bidi="ar-SA"/>
        </w:rPr>
        <w:t>جوازه للخادم، واختلفوا في حكم الرأس تجاهه؛ لأنَّ هذا الاحتمال مبنيٌّ على أنّهم احتملوا في حكم الخادم تفصيلاً بين وجه المرأة ورأسها، وأنّه يجوز الكشف عن الأوّل ولا يجوز عن الثاني، مع الاتّفاق على حرمة كليهما بالنسبة إلى غير المحارم، وهذا الاحتمال ممّا لا وجه يوجبه، لا رواية، ولا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واضح الدلالة على المطلوب، لكنّه ضعيف سنداً؛ لجهالة الراوي المباشر وهو القاسم الصيقل</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3208529_2870459653"/>
      <w:bookmarkStart w:id="256" w:name="_Toc99"/>
      <w:bookmarkEnd w:id="255"/>
      <w:r>
        <w:rPr>
          <w:rtl w:val="true"/>
        </w:rPr>
        <w:t>الرواية الثانية عشرة</w:t>
      </w:r>
      <w:bookmarkEnd w:id="256"/>
    </w:p>
    <w:p>
      <w:pPr>
        <w:pStyle w:val="BookText"/>
        <w:rPr/>
      </w:pPr>
      <w:r>
        <w:rPr>
          <w:rFonts w:ascii="IRNazanin" w:hAnsi="IRNazanin" w:eastAsia="IRNazanin"/>
          <w:color w:val="111111"/>
          <w:sz w:val="28"/>
          <w:sz w:val="28"/>
          <w:szCs w:val="28"/>
          <w:rtl w:val="true"/>
          <w:lang w:bidi="fa-IR"/>
        </w:rPr>
        <w:t xml:space="preserve">خبر عبد العظيم الحسنيّ عن الإمام الجواد 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فيما رأى عند معراجه من النساء المعذّبات،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المعلّقة بشعرها فإنّها كانت لا تغطي شعرها من الرجال</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وجه للاقتصار على الكشف عن الشعر في عذابها لو كان ستر الوجه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ضعيف السند؛ لوجود سهل بن زياد فيه، ومع هذا فهو صالح للتأييد</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208531_2870459653"/>
      <w:bookmarkStart w:id="258" w:name="_Toc100"/>
      <w:bookmarkEnd w:id="257"/>
      <w:r>
        <w:rPr>
          <w:rtl w:val="true"/>
        </w:rPr>
        <w:t>الرواية الثالثة عشرة</w:t>
      </w:r>
      <w:bookmarkEnd w:id="258"/>
    </w:p>
    <w:p>
      <w:pPr>
        <w:pStyle w:val="BookText"/>
        <w:rPr/>
      </w:pPr>
      <w:r>
        <w:rPr>
          <w:rFonts w:ascii="IRNazanin" w:hAnsi="IRNazanin" w:eastAsia="IRNazanin"/>
          <w:color w:val="111111"/>
          <w:sz w:val="28"/>
          <w:sz w:val="28"/>
          <w:szCs w:val="28"/>
          <w:rtl w:val="true"/>
          <w:lang w:bidi="fa-IR"/>
        </w:rPr>
        <w:t xml:space="preserve">خبر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تقول في المرأة تكون في السفر مع الرجال ليس معهم ذو محرم، ولا معهم امرأة فتموت المرأة فما يصنع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منها ما أوجب الله عليه التيمم، ولا تمسّ، ولا يكشف شيء من محاسنها الذي أمر الله عزّ وجل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يصنع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بطن كفّيها ووجهها، ويغسل ظهر كفّيها</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دلّت على أنّ محاسن المرأة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أمر الله بستره فلا يجوز الكشف عنه للرجل الأجنبي حتّى لضرورة غسلها مع عدم وجود المماثل، وقسم لم يأمر </w:t>
      </w:r>
      <w:bookmarkStart w:id="259" w:name="pg10932_87672"/>
    </w:p>
    <w:p>
      <w:pPr>
        <w:pStyle w:val="BookText"/>
        <w:rPr/>
      </w:pPr>
      <w:bookmarkEnd w:id="259"/>
      <w:r>
        <w:rPr>
          <w:rFonts w:ascii="Amiri" w:hAnsi="Amiri" w:eastAsia="Amiri" w:cs="Amiri"/>
          <w:color w:val="111111"/>
          <w:sz w:val="28"/>
          <w:sz w:val="28"/>
          <w:szCs w:val="28"/>
          <w:rtl w:val="true"/>
          <w:lang w:bidi="ar-SA"/>
        </w:rPr>
        <w:t>الله عزّ وجل بستره فيجوز غسله منها وهو الوجه والكفّان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بها على جواز النظر إلى الوجه والكفّين كل من المحقّقَين النراقي والتستري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 والنجعة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الرواية ضعيفة السند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ما يعارضها من روايات الباب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مَن عمل بها ثالثاً، فلا يمكن الاستدلال بها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حال ما ورد في هذا المعنى من الروايات الأُخر</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3208533_2870459653"/>
      <w:bookmarkStart w:id="261" w:name="_Toc101"/>
      <w:bookmarkEnd w:id="260"/>
      <w:r>
        <w:rPr>
          <w:rtl w:val="true"/>
        </w:rPr>
        <w:t>الرواية الرابعة عشرة</w:t>
      </w:r>
      <w:bookmarkEnd w:id="261"/>
    </w:p>
    <w:p>
      <w:pPr>
        <w:pStyle w:val="BookText"/>
        <w:rPr/>
      </w:pPr>
      <w:r>
        <w:rPr>
          <w:rFonts w:ascii="Amiri" w:hAnsi="Amiri" w:eastAsia="Amiri" w:cs="Amiri"/>
          <w:color w:val="111111"/>
          <w:sz w:val="28"/>
          <w:sz w:val="28"/>
          <w:szCs w:val="28"/>
          <w:rtl w:val="true"/>
          <w:lang w:bidi="ar-SA"/>
        </w:rPr>
        <w:t xml:space="preserve">مرسلة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والمرأة إذا توضّأت ألقت قناعها عن موضع مسح رأسها في صلاة الغداة والمغرب، وتمسح عليه، ويجزيها في سائر الصّلوات أن تدخل إصبعها فتمسح على رأسها من غير أن تلقي عنها قناعها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والتفريق بين صلاة المغرب والغداة وبين سائر الصلوات وهي الصلوات النهارية حيث أمر بإلقاء القناع عن موضع الرأس في الأولى، ونهى عنه في الثانية لا وجه له ظاهراً، إلَّا أنّ الأخيرة هي في وقت مظنّة ظهور شعرها للرجال الأجانب إذا ألقت القناع دون الأولى، فدلّت على أنّ المهمّ في ستر المرأة هو ستر شعر الرأس دون الوجه، وإلَّا لو كان ستر الوجه أيضاً واجباً لما كان لهذا التفريق وجه؛ لأنّ الكشف عن الوجه حاصل في كلّ صلاة، فلو كان ستره أيضاً واجباً فمع حصول الكشف عنه لا وجه لهذا الاحتياط في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الرواية مرسلة لا تصلح إلَّا للتأييد</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3208535_2870459653"/>
      <w:bookmarkStart w:id="263" w:name="_Toc102"/>
      <w:bookmarkEnd w:id="262"/>
      <w:r>
        <w:rPr>
          <w:rtl w:val="true"/>
        </w:rPr>
        <w:t>الرواية الخامسة عشرة</w:t>
      </w:r>
      <w:bookmarkEnd w:id="26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الطبرسي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للزوج ما تحت الدرع، وللابن والأخ ما فوق الدرع، ولغير ذي محرم أربعة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 وخمار، </w:t>
      </w:r>
      <w:bookmarkStart w:id="264" w:name="pg10932_87674"/>
    </w:p>
    <w:p>
      <w:pPr>
        <w:pStyle w:val="BookText"/>
        <w:rPr/>
      </w:pPr>
      <w:bookmarkEnd w:id="264"/>
      <w:r>
        <w:rPr>
          <w:rFonts w:ascii="IRNazanin" w:hAnsi="IRNazanin" w:eastAsia="IRNazanin"/>
          <w:color w:val="111111"/>
          <w:sz w:val="28"/>
          <w:sz w:val="28"/>
          <w:szCs w:val="28"/>
          <w:rtl w:val="true"/>
          <w:lang w:bidi="fa-IR"/>
        </w:rPr>
        <w:t>وجلباب، وإزار</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الثياب الأربعة التي يجب على المرأة أن تكون لابسة لها إذا خرجت للرجال الأجانب تستر بدن المرأة كلّه ما عدا الوجه، ومن الممكن أن تستر الكفّين والقدمين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دلّت على عدم لزوم ستر الوجه على المرأة، وبالتلازم بينه وبين الكفّين يثبت الجواز للكفّين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ضعيفة بالإرسال، ومع ذلك فهي تؤيّد المطلوب</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3208537_2870459653"/>
      <w:bookmarkStart w:id="266" w:name="_Toc103"/>
      <w:bookmarkEnd w:id="265"/>
      <w:r>
        <w:rPr>
          <w:rtl w:val="true"/>
        </w:rPr>
        <w:t>الرواية السادسة عشرة</w:t>
      </w:r>
      <w:bookmarkEnd w:id="266"/>
    </w:p>
    <w:p>
      <w:pPr>
        <w:pStyle w:val="BookText"/>
        <w:rPr/>
      </w:pPr>
      <w:r>
        <w:rPr>
          <w:rFonts w:ascii="IRNazanin" w:hAnsi="IRNazanin" w:eastAsia="IRNazanin"/>
          <w:color w:val="111111"/>
          <w:sz w:val="28"/>
          <w:sz w:val="28"/>
          <w:szCs w:val="28"/>
          <w:rtl w:val="true"/>
          <w:lang w:bidi="fa-IR"/>
        </w:rPr>
        <w:t>موثقة عبّاد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إلى رؤوس نساء أهل تهامة والأعراب وأهل السواد والعلوج؛ لأنّهم إذا نهوا لا ينتهون</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فالفارق بحسب ظاهر هذه الرواية بين النساء المحجّبات وبين النساء اللاتي لا ينتهين بالنهي هو جواز النظر إلى شعر الأخيرة دون الأولى، وليس من جهة النظر إلى الوجه؛ فإنّ حكمه مشترك بينهما، وهو جواز النظر إليه؛ لأنّه لو كان الفرق في حكم الوجه أيضاً لكان أولى بالذكر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في الدلالة خبر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حرمة لنساء أهل الذمّة أن ينظر إلى شعورهن وأيديهن</w:t>
      </w:r>
      <w:r>
        <w:rPr>
          <w:rFonts w:eastAsia="IRNazanin" w:cs="IRNazanin"/>
          <w:color w:val="111111"/>
          <w:sz w:val="28"/>
          <w:szCs w:val="28"/>
          <w:rtl w:val="true"/>
          <w:lang w:bidi="fa-IR"/>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أبي البختري، عن جعفر بن محمّد، عن أبيه، عن علي بن أبي طالب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بالنظر إلى رؤوس </w:t>
      </w:r>
      <w:bookmarkStart w:id="267" w:name="pg10932_87676"/>
    </w:p>
    <w:p>
      <w:pPr>
        <w:pStyle w:val="BookText"/>
        <w:rPr/>
      </w:pPr>
      <w:bookmarkEnd w:id="267"/>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وإن كانت كلّ واحدة منها ضعيفة، لكن لتعدّد طرقها عَمَل الفقهاء بها من الزمان الأوَّل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الاطمئنان بصدورها، ولم تذكر واحدة منها الوجه، فلو كان النظر إلى وجه المسلمة حراماً لكان من المناسب أن يقال يجوز النظر إلى وجوه نساء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ورؤوسهن</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3208539_2870459653"/>
      <w:bookmarkStart w:id="269" w:name="_Toc104"/>
      <w:bookmarkEnd w:id="268"/>
      <w:r>
        <w:rPr>
          <w:rtl w:val="true"/>
        </w:rPr>
        <w:t>الرواية السابعة عشرة</w:t>
      </w:r>
      <w:bookmarkEnd w:id="269"/>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جالساً في أصحابه فمرّت بهم امرأة جميلة فرمقها القوم بأبصارهم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أبصار هذه الفحول طوامح، وإنّ ذلك سبب هبابها، فإذا نظر أحدكم إلى امرأة تعجبه فليلامس أهله فإنّما هي امرأة كامرأته</w:t>
      </w:r>
      <w:r>
        <w:rPr>
          <w:rFonts w:eastAsia="IRNazanin" w:cs="IRNazanin"/>
          <w:color w:val="111111"/>
          <w:sz w:val="28"/>
          <w:szCs w:val="28"/>
          <w:rtl w:val="true"/>
          <w:lang w:bidi="fa-IR"/>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فدلّت على جواز الكشف للمرأة على الأقل عن وجهها، ولو لم يكن جائزاً لزجرها، أو وبّخ الرجال على إذنهم لنسائهم بالخروج كاشفات الوجه، وكذلك لم يزجرهم عن النظر إليها؛ لعلمه بأنّ نظرهم لم يكن بقصد الشهوة والتلذّذ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ضعيفة السند فتكون مؤيّدة للمطلوب</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3208541_2870459653"/>
      <w:bookmarkStart w:id="271" w:name="_Toc105"/>
      <w:bookmarkEnd w:id="270"/>
      <w:r>
        <w:rPr>
          <w:rtl w:val="true"/>
        </w:rPr>
        <w:t>الرواية الثامنة عشرة</w:t>
      </w:r>
      <w:bookmarkEnd w:id="271"/>
    </w:p>
    <w:p>
      <w:pPr>
        <w:pStyle w:val="BookText"/>
        <w:rPr/>
      </w:pPr>
      <w:r>
        <w:rPr>
          <w:rFonts w:ascii="IRNazanin" w:hAnsi="IRNazanin" w:eastAsia="IRNazanin"/>
          <w:color w:val="111111"/>
          <w:sz w:val="28"/>
          <w:sz w:val="28"/>
          <w:szCs w:val="28"/>
          <w:rtl w:val="true"/>
          <w:lang w:bidi="fa-IR"/>
        </w:rPr>
        <w:t xml:space="preserve">خبر البزنطي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بامرأة مُحرِمة قد استترت بمروحة فأماط المروحة بنفسه عن وجهها</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وغيرها من الروايات التي دلّت على لزوم كشف المُحرِمة بعض الوجه، وعلى رجحان كشف كلّه، مثل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بامرأة متنقّبة وهي مُحرِمة،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أحرمي وأسفري وأرخي من فوق رأسك فإنّك إن تنقّبتِ لم يتغيّر لونكِ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تغطي عينيها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فمها؟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فهي دلّت على أنّ عامّة النساء لم تكن متنقّبة في أيام الحج، وأمر المتنقّبة بالإسفار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الكشف عن الوجه، ثُمَّ رجّح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يكون إرخاء الثوب إلى حدّ العينين، ثُمَّ لمّا سأله رجل عن إرخائه إلى الفم أجازه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صحيحة ابن ميمون،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لا تتنقّب؛ لأنّ إحرام المرأة في وجهها وإحرام الرجل في رأسه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واضحة الدلالة على لزوم كشف المرأة عن وجهها ولو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صحيحة يحيى بن أبي العلاء،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كره للمُحرِمة البرقع والقّفازين</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الكشف عن الوجه واليدين أمام الأجانب محرّماً في الإسلام لما جوّز في حالة الإحرام أبداً، كما لا يخفى؛ ولذا لم يأمر الشارع المرأة بالكشف عن رأسها في الإحرام مع أمره به للرجال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مجموعة روايات تدلّ على جواز كشف المرأة وجهها وكفّيها، وكذلك على جواز نظر الأجنبي إليها، وهناك روايات أخرى يمكن الاستدلال بها على الجواز، ولكنّا تركناها خوف الإطالة، وهذه الروايات وإن كان بعضها ضعيفاً، ولكن كثيراً منها </w:t>
      </w:r>
      <w:bookmarkStart w:id="272" w:name="pg10932_87681"/>
    </w:p>
    <w:p>
      <w:pPr>
        <w:pStyle w:val="BookText"/>
        <w:rPr/>
      </w:pPr>
      <w:bookmarkEnd w:id="272"/>
      <w:r>
        <w:rPr>
          <w:rFonts w:ascii="Amiri" w:hAnsi="Amiri" w:eastAsia="Amiri" w:cs="Amiri"/>
          <w:color w:val="111111"/>
          <w:sz w:val="28"/>
          <w:sz w:val="28"/>
          <w:szCs w:val="28"/>
          <w:rtl w:val="true"/>
          <w:lang w:bidi="ar-SA"/>
        </w:rPr>
        <w:t>صحيح، وإذا نظر الناظر في مجموعها أوجبت الاطمئنان بالحكم إن لم توجب القطع به</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3208543_2870459653"/>
      <w:bookmarkStart w:id="274" w:name="_Toc106"/>
      <w:bookmarkEnd w:id="273"/>
      <w:r>
        <w:rPr>
          <w:rtl w:val="true"/>
        </w:rPr>
        <w:t>الدليل الثالث</w:t>
      </w:r>
      <w:r>
        <w:rPr>
          <w:rtl w:val="true"/>
        </w:rPr>
        <w:t xml:space="preserve">: </w:t>
      </w:r>
      <w:r>
        <w:rPr>
          <w:rtl w:val="true"/>
        </w:rPr>
        <w:t>السيرة</w:t>
      </w:r>
      <w:bookmarkEnd w:id="274"/>
    </w:p>
    <w:p>
      <w:pPr>
        <w:pStyle w:val="BookText"/>
        <w:rPr/>
      </w:pPr>
      <w:r>
        <w:rPr>
          <w:rFonts w:ascii="Amiri" w:hAnsi="Amiri" w:eastAsia="Amiri" w:cs="Amiri"/>
          <w:color w:val="111111"/>
          <w:sz w:val="28"/>
          <w:sz w:val="28"/>
          <w:szCs w:val="28"/>
          <w:rtl w:val="true"/>
          <w:lang w:bidi="ar-SA"/>
        </w:rPr>
        <w:t>ادّعى غير واحد إطباق الناس في كلّ عصر على خروج النساء المسلمات على وجه يحصل ظهور الوجه والكفّين بدون أن ينكر عليه أحد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على هذه الدعوى بالقطع بعدم خروج نساء كثير من العوائل المتديّنة إلَّا مستورات الوجه، فلم تثبت سيرة كلّ المتشرعة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ستر الوجه للنساء عند بعض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كبيوت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سيرة عامّة المتشرعة على الكشف وعدم إنكار أحد عليهم، فما ذكر في الاعتراض لا يمنع الدعوى الأولى؛ لأنَّه من الممكن أن يكون الالتزام بستر الوجه من نساء بعض البيوت لا من جهة إلزام شرعيّ، بل لمرغوبيّته عند الشارع قطعاً، وللاحتياط في حفظ العرض عن تعرّض الأجانب لرؤية وجوههن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وجود مثل هذه السيرة فعلى الأقل يمكن الدعوى وبكل وثوق أنّ النساء لم يكن يلتزمن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البيوت الشريفة وبيوت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 وجوههن أمام غير المحارم من أقربائهن،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 والعمّة، أو ابن الخال أو الخالة، أو أخ الزوج، أو زوج الأخت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سيرة المتشرعة في كلّ عصر متّصلة بزمن الأئمة ’، وهذا كافٍ في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تأييد وجود السيرة على كشف الوجه ببعض الشواهد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الشيخ المفيد كلاماً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حثّ أصحابه على القتال مع أهل الشام لمّا سمع إغارتهم على منطقة الأنبار،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العصبة من أهل الشام كانوا </w:t>
      </w:r>
    </w:p>
    <w:p>
      <w:pPr>
        <w:pStyle w:val="BookText"/>
        <w:rPr/>
      </w:pPr>
      <w:r>
        <w:rPr>
          <w:rFonts w:ascii="Amiri" w:hAnsi="Amiri" w:eastAsia="Amiri" w:cs="Amiri"/>
          <w:color w:val="111111"/>
          <w:sz w:val="28"/>
          <w:sz w:val="28"/>
          <w:szCs w:val="28"/>
          <w:rtl w:val="true"/>
          <w:lang w:bidi="ar-SA"/>
        </w:rPr>
        <w:t>يدخلون على المرأة المسلمة والأخرى المعاهدة، فيهتكون سترها، ويأخذون القناع من رأسها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هذا الكلام أنّ حجاب المرأة كان في ذاك العصر في ستر رأسها؛ ولذا اعتبر الهتك في أخذ القناع عن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نهج البلاغة التي تقدّمت في أدلّة الجواز؛ فإنّها ظاهرة في أنّ السائد آنذاك هو كشف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لفظ في الروايات يعبّر عن ستر الوجه، وكلّ ما ورد فيها ممّا تستر به المرأة هو ممّا يستر غير الوجه،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والجلباب، والقناع، والمقنعة، والملحفة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تاريخيّة تدلّ على حضور النساء في المعارك، كمعركة أُحد، وكربلاء، وغيرهما من الساحات التي فيها الرجال وهي مكشوفة الوجه قطعاً؛ لأنّ كلّ واحدة منهنّ كانت تُعرف من وجهها أنّها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لاحظ روايات الباب يجد أنّ أصحاب الأئمّة لم يسألوهم عن حكم الوجه، بل وقع السؤال منهم دائماً عن الرأس و الشعر والذراع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متعدّدة تحكي حضور بعض النساء عند المعصوم للسؤال عن شيء وهي كاشفة الوجه؛ لأنّ الحضور قد عرفها في المجلس،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الخثعميّة التي تقدّمت في أدلّة الحرمة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يحصل الاطمئنان بوجود سيرة عند نساء المسلمين على كشف الوجه واليدين ولاسيّما أمام أقربائهن بدون فرق بين المحارم وغير المحارم</w:t>
      </w:r>
      <w:r>
        <w:rPr>
          <w:rFonts w:eastAsia="Amiri" w:cs="Amiri" w:ascii="Amiri" w:hAnsi="Amiri"/>
          <w:color w:val="111111"/>
          <w:sz w:val="28"/>
          <w:szCs w:val="28"/>
          <w:rtl w:val="true"/>
          <w:lang w:bidi="ar-SA"/>
        </w:rPr>
        <w:t xml:space="preserve">. </w:t>
      </w:r>
      <w:bookmarkStart w:id="275" w:name="pg10932_87685"/>
    </w:p>
    <w:p>
      <w:pPr>
        <w:pStyle w:val="BookText"/>
        <w:rPr/>
      </w:pPr>
      <w:bookmarkEnd w:id="275"/>
      <w:r>
        <w:rPr>
          <w:rFonts w:ascii="Amiri" w:hAnsi="Amiri" w:eastAsia="Amiri" w:cs="Amiri"/>
          <w:color w:val="111111"/>
          <w:sz w:val="28"/>
          <w:sz w:val="28"/>
          <w:szCs w:val="28"/>
          <w:rtl w:val="true"/>
          <w:lang w:bidi="ar-SA"/>
        </w:rPr>
        <w:t>إلى هنا قد اتّضح جليّاً تماميّة أدلّة القول الثاني كتاباً وسُنّة وسيرة</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3208545_2870459653"/>
      <w:bookmarkStart w:id="277" w:name="_Toc107"/>
      <w:bookmarkEnd w:id="276"/>
      <w:r>
        <w:rPr>
          <w:rtl w:val="true"/>
        </w:rPr>
        <w:t>أدلّة القول الثالث</w:t>
      </w:r>
      <w:r>
        <w:rPr>
          <w:rtl w:val="true"/>
        </w:rPr>
        <w:t xml:space="preserve">: </w:t>
      </w:r>
      <w:r>
        <w:rPr>
          <w:rtl w:val="true"/>
        </w:rPr>
        <w:t>وهو أنَّه يجوز للمرأة الكشف عن وجهها وكفّيها لقيام الأدلّة عليه، ولكنّه لا يجوز نظر الأجنبي إليها</w:t>
      </w:r>
      <w:bookmarkEnd w:id="277"/>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بتماميّة أدلّة جواز كشف المرأة عن وجهها وكفّيها، وأمّا بالنسبة إلى الرجل فالتامّ هو دليل الحرمة، لا الجواز، وهي نفس الأدلّة التي تقدّم ذكرها في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تماميّة أدلّة حرمة نظر الرجل إلى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ووجود ملازمة عرفيّة بين جواز الكشف للمرأة وجواز نظر الرجل إليها، فما يحرم النظر إليه من جسد المرأة يجب عليها ستره، وما يجوز لها كشفه من جسدها أمام الأجانب يجوز للرجل النظر إليه بدون شهوة وقصد تلذّذ، ويشير إلى هذا التلازم بين الحكمين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إِلَّا مَا ظَهَرَ مِنْهَا أي يجوز أن يُبْدِينَ زِينَتَهُنَّ الظَاهر مِنْها، والإبداء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الإظهار للغير، وفي الفهم العرفي جواز الإظهار للغير يلازم جواز نظر الغير إليه، ولاسيّما بقرينة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إِلَّا لِبُعُولَتِهِنَّ عُلِم منه أنّ الإبداء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إبداء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هذا وذاك قد تمّت بعض الأدلّة الناصّة على جواز النظر،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سويد، وصحيحة أبي حمزة الثمالي، وصحيحة البزنطي، وبعض الروايات الأخرى المتقدّمة في أدلّة القول الثاني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قول مستبعد في حدّ نفسه؛ فإنّه خلاف مقتضى الطبع الذي خلق الله تبارك وتعالى عليه البشر من ذكر وأنثى، فإنّ الرجل بالنظر إلى خلقته </w:t>
      </w:r>
      <w:bookmarkStart w:id="278" w:name="pg10932_87687"/>
    </w:p>
    <w:p>
      <w:pPr>
        <w:pStyle w:val="BookText"/>
        <w:rPr/>
      </w:pPr>
      <w:bookmarkEnd w:id="278"/>
      <w:r>
        <w:rPr>
          <w:rFonts w:ascii="Amiri" w:hAnsi="Amiri" w:eastAsia="Amiri" w:cs="Amiri"/>
          <w:color w:val="111111"/>
          <w:sz w:val="28"/>
          <w:sz w:val="28"/>
          <w:szCs w:val="28"/>
          <w:rtl w:val="true"/>
          <w:lang w:bidi="ar-SA"/>
        </w:rPr>
        <w:t xml:space="preserve">الطبيعيّة والوظائف التي كلّف بها يُبتلى بالخروج كثيراً إلى الأسواق ومحلّ العمل والأمور الأخرى الفرديّة والاجتماعيّة، والمرأة بالعكس قد رجّح لها شرعاً البقاء في داخل المنزل مهما أمكن، فإذا جوّز للمرأة الكشف عن وجهها وكفّيها وحرّم على الرجل النظر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بدون شهوة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منه الضيق على الرجل الذي يحتاج إلى رفع القيود عنه مع الإمكان بمقتضى عمله، ولزم توسعة الشارع على المرأة التي لا تحتاج إليها بمقدار حاجة الرجل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يمكن دعوى أنّ هذا القول خلاف مقتضى السنن الكونيّة في الظاهر، وخلاف مرتكزات المتشرّعة وإن ذهب إليه بعض أعلام المذهب،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عليه دليل واضح وجب الالتزام به، ولكنّك عرفت أنّ الدليل على خلافه</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3208547_2870459653"/>
      <w:bookmarkStart w:id="280" w:name="_Toc108"/>
      <w:bookmarkEnd w:id="279"/>
      <w:r>
        <w:rPr>
          <w:rtl w:val="true"/>
        </w:rPr>
        <w:t>أدلّة القول الرابع</w:t>
      </w:r>
      <w:r>
        <w:rPr>
          <w:rtl w:val="true"/>
        </w:rPr>
        <w:t xml:space="preserve">: </w:t>
      </w:r>
      <w:r>
        <w:rPr>
          <w:rtl w:val="true"/>
        </w:rPr>
        <w:t>وهو أنّه يجوز للرجل أن ينظر مرّة ولا يجوز التكرار</w:t>
      </w:r>
      <w:bookmarkEnd w:id="280"/>
    </w:p>
    <w:p>
      <w:pPr>
        <w:pStyle w:val="BookText"/>
        <w:rPr/>
      </w:pPr>
      <w:r>
        <w:rPr>
          <w:rFonts w:ascii="Amiri" w:hAnsi="Amiri" w:eastAsia="Amiri" w:cs="Amiri"/>
          <w:color w:val="111111"/>
          <w:sz w:val="28"/>
          <w:sz w:val="28"/>
          <w:szCs w:val="28"/>
          <w:rtl w:val="true"/>
          <w:lang w:bidi="ar-SA"/>
        </w:rPr>
        <w:t>ومستند هذا القول الروايات التي حذّرت من تكرار النظر، وهي الطائفة الرابعة من طوائف الروايات التي استدلّ بها للقول الأوَّل، فهي دلّت على جواز النظرة الأولى، وحرمة النظرة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غير واضح مفهوماً ومستنداً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مفهوماً فلم يتّضح مقصود القائل من النظرة الأولى وكذا من النظرة الثانية، فهل مقصوده من النظرة الأولى هي النظرة الاتّفاقيّة فقط، أو حتّى العمديّة؟ وكذلك هل مقصوده من النظرة الثانية هي نظره بشهوة، أو مطلقاً حتّى بدون شهوة؟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المقصود من النظرة الأولى الاتّفاقيّة فقط فحينئذ رجع هذا القول إلى </w:t>
      </w:r>
      <w:bookmarkStart w:id="281" w:name="pg10932_87689"/>
    </w:p>
    <w:p>
      <w:pPr>
        <w:pStyle w:val="BookText"/>
        <w:rPr/>
      </w:pPr>
      <w:bookmarkEnd w:id="281"/>
      <w:r>
        <w:rPr>
          <w:rFonts w:ascii="Amiri" w:hAnsi="Amiri" w:eastAsia="Amiri" w:cs="Amiri"/>
          <w:color w:val="111111"/>
          <w:sz w:val="28"/>
          <w:sz w:val="28"/>
          <w:szCs w:val="28"/>
          <w:rtl w:val="true"/>
          <w:lang w:bidi="ar-SA"/>
        </w:rPr>
        <w:t>القول الأوَّل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التقدير يتعيّن أن تكون النظرة الثانية حراماً مطلقاً حتّى بدون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المقصود من النظرة الأولى أعمّ لتشمل العمديّة أيضاً فحينئذٍ إن كان المراد من الثانية هي نظرة شهوة وتلذّذ رجع إلى القول الثاني تماماً، وإن كان المراد مطلقاً، أي حتّى بدون قصد التلذّذ فحينئذٍ لا 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قولاً قبال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النظرة الأولى هي أعمّ من العمديّة، والمراد من الثانية أعمّ من الشهويّة، فالأولى جائزة مطلقاً، أي حتّى مع القصد والتعمّد، والثانية وما بعدها حرام مطلقاً حتّى بدون شهوة ولذّة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مستنداً فهذا القول استند إلى أربع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في الطائفة الرابعة من أدلّة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ناقشناها جميعاً من جهة ضعف سندها ما عدا الأولى منها، وهذه الأولى غير ظاهرة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في مفادها، وأنّها لا تثبت الحرمة، فلا تصلح لمعارضة أدلّة الجواز</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208549_2870459653"/>
      <w:bookmarkStart w:id="283" w:name="_Toc109"/>
      <w:bookmarkEnd w:id="282"/>
      <w:r>
        <w:rPr>
          <w:rtl w:val="true"/>
        </w:rPr>
        <w:t>أدلّة القول الخامس</w:t>
      </w:r>
      <w:r>
        <w:rPr>
          <w:rtl w:val="true"/>
        </w:rPr>
        <w:t xml:space="preserve">: </w:t>
      </w:r>
      <w:r>
        <w:rPr>
          <w:rtl w:val="true"/>
        </w:rPr>
        <w:t>هو جواز كشف المرأة للقدمين أيضاً مضافاً إلى الوجه والكفّين</w:t>
      </w:r>
      <w:bookmarkEnd w:id="28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ومستند هذا القول في الوجه والكفّين هو ما تقدّم في القول الثاني من الأدلّة على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القدمان فاستندوا فيهما إلى مرسلة مروك المتقدّمة التي سأل فيها الراوي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يحلّ للرجل أن يرى من المرأة إذا لم يكن محرماً؟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والكفّان والقدمان</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الخبر ضعيف سنداً؛ لإرساله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بقيّة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بعضها 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القدمين يؤكّد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صالحة لتقييد ما دلّ على حرمة الكشف عمّا عدا الوجه والكفّين، فيبقى إطلاقها هو المعمول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جماعة إجماع المسلمين على عدم استثناء غير الوجه والكفّين،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في الإيضاح، والمحقّق الكركي في جامع المقاصد، والشهيد الثاني في المسالك، والمحقّق السبزواري في الكفاية، والفاضل الهندي في كشف اللثام، والسيّد الطباطبائي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ناقش مفصّلاً في دعاوي الإجماع السيّد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وقرّب أنّ رأي الكليني والصدوق على استثناء القدمين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لا يمكن الالتزام باستثناء القدمين؛ لعدم وجود مستند واضح له، وفي قباله قد تمّ 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الكشف عن القدمين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p>
    <w:p>
      <w:pPr>
        <w:pStyle w:val="BookText"/>
        <w:rPr/>
      </w:pPr>
      <w:r>
        <w:rPr>
          <w:rFonts w:ascii="Amiri" w:hAnsi="Amiri" w:eastAsia="Amiri" w:cs="Amiri"/>
          <w:color w:val="111111"/>
          <w:sz w:val="28"/>
          <w:sz w:val="28"/>
          <w:szCs w:val="28"/>
          <w:rtl w:val="true"/>
          <w:lang w:bidi="ar-SA"/>
        </w:rPr>
        <w:t>للمسألة فروع نذكر فرعاً واحداً منها لأهمّيّته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 الحكم بجواز كشف المرأة عن وجهها للأجانب مقيّد ببعض القيود نذكر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وجهها مزيّناً بزينة خارجيّة وإلّا لوجب ستره؛ لأنّ المستثنى من حرمة الإبداء هو ما ظهر بمقتضى الطبيعة، وهو الوجه الطبيعيّ، وأمّا إذا زيّن بالمكياج فيدخل في عموم لَا يُبْدِينَ زِينَتَهُنَّ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أصبح في العصر الراهن مكياج الوجه جزءاً من حياة المرأة الذي لا يتجزأ انتفى موضوع جواز خروج المرأة كاشفة للوجه إلّا بالنسبة إلى بعض المؤمنات، حيث تتعرّض لنظر الأجانب، ولا يجوز لها أن تبرّر فعلها والحال هذه بفتوى الفقهاء وأنّهم لا يوجبون ستر الوجه؛ فإنّ الإقرار بالذنب أهون من التحايل على الدين وتحريف مفاهيمه، فإنّ الفقهاء الذين جوّزوا خروج المرأة من البيت كاشفة وجهها قيّدوا هذا الحكم بهذا الأمر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استثناء الكحل والخاتم عن الحكم بوجوب الستر يدلّ على أنّ الزينة الخارجيّة للوجه واليدين لا يجب سترها عن الأجانب، فهو داخل 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مِنْهَاوإنَّما ذكر الكحل والخاتم في الروايات كالمصداق البارز لتزيين الوجه واليدين في ذاك الزمان، وإلَّا فالمراد هو مطلق ما يزيّن به هذان العضوان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ظاهر الروايات؛ فإنّ ظاهرها أنّها ذكرت الكحل والخاتم على نحو الحصر، وأنّهما موضوع الحكم بالجواز، وهذا هو المطابق للقاعدة العامّة في كلّ كلام ذكر فيه الحكم متعلقاً بعنوان، فإنّه يحمل على أنّ هذا العنوان هو موضوع الحكم، لا أنَّ الموضوع الحقيقي هو شيء آخر وما ذُكر مصداق له، فإنّ هذا يحتاج إلى قرينة واضحة لارتكاب خلاف الظاهر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فالإشكال المذكور مبنيّ على دعوى أنّ الموضوع الحقيقي للجواز هو كلّ ما يتزيّن </w:t>
      </w:r>
    </w:p>
    <w:p>
      <w:pPr>
        <w:pStyle w:val="BookText"/>
        <w:rPr/>
      </w:pPr>
      <w:r>
        <w:rPr>
          <w:rFonts w:ascii="Amiri" w:hAnsi="Amiri" w:eastAsia="Amiri" w:cs="Amiri"/>
          <w:color w:val="111111"/>
          <w:sz w:val="28"/>
          <w:sz w:val="28"/>
          <w:szCs w:val="28"/>
          <w:rtl w:val="true"/>
          <w:lang w:bidi="ar-SA"/>
        </w:rPr>
        <w:t>به الوجه والكفّان يجوز للمرأة إبداؤه، وذكر الكحل والخاتم كمثال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الكلام أنّ الجواز مختصّ بهما؛ ولذا لم يذكر في روايةٍ شيء آخر مع وجود أنواع ممّا كانت النساء يزينّن به الوجه والكفّين، مثل استخدام مساحيق التجميل والمكياج وتلوين الأظافر وغيرها، بل حتّى الكحل والخاتم لو لم يكن عليه نصّ لقلنا بحرمة إظهارهما؛ لأنّهما ليسا ممّا هو ظاهر بطبيعة الحال، بل هو إظهار للزينة؛ لأنَّه لو لم تتزيّن بهما المرأة لا يظهر أنّ الشكّ في استثناء غيرهما شكّ في تخصيص زائد، فيبقى تحت عموم لَا يُبْدِينَ زِينَتَهُنَّ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المرأة خائفة من وقوعها في الفتنة، وكذلك لا تقصد إيقاع الآخرين فيها، وإلَّا فإن علمت بمقتضى الحال التي تعيش فيها أنّها إذا خرجت كاشفة الوجه تتعرّض للمضايقة والإيذاء؛ لأنّها فائقة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خرجت وهي قاصدة هذا الأمر فلا يجوز حينئذٍ أن تخرج سافرة الوجه؛ لأنّها لو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مصاديق المتعاونة على الإثم والعدوان، وموجبة لإحداث فتنة حرّم الله إيقاعها، كما قيّد جواز النظر للرجل أن لا يكون قاصداً به التلذّذ والشهوة، ولم يكن خائفاً من الفتنة، وإلَّا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ما حرّر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الأدلّة هو صحّة القول الثاني، وهو جواز نظر الرجل إلى وجه المرأة الأجنبية وكفّيها في حدّ نفسه، كما يجوز لها كشف هذين الموضعين من جسمها أمام الأجانب مع بعض الشرائط والقيود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وهو وليّ التوفيق</w:t>
      </w:r>
      <w:r>
        <w:rPr>
          <w:rFonts w:eastAsia="Amiri" w:cs="Amiri" w:ascii="Amiri" w:hAnsi="Amiri"/>
          <w:color w:val="111111"/>
          <w:sz w:val="28"/>
          <w:szCs w:val="28"/>
          <w:rtl w:val="true"/>
          <w:lang w:bidi="ar-SA"/>
        </w:rPr>
        <w:t>.</w:t>
      </w:r>
      <w:bookmarkStart w:id="284" w:name="pg10932_87698"/>
    </w:p>
    <w:p>
      <w:pPr>
        <w:pStyle w:val="Heading3"/>
        <w:numPr>
          <w:ilvl w:val="2"/>
          <w:numId w:val="1"/>
        </w:numPr>
        <w:rPr/>
      </w:pPr>
      <w:bookmarkStart w:id="285" w:name="__RefHeading___Toc3208551_2870459653"/>
      <w:bookmarkStart w:id="286" w:name="_Toc110"/>
      <w:bookmarkEnd w:id="284"/>
      <w:bookmarkEnd w:id="285"/>
      <w:r>
        <w:rPr>
          <w:rtl w:val="true"/>
        </w:rPr>
        <w:t>المصادر</w:t>
      </w:r>
      <w:bookmarkEnd w:id="286"/>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الأرديّة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علي نقي النقويّ،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الهدى لاهور باكستاني،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الدين،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أبو بكر أحمد بن علي الرازي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عليّ شاهين،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ط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مصطفوي،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ط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الأذهان إلى أحكام الإيمان، الشيخ أبو منصور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ط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الأذهان في تفسير القرآن، الشيخ محمّد بن حبيب السبزواريّ،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ط الأولى،</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السبق إلى معرفة الحقّ، الشيخ أبو الحسن علي بن الحسن بن أبي المجد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المحقّقين من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انتشارات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الأصفى في تفسير القرآن، المولى محمّد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الدرايتي ومحمّد رضا النعمتي،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مكتب انتشارات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 الأولى،</w:t>
      </w:r>
    </w:p>
    <w:p>
      <w:pPr>
        <w:pStyle w:val="BookText"/>
        <w:rPr/>
      </w:pPr>
      <w:r>
        <w:rPr>
          <w:rFonts w:eastAsia="Times New Roman" w:cs="Times New Roman" w:ascii="Times New Roman" w:hAnsi="Times New Roman"/>
          <w:color w:val="111111"/>
          <w:sz w:val="28"/>
          <w:szCs w:val="28"/>
          <w:lang w:val="en-US" w:bidi="en-US"/>
        </w:rPr>
        <w:t>1418</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الإقناع في حلّ ألفاظ أبي شجاع، عبارته مأخوذة من نسخته الموجودة على موقع </w:t>
      </w:r>
      <w:r>
        <w:rPr>
          <w:rFonts w:eastAsia="Times New Roman" w:cs="Times New Roman" w:ascii="Times New Roman" w:hAnsi="Times New Roman"/>
          <w:color w:val="111111"/>
          <w:sz w:val="28"/>
          <w:szCs w:val="28"/>
          <w:lang w:val="en-US" w:bidi="en-US"/>
        </w:rPr>
        <w:t>www.al-islam.com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في معرفة الراجح من الخلاف، علاء الدين أبو الحسن علي بن سليمان المرداوي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حامد الفقي،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إيضاح الفوائد في شرح إشكالات القواعد، فخر المحقّقين الشيخ أبو طالب محمّد ابن الحسن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الموسوي الكرماني، الشيخ علي پناه الأشتهاردي، الشيخ عبد الرحيم البروجردي،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بداية المجتهد ونهاية المقتصد، أبو الوليد محمّد بن أحمد بن محمّد بن أحمد بن رشد القرطبيّ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 الحفيد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تنقيح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الكبرى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ميرزا حسن كوجه باغي،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 في تفسير القرآن بالقرآن، الشيخ محمّد الصادقيّ الطهرانيّ،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محبّ الدين أبو فيض السيّد محمّد مرتضى الحسينيّ الواسطيّ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تبيان الصلاة، تقريرات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الشيخ علي الصافي الكلبايكانيّ،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 عرفان للطباعة والنشر، ط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ط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تحرير الأحكام الشرعيّة على مذهب الإماميّة، الشيخ جمال الدين أبو منصور الحسن بن يوسف المطهّر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الفقهاء، الشيخ جمال الدين أبو المنصور الحسن بن يوسف بن المطهّر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بدائع الصنائع في ترتيب الشرائع، أبو بكر بن مسعود بن أحمد الكاسانيّ الحنفيّ،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الشيخ أبو الحسن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الرابعة،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المراغي، أحمد بن مصطفى المراغي،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جوامع الجامع، الشيخ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انتشارات دانشكاه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الأولى،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شاهي أو آيات الأحكام،</w:t>
      </w:r>
    </w:p>
    <w:p>
      <w:pPr>
        <w:pStyle w:val="BookText"/>
        <w:rPr/>
      </w:pPr>
      <w:r>
        <w:rPr>
          <w:rFonts w:ascii="Amiri" w:hAnsi="Amiri" w:eastAsia="Amiri" w:cs="Amiri"/>
          <w:color w:val="111111"/>
          <w:sz w:val="28"/>
          <w:sz w:val="28"/>
          <w:szCs w:val="28"/>
          <w:rtl w:val="true"/>
          <w:lang w:bidi="ar-SA"/>
        </w:rPr>
        <w:t xml:space="preserve">السيّد الأمير أبو الفتح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وليّ الله الأشراقي،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تقرير بحث السيد حسين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پناه الأشتهاردي،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في شرح المقنعة،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رسولي المحلّاتيّ، الناشر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أبو منصور محمّد بن أحمد بن الأزهر بن طلحة الأزهريّ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عوض مرعب،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ط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وعقاب الأعمال، الشيخ الصدوق أبو جعفر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ط الثانية، </w:t>
      </w:r>
    </w:p>
    <w:p>
      <w:pPr>
        <w:pStyle w:val="BookText"/>
        <w:rPr/>
      </w:pPr>
      <w:r>
        <w:rPr>
          <w:rFonts w:eastAsia="Times New Roman" w:cs="Times New Roman" w:ascii="Times New Roman" w:hAnsi="Times New Roman"/>
          <w:color w:val="111111"/>
          <w:sz w:val="28"/>
          <w:szCs w:val="28"/>
          <w:lang w:val="en-US" w:bidi="en-US"/>
        </w:rPr>
        <w:t>1406</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الشيخ محمّد بن محمّد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المقاصد في شرح القواعد، الشيخ علي بن الحسين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للشرائع، الشيخ يحيى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الفضلاء،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العلمية،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جلباب المرأة المسلمة في الكتاب والسنّة، محمّد ناصر الدين الألبانيّ،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ط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جمهرة اللّغة، أبو 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الكلام في شرح شرائع الإسلام،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القوجانيّ، نهض بمشروعه الشيخ علي الآخونديّ،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ط السابعة،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الحدائق الناضرة في أحكام العترة الطاهرة،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الإيرواني،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الشيخ أبو جعفر محمّد بن علي بن الحسين ابن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الأقوال في معرفة أحوال الرجال، العلّامة الشيخ أبو منصور الحسن بن يوسف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الثانية،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الخراسانيّ والسيّد جواد الشهرستانيّ والشيخ مهدي طه نجف والشيخ مجتبى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انتشارات إسلاميّ، ط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ابن داود، تقي الدين الحسن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الأولى،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الطوسي،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الثالثة،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الشيخ أحمد بن الحسين بن عبيد الله بن إبراهيم أبي الحسين الواسطيّ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ط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الشهيد الثاني، 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رضا مختاري والسيد حسين شفيعي،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انتشارات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الفقهيّة، الشيخ محمّد إسماعيل بن الحسين بن محمّد رضا المازندرانيّ الخاجوئيّ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في تفسير القرآن العظيم، السيّد محمّد الآلوسيّ،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الباري عطيّة،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المسائل، السيّد علي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الزاهر في معاني كلمات الناس، أبو بكر محمّد بن القاسم بن محمّد بن بشار 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حاتم صالح الضامن،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الأولى،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البيان في أحكام القرآن، الشيخ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الفتاوي، الشيخ 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في مسائل الحلال والحرام، الشيخ أبو القاسم نجم الدين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 البقّال،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ط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الكبير على متن المقنع، شمس الدين أبو الفرج عبد الرحمن بن أبي عمر محمّد بن أحمد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جماعة من العلماء،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الجديدة بالأوفست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العلوم ودواء كلام العرب من الكلوم، نشوان بن سعيد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بن علي الإرياني ويوسف محمّد عبد الله وحسين بن عبد الله العمريّ،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ط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الصحاح تاج اللّغة وصحاح العربيّة، إسماعيل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الرابعة،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 المحشّى،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المحسنيّ السبزواريّ،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الشيخ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كتابروشي 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الشيخ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مهدي الحسيني اللاجوردي،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أبو الفرج عبد الرحمن بن علي بن محمّد ابن الجوزي،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المعطي أمين القلعجي،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الأولى،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حواشي إبراهيم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القرآن، قطب الدين أبو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النجفيّ المرعشيّ، ط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اللّغة، عبد الملك بن محمّد بن إسماعيل أبو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الجليل أبو العباس أحمد </w:t>
      </w:r>
    </w:p>
    <w:p>
      <w:pPr>
        <w:pStyle w:val="BookText"/>
        <w:rPr/>
      </w:pPr>
      <w:r>
        <w:rPr>
          <w:rFonts w:ascii="Amiri" w:hAnsi="Amiri" w:eastAsia="Amiri" w:cs="Amiri"/>
          <w:color w:val="111111"/>
          <w:sz w:val="28"/>
          <w:sz w:val="28"/>
          <w:szCs w:val="28"/>
          <w:rtl w:val="true"/>
          <w:lang w:bidi="ar-SA"/>
        </w:rPr>
        <w:t xml:space="preserve">ابن علي بن أحمد بن العباس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السادسة،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عبد العزيز الطباطبائي،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المحقّق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الفقهي لغة واصطلاحاً، سعدي أبو حبيب،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مجد الدين أبي طاهر محمّد بن يعقوب بن محمّد بن إبراهيم بن عمر الشيرازي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الإسناد، الشيخ أبو العباس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قلائد الدرر في بيان آيات الأحكام، الشيخ أحمد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النجاح،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الأحكام في معرفة الحلال والحرام، الشيخ أبو منصور الحسن بن يوسف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نهض بمشروعه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 تقريرات السيّد محمّد باقر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الجواديّ الطبريّ الآمليّ،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 أبو عبد الرحمن الخليل بن أحمد الفراهيديّ،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المخزوميّ والدكتور إبراهيم السامرائيّ،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موسى الشبيريّ الزنجانيّ،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المؤسّسة،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بژوهشي راي برداز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النكاح،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بمناسبة الذكرى المئويّة الثانية لميلاد الشيخ الأنصاريّ،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عن حقائق التنزيل وعيون الأقاويل في وجوه التأويل، أبو القاسم جار الله محمود بن عمر الزمخشري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الثالثة،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اللثام والإبهام عن قواعد الأحكام، الشيخ بهاء الدين محمّد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 الأولى،</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الفقه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الواعظيّ الأراكيّ،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العرفان في فقه القرآن، الشيخ جمال الدين المقداد بن عبد 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القاضي،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جهاني تقريباً مذاهب </w:t>
      </w:r>
    </w:p>
    <w:p>
      <w:pPr>
        <w:pStyle w:val="BookText"/>
        <w:rPr/>
      </w:pPr>
      <w:r>
        <w:rPr>
          <w:rFonts w:ascii="Amiri" w:hAnsi="Amiri" w:eastAsia="Amiri" w:cs="Amiri"/>
          <w:color w:val="111111"/>
          <w:sz w:val="28"/>
          <w:sz w:val="28"/>
          <w:szCs w:val="28"/>
          <w:rtl w:val="true"/>
          <w:lang w:bidi="ar-SA"/>
        </w:rPr>
        <w:t xml:space="preserve">إسلاميّ،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أبو الفضل جمال الدين محمّد بن مكرم ابن منظور الإفريقي المصري،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اللّمعة الدمشقيّة، الشيخ 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رضا مختاري والسيّد حسين الشفيعي،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الدار الإسلاميّة، ط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مباني العروة الوثقى كتاب النكاح،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ط الثالثة،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فقه الإماميّة، الشيخ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الثالثة،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القرآن ومختلفه، الشيخ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الأمثال، أبو الفضل أحمد بن محمّد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الأشكوريّ،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المرتضويّ، ط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الشيخ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مع مقدّمة الشيخ محمد جواد البلاغي،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الثالثة،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 شرح المهذَّب، أبو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الشيخ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والمحيط الأعظم، أبو الحسن علي بن إسماعيل المرسي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هنداوي،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الأولى،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أبو محمّد علي بن أحمد بن سعيد 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الطبعة المصحّحة بمقابلتها على النسخة التي صحّحها الأستاذ الشيخ أحمد محمّد شاكر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المحيط في اللّغة، إسماعيل بن عبّاد بن العبّاس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آل ياسين،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المخصَّص، أبو الحسن علي بن إسماعيل النحويّ اللّغويّ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العروة، الشيخ علي پناه الاشتهاردي، دار الأسوة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الأولى،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ط الثانية،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آيات الأحكام، الشيخ جواد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علّق </w:t>
      </w:r>
    </w:p>
    <w:p>
      <w:pPr>
        <w:pStyle w:val="BookText"/>
        <w:rPr/>
      </w:pPr>
      <w:r>
        <w:rPr>
          <w:rFonts w:ascii="IRNazanin" w:hAnsi="IRNazanin" w:eastAsia="IRNazanin"/>
          <w:color w:val="111111"/>
          <w:sz w:val="28"/>
          <w:sz w:val="28"/>
          <w:szCs w:val="28"/>
          <w:rtl w:val="true"/>
          <w:lang w:bidi="fa-IR"/>
        </w:rPr>
        <w:t>عليه وأخرج 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باقر شريف زاده،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المرتضويّة،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حيدريّ، ط الثانية،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ﻫ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ط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مستمسك العروة الوثقى، 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 الشيعة في أحكام الشريعة، الشيخ 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المنير في غريب الشرح الكبير للرافعي، 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المغرب في ترتيب المعرب، ناصر الدين بن عبد السيّد أبي المكارم ابن علي المطرزي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فاخوري عبد الحميد المختار،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ط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ألفاظ القرآن، أبو القاسم الحسين بن محمّد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 الشيخ أبو جعفر الصدوق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ط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الشيخ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كنكرة جهاني هذاره الشيخ مفيد، ط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الشيخ رضي الدين أبو نصر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الرابعة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الشيخ الصدوق أبو جعفر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الطلب من أشعار العرب، محمّد بن مبارك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الشيخ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مؤسّسة سيّد الشهداء العلميّة،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المؤتلف من المختلف بين أئمّة السلف، الشيخ 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الأساتذة،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ط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الميزان في تفسير القرآن،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المؤسّسة،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الخامسة، </w:t>
      </w:r>
    </w:p>
    <w:p>
      <w:pPr>
        <w:pStyle w:val="BookText"/>
        <w:rPr/>
      </w:pPr>
      <w:r>
        <w:rPr>
          <w:rFonts w:eastAsia="Times New Roman" w:cs="Times New Roman" w:ascii="Times New Roman" w:hAnsi="Times New Roman"/>
          <w:color w:val="111111"/>
          <w:sz w:val="28"/>
          <w:szCs w:val="28"/>
          <w:lang w:val="en-US" w:bidi="en-US"/>
        </w:rPr>
        <w:t>1417</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النجعة في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كتابفروشي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 العصرية في أخبار الوزراء المصريّة، عمارة بن علي بن الدين،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هرتويغ درلبرغ،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قرشق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شالون باريس،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التقرير، السيّد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فاضل الموحديّ اللنكرانيّ، الطبع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المرام، السيّد محمّد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المدارك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مجتبى العراقيّ، الشيخ علي پناه الاشتهارديّ، الشيخ حسين اليزديّ،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مجدّ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محمود محمّد الطناحي،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الرابعة،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مجرّد الفقه والفتاوى،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ط الثانية،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من كلام مولانا أمير المؤمنين،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السيّد محمّد بن الحسين بن موسى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صالح،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المصري، ط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الوافي، الشيخ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الدين الحسينيّ،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أصفهان، ط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تفصيل وسائل الشيعة إلى مسائل الشريعة،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حواشي السيّد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الإمام الخمينيّ، ط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287" w:name="pg10932_87729"/>
    </w:p>
    <w:p>
      <w:pPr>
        <w:pStyle w:val="Heading2"/>
        <w:numPr>
          <w:ilvl w:val="1"/>
          <w:numId w:val="1"/>
        </w:numPr>
        <w:rPr/>
      </w:pPr>
      <w:bookmarkStart w:id="288" w:name="__RefHeading___Toc3208553_2870459653"/>
      <w:bookmarkStart w:id="289" w:name="_Toc111"/>
      <w:bookmarkEnd w:id="287"/>
      <w:bookmarkEnd w:id="288"/>
      <w:r>
        <w:rPr>
          <w:rtl w:val="true"/>
        </w:rPr>
        <w:t xml:space="preserve">حجّيّة الوجدان </w:t>
      </w:r>
      <w:r>
        <w:rPr>
          <w:rtl w:val="true"/>
        </w:rPr>
        <w:t xml:space="preserve">- </w:t>
      </w:r>
      <w:r>
        <w:rPr>
          <w:rtl w:val="true"/>
        </w:rPr>
        <w:t xml:space="preserve">الشّيخ محمّد أمجد رياض </w:t>
      </w:r>
      <w:r>
        <w:rPr>
          <w:rtl w:val="true"/>
        </w:rPr>
        <w:t>(</w:t>
      </w:r>
      <w:r>
        <w:rPr>
          <w:rtl w:val="true"/>
        </w:rPr>
        <w:t>دام عزه</w:t>
      </w:r>
      <w:r>
        <w:rPr>
          <w:rtl w:val="true"/>
        </w:rPr>
        <w:t>)</w:t>
      </w:r>
      <w:bookmarkEnd w:id="289"/>
    </w:p>
    <w:p>
      <w:pPr>
        <w:pStyle w:val="Heading3"/>
        <w:numPr>
          <w:ilvl w:val="2"/>
          <w:numId w:val="1"/>
        </w:numPr>
        <w:rPr/>
      </w:pPr>
      <w:bookmarkStart w:id="290" w:name="__RefHeading___Toc3208555_2870459653"/>
      <w:bookmarkStart w:id="291" w:name="_Toc112"/>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إنّ لموضوع البحث أهميّة تأتي من كثرة استخدام الوجدان في المباحث الأصوليّة والفقهيّة، وكونه بشكل يُشعر بالتسالم على حجّيّته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حقيقة الاستدلال بالوجدان وحجّيّته</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وعلى آله الطّيّبين الطّاهرين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ما دفعني للبحث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أهمّيّته الناشئة من كثرة استخدام الوجدان في المباحث الأصوليّة والفقهيّة، وكون استخدامه بشكل يشعر بالتسالم على حجّيّته، مع ما انقدح في نفسي من تساؤل حول المسألة بفضل تنبيهات بعض أساتذتي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أخوض في المسألة وأعيد فيها الفكر وألاحظها عند مطالعتي لكتب الفقه والأصول حتّى استقرّ في الذهن شيءٌ أردتُ أن لا يكون حاسماً حتّى أبحث المسألة بحثاً مستقلّا ً مستقصياً ما يمكن تعلّقه بها؛ لكي يكون ما أتبنّاه فيها عن بحثٍ وافٍ بالموضوع،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صلب البحث لا بُدَّ من توضيح وتحرير محلّ البحث، وذلك في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مفردات عنوان البحث لغةً واصطلاحاً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الاستخدام الأصوليّ للوجدان</w:t>
      </w:r>
      <w:r>
        <w:rPr>
          <w:rFonts w:eastAsia="Amiri" w:cs="Amiri" w:ascii="Amiri" w:hAnsi="Amiri"/>
          <w:color w:val="111111"/>
          <w:sz w:val="28"/>
          <w:szCs w:val="28"/>
          <w:rtl w:val="true"/>
          <w:lang w:bidi="ar-SA"/>
        </w:rPr>
        <w:t xml:space="preserve">. </w:t>
      </w:r>
      <w:bookmarkStart w:id="292" w:name="pg10932_87734"/>
    </w:p>
    <w:p>
      <w:pPr>
        <w:pStyle w:val="Heading3"/>
        <w:numPr>
          <w:ilvl w:val="2"/>
          <w:numId w:val="1"/>
        </w:numPr>
        <w:rPr/>
      </w:pPr>
      <w:bookmarkStart w:id="293" w:name="__RefHeading___Toc3208557_2870459653"/>
      <w:bookmarkStart w:id="294" w:name="_Toc113"/>
      <w:bookmarkEnd w:id="292"/>
      <w:bookmarkEnd w:id="293"/>
      <w:r>
        <w:rPr>
          <w:rtl w:val="true"/>
        </w:rPr>
        <w:t>المقدّمة الأولى</w:t>
      </w:r>
      <w:r>
        <w:rPr>
          <w:rtl w:val="true"/>
        </w:rPr>
        <w:t xml:space="preserve">: </w:t>
      </w:r>
      <w:r>
        <w:rPr>
          <w:rtl w:val="true"/>
        </w:rPr>
        <w:t>توضيح مفردات عنوان البحث</w:t>
      </w:r>
      <w:r>
        <w:rPr>
          <w:rtl w:val="true"/>
        </w:rPr>
        <w:t>..</w:t>
      </w:r>
      <w:bookmarkEnd w:id="294"/>
    </w:p>
    <w:p>
      <w:pPr>
        <w:pStyle w:val="BookText"/>
        <w:rPr/>
      </w:pPr>
      <w:r>
        <w:rPr>
          <w:rFonts w:ascii="Amiri" w:hAnsi="Amiri" w:eastAsia="Amiri" w:cs="Amiri"/>
          <w:color w:val="111111"/>
          <w:sz w:val="28"/>
          <w:sz w:val="28"/>
          <w:szCs w:val="28"/>
          <w:rtl w:val="true"/>
          <w:lang w:bidi="ar-SA"/>
        </w:rPr>
        <w:t>يتضمّن عنوان البحث مفردتين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الظفر عند الخصومة، الفعل حاججته فحججته، واحتججت عليه بكذا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المعنى الاصطلاحي فإنّ لهم إطلاقات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 والمعذِّر،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معذّر للعبد في علاقته مع مولاه، ومنجّز للمولى في إلزامه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المعتبرة في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المخصَّص حجّة في غير مورد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أصالة الظهور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نريده من الحجّيّة هنا هو المعنى الثاني، أي هل الوجدان كاشف معتبر أم لا؟ وسيأتي بيان وجه هذا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لغة الإصابة،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الوجدان والجِدَة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الشيء، أي أصبته</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الزبيديّ الإصابة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المعنى الاصطلاحي فله معنيان نتعرّض لهما إجمالاً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الإحراز الوجداني الذي يستخدم في قبال الإحراز التعبّديّ، والمقصود منه الإحراز بطريق القطع الحقيقيّ في قبال الإحراز بالأمارات ونحوها، كما ذكره السيّد</w:t>
      </w:r>
      <w:bookmarkStart w:id="295" w:name="pg10932_87736"/>
    </w:p>
    <w:p>
      <w:pPr>
        <w:pStyle w:val="BookText"/>
        <w:rPr/>
      </w:pPr>
      <w:bookmarkEnd w:id="295"/>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فالمعروف بين المحقّقين أنَّه متى كان الموضوع مركّباً وافترضنا أنَّ أحد جزئيه محرز بالوجدان أو بتعبّدٍ ما فبالإمكان إجراء الاستصحاب في الجزء الآخر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إجمالاً ما يجده الشخص من نفسه عند مراجعتها في أمر ما، كما لو عُرِض عليه مسألة ادّعي تحقّقها عرفاً فيراجع وجدانه، فيرى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بالاستناد إلى وجدانه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عرفيّة، وهذا المعنى هو الذي يشيع استخدامه في علم الأصول، خصوصاً في مقام ذكر الأدلّة على المسائل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للوجدان نحوين، وجدان شخصيّ، وهو ما مرّ بيانه، ووجدان عام، وهو إجمالاً الوجدان الذي يشترك فيه نوع البشر أو المتحاورون أو العرف، وسيأتي بيانٌ تفصيليٌّ لحقيقته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3208559_2870459653"/>
      <w:bookmarkStart w:id="297" w:name="_Toc114"/>
      <w:bookmarkEnd w:id="296"/>
      <w:r>
        <w:rPr>
          <w:rtl w:val="true"/>
        </w:rPr>
        <w:t>المقدّمة الأخرى</w:t>
      </w:r>
      <w:r>
        <w:rPr>
          <w:rtl w:val="true"/>
        </w:rPr>
        <w:t xml:space="preserve">: </w:t>
      </w:r>
      <w:r>
        <w:rPr>
          <w:rtl w:val="true"/>
        </w:rPr>
        <w:t>الاستخدام الأصوليّ للوجدان</w:t>
      </w:r>
      <w:bookmarkEnd w:id="297"/>
    </w:p>
    <w:p>
      <w:pPr>
        <w:pStyle w:val="Heading4"/>
        <w:numPr>
          <w:ilvl w:val="3"/>
          <w:numId w:val="1"/>
        </w:numPr>
        <w:rPr/>
      </w:pPr>
      <w:bookmarkStart w:id="298" w:name="__RefHeading___Toc3208561_2870459653"/>
      <w:bookmarkStart w:id="299" w:name="_Toc115"/>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وهي في بيان كيفيّة استخدام الوجدان، وبيان موارد استخدامه والاستناد إليه عند الأصوليين، وهي مقدّمة دخيلة في تصوّر موضوع البحث، تساعد على الوصول إلى صورة أوضح عن التطبيق العملي لهذا الدليل، ويقع الكلام في ثلاثة أقسام</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3208563_2870459653"/>
      <w:bookmarkStart w:id="301" w:name="_Toc116"/>
      <w:bookmarkEnd w:id="300"/>
      <w:r>
        <w:rPr>
          <w:rtl w:val="true"/>
        </w:rPr>
        <w:t>القسم الأوّل</w:t>
      </w:r>
      <w:r>
        <w:rPr>
          <w:rtl w:val="true"/>
        </w:rPr>
        <w:t xml:space="preserve">: </w:t>
      </w:r>
      <w:r>
        <w:rPr>
          <w:rtl w:val="true"/>
        </w:rPr>
        <w:t>في بيان كيفيّة استخدام الوجدان</w:t>
      </w:r>
      <w:bookmarkEnd w:id="30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يستخدم الوجدان الشخصيّ كدليل محرِز يُحرَز به الوجدان النوعيّ تارة، وعناوين كحكم العرف أو الظهور أو التبادر أو حكم العقل من تحسين أو تقبيح تارة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ولبيان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الأساليب الإحرازيّة بشكل عامّ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الإحراز الحسّيّ، كما لو أردت معرفة هطول المطر، فتستخدم الحاسّة الباصرة أو السامعة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الإحراز بالاستقراء، كما لو أردت معرفة تأثير مادّة معيّنة في جسم الإنسان، فتستقرئ موارد استخدامها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الإحراز المنطقيّ، كما في موارد استخدام الأقيسة المنطقيّة؛ لاستخراج القواعد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بشكل عامّ، وأمّا في محلّ كلامنا وهو إحراز المواضيع التي نحتاج لإحرازها فهناك أساليب متعدّدة له، فلإحراز الظهور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يمكنك أن تعرض الكلام على شخص فترى ما يستظهره، ويمكنك أن تستخدم وجدانك فتعرف الظهور الشخصيّ،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أجده في وجداني من ظهور لهذا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إحراز حكم العرف في مورد ما مثلاً، فكما يمكن أن تستخدم القرائن وقوانين الأحكام العرفيّة والشواهد يمكنك أن تستخدم وجدانك لمعرفة حكم العرف، فقد تُسأل في مورد عن حكم أنّه ما أدراك أنّ العرف يحكم بذلك؟ فتجيب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ولمكان استخدامه كمحرِز يقع في بعض تعبيراتهم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سنعرضها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الوجدان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الباطنيّ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فإنّ الوجدان حين يستخدم تارة يعبّر عنه بشكل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يستخدم ويعبّر عنه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فيذكر أنّ العرف يحكم وأنّ الظاهر كذا، والمستخدم في الحقيقة هو الوجدان، وتدلّ على ذلك قرائن سيأتي تفصيلها</w:t>
      </w:r>
      <w:r>
        <w:rPr>
          <w:rFonts w:eastAsia="Amiri" w:cs="Amiri" w:ascii="Amiri" w:hAnsi="Amiri"/>
          <w:color w:val="111111"/>
          <w:sz w:val="28"/>
          <w:szCs w:val="28"/>
          <w:rtl w:val="true"/>
          <w:lang w:bidi="ar-SA"/>
        </w:rPr>
        <w:t xml:space="preserve">. </w:t>
      </w:r>
      <w:bookmarkStart w:id="302" w:name="pg10932_87740"/>
    </w:p>
    <w:p>
      <w:pPr>
        <w:pStyle w:val="Heading4"/>
        <w:numPr>
          <w:ilvl w:val="3"/>
          <w:numId w:val="1"/>
        </w:numPr>
        <w:rPr/>
      </w:pPr>
      <w:bookmarkStart w:id="303" w:name="__RefHeading___Toc3208565_2870459653"/>
      <w:bookmarkStart w:id="304" w:name="_Toc117"/>
      <w:bookmarkEnd w:id="302"/>
      <w:bookmarkEnd w:id="303"/>
      <w:r>
        <w:rPr>
          <w:rtl w:val="true"/>
        </w:rPr>
        <w:t>القسم الثاني</w:t>
      </w:r>
      <w:r>
        <w:rPr>
          <w:rtl w:val="true"/>
        </w:rPr>
        <w:t xml:space="preserve">: </w:t>
      </w:r>
      <w:r>
        <w:rPr>
          <w:rtl w:val="true"/>
        </w:rPr>
        <w:t>في موارد استخدام الوجدان</w:t>
      </w:r>
      <w:bookmarkEnd w:id="304"/>
    </w:p>
    <w:p>
      <w:pPr>
        <w:pStyle w:val="BookText"/>
        <w:rPr/>
      </w:pPr>
      <w:r>
        <w:rPr>
          <w:rFonts w:ascii="Amiri" w:hAnsi="Amiri" w:eastAsia="Amiri" w:cs="Amiri"/>
          <w:color w:val="111111"/>
          <w:sz w:val="28"/>
          <w:sz w:val="28"/>
          <w:szCs w:val="28"/>
          <w:rtl w:val="true"/>
          <w:lang w:bidi="ar-SA"/>
        </w:rPr>
        <w:t>والاستخدام الأصوليّ للوجدان شائع جدّاً بشكل صريح، أو غير صريح فيعبّر عنه بتعبيرات أُخر كما أسلفنا، وموارد الاستعمال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الوجدان في إحراز الواقع، كوجود أمر في نفس الإنسان، وإحراز الأمور العرفيّة كالاختلاف بين شيئين، وطريقة العرف في التعامل مع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ما يذكر بشكل صريح في هذه الاستخدامات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إنّ المطلوب بالمقدّمة مجرّد التوصّل بها إلى الواجب وحصوله فلا جرم يكون التوصّل إليه وحصوله معتبراً في مطلوبيّتها، فلا تكون مطلوبة إذا انفكّت عنه، وصريح الوجدان قاضٍ بأنّ من يريد شيئاً لمجرّد حصول شيء لا يريده</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وغيرها من الموارد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الوجدان في الشؤون اللفظيّة، كإحراز الظهور في بعض موارد الاستعمال، وكذا في مفاد الصيغ ونحوها، وكذا في إحراز المعنى الوضعيّ، فيستخدم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بشكل صريح كما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أخذ مفهوم الشيء في المفاهيم الاشتقاقيّة يستلزم تكرّر الموضوع في قضيّة زيد قائم، والإنسان كاتب وما شاكلهما، والتكرّر خلاف الوجدان والمتفاهم عرفاً من المشتقّات عند استعمالاتها في الكلام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في إحراز التبادر أو لإحراز الظهور العرفيّ للكلام حيث </w:t>
      </w:r>
      <w:bookmarkStart w:id="305" w:name="pg10932_87742"/>
    </w:p>
    <w:p>
      <w:pPr>
        <w:pStyle w:val="BookText"/>
        <w:rPr/>
      </w:pPr>
      <w:bookmarkEnd w:id="305"/>
      <w:r>
        <w:rPr>
          <w:rFonts w:ascii="Amiri" w:hAnsi="Amiri" w:eastAsia="Amiri" w:cs="Amiri"/>
          <w:color w:val="111111"/>
          <w:sz w:val="28"/>
          <w:sz w:val="28"/>
          <w:szCs w:val="28"/>
          <w:rtl w:val="true"/>
          <w:lang w:bidi="ar-SA"/>
        </w:rPr>
        <w:t xml:space="preserve">يذكر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أشار إلى هذا النوع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بحوثه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كون هذا النوع من أساليب الإحراز المعروفة في علم الأصول، وسيأتي تفصيل الكلام في هذه النقطة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الوجدان في موارد التحسين والتقبيح العقليّين، أي في إحراز كون شيء واجباً أو قبيحاً أو ممّا يحسن فعله أو ممّا يذمّ فاعله، كما قال المحقّق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أنّ القطع يوجب استحقاق العقوبة على المخالفة والمثوبة على الموافقة في صورة الإصابة، فهل يوجب استحقاقها في صورة عدم الإصابة على التجرّي بمخالفته واستحقاق المثوبة على الانقياد بموافقته أو لا يوجب شيئاً؟ الحقّ أنَّه يوجبه لشهادة الوجدان بصحّة مؤاخذته وذمّه على تجرّيه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3208567_2870459653"/>
      <w:bookmarkStart w:id="307" w:name="_Toc118"/>
      <w:bookmarkEnd w:id="306"/>
      <w:r>
        <w:rPr>
          <w:rtl w:val="true"/>
        </w:rPr>
        <w:t>القسم الثالث</w:t>
      </w:r>
      <w:r>
        <w:rPr>
          <w:rtl w:val="true"/>
        </w:rPr>
        <w:t xml:space="preserve">: </w:t>
      </w:r>
      <w:r>
        <w:rPr>
          <w:rtl w:val="true"/>
        </w:rPr>
        <w:t>في نوع الوجدان المستخدم</w:t>
      </w:r>
      <w:bookmarkEnd w:id="307"/>
    </w:p>
    <w:p>
      <w:pPr>
        <w:pStyle w:val="BookText"/>
        <w:rPr/>
      </w:pPr>
      <w:r>
        <w:rPr>
          <w:rFonts w:ascii="Amiri" w:hAnsi="Amiri" w:eastAsia="Amiri" w:cs="Amiri"/>
          <w:color w:val="111111"/>
          <w:sz w:val="28"/>
          <w:sz w:val="28"/>
          <w:szCs w:val="28"/>
          <w:rtl w:val="true"/>
          <w:lang w:bidi="ar-SA"/>
        </w:rPr>
        <w:t xml:space="preserve">إنّ الوجدان الذي يشيع استخدامه في الأصول والفقه هو الوجدان الشخصيّ، وحين يطلق الوجدان فإنّ المستخدَم يكون الشخصيّ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يجوز أن يقصد منه الوجدان النوعيّ عند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كأصل أوّلي، إلّا إذا قامت قرينة على خلاف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يتساءل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حين ذِكر الوجدان يقصدون الوجدان النوعيّ ويكون إحرازه على عهدتهم، أي ما الذي يدلّ على كونهم يستخدمون وجدانهم </w:t>
      </w:r>
    </w:p>
    <w:p>
      <w:pPr>
        <w:pStyle w:val="BookText"/>
        <w:rPr/>
      </w:pPr>
      <w:r>
        <w:rPr>
          <w:rFonts w:ascii="Amiri" w:hAnsi="Amiri" w:eastAsia="Amiri" w:cs="Amiri"/>
          <w:color w:val="111111"/>
          <w:sz w:val="28"/>
          <w:sz w:val="28"/>
          <w:szCs w:val="28"/>
          <w:rtl w:val="true"/>
          <w:lang w:bidi="ar-SA"/>
        </w:rPr>
        <w:t>الشخصيّ في تلك الموارد التي يدّعون قيام الوجدان فيها؟</w:t>
      </w:r>
    </w:p>
    <w:p>
      <w:pPr>
        <w:pStyle w:val="BookText"/>
        <w:rPr/>
      </w:pPr>
      <w:r>
        <w:rPr>
          <w:rFonts w:ascii="Amiri" w:hAnsi="Amiri" w:eastAsia="Amiri" w:cs="Amiri"/>
          <w:color w:val="111111"/>
          <w:sz w:val="28"/>
          <w:sz w:val="28"/>
          <w:szCs w:val="28"/>
          <w:rtl w:val="true"/>
          <w:lang w:bidi="ar-SA"/>
        </w:rPr>
        <w:t>فيجاب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يظهر كونه المستخدم حين الاستدلال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الحالة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الوجدان الشخصيّ، وكذا في موارد ادّعاء حكم العقل والعرف والظهور والتبادر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يصرّح بكون الدليل هو الوجدان الشخصيّ في هذه الموارد إلّا أنّه ظاهراً كذلك، وتدلّ على ذلك قرائن،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 المقابل لرجوعه إلى وجدانه الشخصيّ هو الرجوع لقرائن، أو الرجوع إلى المتابعة والاستقراء لتحصيل الظهور أو حكم العرف وما إلى ذلك، إلّا أنّ مثل ذلك ممّا لا يترك ذكره عادة، فالملاحظ أنّهم يشيرون إلى القرائن والشواهد عند تحصيلها ممّا يدلّ على أنّهم لو لم يذكروها رجعوا إلى وجدانهم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لمّا علمنا من وجداننا ومن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سلب الضارب عمّن انقضى عنه الضرب</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ممّا يدلّ على أنّه زيادة على مراجعة وجدانه راجع العرف، وذكر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العلم بصحّة الاستعمال على الوجه المذكور بمراجعة الوجدان، أو بملاحظة محاورات أهل اللسان</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المغايرة، وكذا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لفظ الأمر حقيقة في الوجوب لانسباقه عنه عند إطلاقه ويؤيّده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أشقّ على أمّتي لأمرتهم بالسواك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لبريرة بعد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أتأمرني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إنَّما أنا </w:t>
      </w:r>
    </w:p>
    <w:p>
      <w:pPr>
        <w:pStyle w:val="BookText"/>
        <w:rPr/>
      </w:pPr>
      <w:r>
        <w:rPr>
          <w:rFonts w:ascii="Amiri" w:hAnsi="Amiri" w:eastAsia="Amiri" w:cs="Amiri"/>
          <w:color w:val="111111"/>
          <w:sz w:val="28"/>
          <w:sz w:val="28"/>
          <w:szCs w:val="28"/>
          <w:rtl w:val="true"/>
          <w:lang w:bidi="ar-SA"/>
        </w:rPr>
        <w:t>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وصحّة الاحتجاج على العبد ومؤاخذته بمجرّد مخالفة أمره وتوبيخه على مجرّد مخالفته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أَلَّا تَسْجُدَ إِذْ أَمَرْتُكَ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بالتبادر وأيّده بشواهد من الآيات والروايات وأمثلة أخرى</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من باب الخلاف في استظهارات عرفيّة قد لا يمكن تخريج نكات موضوعيّة لها كما نصنع ذلك في أكثر الاستظهارات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جملة من الخلافات ترجع إلى نكات ذاتيّة</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وهو يدلّ على أن أكثر الاستظهارات هي عبارة عن استظهارات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استخدام للوجدان الشخصيّ في إحراز الظهور كما سيتبيّن</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إلى أمور موضوعيّة من قبيل الاستقراء أو مراجعة فهم العقلاء بطرق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التعرّض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يُذكر تفسيراً لبعض التعبيرات،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ممّا يدلّ على أنّ المراد بالعرف وأشباهه من استخدامات الوجدان ما هي إلّا مراجعة الشخص لنفسه، 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العرف ببابك، فهل ترى من نفسك اختلاف تصدّي نفسك وحملتها نحو ما كان في منتهى درجة المصلحة</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حيث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بإرجاع الأمر إلى نفس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وجدانه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المقصود هو المراجعة الاستقرائيّة لما كان هنالك وجه للإرجاع إلى النفس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 في وقاية الأذهان في مناقشة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يشكّ المنصف الذي لم يفسد وجدانه بمزاولة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فراجع وجدانك وأنصف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يدلّ على نسبة الوجدان إلى الشخص يقتضي أن يكون المناط في تحقيق دليل الوجدان هو الوجدان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ورد في مواضع أُخر من وقاية الأذهان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المقصود بالوجدان عند إضافته إلى المخاطب هو نفس الوجدان عند إطلاقه؛ إذ يستخدم في نفس موارد استخدام الوجدان المطلق، ولو كان له معنى مغاير لتعرّض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ذكره 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بعض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الوجه الأوَّل والثاني فهما وجهان يرجعان إلى تحكيم الوجدان؛ لذلك كانت المناقشة فيهما سهلة، لإمكان إنكار التبادر وصحّة السلب ودعوى العكس، وأنّ المتبادر هو الأعمّ كما حدث فعلاً؛ فقد جاء في استدلال الأعمّي على دعواه ادعاء التبادر وعدم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فالالتزام بأحد الطرفين ممّا لا يمكن الجزم به وفرضه، بل أمر يوكل إلى ما يلمسه وجدان كلّ فرد من أهل العرف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المقطع قويّ الدلالة على ما ذكرناه؛ حيث ذكر أنّ مناقشة الوجه الوجدانيّ أمر سهل، إذ يقابل وجدان المدّعي بوجدان المناقِش، ممّا يعني أنّ الوجه الوجدانيّ المراد به وجدان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ذكره من إحالة الأمر إلى</w:t>
      </w:r>
      <w:bookmarkStart w:id="308" w:name="pg10932_87751"/>
    </w:p>
    <w:p>
      <w:pPr>
        <w:pStyle w:val="BookText"/>
        <w:rPr/>
      </w:pPr>
      <w:bookmarkEnd w:id="308"/>
      <w:r>
        <w:rPr>
          <w:rFonts w:ascii="Amiri" w:hAnsi="Amiri" w:eastAsia="Amiri" w:cs="Amiri"/>
          <w:color w:val="111111"/>
          <w:sz w:val="28"/>
          <w:sz w:val="28"/>
          <w:szCs w:val="28"/>
          <w:rtl w:val="true"/>
          <w:lang w:bidi="ar-SA"/>
        </w:rPr>
        <w:t>وجدان كلِّ فرد، فإنّه يفيد أنّ المعتبر في الاستدلال بالوجدان ما يلمسه صاحب الوجدان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المستبعد أن يكون المقصود بالوجدان هو الدليل الاستقرائي، أو أيّ نحو آخر غير الرجوع إلى الوجدان الشخصيّ؛ إذ لم يظهر أنّ التعبير بالوجدان عن الدليل الاستقرائي أو أي نحو آخر أنّه تعبير متعارف، حتّى يستخدم ويعوّل في فهمه على معهوديّته في الأذهان، مع ما عرفت فيما سبق أنّ مثل المتابعة والظفر بالشواهد والمؤيّدات ممّا لا يترك ذكره عادة كي نفترض أنّهم يذكرون الوجدان فقط ويريدون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المستخدم في إحراز العرف والظهور والوجدان والتحسين والتقبيح ونحوه من التعبيرات هو الوجدان الشخصيّ ما لم تقم على خلاف ذلك قرينة</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3208569_2870459653"/>
      <w:bookmarkStart w:id="310" w:name="_Toc119"/>
      <w:bookmarkEnd w:id="309"/>
      <w:r>
        <w:rPr>
          <w:rtl w:val="true"/>
        </w:rPr>
        <w:t>تحرير محلّ النزاع</w:t>
      </w:r>
      <w:r>
        <w:rPr>
          <w:rtl w:val="true"/>
        </w:rPr>
        <w:t>..</w:t>
      </w:r>
      <w:bookmarkEnd w:id="310"/>
    </w:p>
    <w:p>
      <w:pPr>
        <w:pStyle w:val="BookText"/>
        <w:rPr/>
      </w:pPr>
      <w:r>
        <w:rPr>
          <w:rFonts w:ascii="Amiri" w:hAnsi="Amiri" w:eastAsia="Amiri" w:cs="Amiri"/>
          <w:color w:val="111111"/>
          <w:sz w:val="28"/>
          <w:sz w:val="28"/>
          <w:szCs w:val="28"/>
          <w:rtl w:val="true"/>
          <w:lang w:bidi="ar-SA"/>
        </w:rPr>
        <w:t xml:space="preserve">بعد أن تمّ بيان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وأنواعه، واستخدامه العلميّ، لا بُدَّ من بيان المراد والمقصود في محلّ البحث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محلّ البحث هل أنّ الوجدان الشخصيّ كاشف معتبر أم لا؟ وبتعبير آخر هل هو طريق معتبر للوصول إلى الواقع أم لا؟</w:t>
      </w:r>
    </w:p>
    <w:p>
      <w:pPr>
        <w:pStyle w:val="BookText"/>
        <w:rPr/>
      </w:pPr>
      <w:r>
        <w:rPr>
          <w:rFonts w:ascii="Amiri" w:hAnsi="Amiri" w:eastAsia="Amiri" w:cs="Amiri"/>
          <w:color w:val="111111"/>
          <w:sz w:val="28"/>
          <w:sz w:val="28"/>
          <w:szCs w:val="28"/>
          <w:rtl w:val="true"/>
          <w:lang w:bidi="ar-SA"/>
        </w:rPr>
        <w:t>ومعنى ذلك أنّا اخترنا من معاني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 ومن معاني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الاختيار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أنّ للوجدان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 شخصيّ وآخر عامّ، وحيث إنّ الوجدان العام يمثّل تطابق وجدان عامّة البشر أو نوعهم على أمرٍ، كتطابقهم على مفاد صيغة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فيستشعرون بوجدانهم أمراً مشتركاً فيمثّل هذا الأمر </w:t>
      </w:r>
      <w:bookmarkStart w:id="311" w:name="pg10932_87753"/>
    </w:p>
    <w:p>
      <w:pPr>
        <w:pStyle w:val="BookText"/>
        <w:rPr/>
      </w:pPr>
      <w:bookmarkEnd w:id="311"/>
      <w:r>
        <w:rPr>
          <w:rFonts w:ascii="Amiri" w:hAnsi="Amiri" w:eastAsia="Amiri" w:cs="Amiri"/>
          <w:color w:val="111111"/>
          <w:sz w:val="28"/>
          <w:sz w:val="28"/>
          <w:szCs w:val="28"/>
          <w:rtl w:val="true"/>
          <w:lang w:bidi="ar-SA"/>
        </w:rPr>
        <w:t xml:space="preserve">المشترك حينئذٍ الظهور العرفيّ للصيغة، وكذا لو استشعروا قبح أمرٍ ما فيكون قبيحاً عند العقلاء، فالوجدان العام المتعلق بأمرٍ ما يمثّل الموضوع المراد إحرازه كالعرف والظهور والقبح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ما يجدونه من أنفسهم هو الموضوع، أي إمّا عرفيّة الشيء أو قبحه أو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محلّ للبحث عنه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الاختيار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الكاشفيّة من معاني الحجّيّة، حيث إنّه قد مرّ أنَّ لها معنيين،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المنجّزيّة والمعذّريّة، والكاشفيّة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الوجدان لو تمّت فهي من قبيل الطرق والأدلّة المحرزة، فالبحث عن حجّيته هو البحث عن أنّ كاشفيّته معتبرة أو غير معتبرة، ولذا فإنّ التقريبات التي سنذكرها تركّز على اعتبار كاشفيّة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المنجّزيّة والمعذّريّة لو ثبتت للوجدان فهي تثبت من جهة اعتبار كاشفيّته فيعود الأمر بالأخير للحجّيّة بمعنى الكاشفيّة؛ وذلك لأنّ الدليل على حجّيته يكون مفيداً لاعتبار كاشفيّة الوجدان وكونه دليلاً محرزاً معتبراً</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208571_2870459653"/>
      <w:bookmarkStart w:id="313" w:name="_Toc120"/>
      <w:bookmarkEnd w:id="312"/>
      <w:r>
        <w:rPr>
          <w:rtl w:val="true"/>
        </w:rPr>
        <w:t>القول بالحجّيّة وتقريباته</w:t>
      </w:r>
      <w:bookmarkEnd w:id="313"/>
    </w:p>
    <w:p>
      <w:pPr>
        <w:pStyle w:val="Heading4"/>
        <w:numPr>
          <w:ilvl w:val="3"/>
          <w:numId w:val="1"/>
        </w:numPr>
        <w:rPr/>
      </w:pPr>
      <w:bookmarkStart w:id="314" w:name="__RefHeading___Toc3208573_2870459653"/>
      <w:bookmarkStart w:id="315" w:name="_Toc121"/>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إنّ الوجدان مع كثرة الاستناد إليه والاستدلال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بعض 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 صرّح بحجّيّته، وكأنّهم متسالمون على حجّيته، والاستدلال به شائع، بل لم أقف على من صرّح بعدم حجّيّة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التقريبات ومناقشتها لا بُدَّ من بيان أمرين لهما دخالة في فهم المناقشات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الشواهد التي أذكرها بخصوص الوجدان في المناقشات مبنيّ على أنّ المستخدم فيها هو الوجدان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الموارد التي كنت أشكّ في كون الوجدان المذكور فيها شخصيّاً لم أذكرها؛ لاحتفافها بقرينة أو بمحتمل </w:t>
      </w:r>
      <w:bookmarkStart w:id="316" w:name="pg10932_87754"/>
    </w:p>
    <w:p>
      <w:pPr>
        <w:pStyle w:val="BookText"/>
        <w:rPr/>
      </w:pPr>
      <w:bookmarkEnd w:id="316"/>
      <w:r>
        <w:rPr>
          <w:rFonts w:ascii="Amiri" w:hAnsi="Amiri" w:eastAsia="Amiri" w:cs="Amiri"/>
          <w:color w:val="111111"/>
          <w:sz w:val="28"/>
          <w:sz w:val="28"/>
          <w:szCs w:val="28"/>
          <w:rtl w:val="true"/>
          <w:lang w:bidi="ar-SA"/>
        </w:rPr>
        <w:t>القرينيّة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المناقشات المذكورة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المناقشة في التقريب بأنّه لا يبرّر استخدامات الأعلام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الاستخدامات التي تقع منهم في الاستدلال في مختلف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للوجدان، فيكون الدليل أخصّ من المدّعى؛ إذ لو ثبت استخدام الأعلام للوجدان في موردٍ ما فإنّه يكشف عن التزام ضمني بكونه صالحاً كحجّة في ذلك المورد، فإذا تبيّن عدم وفاء التقريب بحجّيّة الوجدان في ذلك المورد كان التقريب أخصّ فيما يثبته من الحجّيّة الملتزَمة من قبل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مطابقة الدليل للواقع، بالخدشة في مقدّماته أو 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ذكر عدّة تقريبات لهذا القول</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3208575_2870459653"/>
      <w:bookmarkStart w:id="318" w:name="_Toc122"/>
      <w:bookmarkEnd w:id="317"/>
      <w:r>
        <w:rPr>
          <w:rtl w:val="true"/>
        </w:rPr>
        <w:t>التقريب الأوّل</w:t>
      </w:r>
      <w:bookmarkEnd w:id="318"/>
    </w:p>
    <w:p>
      <w:pPr>
        <w:pStyle w:val="Heading5"/>
        <w:numPr>
          <w:ilvl w:val="4"/>
          <w:numId w:val="1"/>
        </w:numPr>
        <w:rPr/>
      </w:pPr>
      <w:bookmarkStart w:id="319" w:name="__RefHeading___Toc3208577_2870459653"/>
      <w:bookmarkStart w:id="320" w:name="_Toc123"/>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تقريب حجّيّته من باب كونه يفيد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مراجعة المرء لوجدانه الشخصيّ عند تحقيق حال أمر من كونه حسناً أو قبيحاً، أو في تحقيق حكم العرف في مسألة ما، أو في ظهور لفظ ما يحصل له القطع بأنّ ما قام عليه وجدانه هو الواقع، فلو راجع وجدانه عند البحث عن دلالة صيغة الأمر على الوجوب يجد أنّها تدلّ على ذلك، فيقطع بكونه هو الواقع، أي أنّ الظهور العرفيّ للصيغة هو الوجوب؛ لأنّ هذا الوجدان لا ينشأ من فراغ</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التقريب وإن لم يُصرّح به إلّا أنّه يمكن أن يستفاد من كلمات بعض علماء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أحد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ذلك من الفطريّات ولا من الوجدانيّات ونحوهما حتّى يدّعى الضرورة فيه</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وهو يشير إلى أنّ الوجدانيّات ممّا يقطع العقل بالضرورة بها حتّى أنّه عطفها على الفطريات، وكذا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إفاضة العلوم الضروريّة؛ إذ هي منحصرة بحسب الاستقراء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الفطريّات والوجدانيّات وذوات الأسباب</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آل 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الوجدانيّات من الأمور الضروريّة</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عدّد أقسام الضروريات فذكر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الحسّ الباطنيّ كالوجدانيّات وهي ككون أنَّ لنا علماً بكذا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قد يستفاد من 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لمّا علمنا من وجداننا ومن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فإنَّه يشير إلى استفادة العلم بواسطة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مقصوده حصول العلم من العرف والوجدان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حصول القطع من كلٍّ منهما بالاستقلال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بداهة الوجدان قاضٍ بأنَّه لا مدخليّة لعنوان الإيصال والترتّب</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بناءً على تفسير نسبة البداهة للوجدان بكونها من قبيل نسبة </w:t>
      </w:r>
      <w:bookmarkStart w:id="321" w:name="pg10932_87759"/>
    </w:p>
    <w:p>
      <w:pPr>
        <w:pStyle w:val="BookText"/>
        <w:rPr/>
      </w:pPr>
      <w:bookmarkEnd w:id="321"/>
      <w:r>
        <w:rPr>
          <w:rFonts w:ascii="Amiri" w:hAnsi="Amiri" w:eastAsia="Amiri" w:cs="Amiri"/>
          <w:color w:val="111111"/>
          <w:sz w:val="28"/>
          <w:sz w:val="28"/>
          <w:szCs w:val="28"/>
          <w:rtl w:val="true"/>
          <w:lang w:bidi="ar-SA"/>
        </w:rPr>
        <w:t>المعلول إلى علّته، أي الوضوح الناشئ من الوجدان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الشمس وحرارة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تفسير آخر يأتي بيانه في التقريب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من بعض الكلمات إفادته الاطمئنان، كما ذكر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إذا راجعنا وجداننا لا نستبعد إطلاق الكرّيّة على الماء</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التقريب يبرّر ويعالج كلّ استخدامات الوجدان الشخصيّ الإحرازيّة التي مرّ الكلام عنها، وهي استخدامه في إحراز الشؤون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التبادر والظهور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وأحكام العرف وحكم العقل؛ وذلك لأنَّ مرجع التقريب إلى كون الوجدان مسبّباً للقطع الذي يكون 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يعترض عليه بعدّة اعتراضات</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3208579_2870459653"/>
      <w:bookmarkStart w:id="323" w:name="_Toc124"/>
      <w:bookmarkEnd w:id="322"/>
      <w:r>
        <w:rPr>
          <w:rtl w:val="true"/>
        </w:rPr>
        <w:t>الاعتراض الأوَّل</w:t>
      </w:r>
      <w:bookmarkEnd w:id="323"/>
    </w:p>
    <w:p>
      <w:pPr>
        <w:pStyle w:val="BookText"/>
        <w:rPr/>
      </w:pPr>
      <w:r>
        <w:rPr>
          <w:rFonts w:ascii="Amiri" w:hAnsi="Amiri" w:eastAsia="Amiri" w:cs="Amiri"/>
          <w:color w:val="111111"/>
          <w:sz w:val="28"/>
          <w:sz w:val="28"/>
          <w:szCs w:val="28"/>
          <w:rtl w:val="true"/>
          <w:lang w:bidi="ar-SA"/>
        </w:rPr>
        <w:t>أنّ هذا التقريب يبتني على مقدّمة مطويّة، وهي موضوعيّة هذا الإحراز، أي أنّ استخدام الوجدان الشخصيّ في إحراز الوجدان العامّ موضوعيّ، فمجرّد قيام الوجدان الشخصيّ يوجب القطع بشكل موضوعي بواقع الوجدان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يظهر عدم موضوعيّة هذا الإحراز؛ فإنّ هذا الإحراز لا يطابق الأساليب الموضوعيّة، وذلك أنّ الوجدان النوعيّ هو عنوان ينتزع من تطابق الوجدانات الشخصيّة على شيء، وليس الوجدان النوعيّ وجداناً حقيقيّاً، بل هو من قبيل العناوين الانتزاعيّة كالتقدّم والتأخّر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فالاستدلال بالوجدان الشخصيّ بدعوى مطابقة ما يقوم عليه للوجدان النوعيّ، كدعوى مطابقة الفرد لعنوان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يعدّ الاستدلال على كون الأُمّة سعيدة أو الشعب غنيّاً بالنظر إلى كون المستدلّ يرى نفسه غنيّاً أو سعيداً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من الواضح أنّ هكذا استدلال ليس موضوعيّاً، وإلَّا لم تكن حاجة للاستقراء؛ لاستغنائنا بمثل هذه الطريقة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عدم موضوعيّته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الترتيب المنطقيّ لهذا الاستدلال مخدوش؛ فإنّ المدّعى هو كون الوجدان النوعيّ محكوماً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والمعطى الذي يحصل عليه عند إحرازه الوجدان النوعيّ بوجدانه الشخصيّ هو كون وجدانه الشخصيّ محكوماً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فحقّانيّة المعطى لا علاقة لها بحقّانية المدّعى، فكما أنّ الاستدلال على أنّ العين النابعة دامعة بأنّ العين البصريّة دامعة خاطئ وغير موضوعيّ، وهو لا يحتاج لأكثر من ذلك لكي يقال بأنّه ليس بحجّة؛ وذلك لكونه من سنخ المغالطة، والقياس مختلف الحدّ الأوسط قياس فاسد، فكذلك يجري الإشكال في الاستدلال بالوجدان الشخصيّ، حيث إنَّ الاستدلال على أنَّ الوجدان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الوجدان الشخصيّ، والوجدان النوعيّ حجّة، واتّصاف بعض أجزاء منشأ الانتزاع لا يلازم اتّصاف العنوان المنتزع بنفس ذلك الوصف، فإنّ كون وجدان الشخص قائماً على شيء لا يعني كون الوجدان النوعيّ قائماً عليه، فإنّ الوجدان النوعيّ ينتزع من تطابق الوجدانات الشخصيّة على شيء، فليس منتزعاً من وجدان الشخص بحدّ ذاته حتى يتطابقا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نجد أنّ وجداننا يتطابق مع الاستقراء في بعض الموارد، كما في الوجدانات غير المختلف فيها، كظهور صيغة الأمر في الوجوب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قيس عليه فإنّ المستدلّ على أنّ الشعب حزين، قد يستدلّ بأنّه يرى من نفسه أنّه حزين ويطابق ذلك مؤدّى الاستقراء؛ فإنّ الطرق المخدوشة والأساليب غير الموضوعيّة لا يمتنع أن تصيب الواقع في بعض الموارد، لكن ذلك لا </w:t>
      </w:r>
    </w:p>
    <w:p>
      <w:pPr>
        <w:pStyle w:val="BookText"/>
        <w:rPr/>
      </w:pPr>
      <w:r>
        <w:rPr>
          <w:rFonts w:ascii="Amiri" w:hAnsi="Amiri" w:eastAsia="Amiri" w:cs="Amiri"/>
          <w:color w:val="111111"/>
          <w:sz w:val="28"/>
          <w:sz w:val="28"/>
          <w:szCs w:val="28"/>
          <w:rtl w:val="true"/>
          <w:lang w:bidi="ar-SA"/>
        </w:rPr>
        <w:t>يخرجها عن عدم الموضوعيّة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قد يقال في الدفاع عن الاستدلال بالوجدان الشخصيّ بما ذكره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جواب إيرادٍ على حجّيّة استخدام الوجدان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وجود البعد الوجدانيّ للأفعال والمعاني النفسيّة بطبيعته يقتضي إمكان التعويل عليه مع الاستيثاق من وجوده مع امتلاك أدوات تحليليّة دقيقة، والتفتيش عن مناشئ الزيف المحتمل في هذا الشعور والتحرّز عنها، وإعطاء توجيه قريب لدعوى الشعور الوجدانيّ على عكس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وقوع الخطأ في دعوى الوجدان أو نفيه بالذي يقتضي رفع اليد عن الاستهداء به تماماً، فإنّ مثل هذا الخطأ ممّا يتّفق في سائر أنواع الأدلّة كالأدلّة الاستنباطيّة والاستقرائيّة والحسّيّة، ولو كان مثله عائقاً عن الاعتماد على الدليل لزم السفسطة، كما استند القائلون بها إلى مثل 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فالمنهج الصحيح الاعتبار بالأخطاء في ترشيد الاستدلال ومزيد الدقة فيه لا إبطال التعويل عليه رأساً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قد يُتساءل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دليلاً، فلِمَ افترض أنّ هذا البعد الوجدانيّ يكون التمسّك به تمسّكاً موضوعياً حتّى مع ما ذكر من الاستيثاق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محلّ جواب إيراد عن استخدام الوجدان بكلا نحويه الخفيّ والجليّ، فهذا الأمر أُخذ مسلَّماً من المُورِد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لم يُقِم عليه دليلاً حيث إنّ محلّ كلامهم كان هو في الاستدلال بحدود الوجدان لا في الاستدلال بأصله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الجواب لا يثبت حجّيّة الوجدان كما هو محلّ البحث؛ فإنّ البحث </w:t>
      </w:r>
    </w:p>
    <w:p>
      <w:pPr>
        <w:pStyle w:val="BookText"/>
        <w:rPr/>
      </w:pPr>
      <w:r>
        <w:rPr>
          <w:rFonts w:ascii="Amiri" w:hAnsi="Amiri" w:eastAsia="Amiri" w:cs="Amiri"/>
          <w:color w:val="111111"/>
          <w:sz w:val="28"/>
          <w:sz w:val="28"/>
          <w:szCs w:val="28"/>
          <w:rtl w:val="true"/>
          <w:lang w:bidi="ar-SA"/>
        </w:rPr>
        <w:t xml:space="preserve">عن الوجدان وصحّة التمسّك به كدليل، لا البحث عن الوجدان مع وجود تقريب لما قام عليه ومع قيد التفتيش عن مناشئ الزيف، وكون المستدلّ لديه من الأدوات ما يميّز له الوجدانات الدقيقة ويرجع كلّا ً منها إلى أسبابه؛ فإنّ كلّ هذه القيود خارجة عن موضوع البحث، وهو الوجدان من غير أيّ قيد، فإنّ التمسّك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يقم على موضوعيّته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الأمور هو في الحقيقة تمسّك بها 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التقييد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أن يُتمسّك بالوجدان في هكذا موارد مع مثل تلك القيود، ومن ثَمَّ لو لاحظت فإنّ تلك القيود ممّا يمكن التمسّك بها لو خلت عن الوجدان، فإنّ التوجيه الذي يبيّن سبب حصول شعور وجدانيّ على خلاف وجدان صاحب التوجيه بما يقدّم من قرائن ونحوها ممّا يمكن التمسّك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كونه موضوعيّاً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الوجدان، وذلك أنَّه لو كان هنالك وجدانان شخصيّان، كلّ منهما يدّعى أنَّه هو الواقع وهو الوجدان النوعيّ، فإن وجد توجيه يبيّن الزيف في أحد الوجدانين الشخصيّين يكون بنفسه دليلاً على الوجدان النوعيّ لكفايته بذلك من غير حاجة لوجود الوجدان، أي لو لم يكن لديك وجدان في أمرٍ وكان لديك توجيه يبيّن زيف الوجدان الشخصيّ المدّعى في الأمر فإنَّه يُبيّن بذلك الوجدان المطابق للواقع، وكذا باقي القيود كما سيتمّ بيانه ضمن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أنّ التمسّك بهذا الدليل المركّب من الوجدان والقيود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بها، إذ تلك القيود يصحّ التمسّك بها من دون وجود الوجدان بخلافه، فعدمه ووجوده لا يغيّران شيئاً في التمسّك بهذا الدليل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الخطأ يقع في الحسّ ونحوه والاعتماد على هذا الأمر موجب للسفسطة، فهو مشكل من جهتين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الأخطاء في الوجدان كبيرة بشكل لا يظهر أنّها مقاربة لنسبة </w:t>
      </w:r>
    </w:p>
    <w:p>
      <w:pPr>
        <w:pStyle w:val="BookText"/>
        <w:rPr/>
      </w:pPr>
      <w:r>
        <w:rPr>
          <w:rFonts w:ascii="Amiri" w:hAnsi="Amiri" w:eastAsia="Amiri" w:cs="Amiri"/>
          <w:color w:val="111111"/>
          <w:sz w:val="28"/>
          <w:sz w:val="28"/>
          <w:szCs w:val="28"/>
          <w:rtl w:val="true"/>
          <w:lang w:bidi="ar-SA"/>
        </w:rPr>
        <w:t>الأخطاء في الحسّ ونحوه، كما سيتبيّن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السفسطة لا يكون إلّا مع انحصار السبيل إلى الواقع بالوجدان الشخصيّ، وهو مشكل لما هو واضح من وجود السُبل الأُخر، كالاستقراء والتحليل لإحراز الواقع، كما ستعرف تفصيله في التنبيه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يبتني عليه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توجيهٍ لحجّيّة 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الوجدان الشخصيّ يمكن بالنظر إليه منفرداً انتزاع وجدان نوعيّ وذلك بإزالة الحالة الشخصيّة له، وذلك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أنّ الوجدان متكوّن من نوعين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هي مناشئ للزيف، وأخرى حقّة، فعلينا أن نتفحّص الوجدان فنتّجه إلى الأمور الصائبة، ونتحرّز عن الزائفة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مخالفته لما مرّ ذكره في كيفيّة انتزاع الوجدان النوعيّ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من حيث إنّ الوجدان الشخصيّ ليس أمراً مركباً، بل هو حالة من حالات النفس البسيطة، أو كما 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كالخوف والقلق وغيرها من الأمور التي لا تكون مركّبة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فكما أنّ حقيقة خوفك من أمرٍ ما حقيقة بسيطة ثابتة في نفسك بغضّ النظر عن أسبابها فكذا الوجدان على أمرٍ شعور بسيط، فهو نتاج أمور إلّا أنّ الناتج بسيط ينتفي بزوال جزء علّته فالوجدان الناتج عن الأسباب الحقة فقط غيرُ الوجدان الناتج عن المجموع منها ومن الزائفة، فبمجرّد اكتشاف الزيغ في أحد مناشئ الوجدان وإزالة أثره عن الوجدان يتغيّر الناتج بعد إزالة هذا المؤثّر، فلا يبقى الاستدلال بمثل هذا الناتج استدلالاً بالوجدان، بل بشيء جديد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الوجدان الشخصيّ هو عبارة عن هذه الحالة النفسيّة المتشخّصة في أفق النفس الناتجة عن كلّ تلك الأسباب، فأيّ تصرّف في هذه الأسباب لا يكون الناتج </w:t>
      </w:r>
    </w:p>
    <w:p>
      <w:pPr>
        <w:pStyle w:val="BookText"/>
        <w:rPr/>
      </w:pPr>
      <w:r>
        <w:rPr>
          <w:rFonts w:ascii="Amiri" w:hAnsi="Amiri" w:eastAsia="Amiri" w:cs="Amiri"/>
          <w:color w:val="111111"/>
          <w:sz w:val="28"/>
          <w:sz w:val="28"/>
          <w:szCs w:val="28"/>
          <w:rtl w:val="true"/>
          <w:lang w:bidi="ar-SA"/>
        </w:rPr>
        <w:t>عين السابق، فلا تكون مستدلّا ً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اكتشاف أحد مناشئ الزيف لا يعدّ الوجدان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هنالك أمراً لا بُدَّ من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هنالك غموضاً وطويّاً لمقدّمةٍ، وهي ما هو معنى الزائف والصائب الذي هو مقتضى الدقّة؟</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مقتضى التأمّل أن يكون المنشأ الزائف هو ما يوجب جعل الوجدان شخصيّاً غيرَ كاشف عن الوجدان النوعيّ، والمنشأ الصحيح هو ما يجعل الوجدان يقوم على ما قام عليه الوجدان النوعيّ؛ لأنّ المناط هنا هو إحراز الوجدان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الوجدان الشخصيّ بما له من مناشئ فاسدة وصحيحة هو بكلّ تلك المناشئ وجدان شخصيّ خارجاً، فكما أنّ وجود الطبيعي في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الآباء والأبناء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ما ينسب للرجل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في زيد ليس عين الإنسان في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ينتزع منهما صورة مشتركة، فكذا المبرّر الذي يدّعى كونه صحيحاً ونوعيّاً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بنوعي بل هو منشأ شخصيّ أيضاً بوجوده النفسي، فأنت حين ترجع إلى وجدانك تجد المناشئ كلّها شخصيّة لا أنّك تجد مناشئ شخصيّة ونوعيّة لتجري عليها ما تجده من تعديل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إذن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منشؤه أمر شخصيّ، وذاك منشؤه أمر موضوعيّ نوعيّ بعد ما ذكر؟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هذا التوصيف هو مقايسة المناشئ واستقراؤها، فما تطابق عليه من بين المناشئ يكون نوعيّاً وما تفرّد به يكون شخصيّاً، إلّا أنّ هذا مع المحافظة على كونها في مقام وجودها الخارجيّ متشخّصة في أفق النفس، كما في انتزاع الكلّيّ من الأفراد </w:t>
      </w:r>
    </w:p>
    <w:p>
      <w:pPr>
        <w:pStyle w:val="BookText"/>
        <w:rPr/>
      </w:pPr>
      <w:r>
        <w:rPr>
          <w:rFonts w:ascii="Amiri" w:hAnsi="Amiri" w:eastAsia="Amiri" w:cs="Amiri"/>
          <w:color w:val="111111"/>
          <w:sz w:val="28"/>
          <w:sz w:val="28"/>
          <w:szCs w:val="28"/>
          <w:rtl w:val="true"/>
          <w:lang w:bidi="ar-SA"/>
        </w:rPr>
        <w:t>الخارجيّة، حيث كلّ طبيعيّ خارجيّ مغاير للطبيعيّ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فإيجاد مناشئ الزيف هو بالاستقراء ونحوه ممّا يكشف كشفاً موضوعيّاً عن كون المنشأ شخصيّاً، فبذلك نعود إلى الاعتماد على الاستقراء في إحراز الوجدان النوعيّ ولا نعتمد على الوجدان الشخصيّ؛ ولذا لو كان مؤدّى الاستقراء كاشفاً عن نتيجة مباينة للوجدان الشخصيّ للمُستقرِئ لم يعبأ به؛ لأنّه لا قيمة له بحالته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هذه النتيجة قد تخالف ما يُفهم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افترض أنّك تحافظ على وجدانك بشكله الجديد بعد افتراض إيجاد مناشئ الزيف والتحرّز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التفتيش قد لا يمكن تطبيقه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يكون نتاجاً واضحاً لأسباب واضحة، أو يمكن بسهولة اكتشاف أسبابه، كاحتراق الورقة الذي يعرف منشؤه وسببه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يكون نتاجاً عن جملة من الأسباب بنحو معقّد، فينتج من عدّة أسباب طوليّة أو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والوجدان الشخصيّ من قبيل القسم الآخر، فالظاهر أنّه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ناتجة عن ظروف عديدة وملابسات وخبرات شخصيّة قد تكون بعضها حادثة، وأخرى قديمة الوجود، ولا أقلّ من أنّه يحتمل رجوعه لمثل هكذا أسباب، ولمّا كان البحث عن مناشئ الزيف لا بُدَّ أن يشمل كلّ ما يحتمل تأثيره، فلا بُدَّ من شموله لمثل هذه الأسباب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لمّا كانت هذه الأسباب لا تنحصر في كونها أسباب قريبة ومباشرة بل تكون بعضها قديمة، أو مجهولة مزروعة في طبيعة الإنسان أو إرثه، فلا يستطيع تمييزها فيصبح البحث عن مناشئ الزيف في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متعسّراً؛ لعدم قدرة صاحبه على </w:t>
      </w:r>
    </w:p>
    <w:p>
      <w:pPr>
        <w:pStyle w:val="BookText"/>
        <w:rPr/>
      </w:pPr>
      <w:r>
        <w:rPr>
          <w:rFonts w:ascii="Amiri" w:hAnsi="Amiri" w:eastAsia="Amiri" w:cs="Amiri"/>
          <w:color w:val="111111"/>
          <w:sz w:val="28"/>
          <w:sz w:val="28"/>
          <w:szCs w:val="28"/>
          <w:rtl w:val="true"/>
          <w:lang w:bidi="ar-SA"/>
        </w:rPr>
        <w:t>الإحاطة بكافّة المناشئ، أو متعذّراً إذا لاحظنا أنّ الكلام عامّ في كلّ وجدان يُراد الاستدلال به، وقد عرفت أنّ الاستدلال بالوجدان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مرّت الإشارة إلى كلام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هنا من التعرّض له شرحاً، ولتأييده لما ذكرنا من عدم موضوعيّة إحراز الوجدان النوعيّ بالشخصيّ،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جملة من الخلافات ترجع إلى نكات ذاتيّة غير قابلة للحلّ بالبحث، كما إذا كان من باب القطع الوجدانيّ الحاصل من مزاج في فهم الأدلّة، والتعدّي من مدلولها أو الجمود عليها، أو كان من باب الخلاف في استظهارات عرفيّة قد لا يمكن تخريج نكات موضوعيّة لها، كما نصنع ذلك في أكثر الاستظهارات، أو يرجع الخلاف إلى الخلاف في فهم الذوق العقلائيّ وارتكازاتهم في باب العقود والمعاملات</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يشير إلى أنّ القطوع المستندة إلى الوجدان شخصيّة ليست قابلة للبحث، أي أنّها ليست موضوعيّة، ولا بُدَّ هنا أن نشير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المقصود من المزاج ليس مجرّد الاستحسان والمناسبة الشخصيّة، بل هو الذوق والمزاج الذي يحصل للباحث بالنظر إلى ممارسة النصوص الشرعيّة، والإحاطة بجوانبها، ومعرفة ذوق الشارع في عموم تشريعاته، وهذا الذوق قد يختلف من شخص إلى آخر، ثُمَّ إنّ مجرّد كون الذوق مستنداً إلى ممارسة شخصيّة ووجدانٍ، ولو كان ذلك الوجدان متأثراً في ضمن المناشئ المُحدِثة له بأمور من قبيل الممارسة في النصوص الشرعيّة، إلّا أنّ هذا لا يخرجه عن كونه ممارسة شخصيّة متفاعلة بباقي المؤثّرات الشخصيّة، وقد تقدّم الكلام عن هذا الأمر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يتوهم أنّ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تناقضاً، حيث إنّه صرّح أنّ جملة من </w:t>
      </w:r>
    </w:p>
    <w:p>
      <w:pPr>
        <w:pStyle w:val="BookText"/>
        <w:rPr/>
      </w:pPr>
      <w:r>
        <w:rPr>
          <w:rFonts w:ascii="Amiri" w:hAnsi="Amiri" w:eastAsia="Amiri" w:cs="Amiri"/>
          <w:color w:val="111111"/>
          <w:sz w:val="28"/>
          <w:sz w:val="28"/>
          <w:szCs w:val="28"/>
          <w:rtl w:val="true"/>
          <w:lang w:bidi="ar-SA"/>
        </w:rPr>
        <w:t xml:space="preserve">الاستظهارات لا يمكن إيجاد نكات موضوعيّة لها، ثُمّ ذكر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نصنع ذلك في أكثر الاستظهارات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بما سيأتي نقله عنه تفصيلاً</w:t>
      </w:r>
      <w:r>
        <w:rPr>
          <w:rStyle w:val="FootnoteAnchor"/>
          <w:rtl w:val="true"/>
        </w:rPr>
        <w:footnoteReference w:id="306"/>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بوجود أصل عقلائيّ يبرّر الاعتماد على الظهور الشخصيّ في إحراز الظهور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فهماً آخر لكلامه، وهو أنّ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نصنع ذلك في أكثر الاستظهارات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أنّنا نخرِّج لاستظهاراتنا نكات موضوعيّة، لا أنّ استظهاراتنا تكون بناءً على نكات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الاحتمال لا يناسب غرض كلامه وسياقه،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 خلافات ليست قابلة للحلّ، فذِكر كون أكثر استظهاراته من قبيل ما يمكن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خلاف المراد إبلاغه من وجود جملة من تلك الخلافات، فيكون كلامه أشبه بنقض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سوق الكلام هو عن ادّعاء وجود استظهارات لا يمكن تخريج نكات موضوعيّة لها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يبعد توهم أنّ هذه دعوى بلا دليل، أو أنّ هذه الاستظهارات تحصل في موارد قليلة، فأتى بهذه الجملة التي تكون كالدليل على وجود هذا النوع من الاستظهارات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فسّرنا هذه الجملة بالتفسير الثاني كانت جملة اعتراضية لا علاقة لها بالكلام والمقصود؛ لأنَّ مفادها هو كون استظهاراته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أكثرها موضوعيّة وهو لا ربط له بما يريده بكلامه، ولعلّ الأنسب أن يكون الكلام مترابطاً، والله العالم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فليس هذا هو صلب الأمر</w:t>
      </w:r>
      <w:r>
        <w:rPr>
          <w:rFonts w:eastAsia="Amiri" w:cs="Amiri" w:ascii="Amiri" w:hAnsi="Amiri"/>
          <w:color w:val="111111"/>
          <w:sz w:val="28"/>
          <w:szCs w:val="28"/>
          <w:rtl w:val="true"/>
          <w:lang w:bidi="ar-SA"/>
        </w:rPr>
        <w:t xml:space="preserve">. </w:t>
      </w:r>
      <w:bookmarkStart w:id="324" w:name="pg10932_87776"/>
    </w:p>
    <w:p>
      <w:pPr>
        <w:pStyle w:val="BookText"/>
        <w:rPr/>
      </w:pPr>
      <w:bookmarkEnd w:id="324"/>
      <w:r>
        <w:rPr>
          <w:rFonts w:ascii="Amiri" w:hAnsi="Amiri" w:eastAsia="Amiri" w:cs="Amiri"/>
          <w:color w:val="111111"/>
          <w:sz w:val="28"/>
          <w:sz w:val="28"/>
          <w:szCs w:val="28"/>
          <w:rtl w:val="true"/>
          <w:lang w:bidi="ar-SA"/>
        </w:rPr>
        <w:t>هذا تمام الكلام في الاعتراض الأوّل</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3208581_2870459653"/>
      <w:bookmarkStart w:id="326" w:name="_Toc125"/>
      <w:bookmarkEnd w:id="325"/>
      <w:r>
        <w:rPr>
          <w:rtl w:val="true"/>
        </w:rPr>
        <w:t>الاعتراض الثاني</w:t>
      </w:r>
      <w:bookmarkEnd w:id="326"/>
    </w:p>
    <w:p>
      <w:pPr>
        <w:pStyle w:val="BookText"/>
        <w:rPr/>
      </w:pPr>
      <w:r>
        <w:rPr>
          <w:rFonts w:ascii="Amiri" w:hAnsi="Amiri" w:eastAsia="Amiri" w:cs="Amiri"/>
          <w:color w:val="111111"/>
          <w:sz w:val="28"/>
          <w:sz w:val="28"/>
          <w:szCs w:val="28"/>
          <w:rtl w:val="true"/>
          <w:lang w:bidi="ar-SA"/>
        </w:rPr>
        <w:t xml:space="preserve">أنَّه لا ينبغي للمتأمّل حصول مثل هذا القطع بعد الاطّلاع على كافّة الاعتبارات في المسألة، خصوصاً بعد الاطّلاع على نسب الاختلافات الحاصلة في دعاوى قيام الوجدان، إذ إنّ من المظنون أنّ المتتبع لموارد استخدام الوجدان الشخصيّ لا يخفى عليه حجم الاختلافات في دعوى قيام الوجدان على أمرٍ، فإنّنا أخذنا من كتب علم الأصول والفقه وبشكل عشوائي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من موارد كثيرة جدّاً استُعمل فيها الوجدان، ثُمَّ قارنا بينها فوجدنا أنّ موارد الاختلاف وعدم الاتّفاق في دعوى الوجدان حول أمر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وأنّ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لم نجد دعوى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النسبة في الوجدان المستخدم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فيه اختلاف، 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العثور فيها على دعوى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بُدَّ لنا أن نشير إلى أنّ الاختلاف لا يشمل فقط موارد استخدام الوجدان الشخصيّ في المساحات الضبابيّة، بل يشمل موارد قد يُعتقد بكونها مسلّمة أو جليّة، ولك منها مثال هو أنّ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 شهادة الوجدان على وجوب المقدّمة</w:t>
      </w:r>
      <w:r>
        <w:rPr>
          <w:rStyle w:val="FootnoteAnchor"/>
          <w:rtl w:val="true"/>
        </w:rPr>
        <w:footnoteReference w:id="307"/>
      </w:r>
      <w:r>
        <w:rPr>
          <w:rFonts w:ascii="Amiri" w:hAnsi="Amiri" w:eastAsia="Amiri" w:cs="Amiri"/>
          <w:color w:val="111111"/>
          <w:sz w:val="28"/>
          <w:sz w:val="28"/>
          <w:szCs w:val="28"/>
          <w:rtl w:val="true"/>
          <w:lang w:bidi="ar-SA"/>
        </w:rPr>
        <w:t>مع ما يتكرّر من بعض الأعلام دعوى قيام الوجدان عليه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الاستخدام الصريح للوجدان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استخداماته الأُخر في إحراز التبادر والظهور ونحوه فهي في اختلافاتها لا تقلّ عن الوجدان، بل قد تزيد عليه في بعضها كاستخدامه في إحراز الظهورات، وأعني بالاختلافات ليس مطلق الاختلافات، بل هي المستندة إلى استخدام الوجدان الشخصيّ </w:t>
      </w:r>
      <w:bookmarkStart w:id="327" w:name="pg10932_87778"/>
    </w:p>
    <w:p>
      <w:pPr>
        <w:pStyle w:val="BookText"/>
        <w:rPr/>
      </w:pPr>
      <w:bookmarkEnd w:id="327"/>
      <w:r>
        <w:rPr>
          <w:rFonts w:ascii="Amiri" w:hAnsi="Amiri" w:eastAsia="Amiri" w:cs="Amiri"/>
          <w:color w:val="111111"/>
          <w:sz w:val="28"/>
          <w:sz w:val="28"/>
          <w:szCs w:val="28"/>
          <w:rtl w:val="true"/>
          <w:lang w:bidi="ar-SA"/>
        </w:rPr>
        <w:t>فقط، لا المستندة إلى الاختلاف في القواعد اللغويّة ونحوه من الأمور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بيان وتفصيل في الموارد راجع الملحق</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208583_2870459653"/>
      <w:bookmarkStart w:id="329" w:name="_Toc126"/>
      <w:bookmarkEnd w:id="328"/>
      <w:r>
        <w:rPr>
          <w:rtl w:val="true"/>
        </w:rPr>
        <w:t>الاعتراض الثالث</w:t>
      </w:r>
      <w:bookmarkEnd w:id="32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لازم اتّخاذ هذا المنهج في الاستدلال على حجّيّة الأدلّة أن نقبل به في كافّة الأدلّة غير المعتبرة فيدّعى الركون إلى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حصول القطع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فيُستدلّ به في المسائل عمليّاً لأجل هذه الدعوى، وهذا ممّا لا يتوقّع التزامهم به،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يوسمون الاستدلالات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من القياس</w:t>
      </w:r>
      <w:r>
        <w:rPr>
          <w:rStyle w:val="FootnoteAnchor"/>
          <w:rtl w:val="true"/>
        </w:rPr>
        <w:footnoteReference w:id="309"/>
      </w:r>
      <w:r>
        <w:rPr>
          <w:rFonts w:ascii="Amiri" w:hAnsi="Amiri" w:eastAsia="Amiri" w:cs="Amiri"/>
          <w:color w:val="111111"/>
          <w:sz w:val="28"/>
          <w:sz w:val="28"/>
          <w:szCs w:val="28"/>
          <w:rtl w:val="true"/>
          <w:lang w:bidi="ar-SA"/>
        </w:rPr>
        <w:t xml:space="preserve">، فإنّ الظاهر من كلماتهم إبطال القياس بقولٍ مطلقٍ دون التفصيل بين ما يفيد القطع وما لا يفيده، بل إنّ بعضهم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أنّ القطع من القياس لا يعتمد عليه</w:t>
      </w:r>
      <w:r>
        <w:rPr>
          <w:rStyle w:val="FootnoteAnchor"/>
          <w:rtl w:val="true"/>
        </w:rPr>
        <w:footnoteReference w:id="310"/>
      </w:r>
      <w:r>
        <w:rPr>
          <w:rFonts w:ascii="Amiri" w:hAnsi="Amiri" w:eastAsia="Amiri" w:cs="Amiri"/>
          <w:color w:val="111111"/>
          <w:sz w:val="28"/>
          <w:sz w:val="28"/>
          <w:szCs w:val="28"/>
          <w:rtl w:val="true"/>
          <w:lang w:bidi="ar-SA"/>
        </w:rPr>
        <w:t xml:space="preserve">، وذكر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مع دعوى القطع لا يعتمد عليه ما دام قياساً</w:t>
      </w:r>
      <w:r>
        <w:rPr>
          <w:rStyle w:val="FootnoteAnchor"/>
          <w:rtl w:val="true"/>
        </w:rPr>
        <w:footnoteReference w:id="311"/>
      </w:r>
      <w:r>
        <w:rPr>
          <w:rFonts w:ascii="IRNazanin" w:hAnsi="IRNazanin" w:eastAsia="IRNazanin"/>
          <w:color w:val="111111"/>
          <w:sz w:val="28"/>
          <w:sz w:val="28"/>
          <w:szCs w:val="28"/>
          <w:rtl w:val="true"/>
          <w:lang w:bidi="fa-IR"/>
        </w:rPr>
        <w:t>، حيث يظهر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خصوصيّة للعبد في ذلك، بل المناط الشروع حال عدم الوجوب لعدم الكمال ثُمَّ حصوله قبل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مدّعى المستدلّ القطع بالمناط، ومع ذلك أُجيب بكونه قياساً، فالمستفاد منه أنّ القطع الناتج من الأدلّة التي ليست بمعتبرة لا يعتمد عليه، كما أنّ ما ورد في صحيحة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قطع إصبعاً من أصابع المرأة كم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w:t>
      </w:r>
      <w:bookmarkStart w:id="330" w:name="pg10932_87780"/>
    </w:p>
    <w:p>
      <w:pPr>
        <w:pStyle w:val="BookText"/>
        <w:rPr/>
      </w:pPr>
      <w:bookmarkEnd w:id="330"/>
      <w:r>
        <w:rPr>
          <w:rFonts w:ascii="IRNazanin" w:hAnsi="IRNazanin" w:eastAsia="IRNazanin"/>
          <w:color w:val="111111"/>
          <w:sz w:val="28"/>
          <w:sz w:val="28"/>
          <w:szCs w:val="28"/>
          <w:rtl w:val="true"/>
          <w:lang w:bidi="fa-IR"/>
        </w:rPr>
        <w:t>ثلاثاً فيكون عليه ثلاثون ويقطع أربعاً فيكون عليه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يبلغنا ونحن بالعراق فنبرأ ممّن قاله، ونقول الذي قاله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مهلاً يا أبان، هكذا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تقابل الرجل إلى ثلث الدية، فإذا بلغت الثلث رجعت إلى النصف، يا أبان إنّك أخذتني بالقياس، والسُّنّة إذا قيست محق الدين</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 لا يبعد ظهوره في كون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قاطعاً أو مطمئنّاً بكون الحكم غير صحيح، حتّى أنّه نسبه إلى الشيطان مستنداً إلى حكم القياس، كما أنّ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على أنّ القياس لا ينفع صاحبه وإن ولّد القطع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دليل لا بُدَّ أن يثبت موضوعيّة الاحتمال الناتج منه كالاطمئنان الذي يحصل من ضمّ قرائن إلى أمارة ظنّيّة، أو أن تثبت حجّيته بنحو التعبّد كخبر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دلالة الآيات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إمضاءً لاعتبار العقلاء له كحجّيّة الظهور، وليس مجرّد حصول القطع منه كافياً في إثبات حجّيّته، فلا يمكن التعويل عليه في مقام الاحتجاج أو البحث العلميّ</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3208585_2870459653"/>
      <w:bookmarkStart w:id="332" w:name="_Toc127"/>
      <w:bookmarkEnd w:id="331"/>
      <w:r>
        <w:rPr>
          <w:rtl w:val="true"/>
        </w:rPr>
        <w:t>الاعتراض الرابع</w:t>
      </w:r>
      <w:bookmarkEnd w:id="33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يصحّ أن يحتجّ بالوجدان في مقام الاحتجاج والنقاش؛ وذلك لأنّه لا إلزام به للخصم، فإنّه قطع شخصيٌّ ناشئ من الوجدان الشخصيّ، فهو غير قابل للإثبات والنفي بين المتخاصمين، مع أنّ الملاحظ أنّهم يستدلّون به، وأمّا القول بأنّهم يستدلّون به لأنفسهم ولا يريدون به الإلزام فبعيدٌ ولو في جملة من الموارد، كما فيما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إذ فيها يستخدم الوجدان في قبال بعض الآراء </w:t>
      </w:r>
    </w:p>
    <w:p>
      <w:pPr>
        <w:pStyle w:val="BookText"/>
        <w:rPr/>
      </w:pPr>
      <w:r>
        <w:rPr>
          <w:rFonts w:ascii="Amiri" w:hAnsi="Amiri" w:eastAsia="Amiri" w:cs="Amiri"/>
          <w:color w:val="111111"/>
          <w:sz w:val="28"/>
          <w:sz w:val="28"/>
          <w:szCs w:val="28"/>
          <w:rtl w:val="true"/>
          <w:lang w:bidi="ar-SA"/>
        </w:rPr>
        <w:t xml:space="preserve">ومناقشتها، وكما يدلّ على ذلك ملاحظة أنّه يُذكر مع باقي الأدلّة، ويناقش دون فرض كونه مسوقاً لإقناع النفس، بل ما ذكر من مناقشة الوجدان في كلام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شاهد على أنّ دعوى الوجدان ظاهرة في إلزام الطرف الآخر، ويدلّ عليه أيضاً أنّ ذكر المؤيّدات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ستأتي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محاولة الإقناع بالوجدان؛ ذلك أنّه حسب الفرض موجب لحصول القطع لدى صاحبه، فلا وجه للمؤيّدات لو كانت مسوقة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إمّا أن نقول بأنّ الوجدان يصلح كدليل لنفس المستدلّ، فنلتزم بعدم ذكره في المناقشات والمناظرات، وهو ما لا أعتقد أنّهم يستطيعون الالتزام به، بل قد عرفت أنَّه يُستند إليه في مقام الاحتجاج، أو أن نلتزم بورود الإشكال على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الوجدان الشخصيّ يراد منه تنبيه الخصم وإلفاته، فلعلّه حين ذِكر مقتضى الوجدان يلتفت الخصم إلى وجدانه الشخصيّ فيجد قوله مخالفاً للوجدان، فيكون ذِكره منبّهاً للوجدان الشخصيّ للخصم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سُلّم ينفع في تبرير ما يقع من الأعلام، إلَّا أنّه لا ينفي أنّه لا يجوز استخدام الوجدان بنحو الاستدلال والإلزام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يجري في موارد انكشاف الخلاف، أي لو تبيّن اختلاف وجدان المُستدلّ عن وجدان المراد تنبيهه فإنَّه حينئذ لا إلزام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أوجب بيان الوجدان الشخصيّ أن يزول القطع لدى الخصم الناتج عن وجدانه فإنّ ذلك يبرّر الإشارة إليه، إلَّا أنّه لا </w:t>
      </w:r>
      <w:bookmarkStart w:id="333" w:name="pg10932_87784"/>
    </w:p>
    <w:p>
      <w:pPr>
        <w:pStyle w:val="BookText"/>
        <w:rPr/>
      </w:pPr>
      <w:bookmarkEnd w:id="333"/>
      <w:r>
        <w:rPr>
          <w:rFonts w:ascii="Amiri" w:hAnsi="Amiri" w:eastAsia="Amiri" w:cs="Amiri"/>
          <w:color w:val="111111"/>
          <w:sz w:val="28"/>
          <w:sz w:val="28"/>
          <w:szCs w:val="28"/>
          <w:rtl w:val="true"/>
          <w:lang w:bidi="ar-SA"/>
        </w:rPr>
        <w:t xml:space="preserve">يُجوز الاستدلال به وإلزام الخصم به؛ لأنّه قطع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3208587_2870459653"/>
      <w:bookmarkStart w:id="335" w:name="_Toc128"/>
      <w:bookmarkEnd w:id="334"/>
      <w:r>
        <w:rPr>
          <w:rtl w:val="true"/>
        </w:rPr>
        <w:t>الاعتراض الخامس</w:t>
      </w:r>
      <w:bookmarkEnd w:id="335"/>
    </w:p>
    <w:p>
      <w:pPr>
        <w:pStyle w:val="BookText"/>
        <w:rPr/>
      </w:pPr>
      <w:r>
        <w:rPr>
          <w:rFonts w:ascii="Amiri" w:hAnsi="Amiri" w:eastAsia="Amiri" w:cs="Amiri"/>
          <w:color w:val="111111"/>
          <w:sz w:val="28"/>
          <w:sz w:val="28"/>
          <w:szCs w:val="28"/>
          <w:rtl w:val="true"/>
          <w:lang w:bidi="ar-SA"/>
        </w:rPr>
        <w:t>إذا كان الوجدان موجباً للقطع فأيّ وجه لدعمه بالشواهد والمؤيّدات؟ إذ إنّه بوجوده منفرداً كافٍ لحصول القطع، فلا معنى لذكر المؤيّدات والشواهد ما دامت لا تضيف أيّ شيء لكفاية الوجدان، مع أنّه يؤتى به مع الشواهد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 مانع من تعدّد الأدلّة على مسألة واحدة، فهل يمتنع أن يُستدلّ بدليلين قطعيّين على أمرٍ واحد؟</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فرقاً بين ما يُذكر من أدلّة على شيء بنحو الاستقلال، فيقوم كلّ دليل بنفسه مستغنياً عن صاحبه، وبين ما يذكر دعماً وتحشيداً لدليل آخر لإتمام دلالته وتمكينه من النفس، ممّا يكشف عن التعامل مع دلالته بنحو يشوبها النقصان لتحتاج إلى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بالشواهد أحياناً يكون لأجل التنبيه والإيقاظ لا للتتميم كما فيما يذكر من أمور وأمثلة، لكي يخرج الوجدان من مرحلة الارتكاز والإجمال إلى مرحلة الوضوح والتفصيل، فيكون من قبيل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البديهيّات إنَّما هي منبّهات لا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صحيح، فإنّه يبرّر ما وقع من الأعلام، إلّا أنّه لا ينفي أنّ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الالتزام بحجّيّة الوجدان بهذا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إحضار الشواهد والأدلّة لتتميم دليليّة الوجدان بعد قيامه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الإتيان بشواهد لتتميم دليليّة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المنبّهات ونحوها من الأمور التي غايتها إيضاح الوجدان لا يمسّها الإشكال</w:t>
      </w:r>
      <w:r>
        <w:rPr>
          <w:rFonts w:eastAsia="Amiri" w:cs="Amiri" w:ascii="Amiri" w:hAnsi="Amiri"/>
          <w:color w:val="111111"/>
          <w:sz w:val="28"/>
          <w:szCs w:val="28"/>
          <w:rtl w:val="true"/>
          <w:lang w:bidi="ar-SA"/>
        </w:rPr>
        <w:t xml:space="preserve">. </w:t>
      </w:r>
      <w:bookmarkStart w:id="336" w:name="pg10932_87786"/>
    </w:p>
    <w:p>
      <w:pPr>
        <w:pStyle w:val="Heading5"/>
        <w:numPr>
          <w:ilvl w:val="4"/>
          <w:numId w:val="1"/>
        </w:numPr>
        <w:rPr/>
      </w:pPr>
      <w:bookmarkStart w:id="337" w:name="__RefHeading___Toc3208589_2870459653"/>
      <w:bookmarkStart w:id="338" w:name="_Toc129"/>
      <w:bookmarkEnd w:id="336"/>
      <w:bookmarkEnd w:id="337"/>
      <w:r>
        <w:rPr>
          <w:rtl w:val="true"/>
        </w:rPr>
        <w:t>الاعتراض السادس</w:t>
      </w:r>
      <w:bookmarkEnd w:id="338"/>
    </w:p>
    <w:p>
      <w:pPr>
        <w:pStyle w:val="Heading6"/>
        <w:numPr>
          <w:ilvl w:val="5"/>
          <w:numId w:val="1"/>
        </w:numPr>
        <w:rPr/>
      </w:pPr>
      <w:bookmarkStart w:id="339" w:name="__RefHeading___Toc3208591_2870459653"/>
      <w:bookmarkStart w:id="340" w:name="_Toc130"/>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ما يمكن بيانه بمقدّمات</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3208593_2870459653"/>
      <w:bookmarkStart w:id="342" w:name="_Toc131"/>
      <w:bookmarkEnd w:id="341"/>
      <w:r>
        <w:rPr>
          <w:rtl w:val="true"/>
        </w:rPr>
        <w:t>المقدّمة الأولى</w:t>
      </w:r>
      <w:bookmarkEnd w:id="342"/>
    </w:p>
    <w:p>
      <w:pPr>
        <w:pStyle w:val="BookText"/>
        <w:rPr/>
      </w:pPr>
      <w:r>
        <w:rPr>
          <w:rFonts w:ascii="Amiri" w:hAnsi="Amiri" w:eastAsia="Amiri" w:cs="Amiri"/>
          <w:color w:val="111111"/>
          <w:sz w:val="28"/>
          <w:sz w:val="28"/>
          <w:szCs w:val="28"/>
          <w:rtl w:val="true"/>
          <w:lang w:bidi="ar-SA"/>
        </w:rPr>
        <w:t>ادّعاء أنَّ الوجدان الشخصيّ يفيد القطع بالوجدان النوعيّ، يعني أنّ مجرّد وجود الوجدان الشخصيّ منشأ للقطع بحدّه</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3208595_2870459653"/>
      <w:bookmarkStart w:id="344" w:name="_Toc132"/>
      <w:bookmarkEnd w:id="343"/>
      <w:r>
        <w:rPr>
          <w:rtl w:val="true"/>
        </w:rPr>
        <w:t>المقدّمة الثانية</w:t>
      </w:r>
      <w:bookmarkEnd w:id="344"/>
    </w:p>
    <w:p>
      <w:pPr>
        <w:pStyle w:val="BookText"/>
        <w:rPr/>
      </w:pPr>
      <w:r>
        <w:rPr>
          <w:rFonts w:ascii="Amiri" w:hAnsi="Amiri" w:eastAsia="Amiri" w:cs="Amiri"/>
          <w:color w:val="111111"/>
          <w:sz w:val="28"/>
          <w:sz w:val="28"/>
          <w:szCs w:val="28"/>
          <w:rtl w:val="true"/>
          <w:lang w:bidi="ar-SA"/>
        </w:rPr>
        <w:t xml:space="preserve">يقع من الأعلام التنازل عن الوجدان لقيام البرهان على خلافه، كما وقع ذلك في ما نقله صاحب الوقاية من قول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معك الوجدان ومعي البرهان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الذي يدلّ على أنَّه حتى مع قيام الوجدان فإنَّه يتمسّك بالبرهان</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3208597_2870459653"/>
      <w:bookmarkStart w:id="346" w:name="_Toc133"/>
      <w:bookmarkEnd w:id="345"/>
      <w:r>
        <w:rPr>
          <w:rtl w:val="true"/>
        </w:rPr>
        <w:t>المقدّمة الثالثة</w:t>
      </w:r>
      <w:bookmarkEnd w:id="346"/>
    </w:p>
    <w:p>
      <w:pPr>
        <w:pStyle w:val="BookText"/>
        <w:rPr/>
      </w:pPr>
      <w:r>
        <w:rPr>
          <w:rFonts w:ascii="Amiri" w:hAnsi="Amiri" w:eastAsia="Amiri" w:cs="Amiri"/>
          <w:color w:val="111111"/>
          <w:sz w:val="28"/>
          <w:sz w:val="28"/>
          <w:szCs w:val="28"/>
          <w:rtl w:val="true"/>
          <w:lang w:bidi="ar-SA"/>
        </w:rPr>
        <w:t>أنّه بناءً على المقدّمة الأولى ينبغي أن لا يكون هنالك مبرّر لذلك، فإنّ الوجدان بوجوده علّة تامّة للقطع، فكيف مع وجوده يتنازل عنه لوجود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هذا التقريب لا يوجد ما يبرّر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التقريب الأوّل</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3208599_2870459653"/>
      <w:bookmarkStart w:id="348" w:name="_Toc134"/>
      <w:bookmarkEnd w:id="347"/>
      <w:r>
        <w:rPr>
          <w:rtl w:val="true"/>
        </w:rPr>
        <w:t>التقريب الثاني</w:t>
      </w:r>
      <w:bookmarkEnd w:id="348"/>
    </w:p>
    <w:p>
      <w:pPr>
        <w:pStyle w:val="Heading5"/>
        <w:numPr>
          <w:ilvl w:val="4"/>
          <w:numId w:val="1"/>
        </w:numPr>
        <w:rPr/>
      </w:pPr>
      <w:bookmarkStart w:id="349" w:name="__RefHeading___Toc3208601_2870459653"/>
      <w:bookmarkStart w:id="350" w:name="_Toc135"/>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أنَّه قد مرّ أنّ للوجدان استخدامات عديدة، ومرّ أنّ من ضمنها استخدامه في إحراز التبادر وفي إحراز 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يبرّر هذا الاستخدام لإثبات حجّيّة الوجدان في هذه الموارد، وحاصل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مزيد تقريب وبيان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 من مقدّمات</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3208603_2870459653"/>
      <w:bookmarkStart w:id="352" w:name="_Toc136"/>
      <w:bookmarkEnd w:id="351"/>
      <w:r>
        <w:rPr>
          <w:rtl w:val="true"/>
        </w:rPr>
        <w:t>مقدّمات</w:t>
      </w:r>
      <w:bookmarkEnd w:id="352"/>
    </w:p>
    <w:p>
      <w:pPr>
        <w:pStyle w:val="Heading6"/>
        <w:numPr>
          <w:ilvl w:val="5"/>
          <w:numId w:val="1"/>
        </w:numPr>
        <w:rPr/>
      </w:pPr>
      <w:bookmarkStart w:id="353" w:name="__RefHeading___Toc3208605_2870459653"/>
      <w:bookmarkStart w:id="354" w:name="_Toc137"/>
      <w:bookmarkEnd w:id="353"/>
      <w:r>
        <w:rPr>
          <w:rtl w:val="true"/>
        </w:rPr>
        <w:t>المقدّمة الأولى</w:t>
      </w:r>
      <w:bookmarkEnd w:id="35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المقصود بالظهور الذي يكون حجّة، والتبادر الذي يدلّ على الوضع هو الظهور النوعيّ والتبادر لدى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المقدّمة أُخذت كأصل موضوعيّ، فإنّ لها محلّا ً آخر في الإثبات</w:t>
      </w:r>
      <w:r>
        <w:rPr>
          <w:rFonts w:eastAsia="Amiri" w:cs="Amiri" w:ascii="Amiri" w:hAnsi="Amiri"/>
          <w:color w:val="111111"/>
          <w:sz w:val="28"/>
          <w:szCs w:val="28"/>
          <w:rtl w:val="true"/>
          <w:lang w:bidi="ar-SA"/>
        </w:rPr>
        <w:t xml:space="preserve">. </w:t>
      </w:r>
      <w:bookmarkStart w:id="355" w:name="pg10932_87788"/>
    </w:p>
    <w:p>
      <w:pPr>
        <w:pStyle w:val="Heading6"/>
        <w:numPr>
          <w:ilvl w:val="5"/>
          <w:numId w:val="1"/>
        </w:numPr>
        <w:rPr/>
      </w:pPr>
      <w:bookmarkStart w:id="356" w:name="__RefHeading___Toc3208607_2870459653"/>
      <w:bookmarkStart w:id="357" w:name="_Toc138"/>
      <w:bookmarkEnd w:id="355"/>
      <w:bookmarkEnd w:id="356"/>
      <w:r>
        <w:rPr>
          <w:rtl w:val="true"/>
        </w:rPr>
        <w:t>المقدّمة الثانية</w:t>
      </w:r>
      <w:bookmarkEnd w:id="357"/>
    </w:p>
    <w:p>
      <w:pPr>
        <w:pStyle w:val="BookText"/>
        <w:rPr/>
      </w:pPr>
      <w:r>
        <w:rPr>
          <w:rFonts w:ascii="Amiri" w:hAnsi="Amiri" w:eastAsia="Amiri" w:cs="Amiri"/>
          <w:color w:val="111111"/>
          <w:sz w:val="28"/>
          <w:sz w:val="28"/>
          <w:szCs w:val="28"/>
          <w:rtl w:val="true"/>
          <w:lang w:bidi="ar-SA"/>
        </w:rPr>
        <w:t>أنّه يمكن إحراز التبادر لدى العرف والظهور النوعيّ بالظهور الشخصيّ والتبادر الشخصيّ تعبّداً، أي أنّ الظهور الشخصيّ وكذا التبادر أمارة عقلائيّة على الظهور النوعيّ والتبادر لدى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يدلّك على هذه الأماريّة هي أنّ السيرة جارية على اكتفاء الشخص بالظهور والتبادر المتحقّق عنده، وعدم جريان العادة على مراجعة الآخرين لمعرفة استظهاراتهم والمتبادر عندهم، بل يكتفون في إحراز الظهور النوعيّ والتبادر لدى العرف بما لديهم من ظهور وتبادر، ويمكن التعبير عن هذه الأمارة بأصالة التطابق بين الظهور الشخصيّ والنوعيّ</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3208609_2870459653"/>
      <w:bookmarkStart w:id="359" w:name="_Toc139"/>
      <w:bookmarkEnd w:id="358"/>
      <w:r>
        <w:rPr>
          <w:rtl w:val="true"/>
        </w:rPr>
        <w:t>المقدّمة الثالثة</w:t>
      </w:r>
      <w:bookmarkEnd w:id="359"/>
    </w:p>
    <w:p>
      <w:pPr>
        <w:pStyle w:val="BookText"/>
        <w:rPr/>
      </w:pPr>
      <w:r>
        <w:rPr>
          <w:rFonts w:ascii="Amiri" w:hAnsi="Amiri" w:eastAsia="Amiri" w:cs="Amiri"/>
          <w:color w:val="111111"/>
          <w:sz w:val="28"/>
          <w:sz w:val="28"/>
          <w:szCs w:val="28"/>
          <w:rtl w:val="true"/>
          <w:lang w:bidi="ar-SA"/>
        </w:rPr>
        <w:t>أنّ التبادر والظهور الشخصيّين يتمّ إحرازهما بالوجدان الشخصيّ؛ لأنّ كلا الحالتين ممّا يكون السبيل لمعرفتهما لدى الشخص هو وجدانه الشخصيّ، فتكون حجّيّة الوجدان وجواز التعويل على ما يجده المستظهر من ظهور، والمتبادر من تبادر هو بالوجدان، من جهة كون وجدانه كاشفاً معتبراً باعتبار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هذا 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لكنّه لم يعبّر بالوجدان الشخصيّ</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التقريب يمكن الاستفادة منه وتوظيفه في الاستدلال على الوجدان في موارد إحراز الحالات العرفيّة بأخذ المقدّمة الثانية بشكل رئيس والتي يكون مؤدّاها أنّ السيرة قامت على أنّ الناس عند حاجتهم إلى إحراز أمر عرفيّ يرجعون إلى أنفسهم، ثُمّ يأخذون نتيجة هذا الرجوع ويضعونها كحكم العرف، فيكون ذلك من باب أنّهم يرون ذلك طريقاً صالحاً للإحراز</w:t>
      </w:r>
      <w:r>
        <w:rPr>
          <w:rFonts w:eastAsia="Amiri" w:cs="Amiri" w:ascii="Amiri" w:hAnsi="Amiri"/>
          <w:color w:val="111111"/>
          <w:sz w:val="28"/>
          <w:szCs w:val="28"/>
          <w:rtl w:val="true"/>
          <w:lang w:bidi="ar-SA"/>
        </w:rPr>
        <w:t xml:space="preserve">. </w:t>
      </w:r>
      <w:bookmarkStart w:id="360" w:name="pg10932_87790"/>
    </w:p>
    <w:p>
      <w:pPr>
        <w:pStyle w:val="BookText"/>
        <w:rPr/>
      </w:pPr>
      <w:bookmarkEnd w:id="360"/>
      <w:r>
        <w:rPr>
          <w:rFonts w:ascii="Amiri" w:hAnsi="Amiri" w:eastAsia="Amiri" w:cs="Amiri"/>
          <w:color w:val="111111"/>
          <w:sz w:val="28"/>
          <w:sz w:val="28"/>
          <w:szCs w:val="28"/>
          <w:rtl w:val="true"/>
          <w:lang w:bidi="ar-SA"/>
        </w:rPr>
        <w:t>إلَّا أنّ من خصوصيّات هذا التقريب أنّه لا يصحّح ولا يعالج استخدام الوجدان في إحراز حكم العقل؛ وذلك لوضوح أنّ إحراز الأحكام العقليّة لا يتمّ بالأمارات بل بطرق عقليّة، فالتعبّد لا يجري في مواضع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يعترض على هذا التقريب بعدّة اعتراضات</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3208611_2870459653"/>
      <w:bookmarkStart w:id="362" w:name="_Toc140"/>
      <w:bookmarkEnd w:id="361"/>
      <w:r>
        <w:rPr>
          <w:rtl w:val="true"/>
        </w:rPr>
        <w:t>الاعتراض الأوَّل</w:t>
      </w:r>
      <w:bookmarkEnd w:id="362"/>
    </w:p>
    <w:p>
      <w:pPr>
        <w:pStyle w:val="BookText"/>
        <w:rPr/>
      </w:pPr>
      <w:r>
        <w:rPr>
          <w:rFonts w:ascii="Amiri" w:hAnsi="Amiri" w:eastAsia="Amiri" w:cs="Amiri"/>
          <w:color w:val="111111"/>
          <w:sz w:val="28"/>
          <w:sz w:val="28"/>
          <w:szCs w:val="28"/>
          <w:rtl w:val="true"/>
          <w:lang w:bidi="ar-SA"/>
        </w:rPr>
        <w:t>أنَّ هذه الأماريّة المدّعاة بحسب التقريب دليلها السيرة، وهي دليل لبّيّ يقتصر به على القدر المتيقّن، وعليه لا يُعلم شمول السيرة لاستخدام الوجدان في إحراز التبادر وإن سُلِّم قيامها على استخدامه في إحراز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السيرة يلحظ فيها موارد المحاورات العرفيّة والتي تعتمد على الظهور الشخصيّ لا التبادر، فإنّ تعيين المعنى الحقيقي لا يحتاجه العرف، بل يعتمد على ظاهر الكلام ولو كان مجازيّاً، فإنّ من يحتاج لإحراز التبادر والبحث عن حاله هو من يريد معرفة المعنى الحقيقيّ، وعليه لا يُحرَز أنّ العرف يعتمد على ما يجده الشخص بوجدانه من 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التبادر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إحراز التبادر العرفيّ، ذلك لعدم وجود حالات بمقدار من الكثرة لكي يُنظر لموقف العرف باتجاه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حاجة للتبادر فلا يوجد عمل وموقف من العقلاء باتّجاه التبادر لانتفاء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استخدام الوجدان في إحراز التبادر العرفيّ لا يُعلم شمول السيرة له، وهي دليل لبّيّ، فلا تُثبت إلّا القدر المتيقّن منها، فلا ينتج من هذا التقريب المدّعى ولا يثبت إلّا استخدام الوجدان في موارد الظهور الشخصيّ، فالدليل لا يفي بكلّ ما يُدّعى شمول التقريب 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عن المعنى الحقيقي ومحاولة إحرازه لا يَتمّ بصورة </w:t>
      </w:r>
      <w:bookmarkStart w:id="363" w:name="pg10932_87793"/>
    </w:p>
    <w:p>
      <w:pPr>
        <w:pStyle w:val="BookText"/>
        <w:rPr/>
      </w:pPr>
      <w:bookmarkEnd w:id="363"/>
      <w:r>
        <w:rPr>
          <w:rFonts w:ascii="Amiri" w:hAnsi="Amiri" w:eastAsia="Amiri" w:cs="Amiri"/>
          <w:color w:val="111111"/>
          <w:sz w:val="28"/>
          <w:sz w:val="28"/>
          <w:szCs w:val="28"/>
          <w:rtl w:val="true"/>
          <w:lang w:bidi="ar-SA"/>
        </w:rPr>
        <w:t>صريحة وكظاهرة منفردة، إلّا أنَّه يحصل في سياق إحراز الظهورات؛ وذلك أنَّ الوضع يمثّل منشأ من مناشئ الظهور، فإحرازه قد يوجب إحراز الظهور؛ ولذا يتمّ بصورة ضمنيّة كخطوة سابقة على إحراز الظهور، فليتأمّل</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3208613_2870459653"/>
      <w:bookmarkStart w:id="365" w:name="_Toc141"/>
      <w:bookmarkEnd w:id="364"/>
      <w:r>
        <w:rPr>
          <w:rtl w:val="true"/>
        </w:rPr>
        <w:t>الاعتراض الثاني</w:t>
      </w:r>
      <w:bookmarkEnd w:id="365"/>
    </w:p>
    <w:p>
      <w:pPr>
        <w:pStyle w:val="BookText"/>
        <w:rPr/>
      </w:pPr>
      <w:r>
        <w:rPr>
          <w:rFonts w:ascii="Amiri" w:hAnsi="Amiri" w:eastAsia="Amiri" w:cs="Amiri"/>
          <w:color w:val="111111"/>
          <w:sz w:val="28"/>
          <w:sz w:val="28"/>
          <w:szCs w:val="28"/>
          <w:rtl w:val="true"/>
          <w:lang w:bidi="ar-SA"/>
        </w:rPr>
        <w:t>أنَّ السيرة لمّا قامت على موارد المحاورات العرفيّة التي يعتمد فيها المحاور على الظهور الشخصيّ لديه،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التي تحصل في الخارج خالية عن الخلاف في الاستظهار الشخصيّ بين المتحاورين، فلا يُعلم شمول السيرة للموارد التي يكون الاختلاف فيها كبيراً وظاهراً، ولا أقلّ من كون الموارد الخالية من الخلاف هي القدر المتيقّن من موارد قيام السيرة، فإنَّه لا يبعد كونها الغالب في موارد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يسعى لإثبات الاعتماد على ما يجده الشخص بوجدانه من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الظهور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الإحراز بشكل مطلق، بينما المقدار الذي يثبت منه هو الاعتماد على ما يجده الشخص في نفسه من ظهور في الموارد التي لا تعارضه فيها ظهورات شخصيّة أُخر</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3208615_2870459653"/>
      <w:bookmarkStart w:id="367" w:name="_Toc142"/>
      <w:bookmarkEnd w:id="366"/>
      <w:r>
        <w:rPr>
          <w:rtl w:val="true"/>
        </w:rPr>
        <w:t>الاعتراض الثالث</w:t>
      </w:r>
      <w:bookmarkEnd w:id="36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السيرة قائمة في باب المحاورات على اعتماد المحاور على ما يجده في نفسه من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الظهور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والاكتفاء به دون النظر إلى شيء آخر، فأيّ مبرّر لما يرد في كلمات الأعلام بتخصيص الذوقِ بالسليم أو الوجدانِ بالمستقيم أو الخالي عن الشُبه</w:t>
      </w:r>
      <w:r>
        <w:rPr>
          <w:rStyle w:val="FootnoteAnchor"/>
          <w:rtl w:val="true"/>
        </w:rPr>
        <w:footnoteReference w:id="318"/>
      </w:r>
      <w:r>
        <w:rPr>
          <w:rFonts w:ascii="Amiri" w:hAnsi="Amiri" w:eastAsia="Amiri" w:cs="Amiri"/>
          <w:color w:val="111111"/>
          <w:sz w:val="28"/>
          <w:sz w:val="28"/>
          <w:szCs w:val="28"/>
          <w:rtl w:val="true"/>
          <w:lang w:bidi="ar-SA"/>
        </w:rPr>
        <w:t xml:space="preserve">، فإنَّه لا يظهر أنّ السيرة قائمة على اعتبار الظهور الشخصيّ السليم </w:t>
      </w:r>
      <w:bookmarkStart w:id="368" w:name="pg10932_87794"/>
    </w:p>
    <w:p>
      <w:pPr>
        <w:pStyle w:val="BookText"/>
        <w:rPr/>
      </w:pPr>
      <w:bookmarkEnd w:id="368"/>
      <w:r>
        <w:rPr>
          <w:rFonts w:ascii="Amiri" w:hAnsi="Amiri" w:eastAsia="Amiri" w:cs="Amiri"/>
          <w:color w:val="111111"/>
          <w:sz w:val="28"/>
          <w:sz w:val="28"/>
          <w:szCs w:val="28"/>
          <w:rtl w:val="true"/>
          <w:lang w:bidi="ar-SA"/>
        </w:rPr>
        <w:t>أو المستقيم، بل الظهور الشخصيّ لأيٍّ كان، وهو ظاهر إطلاق المدّعي للسيرة، والمناسب لحال العرف من عدم لحاظ الخصوصيّات، ولذا فإنّ مَن يحصل لديه ظهور بوجدانه لا يتوقّف عن العمل به إلى حين التأكّد من كون وجدانه سليماً</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3208617_2870459653"/>
      <w:bookmarkStart w:id="370" w:name="_Toc143"/>
      <w:bookmarkEnd w:id="369"/>
      <w:r>
        <w:rPr>
          <w:rtl w:val="true"/>
        </w:rPr>
        <w:t>الاعتراض الرابع</w:t>
      </w:r>
      <w:bookmarkEnd w:id="370"/>
    </w:p>
    <w:p>
      <w:pPr>
        <w:pStyle w:val="BookText"/>
        <w:rPr/>
      </w:pPr>
      <w:r>
        <w:rPr>
          <w:rFonts w:ascii="Amiri" w:hAnsi="Amiri" w:eastAsia="Amiri" w:cs="Amiri"/>
          <w:color w:val="111111"/>
          <w:sz w:val="28"/>
          <w:sz w:val="28"/>
          <w:szCs w:val="28"/>
          <w:rtl w:val="true"/>
          <w:lang w:bidi="ar-SA"/>
        </w:rPr>
        <w:t>أنَّ لازم كون الوجدان حجّة من باب الأمارات هو جريان أحكامها عليه، ومن ضمنها أنّه إذا اختلف وجدان شخصين، أو ظهور شخصين المستند إلى وجدانهما فإنّه يُدرج ذلك في باب تعارض الأمارات، 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المرجّحات، أو إلى التساقط مع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ممّا لا يمكن أن يُلتزم به، كما أنّه مخالف للتمسّك بالوجدان الشخصيّ دون النظر إلى وجدان الآخرين؛ لأنّه يكون من باب التمسّك بالأمارة دون الفحص عمّا يعارضها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التمسّك بالوجدان دون النظر إلى وجدان الآخرين ممّا يقع ظاهراً من الأعلام في موارد الاستدلال بالوجدان الشخصيّ؛ حيث إنّهم يذكرون وجدانهم فقط، بل اكتفاء بعضهم بوجدانه وظهوره الشخصيّ في الردّ على وجدان الآخر دليلٌ على عدم اعتنائهم بوجوده عند الآخرين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مخالف لما يصدر من العلماء من مجرّد منع الوجدان باستخدام الوجدان الشخصيّ</w:t>
      </w:r>
      <w:r>
        <w:rPr>
          <w:rStyle w:val="FootnoteAnchor"/>
          <w:rtl w:val="true"/>
        </w:rPr>
        <w:footnoteReference w:id="319"/>
      </w:r>
      <w:r>
        <w:rPr>
          <w:rFonts w:ascii="Amiri" w:hAnsi="Amiri" w:eastAsia="Amiri" w:cs="Amiri"/>
          <w:color w:val="111111"/>
          <w:sz w:val="28"/>
          <w:sz w:val="28"/>
          <w:szCs w:val="28"/>
          <w:rtl w:val="true"/>
          <w:lang w:bidi="ar-SA"/>
        </w:rPr>
        <w:t>، حيث إنّ الوجدان إن كان أمارة لزم إقامة التعارض بينه وبين ما يدّعى من وجدان في قباله، كما يحصل ذلك في الأخبار فهل يمكن أن يُرَدّ خبر بمجرّد وجود خبر يخالفه دون النظر إلى المرجّحات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الملاحظ أنّهم يعتمدون على وجدانهم الشخصيّ بلا اهتمام بوجدان الآخرين، أو في مقابلة وجدان الآخرين دون إعمال مرجّحات، أو جعلهما 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يذكرون بعض المؤيّدات لوجدانهم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إنّ هذا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أحكام الأمارات على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لسيرة جملة من العلماء، وممّا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أماريّة الوجدان قد أخذ في موضوعها شخص الذي قام عنده الوجدان فيكون معناها أنّ الوجدان الشخصيّ حجّة لمن قام عنده الوجدان، فلا يكون حجّة على من لم يقم لديه الوجدان، فتكون نتيجة ذلك أنّ الذي يجد معارضاً لوجدانه من وجدانٍ آخر فليس ملزماً بشيء؛ إذ إنَّ الوجدان الآخر ليس بحجّة عليه، بل هو حجّة على من حصل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إطلاق التقريب الذي لم يدّعِ سوى كونه أمارة فلمْ يخصّصه بشخص الذي قام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التقريب ذُكر في جواب إشكال على التبادر، ومن المعلوم أنّ للتبادر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تبادر الشخص نفسه، والآخر التبادر الذي يحصل عند العالم باللغة فيرجع إليه الجاهل بها، وهذا النحو الآخر لا يمكن تصحيحه بناءً على هذا التخصيص المقترح؛ حيث إنّه يفترض حجّيّةً للرجوع لوجدان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وجدان العالم باللغة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الفرض المتقدّم أنّ الوجدان الذي يقوم عند شخص لا يكون حجّة على غيره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التخصيص ليس بسليم، حيث إنّ هذه الأمارة ليست تعبّديّة، بل هي أمارة عقلائيّة يفترض أن يكون منشؤها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يُفهم من كلام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حينئذ لإدخال هذا القيد؛ لأنّ الكشف في الوجدان الشخصيّ لا </w:t>
      </w:r>
      <w:bookmarkStart w:id="371" w:name="pg10932_87799"/>
    </w:p>
    <w:p>
      <w:pPr>
        <w:pStyle w:val="BookText"/>
        <w:rPr/>
      </w:pPr>
      <w:bookmarkEnd w:id="371"/>
      <w:r>
        <w:rPr>
          <w:rFonts w:ascii="Amiri" w:hAnsi="Amiri" w:eastAsia="Amiri" w:cs="Amiri"/>
          <w:color w:val="111111"/>
          <w:sz w:val="28"/>
          <w:sz w:val="28"/>
          <w:szCs w:val="28"/>
          <w:rtl w:val="true"/>
          <w:lang w:bidi="ar-SA"/>
        </w:rPr>
        <w:t>يفرق بين شخص الذي قام عنده أو شخص غيره بعد خلوّهما عن المرجّحات الموضوعيّة، فإنّ كلامنا في الموارد التي لا تقوم فيها قرائن خاصّة على عدم كاشفيّة وجدان الشخص الآخر، فإنّ الوجدان الشخصيّ لو كان أمارة لكان كاشفاً، ولم يكن فيه فرق بين من قام عنده أو قام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خروج بعض أفراد الوجدان عن محلّ الكلام، وهي الوجدانات التي يقوم الدليل على كونها غير كاشفة، وقد استندت إلى أسباب شخصيّة، فإنّ هذه الأفراد خارجة عن تقريب الأماريّة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التقريب يثبت الحجّيّة للوجدان بشكل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من قام لديه ومن لم يقم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اللازم الذي ذكرناه</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3208619_2870459653"/>
      <w:bookmarkStart w:id="373" w:name="_Toc144"/>
      <w:bookmarkEnd w:id="372"/>
      <w:r>
        <w:rPr>
          <w:rtl w:val="true"/>
        </w:rPr>
        <w:t>الاعتراض الخامس</w:t>
      </w:r>
      <w:bookmarkEnd w:id="37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مقتضى كون الوجدان أمارة أن لا يُرجع إليه إلّا بعد استفراغ الوسع في البحث عن كلّ الأدلّة الأخرى الموجبة للقطع والاطمئنان كالاستقراء والقرائن ونحوها كما في سائر الأمارات، وهو مخالف لما جروا عليه في الرجوع إليه مباشرة، بل قد يُرجع إليه ويجعل الأساس ويُؤيّد بالقرائن</w:t>
      </w:r>
      <w:r>
        <w:rPr>
          <w:rStyle w:val="FootnoteAnchor"/>
          <w:rtl w:val="true"/>
        </w:rPr>
        <w:footnoteReference w:id="320"/>
      </w:r>
      <w:r>
        <w:rPr>
          <w:rFonts w:ascii="Amiri" w:hAnsi="Amiri" w:eastAsia="Amiri" w:cs="Amiri"/>
          <w:color w:val="111111"/>
          <w:sz w:val="28"/>
          <w:sz w:val="28"/>
          <w:szCs w:val="28"/>
          <w:rtl w:val="true"/>
          <w:lang w:bidi="ar-SA"/>
        </w:rPr>
        <w:t xml:space="preserve">، وقد يظهر ذلك من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أيضاً، بل ذكر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الصحيح والأعم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 معيار الفرق والتمييز في نظائر المقام إنَّما هو بالوجدان، ونحن إذا رجعنا إلى وجداننا</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 وكذا 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الظهور وعدمه من الوجدانيّات </w:t>
      </w:r>
      <w:bookmarkStart w:id="374" w:name="pg10932_87801"/>
    </w:p>
    <w:p>
      <w:pPr>
        <w:pStyle w:val="BookText"/>
        <w:rPr/>
      </w:pPr>
      <w:bookmarkEnd w:id="374"/>
      <w:r>
        <w:rPr>
          <w:rFonts w:ascii="Amiri" w:hAnsi="Amiri" w:eastAsia="Amiri" w:cs="Amiri"/>
          <w:color w:val="111111"/>
          <w:sz w:val="28"/>
          <w:sz w:val="28"/>
          <w:szCs w:val="28"/>
          <w:rtl w:val="true"/>
          <w:lang w:bidi="ar-SA"/>
        </w:rPr>
        <w:t>التي لا يرجع فيها إلّا إلى الوجدان</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إلَّا أنّ مقتضى كونه أمارة أن يجب عليك قبل العمل بما لديك من ظهور أو وجدان البحث عن وجود أيّ دليل قطعي، فإن لم تجد جاز لك أن ترجع إلى وجدانك</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3208621_2870459653"/>
      <w:bookmarkStart w:id="376" w:name="_Toc145"/>
      <w:bookmarkEnd w:id="375"/>
      <w:r>
        <w:rPr>
          <w:rtl w:val="true"/>
        </w:rPr>
        <w:t>الاعتراض السادس</w:t>
      </w:r>
      <w:bookmarkEnd w:id="376"/>
    </w:p>
    <w:p>
      <w:pPr>
        <w:pStyle w:val="BookText"/>
        <w:rPr/>
      </w:pPr>
      <w:r>
        <w:rPr>
          <w:rFonts w:ascii="Amiri" w:hAnsi="Amiri" w:eastAsia="Amiri" w:cs="Amiri"/>
          <w:color w:val="111111"/>
          <w:sz w:val="28"/>
          <w:sz w:val="28"/>
          <w:szCs w:val="28"/>
          <w:rtl w:val="true"/>
          <w:lang w:bidi="ar-SA"/>
        </w:rPr>
        <w:t xml:space="preserve">أنَّ السيرة المدّعى قيامها إن أقيم دليل على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كالاستقراء أو تحشيد القرائن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لكنّي لم أجد من فعل ذلك، وإن كانت مُحرزَة بالخبرة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التقريب حيث ادّعيت وأيّدت بشاهد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 ذلك</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3208623_2870459653"/>
      <w:bookmarkStart w:id="378" w:name="_Toc146"/>
      <w:bookmarkEnd w:id="377"/>
      <w:r>
        <w:rPr>
          <w:rtl w:val="true"/>
        </w:rPr>
        <w:t>الاعتراض السابع</w:t>
      </w:r>
      <w:bookmarkEnd w:id="37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الموارد التي يظهر نظر المستدلّ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موارد المحاورات الشخصيّة ونحوها، أمّا موارد إحراز الظهورات النوعيّة للصيغ ونحوها من الموارد فلا يعلم شمول السيرة لها، بل قد يقال بعين ما قيل في الإشكال الأوّل من كون عامّة الناس لا يحتاجون لمثل هذه الأمور ليبدوا موقفاً منها إلّا قليلاً، فهل رأيت من المتحاورين 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 عقلاء لا بما هم متخصّصون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يبحث عن كون صيغة الأمر ظاهرة في الوجوب، أو كون الأوامر في المركّبات الارتباطيّة محمولة على الإرشاد، ويستدلّ بوجدانه الشخصيّ؟ فلا حاجة تدعوهم للبحث عن مثل هذه الكبريات، لكي يتّخذوا وجدانهم سبيلاً للإحراز، مع أنّ الأعلام يستدلّون بوجدانهم أحياناً في مثل هذه الموارد</w:t>
      </w:r>
      <w:r>
        <w:rPr>
          <w:rStyle w:val="FootnoteAnchor"/>
          <w:rtl w:val="true"/>
        </w:rPr>
        <w:footnoteReference w:id="324"/>
      </w:r>
      <w:r>
        <w:rPr>
          <w:rFonts w:ascii="Amiri" w:hAnsi="Amiri" w:eastAsia="Amiri" w:cs="Amiri"/>
          <w:color w:val="111111"/>
          <w:sz w:val="28"/>
          <w:sz w:val="28"/>
          <w:szCs w:val="28"/>
          <w:rtl w:val="true"/>
          <w:lang w:bidi="ar-SA"/>
        </w:rPr>
        <w:t xml:space="preserve">، بل إنّه وقع من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 فلا بُدَّ من الالتزام بالوجدان في موارد إحراز ظهور المفردات والجمل في المحاورات، </w:t>
      </w:r>
      <w:bookmarkStart w:id="379" w:name="pg10932_87803"/>
    </w:p>
    <w:p>
      <w:pPr>
        <w:pStyle w:val="BookText"/>
        <w:rPr/>
      </w:pPr>
      <w:bookmarkEnd w:id="379"/>
      <w:r>
        <w:rPr>
          <w:rFonts w:ascii="Amiri" w:hAnsi="Amiri" w:eastAsia="Amiri" w:cs="Amiri"/>
          <w:color w:val="111111"/>
          <w:sz w:val="28"/>
          <w:sz w:val="28"/>
          <w:szCs w:val="28"/>
          <w:rtl w:val="true"/>
          <w:lang w:bidi="ar-SA"/>
        </w:rPr>
        <w:t>وعدم الاستناد إليه في إحراز الأصول اللفظيّة والظهورات النوعيّة؛ لعدم العلم بشمول السيرة لها، وهو خلاف ما يقع منهم</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3208625_2870459653"/>
      <w:bookmarkStart w:id="381" w:name="_Toc147"/>
      <w:bookmarkEnd w:id="380"/>
      <w:r>
        <w:rPr>
          <w:rtl w:val="true"/>
        </w:rPr>
        <w:t>الاعتراض الثامن</w:t>
      </w:r>
      <w:bookmarkEnd w:id="381"/>
    </w:p>
    <w:p>
      <w:pPr>
        <w:pStyle w:val="BookText"/>
        <w:rPr/>
      </w:pPr>
      <w:r>
        <w:rPr>
          <w:rFonts w:ascii="Amiri" w:hAnsi="Amiri" w:eastAsia="Amiri" w:cs="Amiri"/>
          <w:color w:val="111111"/>
          <w:sz w:val="28"/>
          <w:sz w:val="28"/>
          <w:szCs w:val="28"/>
          <w:rtl w:val="true"/>
          <w:lang w:bidi="ar-SA"/>
        </w:rPr>
        <w:t xml:space="preserve">أنَّ الاعتماد على ما يجده الشخص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من قِبل العرف والسيرة عليه يمكن أن يكون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الاعتماد بنحو الأداة العمليّة لكي يسهل التفاهم في المحاورات، لا أن يكون الاعتماد على ما يجده الشخص في نفسه من ظهور من باب كونه كاشفاً عن الظهور النوعيّ، فهو معتبر لأجل تسهيل عمليّة المحاورة، لا لأجل الكشف، فيكون جري العقلاء عليه بنفسه لا باعتبار كاشفيّته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الاعتماد بنحو الكاشف عن الظهور النوعيّ، فيجعل كاشفاً عنه ومسبّباً لحصول درجة اعتقاديّة بالظهور النوعيّ فيكون معتبراً بنكتة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في مقامنا بين النحوين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الأوّل إن سُلّم جريان السيرة عليه فإنّ هذا لا يُثبت كونه كاشفاً، بل مجرّد أداة عمليّة، فمتى ما لم يكن هنالك مورد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المباحث التخصّصيّة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هنالك غرض مهمّ جدّاً لم يجز الاعتماد على هذه الأداة؛ لأنّ الأدوات العمليّة لا تجري في المباحث التخصّصيّة التي مناطها كشف الواقع والذي يحصل بالكواشف المعتبرة إمّا تعبّداً أو إحرازاً؛ وذلك أنّ ما تجري السيرة عليه من جهة كونه طريقاً عمليّاً لا لأجل كونه يعطي كاشفيّة معتبرة لا يمكن أن يُؤخذ كطريق محرز؛ لعدم الجري عليه كذلك من قبل العقلاء، فلا يكون أمارة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الدليل لبّياً فلا معيِّن لكشف أحد النوعين، بل قد يدّعى أنّ الأنسب لوضع العقلاء هو كونه أداة عمليّة؛ وذلك لأنَّ هذا المقدار هو المحتاج إليه بحسب أغراض العقلاء، حيث إنّهم لا يحتاجون غالباً أن يحرزوا الواقع، بل أن يتفاهموا بما يلبّي </w:t>
      </w:r>
      <w:bookmarkStart w:id="382" w:name="pg10932_87805"/>
    </w:p>
    <w:p>
      <w:pPr>
        <w:pStyle w:val="BookText"/>
        <w:rPr/>
      </w:pPr>
      <w:bookmarkEnd w:id="382"/>
      <w:r>
        <w:rPr>
          <w:rFonts w:ascii="Amiri" w:hAnsi="Amiri" w:eastAsia="Amiri" w:cs="Amiri"/>
          <w:color w:val="111111"/>
          <w:sz w:val="28"/>
          <w:sz w:val="28"/>
          <w:szCs w:val="28"/>
          <w:rtl w:val="true"/>
          <w:lang w:bidi="ar-SA"/>
        </w:rPr>
        <w:t xml:space="preserve">أغراضهم، ولما ورد في كلام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لا تتاح للإنسان فرصة علاج من هذا القبيل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ذكر أنّ طرد هذا الاحتمال ممكن بسؤال أشخاص آخرين مختلفين ومن بيئات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ارتباط المسألة بصعوبة الفحص، وكون هذه الأمارة سبيلاً للتسهيل على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يكفينا لبّيّة الدليل وعدم تعيُّن أحدهم في نقض التقريب</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3208627_2870459653"/>
      <w:bookmarkStart w:id="384" w:name="_Toc148"/>
      <w:bookmarkEnd w:id="383"/>
      <w:r>
        <w:rPr>
          <w:rtl w:val="true"/>
        </w:rPr>
        <w:t>الاعتراض التاسع</w:t>
      </w:r>
      <w:bookmarkEnd w:id="384"/>
    </w:p>
    <w:p>
      <w:pPr>
        <w:pStyle w:val="BookText"/>
        <w:rPr/>
      </w:pPr>
      <w:r>
        <w:rPr>
          <w:rFonts w:ascii="Amiri" w:hAnsi="Amiri" w:eastAsia="Amiri" w:cs="Amiri"/>
          <w:color w:val="111111"/>
          <w:sz w:val="28"/>
          <w:sz w:val="28"/>
          <w:szCs w:val="28"/>
          <w:rtl w:val="true"/>
          <w:lang w:bidi="ar-SA"/>
        </w:rPr>
        <w:t>أنّه لا يعلم أنّ السيرة قائمة على أن يعتمد المحاور على وجدانه الشخصيّ فقط، فقد يقع من أهل المحاورة الاعتماد على أصول لفظيّة، أو على تفسير الكلام بعضه ببعض، أو طرق أخرى، إلَّا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ذلك لا يخدش في قيام السيرة على الاعتماد على الوجدان الشخصيّ؛ فإنّه لم يثبت أنّ ما يقع من أهل المحاورة من الاعتماد على غير الوجدان يكون بنحوٍ يشكّل سيرة على عدم الاكتفاء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التقريب الثاني</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3208629_2870459653"/>
      <w:bookmarkStart w:id="386" w:name="_Toc149"/>
      <w:bookmarkEnd w:id="385"/>
      <w:r>
        <w:rPr>
          <w:rtl w:val="true"/>
        </w:rPr>
        <w:t>التقريب الثالث</w:t>
      </w:r>
      <w:bookmarkEnd w:id="386"/>
    </w:p>
    <w:p>
      <w:pPr>
        <w:pStyle w:val="Heading5"/>
        <w:numPr>
          <w:ilvl w:val="4"/>
          <w:numId w:val="1"/>
        </w:numPr>
        <w:rPr/>
      </w:pPr>
      <w:bookmarkStart w:id="387" w:name="__RefHeading___Toc3208631_2870459653"/>
      <w:bookmarkStart w:id="388" w:name="_Toc150"/>
      <w:bookmarkEnd w:id="387"/>
      <w:r>
        <w:rPr>
          <w:rtl w:val="true"/>
        </w:rPr>
        <w:t>اشارة</w:t>
      </w:r>
      <w:bookmarkEnd w:id="38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نلتزم بأنّ موضوع الحجّيّة في الظهور، والعلاميّة في التبادر، والعرف في المواضيع التي يرجع فيها إليه، وحكم العقل هو ما يجده الشخص من ظهور أو من تبادر أو من حكم عقل أو من حكم عرف، فيكون الرجوع إلى الوجدان الشخصيّ من باب الرجوع إلى واقع الشيء، فيكون ما تجده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الوجدان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واقع تلك المواضيع، فحين تقول إنّ التبادر حجّة تقصد به تبادرك الشخصيّ أي ما وجدته في نفسك من تبادر، فلإحراز وجود الموضوع ترجع إلى نفسك فإمّا تجده أو لا تجده، فيكون الرجوع إلى الوجدان كالنظر إلى اللوح لمعرفة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ويشير إلى هذا التقريب بعض كلماتهم، كما قد يستفاد من كلام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من أنّ المقصود بموضوع حجّيّة حكم العقل هو الوجدان الشخصيّ المتمثّل بحكم عقل صاحب الوجدان، ومن 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مقام ثبوته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أشار إليه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ظهور فعلي في طلب الحيوان المفترس، وهو الذي قال عنه الأصوليّون المتأخّرون أنَّه هو موضوع الحجّيّة</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يقصده بالظهور الفعليّ هو الظهور الشخصيّ، والذي يدلّ على مراده هذا عبارته التالية في الموضع المشار إليه، حيث نسب إلى الأصوليّين أنّ موضوع الحجّيّة هو ما يجده الشخص من ظهور عنده، فعليه يكون ما تجده من نفسك من ظهور هو مصداق لموضوع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مرّت الإشارة إليه من كلام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بداهة الوجدان قاضٍ بأنَّه لا مدخليّة</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إذا فسّرنا بداهة الوجدان بالوجدان الجليّ الذي يظهر بجلاء ووضوح، كما ذُكر أنّ في الوجدان ما هو جليّ وخفيّ</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دلالته بناءً 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مرّ في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يقصد أنّ هذا الشيء واضح وجليّ من الوجدان، فيكون كمن يقول إنّ عدم وجود زيد في البيت جليّ وواضح، فإنّ هذا التعبير يفترض أنّ الوجدان لوح وواقع، فيه ما هو جليّ للنظر وما هو </w:t>
      </w:r>
      <w:bookmarkStart w:id="389" w:name="pg10932_87809"/>
    </w:p>
    <w:p>
      <w:pPr>
        <w:pStyle w:val="BookText"/>
        <w:rPr/>
      </w:pPr>
      <w:bookmarkEnd w:id="389"/>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الكلمات تدلّ على أنّ المعتبر في تحقيق المواضيع التي تتّصف بالحجّيّة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العقل كما فيما نقلناه أوَّلاً، أو الظهور كما فيما نقلناه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يجده الشخص من نفسه من حكم عقل أو من ظهور، وما يجده الشخص من نفسه هو الوجدان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التقريب لإثبات الحجّيّة لا يفيد الحجّيّة بالمعنى الذي هو محلّ النزاع، أي إثبات الحجّيّة بمعنى كون الوجدان الشخصيّ كاشفاً معتبراً، وهذا التقريب يبتني على تغيير المواضيع المراد كشفها، فلا يقدّم هذا التقريب تبريراً لاستخدام الوجدان الشخصيّ كمحرز، بل يجعل الوجدان الشخصيّ هو المكشوف والمُحرَز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فجعل هذا التقريب ثالثاً من جهة أنَّه يجتمع مع سابقيه في النتيجة العمليّة، وهي صحّة الرجوع إلى الوجدان إلَّا أنّ الأوّلين يتمحوران حول تصحيح كاشفيّة الوجدان الشخصيّ، والأخير يقوم على جعله هو المأخوذ في المواضيع التي يهتمّ بإحرازها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يعترض على هذا التقريب بعدّة اعتراضات</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3208633_2870459653"/>
      <w:bookmarkStart w:id="391" w:name="_Toc151"/>
      <w:bookmarkEnd w:id="390"/>
      <w:r>
        <w:rPr>
          <w:rtl w:val="true"/>
        </w:rPr>
        <w:t>الاعتراض الأوَّل</w:t>
      </w:r>
      <w:bookmarkEnd w:id="39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يترتّب على كون الوجدان الشخصيّ هو المعتبر في تحقيق تلك المواضيع أن لا يكون هنالك وجه لذكر الوجدان في مقام الاحتجاج، كما قد يكون الظاهر الأوّليّ هو ذكره بهذا النحو؛ حيث إنّ الأدلّة إذا ذكرت في موارد الخلاف يكون المقصود بها الإلزام والاحتجاج كما يظهر من مناقشتهم للظهورات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شواهد الاكتفاء بالمنع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لم يروا أنّ الدليل موجّه لهم لما تصدّوا لمناقشته، وكذا من المناقشة في الأدلّة التي تطرح في عموم المطالب بكونها مبنائيّة، فإنّ هذا يكشف عن أنّ المفروض كون الدليل ليس بمبنائيّ، فإنّ المعتبر حينئذٍ حصول الوجدان الشخصيّ فإن لم يحصل </w:t>
      </w:r>
      <w:bookmarkStart w:id="392" w:name="pg10932_87811"/>
    </w:p>
    <w:p>
      <w:pPr>
        <w:pStyle w:val="BookText"/>
        <w:rPr/>
      </w:pPr>
      <w:bookmarkEnd w:id="392"/>
      <w:r>
        <w:rPr>
          <w:rFonts w:ascii="Amiri" w:hAnsi="Amiri" w:eastAsia="Amiri" w:cs="Amiri"/>
          <w:color w:val="111111"/>
          <w:sz w:val="28"/>
          <w:sz w:val="28"/>
          <w:szCs w:val="28"/>
          <w:rtl w:val="true"/>
          <w:lang w:bidi="ar-SA"/>
        </w:rPr>
        <w:t>فأيّ وجه للاحتجاج بوجدان المُستدِلّ على أمرٍ مادام المعتبَر هو وجدان المُستدَلّ له لا وجدان المُستدِلّ، وكذا لا وجه لذكر الملاكات في باب الحسن والقبح</w:t>
      </w:r>
      <w:r>
        <w:rPr>
          <w:rStyle w:val="FootnoteAnchor"/>
          <w:rtl w:val="true"/>
        </w:rPr>
        <w:footnoteReference w:id="330"/>
      </w:r>
      <w:r>
        <w:rPr>
          <w:rFonts w:ascii="Amiri" w:hAnsi="Amiri" w:eastAsia="Amiri" w:cs="Amiri"/>
          <w:color w:val="111111"/>
          <w:sz w:val="28"/>
          <w:sz w:val="28"/>
          <w:szCs w:val="28"/>
          <w:rtl w:val="true"/>
          <w:lang w:bidi="ar-SA"/>
        </w:rPr>
        <w:t>إذ هذه الملاكات لا تصلح للوقوف في وجه الوجدان الشخصيّ لو قام على خلافها ما دام هو المعتبَر، وكذا لا وجه لذكر القوانين والأصول العقلائيّة في الظهور العرفيّ، كظهور الأوامر في الإرشاد إلى الجزئية ونحوها في المركّبات الارتباطيّة، وظهور صيغة الأمر في الوجوب، حيث إن حصل الظهور الشخصيّ على خلافها لم يبقَ اعتبار لها، فإنّ ذكرها يصحّ لو كان المعتبَر هو الوجدان النوعيّ، حيث إنّها سوف تكون وسائل لإحراز ذلك الوجدان النوعيّ</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3208635_2870459653"/>
      <w:bookmarkStart w:id="394" w:name="_Toc152"/>
      <w:bookmarkEnd w:id="393"/>
      <w:r>
        <w:rPr>
          <w:rtl w:val="true"/>
        </w:rPr>
        <w:t>الاعتراض الثاني</w:t>
      </w:r>
      <w:bookmarkEnd w:id="394"/>
    </w:p>
    <w:p>
      <w:pPr>
        <w:pStyle w:val="BookText"/>
        <w:rPr/>
      </w:pPr>
      <w:r>
        <w:rPr>
          <w:rFonts w:ascii="Amiri" w:hAnsi="Amiri" w:eastAsia="Amiri" w:cs="Amiri"/>
          <w:color w:val="111111"/>
          <w:sz w:val="28"/>
          <w:sz w:val="28"/>
          <w:szCs w:val="28"/>
          <w:rtl w:val="true"/>
          <w:lang w:bidi="ar-SA"/>
        </w:rPr>
        <w:t>أنَّ الوجدان الشخصيّ لا يصلح أن يكون المقصود من هذه العناوين، وهي الظهور والتبادر وحكم العقل والعرف؛ لأنَّ معنى ذلك أن يكون اعتمادك على هذه العناوين اعتماداً على الوجدان الشخصيّ؛ إذ كيف يجوز الاعتماد عليه مع ما عرفت من كثرة الاختلافات فيه وكونه مرتبطاً بشخص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كيف يعتمد عليه في الشؤون اللفظيّة؟ مع أنّ السبيل إلى إحراز مراد المتكلّم والمتبادر لدى العرف لا بُدَّ أن يكون كاشفاً له مقدار من الاحتمالية، مع أنّ الاعتماد على الوجدان الشخصيّ يلزم أن لا تصل مرادات المتكلّمين إلى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الموارد لتأثير الوجدان الشخصيّ للمخاطَبين في فهم الخطابات، ومن ثَمَّ فكيف تراعى وجداناتهم في الخطابات العامّة لو أراد المتكلّم محاولة إحراز وصول مراده إليهم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الوجدان الشخصيّ غير صالحٍ لكي يكون سبيلاً لإحراز مراد </w:t>
      </w:r>
      <w:bookmarkStart w:id="395" w:name="pg10932_87813"/>
    </w:p>
    <w:p>
      <w:pPr>
        <w:pStyle w:val="BookText"/>
        <w:rPr/>
      </w:pPr>
      <w:bookmarkEnd w:id="395"/>
      <w:r>
        <w:rPr>
          <w:rFonts w:ascii="Amiri" w:hAnsi="Amiri" w:eastAsia="Amiri" w:cs="Amiri"/>
          <w:color w:val="111111"/>
          <w:sz w:val="28"/>
          <w:sz w:val="28"/>
          <w:szCs w:val="28"/>
          <w:rtl w:val="true"/>
          <w:lang w:bidi="ar-SA"/>
        </w:rPr>
        <w:t>المتكلّمين ولا لتنظيم أمورهم في موارد حكم العرف، أو تحديد ما ينبغي أو ما لا ينبغي في موارد حكم العقل؛ لكثرة الاختلافات فيه، وتأثّره بشخص صاحبه المقتضي لعدم انضباطه وعدم صلاحيّته ليكون سبيلاً للإحراز</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3208637_2870459653"/>
      <w:bookmarkStart w:id="397" w:name="_Toc153"/>
      <w:bookmarkEnd w:id="396"/>
      <w:r>
        <w:rPr>
          <w:rtl w:val="true"/>
        </w:rPr>
        <w:t>الاعتراض الثالث</w:t>
      </w:r>
      <w:bookmarkEnd w:id="397"/>
    </w:p>
    <w:p>
      <w:pPr>
        <w:pStyle w:val="BookText"/>
        <w:rPr/>
      </w:pPr>
      <w:r>
        <w:rPr>
          <w:rFonts w:ascii="Amiri" w:hAnsi="Amiri" w:eastAsia="Amiri" w:cs="Amiri"/>
          <w:color w:val="111111"/>
          <w:sz w:val="28"/>
          <w:sz w:val="28"/>
          <w:szCs w:val="28"/>
          <w:rtl w:val="true"/>
          <w:lang w:bidi="ar-SA"/>
        </w:rPr>
        <w:t>أنَّ الاستدلال بالعرف سيكون مشكلاً</w:t>
      </w:r>
      <w:r>
        <w:rPr>
          <w:rStyle w:val="FootnoteAnchor"/>
          <w:rtl w:val="true"/>
        </w:rPr>
        <w:footnoteReference w:id="331"/>
      </w:r>
      <w:r>
        <w:rPr>
          <w:rFonts w:ascii="Amiri" w:hAnsi="Amiri" w:eastAsia="Amiri" w:cs="Amiri"/>
          <w:color w:val="111111"/>
          <w:sz w:val="28"/>
          <w:sz w:val="28"/>
          <w:szCs w:val="28"/>
          <w:rtl w:val="true"/>
          <w:lang w:bidi="ar-SA"/>
        </w:rPr>
        <w:t>وذلك لأنّه مادام المعتبَر هو الوجدان الشخصيّ فإنَّه وإن سلّم قيام العرف على شيء، فأيّ ملزم في ذلك لصاحب الوجدان الشخصيّ إن قام وجدانه على خلاف العرف؟ بعد فرض أن ما يُعتبر هو وجدانه، لا ما يقوم عليه العرف</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3208639_2870459653"/>
      <w:bookmarkStart w:id="399" w:name="_Toc154"/>
      <w:bookmarkEnd w:id="398"/>
      <w:r>
        <w:rPr>
          <w:rtl w:val="true"/>
        </w:rPr>
        <w:t>الاعتراض الرابع</w:t>
      </w:r>
      <w:bookmarkEnd w:id="399"/>
    </w:p>
    <w:p>
      <w:pPr>
        <w:pStyle w:val="BookText"/>
        <w:rPr/>
      </w:pPr>
      <w:r>
        <w:rPr>
          <w:rFonts w:ascii="Amiri" w:hAnsi="Amiri" w:eastAsia="Amiri" w:cs="Amiri"/>
          <w:color w:val="111111"/>
          <w:sz w:val="28"/>
          <w:sz w:val="28"/>
          <w:szCs w:val="28"/>
          <w:rtl w:val="true"/>
          <w:lang w:bidi="ar-SA"/>
        </w:rPr>
        <w:t>أنّه إذا كان الوجدان الشخصيّ هو الحجّة باعتبار كونه هو المعتبَر في تحقيق العناوين المتّصفة بالحجّيّة، فأيّ حاجة للبحث عن مبحث الظهورات وتنقيح الأصول اللفظية والتعامل الصحيح مع القرائن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تلك القواعد غير نافعة مع قيام الوجدان الشخصيّ على خلافها، فيكون ثبوتها وعدمه سواء، والبحث عن تنقيح حالها بلا ثمرة، لعدم دخولها وتأثيرها في موضوع الحجّيّة، مع أنّ ذكر هذه المباحث ممّا لا يحتاج إلى شاهد</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3208641_2870459653"/>
      <w:bookmarkStart w:id="401" w:name="_Toc155"/>
      <w:bookmarkEnd w:id="400"/>
      <w:r>
        <w:rPr>
          <w:rtl w:val="true"/>
        </w:rPr>
        <w:t>الاعتراض الخامس</w:t>
      </w:r>
      <w:bookmarkEnd w:id="40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جعل الوجدان الشخصيّ هو الحجّة مشكل من جهة أنّ في ذلك قبولاً لدخول المؤثّرات والملابسات والأذواق في تكوين الظهورات وفي تطبيق أحكام العرف، ولك مثال لترى أثر ذلك فلو كان هنالك عبد بطبعه ميّال للتهرّب من المسؤوليات الملقاة على عاتقه، فعندما يُطرح عليه فعل أمر بصيغة الأمر يَفهم منه الاستحباب ويكون وجدانه الشخصيّ قائماً على ذلك، وحينئذٍ يَترك امتثال الأمر، مع </w:t>
      </w:r>
      <w:bookmarkStart w:id="402" w:name="pg10932_87815"/>
    </w:p>
    <w:p>
      <w:pPr>
        <w:pStyle w:val="BookText"/>
        <w:rPr/>
      </w:pPr>
      <w:bookmarkEnd w:id="402"/>
      <w:r>
        <w:rPr>
          <w:rFonts w:ascii="Amiri" w:hAnsi="Amiri" w:eastAsia="Amiri" w:cs="Amiri"/>
          <w:color w:val="111111"/>
          <w:sz w:val="28"/>
          <w:sz w:val="28"/>
          <w:szCs w:val="28"/>
          <w:rtl w:val="true"/>
          <w:lang w:bidi="ar-SA"/>
        </w:rPr>
        <w:t xml:space="preserve">إقراره أنّ الفهم العرفيّ هو الوجوب من هذه الصيغة، لكن وجدانه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الاستحباب، فإنّا بذلك لا حقّ لنا في معاقبته؛ لأنَّ الحجّة هو ما قام عليه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أنّ شخصاً بطبيعته لا يحترم الآخرين فإنّه حين إقدامه على تصرّف في حقّ شخص لا يجد من وجدانه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في ذلك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إهانة، مع علمه بأنّ العرف يعدّه إهانة، فيلزم أيضاً أن لا يكون معرّضاً للعقاب؛ لأنَّ المناط هو وجدانه في تحديد أحكام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وفتح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الالتزام بهذا بالتقريب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جداً؛ لدخول كلّ الملابسات الشخصيّة فيما يتعلّق بالأمور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كتكوين الظهورات من الخطابات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والقبول بفهمِ ما يناسب الذوق الشخصيّ للمتتبّع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ما قد يخطر في بعض الأذهان من مصاديق الملابسات الذهنيّة ذات التأثير الخفيف الذي قد لا يوجب أثراً ملموساً، مُوهمٌ لعدم تأثير هذا التقريب لمثل هذه النتيجة،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السماح للوجدان الشخصيّ بكونه هو الموضوع موجب لاعتباره مطلقاً مع أيّ ملابس بلا فرق بين أنواع الملابسات، وقد مرّ تفصيل الكلام في ذلك</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3208643_2870459653"/>
      <w:bookmarkStart w:id="404" w:name="_Toc156"/>
      <w:bookmarkEnd w:id="403"/>
      <w:r>
        <w:rPr>
          <w:rtl w:val="true"/>
        </w:rPr>
        <w:t>الاعتراض السادس</w:t>
      </w:r>
      <w:bookmarkEnd w:id="40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اعتبار الوجدان هو الموضوع للأحكام العقليّة يعني أنّه حين يحكم العقل بالحسن يكون عقل الشخص هو الذي يحكم، والذي يجب عليه متابعته من أحكام العقل العملي هو ما يراه الشخص حسناً، ولازم ذلك أن يكون الشيء الواحد حسناً وقبيحاً في آنٍ واحدٍ، فهو حسن عند زيد، فيكون ممّا يجب فعله واقعاً، وهو قبيح عند عمرو وممّا يجب تركه، مع كونه شيئاً واحداً، فكيف يلحقه حكمان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يتوهّم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في صقع الواقع حكماً واحداً لكن الأنظار اختلفت فيه؛ لأنّ ذلك مبنيّ على أنّ الحكم العقليّ النوعيّ هو الموضوع، أمّا على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أنّ الحسن ما حسّنه عقل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يعتبر الحكم العقليّ الشخصيّ هو الموضوع، فيختلف الحكم وتتعدّد المواضيع باختلاف العقول الذي يلزم منه التناقض واتّصاف الشيء الواحد بحكمين مختلفين، لا من جهتين، بل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يلزم أنّ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حسّنه شخص في عقله نتيجة لتأثير ظروف، أو على الأقلّ لم يحكم بقبحه يكون ليس ممّا ينبغي تركه واقعاً؛ لأنّ حكم عقله هو الموضوع، فإنْ لم يحكم عقله لم يكن هنالك حكم في الواقع، مع أنّ لازم ذلك أن لا يذمّ من قبل العقلاء، وأنّه لم يفعل ما ينبغي تركه، فهل يلتزم بمثل هذا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أمراً يجب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وقع في ضمن ما ذكر من المناقشات مع التقريب الأخير وصف الوجدان الشخصيّ بالحجّة، مع أنّه بناءً على هذا التقريب يكون الوجدان هو موضوع الحجّيّة؛ حيث هو المعتبر في تحقيق العناوين المتّصفة بالحجّيّة، وليس دليلاً، لكي يوصف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وصف الوجدان بالحجّة ليس لأجل اعتباره كاشفاً، بل لأنّ مقتضى كون الوجدان الشخصيّ المعتبر في تلك العناوين هو أن يكون حجّة على مَن يحرزه، لكون هذه العناوين موضوعاً للحجّيّة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خلاصة الوجوه في تقريب حجّيّة الوجدان التي حاولتُ استخراجها بالنظر إلى كلمات الأعلام</w:t>
      </w:r>
      <w:r>
        <w:rPr>
          <w:rFonts w:eastAsia="Amiri" w:cs="Amiri" w:ascii="Amiri" w:hAnsi="Amiri"/>
          <w:color w:val="111111"/>
          <w:sz w:val="28"/>
          <w:szCs w:val="28"/>
          <w:rtl w:val="true"/>
          <w:lang w:bidi="ar-SA"/>
        </w:rPr>
        <w:t xml:space="preserve">. </w:t>
      </w:r>
      <w:bookmarkStart w:id="405" w:name="pg10932_87819"/>
    </w:p>
    <w:p>
      <w:pPr>
        <w:pStyle w:val="Heading3"/>
        <w:numPr>
          <w:ilvl w:val="2"/>
          <w:numId w:val="1"/>
        </w:numPr>
        <w:rPr/>
      </w:pPr>
      <w:bookmarkStart w:id="406" w:name="__RefHeading___Toc3208645_2870459653"/>
      <w:bookmarkStart w:id="407" w:name="_Toc157"/>
      <w:bookmarkEnd w:id="405"/>
      <w:bookmarkEnd w:id="406"/>
      <w:r>
        <w:rPr>
          <w:rtl w:val="true"/>
        </w:rPr>
        <w:t>القول بعدم الحجّيّة وأدلّته</w:t>
      </w:r>
      <w:bookmarkEnd w:id="407"/>
    </w:p>
    <w:p>
      <w:pPr>
        <w:pStyle w:val="Heading4"/>
        <w:numPr>
          <w:ilvl w:val="3"/>
          <w:numId w:val="1"/>
        </w:numPr>
        <w:rPr/>
      </w:pPr>
      <w:bookmarkStart w:id="408" w:name="__RefHeading___Toc3208647_2870459653"/>
      <w:bookmarkStart w:id="409" w:name="_Toc158"/>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وقبل بيان هذا القول وإثباته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قاعدة معروفة مفادها أنّ الشكّ في الحجّيّة يساوق القطع بعدم الحجّيّة</w:t>
      </w:r>
      <w:r>
        <w:rPr>
          <w:rStyle w:val="FootnoteAnchor"/>
          <w:rtl w:val="true"/>
        </w:rPr>
        <w:footnoteReference w:id="332"/>
      </w:r>
      <w:r>
        <w:rPr>
          <w:rFonts w:ascii="Amiri" w:hAnsi="Amiri" w:eastAsia="Amiri" w:cs="Amiri"/>
          <w:color w:val="111111"/>
          <w:sz w:val="28"/>
          <w:sz w:val="28"/>
          <w:szCs w:val="28"/>
          <w:rtl w:val="true"/>
          <w:lang w:bidi="ar-SA"/>
        </w:rPr>
        <w:t>، لذا فإنّه يكفي في إثبات عدم الحجّيّة نقض الأدلّة القائمة على الحجّيّة، فعند عدم ثبوت ما يصلح لإثبات الحجّيّة يثبت ما ندّعيه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بيان المناقشة في التقريبات، ونتعرّض الآن لمحاولة الاستدلال على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بملاحظة حجم الاختلافات الموجودة في الوجدانات يحصل لدينا علم إجمالي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الوجدان الذي قام لدينا أو الوجدان الآخر كاذب، فإنّه في مثل هذه الحالة يتنجّز العلم الإجماليّ، وحتّى مع كون الوجدان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العمل بالأمارات بعد أن علم كذبها إجمالاً، فيكون هذا التقريب مفيداً لعدم الحجّيّة، حتّى لو سلّم إفادة التقريب الثاني لحجّيّة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يمكن أن يكون بوجهين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يتعارض وجدانان في مسألةٍ فإنّ أحد الوجدانين كاذب في كشفه عن الوجدان النوعيّ لا محالة، فيحصل علم إجمالي بكذب أحدهما، فلا يجوز العمل بهما، ولا مرجّح في أحدهما للعمل به على الآخر؛ لأنّهما وجدانان شخصيّان لا مزيّة لأحدهما على الآخر، وفي فرض وجود مرجّح فإنَّه يكون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المرجّح كما مرّ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بملاحظة حجم الاختلافات يحصل علم بالنظر إلى الوجدانات المدّعاة أنّ بينها كاذباً، فكيف نعمل ببعضها دون بعض آخر؟ كما لو علم بكذب سبعة أخبار من عشرة فلا يمكن العمل بأحدها، إلّا أنَّه 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على ما يقال في باب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انحلالاً للعلم الإجماليّ بحصول علم بكذب سبعة معيّنة منها، فينحلّ العلم ويجوز العمل بالثلاثة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الدعوى لا بُدَّ أن تجتاز كُلّا ً من المرحلتين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كشف وتعيين الكاذب من الوجدانات المطروحة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بنفس الوجدان الشخصيّ، وهو غير ممكن؛ حيث إنّ ذلك يندرج في إثبات الشيء لحجّيّة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يُكشف الكاذب بكاشف آخر، وحينئذٍ يكون هو المتّبع، ونخرج عن الاستدلال بالوجدان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أنّ مقدار المكشوف بالعلم الجديد مطابق لمقدار المعلوم كذبه، فإنَّه لو عَلم تفصيلاً بخمسة من الأخبار الكاذبة لم ينفع ذلك في دعوى الانحلال، لبقاء خبرين من الخمسة الباقية كاذبة بلا تعيين بالنسبة إلى المقيس عليه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المدّعي عهدة إثبات اجتياز الدعوى للمرحلتين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منجّز،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الالتفات إلى مثل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ينبغي ذلك عند البحث قضاءً لحقّ استقصاء كافة جهات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لتزلزل الوجدان الشخصيّ الحاصل عند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تجدر الإشارة إلى أنّ هذا الاستدلال لا يجري بناءً على التقريب الثالث من تقريبات حجّيّة الوجدان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هذا التقريب يكون نفس الوجدان الشخصيّ هو الواقع،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يقوم لديه وجدان يرى أنَّه مُحرز للواقع وإنْ عارضه وجدانُ آخر، ولا قيمة لوجدان الآخر، فلا يحصل علم إجماليّ لديه بكذب وجدانه، أو الوجدان الآخر</w:t>
      </w:r>
      <w:r>
        <w:rPr>
          <w:rFonts w:eastAsia="Amiri" w:cs="Amiri" w:ascii="Amiri" w:hAnsi="Amiri"/>
          <w:color w:val="111111"/>
          <w:sz w:val="28"/>
          <w:szCs w:val="28"/>
          <w:rtl w:val="true"/>
          <w:lang w:bidi="ar-SA"/>
        </w:rPr>
        <w:t xml:space="preserve">. </w:t>
      </w:r>
      <w:bookmarkStart w:id="410" w:name="pg10932_87822"/>
    </w:p>
    <w:p>
      <w:pPr>
        <w:pStyle w:val="Heading4"/>
        <w:numPr>
          <w:ilvl w:val="3"/>
          <w:numId w:val="1"/>
        </w:numPr>
        <w:rPr/>
      </w:pPr>
      <w:bookmarkStart w:id="411" w:name="__RefHeading___Toc3208649_2870459653"/>
      <w:bookmarkStart w:id="412" w:name="_Toc159"/>
      <w:bookmarkEnd w:id="410"/>
      <w:bookmarkEnd w:id="411"/>
      <w:r>
        <w:rPr>
          <w:rtl w:val="true"/>
        </w:rPr>
        <w:t>والمتحصَّل من البحث أمور</w:t>
      </w:r>
      <w:r>
        <w:rPr>
          <w:rtl w:val="true"/>
        </w:rPr>
        <w:t>..</w:t>
      </w:r>
      <w:bookmarkEnd w:id="41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للوجدان حجّيّة موجبة للعمل به، كما يظهر من الاعتراضات على وجوه حجّيته المحتملة، فلا يجوز الاستدلال به، فالمختار هو القول الثاني وإن لم أجد من التزم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سلّمت حجّيته من باب التقريب الأوّل أو الثاني فإنَّه لا يكون من المنهج العلميّ الاستدلال به، إلّا على التقريب الثاني بعد استفراغ الوسع في عدم إيجاد دليل قطعي محرز</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إقامة دليل على عدم حجّيته</w:t>
      </w:r>
      <w:r>
        <w:rPr>
          <w:rFonts w:eastAsia="Amiri" w:cs="Amiri" w:ascii="Amiri" w:hAnsi="Amiri"/>
          <w:color w:val="111111"/>
          <w:sz w:val="28"/>
          <w:szCs w:val="28"/>
          <w:rtl w:val="true"/>
          <w:lang w:bidi="ar-SA"/>
        </w:rPr>
        <w:t xml:space="preserve">. </w:t>
      </w:r>
      <w:bookmarkStart w:id="413" w:name="pg10932_87823"/>
    </w:p>
    <w:p>
      <w:pPr>
        <w:pStyle w:val="Heading3"/>
        <w:numPr>
          <w:ilvl w:val="2"/>
          <w:numId w:val="1"/>
        </w:numPr>
        <w:rPr/>
      </w:pPr>
      <w:bookmarkStart w:id="414" w:name="__RefHeading___Toc3208651_2870459653"/>
      <w:bookmarkStart w:id="415" w:name="_Toc160"/>
      <w:bookmarkEnd w:id="413"/>
      <w:bookmarkEnd w:id="414"/>
      <w:r>
        <w:rPr>
          <w:rtl w:val="true"/>
        </w:rPr>
        <w:t>تنبيهان</w:t>
      </w:r>
      <w:bookmarkEnd w:id="415"/>
    </w:p>
    <w:p>
      <w:pPr>
        <w:pStyle w:val="Heading4"/>
        <w:numPr>
          <w:ilvl w:val="3"/>
          <w:numId w:val="1"/>
        </w:numPr>
        <w:rPr/>
      </w:pPr>
      <w:bookmarkStart w:id="416" w:name="__RefHeading___Toc3208653_2870459653"/>
      <w:bookmarkStart w:id="417" w:name="_Toc161"/>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وهما في التعرّض لبعض الأمور التي قد لا يمكن إدخالها في ضمن فصول البحث، أو يُحتاج إلى التعرّض لها استقلالاً</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208655_2870459653"/>
      <w:bookmarkStart w:id="419" w:name="_Toc162"/>
      <w:bookmarkEnd w:id="418"/>
      <w:r>
        <w:rPr>
          <w:rtl w:val="true"/>
        </w:rPr>
        <w:t>التنبيه الأوّل</w:t>
      </w:r>
      <w:r>
        <w:rPr>
          <w:rtl w:val="true"/>
        </w:rPr>
        <w:t xml:space="preserve">: </w:t>
      </w:r>
      <w:r>
        <w:rPr>
          <w:rtl w:val="true"/>
        </w:rPr>
        <w:t>الوجدان والسيرة</w:t>
      </w:r>
      <w:bookmarkEnd w:id="419"/>
    </w:p>
    <w:p>
      <w:pPr>
        <w:pStyle w:val="BookText"/>
        <w:rPr/>
      </w:pPr>
      <w:r>
        <w:rPr>
          <w:rFonts w:ascii="Amiri" w:hAnsi="Amiri" w:eastAsia="Amiri" w:cs="Amiri"/>
          <w:color w:val="111111"/>
          <w:sz w:val="28"/>
          <w:sz w:val="28"/>
          <w:szCs w:val="28"/>
          <w:rtl w:val="true"/>
          <w:lang w:bidi="ar-SA"/>
        </w:rPr>
        <w:t xml:space="preserve">يمكن استخدام الوجدان في إحراز السيرة بنوعيها،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التعرّض للسيرة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السيرة ثابتة بالرجوع إلى ما تجده من نفسك من جري العقلاء وسلوكهم، إلّا أنَّ ذلك يكتنفه شيء من الغموض، حيث إنّ السيرة هي سلوك وجري عمليّ، والوجدان هو شعور وإدراك نفسيّ، فكيف يعقل الرجوع إليه في إحراز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الرجوع إلى الوجدان في مقامنا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في السلوك المطلوب أو المدّعى قيام السيرة عليه، فيطبّقه على سلوكه الخارجيّ، فيرى بوجدانه إذا ما كان يصدر منه أو لا، ومن ثَمَّ يأخذ النتيجة ويعمّمها على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خبرته الشخصيّة مع العقلاء بحسب ما عاشه معهم بأن يرجع إلى خبرته الشخصيّة المتضمّنة لتفاعله مع تلك الحوادث بشكل إجمالي، فهو لا ينظر لنفسه في السيرة، بل إلى تجربته مع العقلاء، على أن لا يكون رجوعه بشكل استقرائيّ، كأنْ يرجع إلى ذاكرته لكي يجد الحوادث المرتبطة بالموضوع، ومن ثَمَّ يحاول جعلها قرائن أو مفردات للاستقراء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الرجوع إلى الخبرة الشخصيّة رجوعاً إلى الوجدان، ولذا لم يعهد في موارد الاستدلال بالسيرة ذكر الوجدان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أثر كبير لتحقيق كون هذا الرجوع إلى الخبرة الشخصيّة </w:t>
      </w:r>
      <w:bookmarkStart w:id="420" w:name="pg10932_87824"/>
    </w:p>
    <w:p>
      <w:pPr>
        <w:pStyle w:val="BookText"/>
        <w:rPr/>
      </w:pPr>
      <w:bookmarkEnd w:id="420"/>
      <w:r>
        <w:rPr>
          <w:rFonts w:ascii="Amiri" w:hAnsi="Amiri" w:eastAsia="Amiri" w:cs="Amiri"/>
          <w:color w:val="111111"/>
          <w:sz w:val="28"/>
          <w:sz w:val="28"/>
          <w:szCs w:val="28"/>
          <w:rtl w:val="true"/>
          <w:lang w:bidi="ar-SA"/>
        </w:rPr>
        <w:t>من الرجوع إلى الوجدان، بل المهمّ هو تصوير البحث بتقريباته وإشكالاته في الرجوع إلى الخبرة الشخصيّة في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النحوين يشملهما الخدش الذي مرّ، وكذا يمكن أن تشملهما التقريبات لإثبات الحجّيّة، والأمر يحتاج إلى مزيد نظر</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3208657_2870459653"/>
      <w:bookmarkStart w:id="422" w:name="_Toc163"/>
      <w:bookmarkEnd w:id="421"/>
      <w:r>
        <w:rPr>
          <w:rtl w:val="true"/>
        </w:rPr>
        <w:t>التنبيه الآخر</w:t>
      </w:r>
      <w:r>
        <w:rPr>
          <w:rtl w:val="true"/>
        </w:rPr>
        <w:t xml:space="preserve">: </w:t>
      </w:r>
      <w:r>
        <w:rPr>
          <w:rtl w:val="true"/>
        </w:rPr>
        <w:t>البديل للوجدان</w:t>
      </w:r>
      <w:bookmarkEnd w:id="422"/>
    </w:p>
    <w:p>
      <w:pPr>
        <w:pStyle w:val="BookText"/>
        <w:rPr/>
      </w:pPr>
      <w:r>
        <w:rPr>
          <w:rFonts w:ascii="Amiri" w:hAnsi="Amiri" w:eastAsia="Amiri" w:cs="Amiri"/>
          <w:color w:val="111111"/>
          <w:sz w:val="28"/>
          <w:sz w:val="28"/>
          <w:szCs w:val="28"/>
          <w:rtl w:val="true"/>
          <w:lang w:bidi="ar-SA"/>
        </w:rPr>
        <w:t>قد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الوجدان حجّة، فما السبيل لإحراز الظهورات ونحوها من الشؤون اللغويّة والعرفيّة؟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المسألة عدّة سبل، فهنالك الاستقراء والتحليل والقرائن والمؤيّدات، فليس السبيل لإحراز الوجدان النوعيّ منحصراً باستخدام الوجدان الشخصيّ، كما أشار إلى ذلك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إحرازه وجداناً وبالتحليل، وذلك بملاحظة ما ينسبق من اللفظ إلى الذهن من قبل أشخاص متعدّدين مختلفين في ظروفهم الشخصيّة بنحو يطمئن بحساب الاحتمالات أنّ انسباق ذلك المعنى الواحد من اللفظ عند جميعهم إنَّما كان بنكتة مشتركة هي قوانين المحاورة العامّة لا القرائن الشخصيّة؛ لأنَّ هذا خُلف اختلافهم في الملابسات الشخصيّة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ذكر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التبادر إلى ذهن الجميع، وهو اختبار ذهني يمكن التحقّق منه بالنظر إلى ما يخطر في أذهان الآخرين</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 لذا فأسلوب الاستقراء ونحوه من السبل الممكنة، وهو ليس بغريب عن علماء الأصول</w:t>
      </w:r>
      <w:r>
        <w:rPr>
          <w:rFonts w:eastAsia="Amiri" w:cs="Amiri" w:ascii="Amiri" w:hAnsi="Amiri"/>
          <w:color w:val="111111"/>
          <w:sz w:val="28"/>
          <w:szCs w:val="28"/>
          <w:rtl w:val="true"/>
          <w:lang w:bidi="ar-SA"/>
        </w:rPr>
        <w:t xml:space="preserve">. </w:t>
      </w:r>
      <w:bookmarkStart w:id="423" w:name="pg10932_87825"/>
    </w:p>
    <w:p>
      <w:pPr>
        <w:pStyle w:val="Heading3"/>
        <w:numPr>
          <w:ilvl w:val="2"/>
          <w:numId w:val="1"/>
        </w:numPr>
        <w:rPr/>
      </w:pPr>
      <w:bookmarkStart w:id="424" w:name="__RefHeading___Toc3208659_2870459653"/>
      <w:bookmarkStart w:id="425" w:name="_Toc164"/>
      <w:bookmarkEnd w:id="423"/>
      <w:bookmarkEnd w:id="424"/>
      <w:r>
        <w:rPr>
          <w:rtl w:val="true"/>
        </w:rPr>
        <w:t>ملحق</w:t>
      </w:r>
      <w:r>
        <w:rPr>
          <w:rtl w:val="true"/>
        </w:rPr>
        <w:t xml:space="preserve">: </w:t>
      </w:r>
      <w:r>
        <w:rPr>
          <w:rtl w:val="true"/>
        </w:rPr>
        <w:t>في رصد الاختلافات وعدمها في دعاوى الوجدان على موضوع واحد الاختلافات</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أنَّ الوجدان قاضٍ بوجود صفة وراء الإرادة وعدمها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وقاية الأذهان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دعوى الوجدان على كلّ من القول بالمقدّمة الموصلة أو مع قصد التوصل، والقول بالمقدّمة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حول وجدانيّة تبادر الصحيح،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التبادر دعوى وجدانيّة لا 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أنّه لا يساعدها الوجدان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وجدانيّة تلازم بين شعورين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آخر، ففي المورد الأوّل نقل الاختلافات في دعوى الوجدان في بعض مسائل انحلال العلم الإجماليّ، وفي المورد الثاني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وجدانه مخالفاً لما سبق ذكره من وجدان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شرح مناسك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شهادة الوجدان حول الانحلال في بعض أصناف الخطابات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حول وجوب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الاختلاف حول أداة الشرط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مباني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الدراسات القول بأنّ الوجدان قاضٍ بنفي الوجوب الغيريّ للأجزاء، وفي المباني نقل اعترافاً بوجود هذا الوجوب في الوجدان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مطارح الأنظار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الوجدان أنَّه قاضٍ أن الوضع للصحيح أو الأعم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مباني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حول أصل وجوب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بحوث في شرح مناسك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في ما يقتضيه الوجدان في التجرّي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الأفكار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بحوث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الخلاف حول ما يقتضيه الوجدان في دلالة الجملة الشرطيّة على اللزوم والعلّيّة من عدمهما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الغروية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نهاية الأفكار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حول اعتبار الإيصال في معروض الوجوب الغيريّ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عدم وجود دعوى الخلاف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في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الغرويّة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الغرويّة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وقاية الأذهان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وقاية الأذهان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وعترته الطّاهرين</w:t>
      </w:r>
      <w:r>
        <w:rPr>
          <w:rFonts w:eastAsia="Amiri" w:cs="Amiri" w:ascii="Amiri" w:hAnsi="Amiri"/>
          <w:color w:val="111111"/>
          <w:sz w:val="28"/>
          <w:szCs w:val="28"/>
          <w:rtl w:val="true"/>
          <w:lang w:bidi="ar-SA"/>
        </w:rPr>
        <w:t>.</w:t>
      </w:r>
      <w:bookmarkStart w:id="426" w:name="pg10932_87828"/>
    </w:p>
    <w:p>
      <w:pPr>
        <w:pStyle w:val="Heading3"/>
        <w:numPr>
          <w:ilvl w:val="2"/>
          <w:numId w:val="1"/>
        </w:numPr>
        <w:rPr/>
      </w:pPr>
      <w:bookmarkStart w:id="427" w:name="__RefHeading___Toc3208661_2870459653"/>
      <w:bookmarkStart w:id="428" w:name="_Toc165"/>
      <w:bookmarkEnd w:id="426"/>
      <w:bookmarkEnd w:id="427"/>
      <w:r>
        <w:rPr>
          <w:rtl w:val="true"/>
        </w:rPr>
        <w:t>المصادر</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أجود التقريرات، أبحاث الميرزا محمّد حسين الغرويّ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بقلم السيّد أبو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تيز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علم الأصول، أبحاث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السيّد محمود الشاهروديّ،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دائرة معارف الفقه الإسلاميّ، المطبعة فروردين، ط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في مناسك الحج، أبحاث السيد محمّد رضا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بقلم الشيخ أمجد رياض والشيخ نزار يوسف،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المؤرّخ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ط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الوصول في شرح كفاية الأصول، الشيخ محمّد طاهر آل الشيخ 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آل الشيخ راضي، مطبعة ستاره، ط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 محبّ الدين أبو فيض السيّد محمّد مرتضى الحسينيّ الواسطيّ الزبيديّ الحنفيّ،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الفقهاء، العلامة الشيخ 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تقريرات آية الله المجدّد السيّد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بقلم الشيخ علي الروزدري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المقاصد في شرح القواعد، الشيخ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في شرح شرائع الإسلام، 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القوچاني،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كتاب المكاسب، آقا رضا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الأنصاريّ القمّيّ،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الآخوندي،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الأصول، 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علم الأصول، أبحاث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السيّد علي الهاشميّ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الإسلاميّة،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الفوائد، الشيخ عبد الكريم الحائريّ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مؤمن القمّيّ،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الثانية،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المسائل في بيان أحكام الشرع بالدلائل،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 ط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الأصول، 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الغرويّة في الأصول الفقهيّة، الشيخ محمّد حسين بن عبد الرحيم الطهرانيّ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العلوم الإسلاميّة،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الأصول، أبحاث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محمّد علي الكاظميّ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قوانين الأصول، الميرزا أبو القاسم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النسخة الموجودة في قرص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الإصدار الثاني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 الخامسة،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ﻫ 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الأصول، الآخوند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 ط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مباحث الأصول، أبحاث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السيّد </w:t>
      </w:r>
    </w:p>
    <w:p>
      <w:pPr>
        <w:pStyle w:val="BookText"/>
        <w:rPr/>
      </w:pPr>
      <w:r>
        <w:rPr>
          <w:rFonts w:ascii="Amiri" w:hAnsi="Amiri" w:eastAsia="Amiri" w:cs="Amiri"/>
          <w:color w:val="111111"/>
          <w:sz w:val="28"/>
          <w:sz w:val="28"/>
          <w:szCs w:val="28"/>
          <w:rtl w:val="true"/>
          <w:lang w:bidi="ar-SA"/>
        </w:rPr>
        <w:t xml:space="preserve">كاظم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البشير، ط الأولى،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السيد محمّد باقر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أمجد رياض والشيخ نزار يوسف، نسخة أوّليّة محدودة التداول،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في أصول الفقه، أبحاث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محمّد اسحاق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ط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المنار، ط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مسالك الأفهام إلى تنقيح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زين الدين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ط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وگرافيك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الشيعة في أحكام الشريعة، الشيخ أحمد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المقدّسة، ط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الشموس في شرح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حسين بن جمال الدين محمّد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آقا رضا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الباقريّ والشيخ نور علي النوريّ والشيخ محمّد الميرزائيّ،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الجعفريّة لإحياء التراث،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w:t>
      </w:r>
    </w:p>
    <w:p>
      <w:pPr>
        <w:pStyle w:val="BookText"/>
        <w:rPr/>
      </w:pPr>
      <w:r>
        <w:rPr>
          <w:rFonts w:ascii="Amiri" w:hAnsi="Amiri" w:eastAsia="Amiri" w:cs="Amiri"/>
          <w:color w:val="111111"/>
          <w:sz w:val="28"/>
          <w:sz w:val="28"/>
          <w:szCs w:val="28"/>
          <w:rtl w:val="true"/>
          <w:lang w:bidi="ar-SA"/>
        </w:rPr>
        <w:t xml:space="preserve">الميرزا أبو القاسم الكلانتريّ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ط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المطبعة شريعت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الدين وملاذ المجتهدين، الشيخ جمال الدين الحسن نجل الشهيد الثاني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السيّد محمّد 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الخالصيّ،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الأصول، آقا ضياء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العراقي، السيّد منذر الحكيم،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ط المحقّقة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الأصول، أبحاث السيّد محمّد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السيد عبد الصاحب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الأفكار، أبحاث الشيخ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الخامسة،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الدراية في شرح الكفاية، الشيخ محمّد حسين الغرويّ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أحدي أمير كلائي،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ﻫ 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المسترشدين في شرح أصول معالم الدين، الشيخ محمّد تقي الرازي النجفيّ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الثانية،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في الأصول، أبحاث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حسن الصافي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وقاية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رضا النجفيّ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bookmarkStart w:id="429" w:name="pg10932_87834"/>
    </w:p>
    <w:p>
      <w:pPr>
        <w:pStyle w:val="Heading2"/>
        <w:numPr>
          <w:ilvl w:val="1"/>
          <w:numId w:val="1"/>
        </w:numPr>
        <w:rPr/>
      </w:pPr>
      <w:bookmarkStart w:id="430" w:name="__RefHeading___Toc3208663_2870459653"/>
      <w:bookmarkStart w:id="431" w:name="_Toc166"/>
      <w:bookmarkEnd w:id="429"/>
      <w:bookmarkEnd w:id="430"/>
      <w:r>
        <w:rPr>
          <w:rtl w:val="true"/>
        </w:rPr>
        <w:t xml:space="preserve">نَظَريَّةُ الحُكُومَة </w:t>
      </w:r>
      <w:r>
        <w:rPr>
          <w:rtl w:val="true"/>
        </w:rPr>
        <w:t>(</w:t>
      </w:r>
      <w:r>
        <w:rPr>
          <w:rtl w:val="true"/>
        </w:rPr>
        <w:t>الحلقة الثَّانية</w:t>
      </w:r>
      <w:r>
        <w:rPr>
          <w:rtl w:val="true"/>
        </w:rPr>
        <w:t xml:space="preserve">) - </w:t>
      </w:r>
      <w:r>
        <w:rPr>
          <w:rtl w:val="true"/>
        </w:rPr>
        <w:t xml:space="preserve">الشَّيخ نجم التُّرابيّ </w:t>
      </w:r>
      <w:r>
        <w:rPr>
          <w:rtl w:val="true"/>
        </w:rPr>
        <w:t>(</w:t>
      </w:r>
      <w:r>
        <w:rPr>
          <w:rtl w:val="true"/>
        </w:rPr>
        <w:t>دام عزه</w:t>
      </w:r>
      <w:r>
        <w:rPr>
          <w:rtl w:val="true"/>
        </w:rPr>
        <w:t>)</w:t>
      </w:r>
      <w:bookmarkEnd w:id="431"/>
    </w:p>
    <w:p>
      <w:pPr>
        <w:pStyle w:val="Heading3"/>
        <w:numPr>
          <w:ilvl w:val="2"/>
          <w:numId w:val="1"/>
        </w:numPr>
        <w:rPr/>
      </w:pPr>
      <w:bookmarkStart w:id="432" w:name="__RefHeading___Toc3208665_2870459653"/>
      <w:bookmarkStart w:id="433" w:name="_Toc167"/>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إنّ من الأهمّيّة بمكان معرفة مقاصد المتكلّم من خلال كلامه، إذ قد يعتريه شيء من الإجمال، أو ما قد يبدو أنّه تنافٍ في الكلام، وإنّ لرفع هذا الإجمال أو التنافي طرقاً عقلائيّة تُنتج الكشف عن المراد النهائيّ من مجموع كلمات المتكلّم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يُسلّط الضوء على إحداها، وهي نظريّة الحكومة، حيث يتناول أركانها وميزان قرينيّتها وأهمّ شؤونها في عدّة فصول، مستنيراً بكلمات الأعلام وتحقيقاتهم مع الإشارة إلى موارد التأمّل</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0932_87836"/>
      <w:bookmarkStart w:id="435" w:name="pg10932_87836"/>
      <w:bookmarkEnd w:id="435"/>
    </w:p>
    <w:p>
      <w:pPr>
        <w:pStyle w:val="BookText"/>
        <w:rPr/>
      </w:pPr>
      <w:bookmarkStart w:id="436" w:name="pg10932_87836"/>
      <w:bookmarkEnd w:id="436"/>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رسوله محمَّد وآله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تعرضَّنا في الحلقة السَّابقة للفصول الثَّلاثة الأُول، وكان أوَّلها في ضابط الحكومة، وثانيها في النظر ومُهمّ شؤونه، وثالثها في ميزان القرينيَّة في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وسنتعرَّض في هذه الحلقة للفصل الرَّابع في رتبة الحكومة بالنِّسبة إلى باقي أبواب التَّعارض، والخامس في تقسيمات الحكومة، ثمَّ خاتمة لمقارنة الحكومة مع الجمع العرفيّ والورود</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3208667_2870459653"/>
      <w:bookmarkStart w:id="438" w:name="_Toc168"/>
      <w:bookmarkEnd w:id="437"/>
      <w:r>
        <w:rPr>
          <w:rtl w:val="true"/>
        </w:rPr>
        <w:t>الفصل الرَّابع</w:t>
      </w:r>
      <w:r>
        <w:rPr>
          <w:rtl w:val="true"/>
        </w:rPr>
        <w:t xml:space="preserve">: </w:t>
      </w:r>
      <w:r>
        <w:rPr>
          <w:rtl w:val="true"/>
        </w:rPr>
        <w:t>رتبة الحكومة بالقياس إلى باقي أبواب التَّعارض</w:t>
      </w:r>
      <w:bookmarkEnd w:id="438"/>
    </w:p>
    <w:p>
      <w:pPr>
        <w:pStyle w:val="Heading4"/>
        <w:numPr>
          <w:ilvl w:val="3"/>
          <w:numId w:val="1"/>
        </w:numPr>
        <w:rPr/>
      </w:pPr>
      <w:bookmarkStart w:id="439" w:name="__RefHeading___Toc3208669_2870459653"/>
      <w:bookmarkStart w:id="440" w:name="_Toc169"/>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إذا دار الأمر بين الحكومة من جهةٍ والورود أو الجمع العرفيّ أو التَّعارض المستقرِّ من جهة أُخرى فأيُّهما يقدَّم؟</w:t>
      </w:r>
    </w:p>
    <w:p>
      <w:pPr>
        <w:pStyle w:val="BookText"/>
        <w:rPr/>
      </w:pPr>
      <w:r>
        <w:rPr>
          <w:rFonts w:ascii="Amiri" w:hAnsi="Amiri" w:eastAsia="Amiri" w:cs="Amiri"/>
          <w:color w:val="111111"/>
          <w:sz w:val="28"/>
          <w:sz w:val="28"/>
          <w:szCs w:val="28"/>
          <w:rtl w:val="true"/>
          <w:lang w:bidi="ar-SA"/>
        </w:rPr>
        <w:t>وفي المسألة ثلاثة أنحاء متصوَّرة للدوران المذكور، وهي</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3208671_2870459653"/>
      <w:bookmarkStart w:id="442" w:name="_Toc170"/>
      <w:bookmarkEnd w:id="441"/>
      <w:r>
        <w:rPr>
          <w:rtl w:val="true"/>
        </w:rPr>
        <w:t>النَّحو الأوَّل</w:t>
      </w:r>
      <w:bookmarkEnd w:id="44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هناك خبران، أحدهما مشتمل على مزيّة تجعله ناظراً وحاكماً على الآخر، والخبر الآخر مشتمل على ما يجعله وارداً على الأوَّل، أو أقوى منه ظهوراً، </w:t>
      </w:r>
      <w:bookmarkStart w:id="443" w:name="pg10932_87837"/>
    </w:p>
    <w:p>
      <w:pPr>
        <w:pStyle w:val="BookText"/>
        <w:rPr/>
      </w:pPr>
      <w:bookmarkEnd w:id="443"/>
      <w:r>
        <w:rPr>
          <w:rFonts w:ascii="Amiri" w:hAnsi="Amiri" w:eastAsia="Amiri" w:cs="Amiri"/>
          <w:color w:val="111111"/>
          <w:sz w:val="28"/>
          <w:sz w:val="28"/>
          <w:szCs w:val="28"/>
          <w:rtl w:val="true"/>
          <w:lang w:bidi="ar-SA"/>
        </w:rPr>
        <w:t>أو واجداً لمرجِّح من مرجِّحات التَّعارض المستقرّ دون الأوَّل</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208673_2870459653"/>
      <w:bookmarkStart w:id="445" w:name="_Toc171"/>
      <w:bookmarkEnd w:id="444"/>
      <w:r>
        <w:rPr>
          <w:rtl w:val="true"/>
        </w:rPr>
        <w:t>النَّحو الثَّاني</w:t>
      </w:r>
      <w:bookmarkEnd w:id="445"/>
    </w:p>
    <w:p>
      <w:pPr>
        <w:pStyle w:val="BookText"/>
        <w:rPr/>
      </w:pPr>
      <w:r>
        <w:rPr>
          <w:rFonts w:ascii="Amiri" w:hAnsi="Amiri" w:eastAsia="Amiri" w:cs="Amiri"/>
          <w:color w:val="111111"/>
          <w:sz w:val="28"/>
          <w:sz w:val="28"/>
          <w:szCs w:val="28"/>
          <w:rtl w:val="true"/>
          <w:lang w:bidi="ar-SA"/>
        </w:rPr>
        <w:t>أن يكون نفس الخبر الأوَّل الواجد للمزيّة الموجبة لنظره للآخر واجداً أيضاً لما يجعله وارداً على الآخر، أو أقوى ظهوراً منه، أو واجداً لمرجِّح من مرجِّحات التَّعارض المستقرِّ</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3208675_2870459653"/>
      <w:bookmarkStart w:id="447" w:name="_Toc172"/>
      <w:bookmarkEnd w:id="446"/>
      <w:r>
        <w:rPr>
          <w:rtl w:val="true"/>
        </w:rPr>
        <w:t>النَّحو الثَّالث</w:t>
      </w:r>
      <w:bookmarkEnd w:id="447"/>
    </w:p>
    <w:p>
      <w:pPr>
        <w:pStyle w:val="Heading5"/>
        <w:numPr>
          <w:ilvl w:val="4"/>
          <w:numId w:val="1"/>
        </w:numPr>
        <w:rPr/>
      </w:pPr>
      <w:bookmarkStart w:id="448" w:name="__RefHeading___Toc3208677_2870459653"/>
      <w:bookmarkStart w:id="449" w:name="_Toc173"/>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أن يكون هناك ثلاثة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حاكم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جهة، ومن جهة أخرى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أقوى ظهوراً منه، أو واجدٌ لمرجِّح من مرجِّحات التَّعارض المستقرِّ بالقياس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الواجد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كون الجهتين مرتبطتين بموردٍ واحدٍ، بحيث يدور الأمر بين هذا العلاج وبين ذاك العلاج الآخر، وأمَّا إذا كان كلٌّ منهما في موردٍ فلا يندرج في المقسم من دوران الأمر بين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جانبين</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3208679_2870459653"/>
      <w:bookmarkStart w:id="451" w:name="_Toc174"/>
      <w:bookmarkEnd w:id="450"/>
      <w:r>
        <w:rPr>
          <w:rtl w:val="true"/>
        </w:rPr>
        <w:t>الجانب الأوَّل</w:t>
      </w:r>
      <w:bookmarkEnd w:id="451"/>
    </w:p>
    <w:p>
      <w:pPr>
        <w:pStyle w:val="BookText"/>
        <w:rPr/>
      </w:pPr>
      <w:r>
        <w:rPr>
          <w:rFonts w:ascii="Amiri" w:hAnsi="Amiri" w:eastAsia="Amiri" w:cs="Amiri"/>
          <w:color w:val="111111"/>
          <w:sz w:val="28"/>
          <w:sz w:val="28"/>
          <w:szCs w:val="28"/>
          <w:rtl w:val="true"/>
          <w:lang w:bidi="ar-SA"/>
        </w:rPr>
        <w:t>في معقوليَّة اجتماع الحكومة مع الورود، أو الجمع العرفيّ، أو التَّعارض المستقرِّ في الأنحاء الثَّلاثة المذكورة آنفاً وعدم معقوليَّته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اجتماع الحكومة والجمع العرفيّ، وإنَّما الكلام في اجتماعها مع الورود ومع التَّعارض المستقرِّ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اجتماع الحكومة والورود التَّضييقيّين فإنَّه لا يعقل؛ لأنَّه في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مدلول الحاكم متنافياً مع مدلول المحكوم، بخلافه في الورود، فإنَّه لا تنافي في المدلول بين الوارد والمورود؛ لأنَّ الدليل الوارد يتعرَّض لموضوع الدليل المورود بأن يُخرج فرداً منه، وأمَّا الدليل المورود فإنَّه لا يتعرَّض لموضوعه إثباتاً ولا نفياً؛ لكونه على نهج القضيَّة الحقيقيَّة التي عرفنا رجوعها إلى قضيَّة شرطيَّة مفادها ثبوت الجزاء على تقدير ثبوت الشَّرط من غير تعرُّض لإثبات الشَّرط أو نفيه، فلا يتَّحد </w:t>
      </w:r>
      <w:bookmarkStart w:id="452" w:name="pg10932_87838"/>
    </w:p>
    <w:p>
      <w:pPr>
        <w:pStyle w:val="BookText"/>
        <w:rPr/>
      </w:pPr>
      <w:bookmarkEnd w:id="452"/>
      <w:r>
        <w:rPr>
          <w:rFonts w:ascii="Amiri" w:hAnsi="Amiri" w:eastAsia="Amiri" w:cs="Amiri"/>
          <w:color w:val="111111"/>
          <w:sz w:val="28"/>
          <w:sz w:val="28"/>
          <w:szCs w:val="28"/>
          <w:rtl w:val="true"/>
          <w:lang w:bidi="ar-SA"/>
        </w:rPr>
        <w:t>الموضوع، ومن المعلوم أنَّ من شرائط التَّعارض وحدة الموضوع، فإذا فرضنا أنَّ أحد الدليلين حاكم فلا بدَّ أن يكون الآخر محكوماً؛ لأنَّهما من قبيل المتضايفين، وكذلك في طرف الورود، ومن ثَمَّ يكون هذان الدَّليلان متنافيين من جهة الحكومة دون جهة الورود،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اجتماع الحكومة والورود على سبيل النَّحوين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النَّحو الثَّالث وما كان على سبيل التَّوسعة من النَّحوين الأوَّل والثَّاني، حيث لا يجري فيها البيان المذكور، فلا مانع من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اجتماع الحكومة والتَّعارض المستقرِّ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اجتماعهما أيضاً؛ لأنَّه في التَّعارض المستقرِّ لا بدَّ من استقرار التَّنافي، وفي الحكومة يكون التَّنافي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البحث يأتي بعينه في دوران الأمر بين الجمع العرفيّ والتَّعارض المستقرِّ، فما يقال هناك يقال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هذا الدَّوران هو أنَّ أدلّة اعتبار أحكام التَّعارض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مفاد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هل تعمُّ موارد الحكومة، أو أنَّ أدلّة اعتبار الحكومة تخرجها عن كونها من موارد التَّعارض المستقرِّ وتعدُّها أسبق رتبة منها؟</w:t>
      </w:r>
    </w:p>
    <w:p>
      <w:pPr>
        <w:pStyle w:val="BookText"/>
        <w:rPr/>
      </w:pPr>
      <w:r>
        <w:rPr>
          <w:rFonts w:ascii="Amiri" w:hAnsi="Amiri" w:eastAsia="Amiri" w:cs="Amiri"/>
          <w:color w:val="111111"/>
          <w:sz w:val="28"/>
          <w:sz w:val="28"/>
          <w:szCs w:val="28"/>
          <w:rtl w:val="true"/>
          <w:lang w:bidi="ar-SA"/>
        </w:rPr>
        <w:t>والبناء على اختصاص مفاد الأخبار العلاجيَّة ومقتضى القاعدة بموارد التَّعارض المستقرِّ أوَّل الكلام، والتَّعبير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يأتي في نهاية المطاف من نتيجته</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3208681_2870459653"/>
      <w:bookmarkStart w:id="454" w:name="_Toc175"/>
      <w:bookmarkEnd w:id="453"/>
      <w:r>
        <w:rPr>
          <w:rtl w:val="true"/>
        </w:rPr>
        <w:t>الجانب الآخر</w:t>
      </w:r>
      <w:bookmarkEnd w:id="454"/>
    </w:p>
    <w:p>
      <w:pPr>
        <w:pStyle w:val="BookText"/>
        <w:rPr/>
      </w:pPr>
      <w:r>
        <w:rPr>
          <w:rFonts w:ascii="Amiri" w:hAnsi="Amiri" w:eastAsia="Amiri" w:cs="Amiri"/>
          <w:color w:val="111111"/>
          <w:sz w:val="28"/>
          <w:sz w:val="28"/>
          <w:szCs w:val="28"/>
          <w:rtl w:val="true"/>
          <w:lang w:bidi="ar-SA"/>
        </w:rPr>
        <w:t>في تكييف تأخُّر الحكومة عن الورود، وتقدُّمها على الجمع العرفيّ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في تأخُّر الحكومة عن الورود، وتقدُّمها على الجمع العرفيّ، والتَّعارض </w:t>
      </w:r>
    </w:p>
    <w:p>
      <w:pPr>
        <w:pStyle w:val="BookText"/>
        <w:rPr/>
      </w:pPr>
      <w:r>
        <w:rPr>
          <w:rFonts w:ascii="Amiri" w:hAnsi="Amiri" w:eastAsia="Amiri" w:cs="Amiri"/>
          <w:color w:val="111111"/>
          <w:sz w:val="28"/>
          <w:sz w:val="28"/>
          <w:szCs w:val="28"/>
          <w:rtl w:val="true"/>
          <w:lang w:bidi="ar-SA"/>
        </w:rPr>
        <w:t>المستقرِّ، وإنَّما الكلام في توجيه ذلك وتخريجه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للحكومة والورود فإنَّه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جريانهما معاً، وذلك في حال اختلاف مصبِّهما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تكون أهميَّة لتحديد أيٍّ منهما هو الَّذي يجري، كما لو كان كلاهما على نحو التَّضييق وفي مصبٍّ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تحديد أيِّهما المتقدِّم رتبة كما في النَّحو الثَّالث فيما لو كان أحدهما على سبيل التَّضييق بالنِّسبة للدليل الثَّالث، والآخر على نحو التَّوسعة، وأحدهما يبطل العمل والآخر يصحِّحه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تقديم الورود على الحكومة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 فرد من الطَّبيعيّ في الحكومة التضييقيَّة لمّا كان إخراجاً حكميَّاً اعتباريَّاً فإنَّه مبنيّ على بقاء الفرد تحت الطبيعيّ حقيقة وتكويناً، وإلَّا يكون الإخراج الاعتباريّ بنحو السَّالبة بانتفاء الموضوع، وهذا يعني أنَّه بجريان الورود لا يعقل جريان الحكومة، وبجريان الحكومة لا مانع من جريان الورود، فالورود جارٍ على كلِّ حالٍ، والحكومة جارية على تقدير عدم جريان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الدَّليل الوارد متقدِّماً على الدَّليل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وأبداً فلا معنى لجريان الحكومة، وهذا يعني تقدُّم الورود على الحكومة بنفس آليّة تقدُّم الوارد على المورود، والحاكم على المحكوم وفق رأي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وبعين هذا البيان نثبت تقدُّم الورود على الجمع العرفيّ من التَّخصيص والتَّقييد ونحوهما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لتقدُّم الحكومة على الجمع العرفيّ فقد أفاد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الحكومة تفسير مباشر من قبل شخص المتكلّم؛ لأنَّها بإعداد منه، في حين أنَّ الجمع العرفيّ على أساس جعل العرف وقراره، فيكون أُسلوباً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المباشر من قبل شخص المتكلّم يكون أقرب إلى الواقع وأضمن، ومن هنا كانت الحكومة أقوى من الجمع العرفيّ، ومقدَّمة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بحثه الآخر</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أقوى الظُّهورين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أساس نظامٍ عامٍّ لفهم المراد من الكلام عند العرف والعقلاء، وتقديم الحاكم على المحكوم يكون على أساس نظامٍ خاصٍّ فرضه المتكلّم لفهم مراده، وطبعاً النِّظام الخاصُّ الَّذي يفرضه المتكلّم لفهم مراده متقدِّم على النِّظام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لتقدُّم الحكومة على التَّعارض المستقرِّ فإنَّه يمكن أن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الوجوه التي تذكر لتقدُّم الجمع العرفي على التَّعارض المستقرِّ، من جهة أنَّ القرينيَّة في الحكومة لا تقلُّ عنها في الجمع العرفيّ، بل هي أوضح فيها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فكما لا يستقرُّ التَّعارض في موارد الجمع العرفيّ فإنَّه لا يستقرُّ في موارد الحكومة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الإيرادات على جريان أحكام التَّعارض المستقرِّ في مورد الجمع العرفيّ لو تمَّت في موارد الجمع العرفيّ فإنَّه لا وجه لها في موارد الحكومة، كدعوى رادعيَّة الأخبار العلاجيَّة،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يحتجّ به على عدم جريان أحكام التَّعارض في موارد الجمع العرفيّ، ومن ثمَّ في موارد الحكومة وجهان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جري العقلاء على أنَّه إذا أمكن التَّوفيق بين كلمات </w:t>
      </w:r>
      <w:bookmarkStart w:id="455" w:name="pg10932_87841"/>
    </w:p>
    <w:p>
      <w:pPr>
        <w:pStyle w:val="BookText"/>
        <w:rPr/>
      </w:pPr>
      <w:bookmarkEnd w:id="455"/>
      <w:r>
        <w:rPr>
          <w:rFonts w:ascii="Amiri" w:hAnsi="Amiri" w:eastAsia="Amiri" w:cs="Amiri"/>
          <w:color w:val="111111"/>
          <w:sz w:val="28"/>
          <w:sz w:val="28"/>
          <w:szCs w:val="28"/>
          <w:rtl w:val="true"/>
          <w:lang w:bidi="ar-SA"/>
        </w:rPr>
        <w:t xml:space="preserve">المتكلّم وفق ما يرتضيه من أساليب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جعلها هو لنفسه كما في الحكومة والأساليب الخاصَّة بزعماء الملل والسياسة والمجتمع، أو اتَّبع ما عليه العرف العامُّ ولو بارتكازه كما في الموارد الواضحة للجمع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التَّعدِّي عنه، والبناء على عدم وضوح مراده، واستقرار التَّنافي بين كلماته وإجراء أحكام التَّعارض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تامٌّ، وهو يجري في موارد الحكومة والجمع العرفيّ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الآخر</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من النّصوص تقتضي إعمال الجمع العرفيّ، وهي تعمُّ بإطلاقها موارد الحكومة، بل لا يبعد أن تكون الحكومة من أكمل مصاديقها</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3208683_2870459653"/>
      <w:bookmarkStart w:id="457" w:name="_Toc176"/>
      <w:bookmarkEnd w:id="456"/>
      <w:r>
        <w:rPr>
          <w:rtl w:val="true"/>
        </w:rPr>
        <w:t>الطَّائفة الأولى</w:t>
      </w:r>
      <w:bookmarkEnd w:id="457"/>
    </w:p>
    <w:p>
      <w:pPr>
        <w:pStyle w:val="BookText"/>
        <w:rPr/>
      </w:pPr>
      <w:r>
        <w:rPr>
          <w:rFonts w:ascii="IRNazanin" w:hAnsi="IRNazanin" w:eastAsia="IRNazanin"/>
          <w:color w:val="111111"/>
          <w:sz w:val="28"/>
          <w:sz w:val="28"/>
          <w:szCs w:val="28"/>
          <w:rtl w:val="true"/>
          <w:lang w:bidi="fa-IR"/>
        </w:rPr>
        <w:t xml:space="preserve">الرِّوايات التي تحثُّ الشِّيعة على فهم مراد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الأجوبة المختلفة التي يلقونها حول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الأحول،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ما عرفتم معاني كلامنا، إنَّ كلامنا لينصرف على سبعين وجهاً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معاني الأخبار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تدريه خير من ألفٍ ترويه، ولا يكون الرجل منكم فقيهاً حتَّى يعرف معاريض كلامنا، وإنَّ الكلمة من كلامنا لتنصرف على سبعين وجهاً، لنا من جميعها المخرج</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من فقاهة الرَّجل ودرايته للحديث الالتفات إلى الجمع العرفيّ والحاكم والمحكوم، فلا يصير بمجرد التَّنافي إلى استقراره وإجراء أحكام التَّنافي المستقرِّ</w:t>
      </w:r>
      <w:r>
        <w:rPr>
          <w:rFonts w:eastAsia="Amiri" w:cs="Amiri" w:ascii="Amiri" w:hAnsi="Amiri"/>
          <w:color w:val="111111"/>
          <w:sz w:val="28"/>
          <w:szCs w:val="28"/>
          <w:rtl w:val="true"/>
          <w:lang w:bidi="ar-SA"/>
        </w:rPr>
        <w:t xml:space="preserve">. </w:t>
      </w:r>
      <w:bookmarkStart w:id="458" w:name="pg10932_87842"/>
    </w:p>
    <w:p>
      <w:pPr>
        <w:pStyle w:val="Heading4"/>
        <w:numPr>
          <w:ilvl w:val="3"/>
          <w:numId w:val="1"/>
        </w:numPr>
        <w:rPr/>
      </w:pPr>
      <w:bookmarkStart w:id="459" w:name="__RefHeading___Toc3208685_2870459653"/>
      <w:bookmarkStart w:id="460" w:name="_Toc177"/>
      <w:bookmarkEnd w:id="458"/>
      <w:bookmarkEnd w:id="459"/>
      <w:r>
        <w:rPr>
          <w:rtl w:val="true"/>
        </w:rPr>
        <w:t>الطَّائفة الثَّانية</w:t>
      </w:r>
      <w:bookmarkEnd w:id="460"/>
    </w:p>
    <w:p>
      <w:pPr>
        <w:pStyle w:val="BookText"/>
        <w:rPr/>
      </w:pPr>
      <w:r>
        <w:rPr>
          <w:rFonts w:ascii="IRNazanin" w:hAnsi="IRNazanin" w:eastAsia="IRNazanin"/>
          <w:color w:val="111111"/>
          <w:sz w:val="28"/>
          <w:sz w:val="28"/>
          <w:szCs w:val="28"/>
          <w:rtl w:val="true"/>
          <w:lang w:bidi="fa-IR"/>
        </w:rPr>
        <w:t xml:space="preserve">الرِّوايات الدالَّة على لزوم الأخذ بالمحكم وردِّ المتشابه إليه، كما 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متشابه القرآن إلى محكمه هُدي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أخبارنا متشابهاً كمتشابه القرآن، ومحكماً كمحكم القرآن، فردُّوا متشابهها إلى محكمها، ولا تتّبعوا متشابهها دون محكمها فتضلُّوا</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أنَّ القرينة الشَّخصيَّة كما تتحقَّق في حالات الحكومة عن طريق نظر أحد الدَّليلين إلى الآخر كذلك قد تتحقَّق على أساس تعيين أحد الدليلين للقرينيَّة بموجب قرار شخصيٍّ عامٍّ من المتكلّم، كما إذا عيَّن الشَّارع المحكمات التي هي أُمّ الكتاب للقرينيَّة على المتشابهات وتحديد المراد النهائي منها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أنَّ المراد بالمتشابه هو الظَّاهر الَّذي أُريد خلافه، فيكون المراد من أحاديث إرجاع المتشابه إلى المحكم هو إرجاع الظَّاهر إلى النَّصِّ أو الأظهر، وهو يشمل موارد الحكومة؛ لأنَّ الدَّليل الحاكم يُبيِّن أنَّ المراد الجديّ من الدَّليل المحكوم على خلاف ظاهره، فيكون في هذه الحالة متشابهاً</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3208687_2870459653"/>
      <w:bookmarkStart w:id="462" w:name="_Toc178"/>
      <w:bookmarkEnd w:id="461"/>
      <w:r>
        <w:rPr>
          <w:rtl w:val="true"/>
        </w:rPr>
        <w:t>الطَّائفة الثَّالثة</w:t>
      </w:r>
      <w:bookmarkEnd w:id="46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الرِّوايات التي تحثُّ على معرفة الناسخ من المنسوخ، كمعتبرة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كذبوا؟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بالهم اختلفوا؟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تعلم أنّ الرجل كان يأتي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فيسأله عن المسألة فيجيبه فيها بالجواب، ثمَّ </w:t>
      </w:r>
    </w:p>
    <w:p>
      <w:pPr>
        <w:pStyle w:val="BookText"/>
        <w:rPr/>
      </w:pPr>
      <w:r>
        <w:rPr>
          <w:rFonts w:ascii="Amiri" w:hAnsi="Amiri" w:eastAsia="Amiri" w:cs="Amiri"/>
          <w:color w:val="111111"/>
          <w:sz w:val="28"/>
          <w:sz w:val="28"/>
          <w:szCs w:val="28"/>
          <w:rtl w:val="true"/>
          <w:lang w:bidi="ar-SA"/>
        </w:rPr>
        <w:t>يجيئه بعد ذلك ما ينسخ ذلك الجواب، فنسخت الأحاديث بعضها بعضاً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وشمول هذه الطائفة للحكومة بالنَّظر إلى أنَّ من الجائز ورود الدَّليل الحاكم على سبيل النسخ للدليل المحكوم، فيُبيِّن عدم كونه مراداً جديّاًَ بإطلاقه الأزمانيّ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يُضاف إلى ذلك أنَّ النَّسخ في كلمات الصَّحابة والتَّابعين ومَن بعدهم كان يراد منه ما هو أوسع من النَّسخ الاصطلاحيّ الَّذي يعني انتهاء أمد الحكم، وعليه فيشمل موارد الجمع العرفيّ والحكومة التَّضييقيَّة،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النَّسخ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استعماله في هذا المعنى في ألسنة الصَّحابة والتَّابعين، فكانوا يطلقون على المخصِّص والمقيِّد لفظ النَّاسخ</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الشَّاطبي في الموافقات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يظهر من كلام المتقدِّمين أنَّ النَّسخ في الإطلاق أعمُّ منه في كلام الأُصوليّين، فقد يطلقون على تقييد المطلق نسخاً، وعلى تخصيص العموم بدليل متّصل أو منفصل نسخاً، وعلى بيان المبهم والمجمل نسخاً، كما يطلقون على رفع الحكم الشَّرعيّ بدليل شرعيّ متأخِّر نسخاً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أشرنا من قبل إنَّ موارد الحكومة كانت في كلماتهم مندرجة تحت العامِّ والخاصِّ والمطلق والمقيَّد ونحوهما، وعليه لا يصحُّ بمجرَّد التَّنافي البناء على استقراره، بل لا بدَّ من التَّأمُّل والفحص عن الأدلّة المتنافية هل هي من قبيل المحكم والمتشابه، أو من قبيل النَّاسخ والمنسوخ، ومن ثُمَّ الحاكم والمحكوم فيحمل المحكوم على الحاكم، وعلى ضوئه يُحدَّد مراد المتكلم</w:t>
      </w:r>
      <w:r>
        <w:rPr>
          <w:rFonts w:eastAsia="Amiri" w:cs="Amiri" w:ascii="Amiri" w:hAnsi="Amiri"/>
          <w:color w:val="111111"/>
          <w:sz w:val="28"/>
          <w:szCs w:val="28"/>
          <w:rtl w:val="true"/>
          <w:lang w:bidi="ar-SA"/>
        </w:rPr>
        <w:t xml:space="preserve">. </w:t>
      </w:r>
      <w:bookmarkStart w:id="463" w:name="pg10932_87844"/>
    </w:p>
    <w:p>
      <w:pPr>
        <w:pStyle w:val="BookText"/>
        <w:rPr/>
      </w:pPr>
      <w:bookmarkEnd w:id="463"/>
      <w:r>
        <w:rPr>
          <w:rFonts w:ascii="Amiri" w:hAnsi="Amiri" w:eastAsia="Amiri" w:cs="Amiri"/>
          <w:color w:val="111111"/>
          <w:sz w:val="28"/>
          <w:sz w:val="28"/>
          <w:szCs w:val="28"/>
          <w:rtl w:val="true"/>
          <w:lang w:bidi="ar-SA"/>
        </w:rPr>
        <w:t>وقد يقابَل ذلك بإطلاق الأخبار العلاجيَّة للمتعارضين، وهما يصدقان على موارد الجمع العرفيّ وكذلك الحاكم والمحكوم، ولكنَّه ضعيف خاصَّة في شأن موارد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بعض الأخذ والرَّدِّ نوكله إلى محلِّه من مباحث الجمع العرفيّ</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3208689_2870459653"/>
      <w:bookmarkStart w:id="465" w:name="_Toc179"/>
      <w:bookmarkEnd w:id="464"/>
      <w:r>
        <w:rPr>
          <w:rtl w:val="true"/>
        </w:rPr>
        <w:t>الفصل الخامس</w:t>
      </w:r>
      <w:r>
        <w:rPr>
          <w:rtl w:val="true"/>
        </w:rPr>
        <w:t xml:space="preserve">: </w:t>
      </w:r>
      <w:r>
        <w:rPr>
          <w:rtl w:val="true"/>
        </w:rPr>
        <w:t>تقسيمات الحكومة</w:t>
      </w:r>
      <w:bookmarkEnd w:id="465"/>
    </w:p>
    <w:p>
      <w:pPr>
        <w:pStyle w:val="Heading4"/>
        <w:numPr>
          <w:ilvl w:val="3"/>
          <w:numId w:val="1"/>
        </w:numPr>
        <w:rPr/>
      </w:pPr>
      <w:bookmarkStart w:id="466" w:name="__RefHeading___Toc3208691_2870459653"/>
      <w:bookmarkStart w:id="467" w:name="_Toc180"/>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ذُكرت في كلمات الأعلام عدَّة تقسيمات للحكومة أعمّ من كونها تقسيمات أوَّليَّة أو ثانويَّة</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208693_2870459653"/>
      <w:bookmarkStart w:id="469" w:name="_Toc181"/>
      <w:bookmarkEnd w:id="468"/>
      <w:r>
        <w:rPr>
          <w:rtl w:val="true"/>
        </w:rPr>
        <w:t>التَّقسيم الأوَّل</w:t>
      </w:r>
      <w:bookmarkEnd w:id="469"/>
    </w:p>
    <w:p>
      <w:pPr>
        <w:pStyle w:val="Heading5"/>
        <w:numPr>
          <w:ilvl w:val="4"/>
          <w:numId w:val="1"/>
        </w:numPr>
        <w:rPr/>
      </w:pPr>
      <w:bookmarkStart w:id="470" w:name="__RefHeading___Toc3208695_2870459653"/>
      <w:bookmarkStart w:id="471" w:name="_Toc182"/>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 xml:space="preserve">ما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حيث قسَّم الحكومة بحسب المتصرَّف فيه إلى قسمين</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3208697_2870459653"/>
      <w:bookmarkStart w:id="473" w:name="_Toc183"/>
      <w:bookmarkEnd w:id="472"/>
      <w:r>
        <w:rPr>
          <w:rtl w:val="true"/>
        </w:rPr>
        <w:t>القسم الأوَّل</w:t>
      </w:r>
      <w:bookmarkEnd w:id="473"/>
    </w:p>
    <w:p>
      <w:pPr>
        <w:pStyle w:val="BookText"/>
        <w:rPr/>
      </w:pPr>
      <w:r>
        <w:rPr>
          <w:rFonts w:ascii="Amiri" w:hAnsi="Amiri" w:eastAsia="Amiri" w:cs="Amiri"/>
          <w:color w:val="111111"/>
          <w:sz w:val="28"/>
          <w:sz w:val="28"/>
          <w:szCs w:val="28"/>
          <w:rtl w:val="true"/>
          <w:lang w:bidi="ar-SA"/>
        </w:rPr>
        <w:t>أن يكون المتصرَّف فيه عقد الوضع من الدَّليل المحكوم، والمراد بعقد الوضع ما يعمُّ موضوع الحكم ومتعلّقه؛ ذلك أنَّ عقد الوضع يراد به ما يكون موضوعاً في المادّة القانونيَّة في مقابل عقد الحمل فيها والَّذي هو الحكم</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3208699_2870459653"/>
      <w:bookmarkStart w:id="475" w:name="_Toc184"/>
      <w:bookmarkEnd w:id="474"/>
      <w:r>
        <w:rPr>
          <w:rtl w:val="true"/>
        </w:rPr>
        <w:t>القسم الآخر</w:t>
      </w:r>
      <w:bookmarkEnd w:id="475"/>
    </w:p>
    <w:p>
      <w:pPr>
        <w:pStyle w:val="BookText"/>
        <w:rPr/>
      </w:pPr>
      <w:r>
        <w:rPr>
          <w:rFonts w:ascii="Amiri" w:hAnsi="Amiri" w:eastAsia="Amiri" w:cs="Amiri"/>
          <w:color w:val="111111"/>
          <w:sz w:val="28"/>
          <w:sz w:val="28"/>
          <w:szCs w:val="28"/>
          <w:rtl w:val="true"/>
          <w:lang w:bidi="ar-SA"/>
        </w:rPr>
        <w:t xml:space="preserve">أن يكون المتصرَّف فيه عقد الحمل من الدَّليل المحكوم، ومثاله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إطلاقات أدلّة الأحكام الأوَّليَّة وعموماتها، بناءً على تفسيرهم للضرر المنفي في الحديث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الضَّرريّ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التَّقسيم بوجوه ثلاثة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القسم الثَّاني من قبيل الحكومة مبنيٌّ على ما هو المعروف من أنَّ ضابط الحكومة هو النَّظر إلى دليل آخر، لا على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ضابط الحكومة أن يكون لسان الدليل الحاكم لسان مسالمة وملاءمة مع الدليل المحكوم إن كان؛ حيث لا يشترط في الحكومة على مبناه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عامٍّ أو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القسمة غير حاصرة، حيث سيأتي في أقسام الحكومة التَّنزيليَّة أنَّ المنظور إليه قد يكون معلولاً للحكم في الخارج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الحرج أثرُ الحكم وليس وصفاً له لكي يفيد نفي الحكم الحرجيّ، فلا يكون المتصرَّف فيه من قبيل عقد الحمل، ولا من قبيل عقد الوضع في المادَّة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معيارٌ محدّد لوقوع الشَّيء موضوعاً أو محمولاً في مختلف القضايا، فقد يكون الشَّيء الواحد 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في قضية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واجب على المستطيع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يقع موضوعاً في قضية 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وجب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الإيراد الأوَّل فقد تقدَّم الكلام فيه في الحلقة الأُولى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حاصريَّة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w:t>
      </w:r>
      <w:r>
        <w:rPr>
          <w:rStyle w:val="FootnoteAnchor"/>
          <w:rtl w:val="true"/>
        </w:rPr>
        <w:footnoteReference w:id="348"/>
      </w:r>
      <w:r>
        <w:rPr>
          <w:rFonts w:ascii="Amiri" w:hAnsi="Amiri" w:eastAsia="Amiri" w:cs="Amiri"/>
          <w:color w:val="111111"/>
          <w:sz w:val="28"/>
          <w:sz w:val="28"/>
          <w:szCs w:val="28"/>
          <w:rtl w:val="true"/>
          <w:lang w:bidi="ar-SA"/>
        </w:rPr>
        <w:t xml:space="preserve">أنّ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أنَّ مصبَّ التَّعرُّض والتَّصرُّف المباشر عقد الوضع أو عقد الحمل، بدليل أنَّه اعتبر الأمارات حاكمةً على الأُصول العمليَّة الشَّرعيَّة، مع أنَّه ليس هناك تصرُّف مباشر في موضوع الأُصول العمليَّة، بناءً على مبناه في حجيَّة الأمارات من جعل الطَّريقيَّة على سبيل الاعتبار المتأصِّل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مضت 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فالتَّصرُّف في الموضوع يعمُّ ما ينتهي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نقول مثله في جانب الحكم من أنَّه الحكم أو ما يكون مسبَّباً </w:t>
      </w:r>
      <w:bookmarkStart w:id="476" w:name="pg10932_87846"/>
    </w:p>
    <w:p>
      <w:pPr>
        <w:pStyle w:val="BookText"/>
        <w:rPr/>
      </w:pPr>
      <w:bookmarkEnd w:id="476"/>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بالنِّسبة للإيراد الثَّالث فيحتمل أنَّ المقصود من عقد الحمل ليس ما يكون محمولاً في نصِّ الدَّليل، وإنَّما الحكم في القضيَّة الإنشائيّة، وهو عادة المحمول في المادَّة 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مفاد الدَّليل لا نصَّ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لتأخُّره رتبة عن الموضوع والمتعلَّق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تتّضح حدود المقصود من عقد الوضع وعقد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في قاعدة لا ضرر</w:t>
      </w:r>
      <w:r>
        <w:rPr>
          <w:rStyle w:val="FootnoteAnchor"/>
          <w:rtl w:val="true"/>
        </w:rPr>
        <w:footnoteReference w:id="349"/>
      </w:r>
      <w:r>
        <w:rPr>
          <w:rFonts w:ascii="Amiri" w:hAnsi="Amiri" w:eastAsia="Amiri" w:cs="Amiri"/>
          <w:color w:val="111111"/>
          <w:sz w:val="28"/>
          <w:sz w:val="28"/>
          <w:szCs w:val="28"/>
          <w:rtl w:val="true"/>
          <w:lang w:bidi="ar-SA"/>
        </w:rPr>
        <w:t>بنحو آخر حيث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يتعرَّض لموضوع المحكوم،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يتعرَّض لمتعلَّق الحكم الثَّابت في المحكوم،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الإكرام ليس بالضِّيافة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يتعرَّض لنفس الحكم،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وجوب الإكرام ليس في مورد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الإيراد الثَّالث المذكور لا يرد على هذا البيان</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3208701_2870459653"/>
      <w:bookmarkStart w:id="478" w:name="_Toc185"/>
      <w:bookmarkEnd w:id="477"/>
      <w:r>
        <w:rPr>
          <w:rtl w:val="true"/>
        </w:rPr>
        <w:t>التَّقسيم الثَّاني</w:t>
      </w:r>
      <w:bookmarkEnd w:id="478"/>
    </w:p>
    <w:p>
      <w:pPr>
        <w:pStyle w:val="Heading5"/>
        <w:numPr>
          <w:ilvl w:val="4"/>
          <w:numId w:val="1"/>
        </w:numPr>
        <w:rPr/>
      </w:pPr>
      <w:bookmarkStart w:id="479" w:name="__RefHeading___Toc3208703_2870459653"/>
      <w:bookmarkStart w:id="480" w:name="_Toc186"/>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 xml:space="preserve">ما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أيضاً من أنَّ التَّصرُّف في عقد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بالقسم الأوَّل من التَّقسيم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3208705_2870459653"/>
      <w:bookmarkStart w:id="482" w:name="_Toc187"/>
      <w:bookmarkEnd w:id="481"/>
      <w:r>
        <w:rPr>
          <w:rtl w:val="true"/>
        </w:rPr>
        <w:t>القسم الأوَّل</w:t>
      </w:r>
      <w:bookmarkEnd w:id="48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يكون التَّصرُّف فيه لا على سبيل إعدام الموضوع في عالم التَّشريع، وإنَّما بتوسعة دائرته أو تضييقه، وذلك بإدخال ما يكون خارجاً عنه، أو بإخراج ما </w:t>
      </w:r>
      <w:bookmarkStart w:id="483" w:name="pg10932_87847"/>
    </w:p>
    <w:p>
      <w:pPr>
        <w:pStyle w:val="BookText"/>
        <w:rPr/>
      </w:pPr>
      <w:bookmarkEnd w:id="483"/>
      <w:r>
        <w:rPr>
          <w:rFonts w:ascii="Amiri" w:hAnsi="Amiri" w:eastAsia="Amiri" w:cs="Amiri"/>
          <w:color w:val="111111"/>
          <w:sz w:val="28"/>
          <w:sz w:val="28"/>
          <w:szCs w:val="28"/>
          <w:rtl w:val="true"/>
          <w:lang w:bidi="ar-SA"/>
        </w:rPr>
        <w:t>يكون داخلاً فيه،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المتّقي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الفاسق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208707_2870459653"/>
      <w:bookmarkStart w:id="485" w:name="_Toc188"/>
      <w:bookmarkEnd w:id="484"/>
      <w:r>
        <w:rPr>
          <w:rtl w:val="true"/>
        </w:rPr>
        <w:t>القسم الآخر</w:t>
      </w:r>
      <w:bookmarkEnd w:id="485"/>
    </w:p>
    <w:p>
      <w:pPr>
        <w:pStyle w:val="Heading6"/>
        <w:numPr>
          <w:ilvl w:val="5"/>
          <w:numId w:val="1"/>
        </w:numPr>
        <w:rPr/>
      </w:pPr>
      <w:bookmarkStart w:id="486" w:name="__RefHeading___Toc3208709_2870459653"/>
      <w:bookmarkStart w:id="487" w:name="_Toc189"/>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 xml:space="preserve">ما يكون فيه التَّصرُّف المذكور على سبيل إعدام الموضوع في عالم التَّشريع مع بقائه في عالم التكوين، كحكومة الأمارات مطلقاً على الأُصول الشرعيَّة، بناءً على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المجعول في باب الأمارات هو تتميم الكشف، لا على سبيل التنزيل، وإنَّما على نحو الاعتبار المتأصِّل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أفاد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التَّقسيم بلحاظ المراد الاستعماليِّ للدليل الحاكم، فإنَّه في القسم الأوَّل يكون على سبيل الاعتبار الأدبيِّ التَّنزيليِّ، وفي القسم الثَّاني على سبيل الاعتبار المتأصِّل القانونيِّ، وأمَّا المراد التَّفهيميّ ففي كليهما واحد، وهو ثبوت الحكم أو نفيه، ثمَّ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القسم الثَّاني من الحكومة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أمران</w:t>
      </w:r>
      <w:r>
        <w:rPr>
          <w:rFonts w:eastAsia="IRNazanin" w:cs="IRNazanin"/>
          <w:color w:val="111111"/>
          <w:sz w:val="28"/>
          <w:szCs w:val="28"/>
          <w:rtl w:val="true"/>
          <w:lang w:bidi="fa-IR"/>
        </w:rPr>
        <w:t>:</w:t>
      </w:r>
    </w:p>
    <w:p>
      <w:pPr>
        <w:pStyle w:val="Heading6"/>
        <w:numPr>
          <w:ilvl w:val="5"/>
          <w:numId w:val="1"/>
        </w:numPr>
        <w:rPr/>
      </w:pPr>
      <w:bookmarkStart w:id="488" w:name="__RefHeading___Toc3208711_2870459653"/>
      <w:bookmarkStart w:id="489" w:name="_Toc190"/>
      <w:bookmarkEnd w:id="488"/>
      <w:r>
        <w:rPr>
          <w:rtl w:val="true"/>
        </w:rPr>
        <w:t>الأمر الأوّل</w:t>
      </w:r>
      <w:bookmarkEnd w:id="489"/>
    </w:p>
    <w:p>
      <w:pPr>
        <w:pStyle w:val="BookText"/>
        <w:rPr/>
      </w:pPr>
      <w:r>
        <w:rPr>
          <w:rFonts w:ascii="Amiri" w:hAnsi="Amiri" w:eastAsia="Amiri" w:cs="Amiri"/>
          <w:color w:val="111111"/>
          <w:sz w:val="28"/>
          <w:sz w:val="28"/>
          <w:szCs w:val="28"/>
          <w:rtl w:val="true"/>
          <w:lang w:bidi="ar-SA"/>
        </w:rPr>
        <w:t xml:space="preserve">أشرنا فيما سبق أنَّ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أنَّ التَّنزيل ينقسم إلى تنزيلٍ أدبيٍّ، وآخر قانونيٍّ، ولذا يناسب أن يجعل القسم الأوَّل في التَّنزيل من دون أن يقيَّد بالأدبيِّ حتّى يشمل كلا قسمي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ينشأ تقسيم جديد للحكومة التَّنزيليَّة، وهو أنَّ التنزيل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سبيل التنزيل الأدبيِّ، أو على سبيل التَّنزيل القانونيِّ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كان التَّنزيل في التَّنزيل القانونيِّ دخيلاً في المراد التَّفهيميِّ فإنَّه لا بدَّ أن يكون ملاك التَّقسيم أعمَّ من المراد الاستعماليِّ والمراد التَّفهيميِّ</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3208713_2870459653"/>
      <w:bookmarkStart w:id="491" w:name="_Toc191"/>
      <w:bookmarkEnd w:id="490"/>
      <w:r>
        <w:rPr>
          <w:rtl w:val="true"/>
        </w:rPr>
        <w:t>الأمر الآخر</w:t>
      </w:r>
      <w:bookmarkEnd w:id="49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بدَّ في صحَّة التَّقسيم من إثبات وجود الأقسام، والقسم الأوَّل </w:t>
      </w:r>
      <w:bookmarkStart w:id="492" w:name="pg10932_87848"/>
    </w:p>
    <w:p>
      <w:pPr>
        <w:pStyle w:val="BookText"/>
        <w:rPr/>
      </w:pPr>
      <w:bookmarkEnd w:id="492"/>
      <w:r>
        <w:rPr>
          <w:rFonts w:ascii="IRNazanin" w:hAnsi="IRNazanin" w:eastAsia="IRNazanin"/>
          <w:color w:val="111111"/>
          <w:sz w:val="28"/>
          <w:sz w:val="28"/>
          <w:szCs w:val="28"/>
          <w:rtl w:val="true"/>
          <w:lang w:bidi="fa-IR"/>
        </w:rPr>
        <w:t xml:space="preserve">لا خلاف في ثبوته؛ إذ إنَّ أغلب موارد الحكومة من قبيل الحكومة التَّنزيليَّة هذه، وإنَّما الخلاف في القسم الآخر 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فيه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52"/>
      </w:r>
      <w:r>
        <w:rPr>
          <w:rFonts w:ascii="Amiri" w:hAnsi="Amiri" w:eastAsia="Amiri" w:cs="Amiri"/>
          <w:color w:val="111111"/>
          <w:sz w:val="28"/>
          <w:sz w:val="28"/>
          <w:szCs w:val="28"/>
          <w:rtl w:val="true"/>
          <w:lang w:bidi="ar-SA"/>
        </w:rPr>
        <w:t>حيث اعتبر هذا التَّقسيم من قبيل الورود لا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الحال فيه نوكله إلى محلّ آخر</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3208715_2870459653"/>
      <w:bookmarkStart w:id="494" w:name="_Toc192"/>
      <w:bookmarkEnd w:id="493"/>
      <w:r>
        <w:rPr>
          <w:rtl w:val="true"/>
        </w:rPr>
        <w:t>التَّقسيم الثَّالث</w:t>
      </w:r>
      <w:r>
        <w:rPr>
          <w:rtl w:val="true"/>
        </w:rPr>
        <w:t xml:space="preserve">: </w:t>
      </w:r>
      <w:r>
        <w:rPr>
          <w:rtl w:val="true"/>
        </w:rPr>
        <w:t>تقسيم الحكومة إلى واقعيَّة وظاهريَّة</w:t>
      </w:r>
      <w:bookmarkEnd w:id="494"/>
    </w:p>
    <w:p>
      <w:pPr>
        <w:pStyle w:val="Heading5"/>
        <w:numPr>
          <w:ilvl w:val="4"/>
          <w:numId w:val="1"/>
        </w:numPr>
        <w:rPr/>
      </w:pPr>
      <w:bookmarkStart w:id="495" w:name="__RefHeading___Toc3208717_2870459653"/>
      <w:bookmarkStart w:id="496" w:name="_Toc193"/>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 xml:space="preserve">باعتبار أنَّ المتصرَّف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الواقعيُّ،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ميزان هذا التَّقسيم وصحَّته، ومن ثَمَّ نوقع الحديث في جانبين</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3208719_2870459653"/>
      <w:bookmarkStart w:id="498" w:name="_Toc194"/>
      <w:bookmarkEnd w:id="497"/>
      <w:r>
        <w:rPr>
          <w:rtl w:val="true"/>
        </w:rPr>
        <w:t>الجانب الأوَّل</w:t>
      </w:r>
      <w:r>
        <w:rPr>
          <w:rtl w:val="true"/>
        </w:rPr>
        <w:t xml:space="preserve">: </w:t>
      </w:r>
      <w:r>
        <w:rPr>
          <w:rtl w:val="true"/>
        </w:rPr>
        <w:t>في ميزان هذا التَّقسيم</w:t>
      </w:r>
      <w:bookmarkEnd w:id="498"/>
    </w:p>
    <w:p>
      <w:pPr>
        <w:pStyle w:val="Heading6"/>
        <w:numPr>
          <w:ilvl w:val="5"/>
          <w:numId w:val="1"/>
        </w:numPr>
        <w:rPr/>
      </w:pPr>
      <w:bookmarkStart w:id="499" w:name="__RefHeading___Toc3208721_2870459653"/>
      <w:bookmarkStart w:id="500" w:name="_Toc195"/>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بمعنى القيود التي تؤدِّي إلى أنَّ الحاكم بحكومته يتصرَّف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تقريبان في ما نحن فيه</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3208723_2870459653"/>
      <w:bookmarkStart w:id="502" w:name="_Toc196"/>
      <w:bookmarkEnd w:id="501"/>
      <w:r>
        <w:rPr>
          <w:rtl w:val="true"/>
        </w:rPr>
        <w:t>التَّقريب الأوَّل</w:t>
      </w:r>
      <w:bookmarkEnd w:id="502"/>
    </w:p>
    <w:p>
      <w:pPr>
        <w:pStyle w:val="BookText"/>
        <w:rPr/>
      </w:pP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ميزان الحكومة الواقعيَّة مؤلَّف من 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 وإثباتيٍّ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الشّقُّ الثبوتيّ فبأن يكون الحكم المذكور في الدَّليل الحاكم مجعولاً في عرض الحكم المدلول عليه بالدَّليل المحكوم، فمثلاً في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عين الحكومة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حكم الخاصِّ في عرض جعل حكم العامِّ من دون أن يكون بين الجعلين طوليَّة وترتُّب، وعندئذٍ تكون دائرة تصرُّف الحكم المفاد بالدَّليل الحاكم هي نفس دائرة الحكم في الدَّليل المحكوم فيوجب توسعته أو تضييقه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كان المجعول في الدَّليل الحاكم في رتبة متأخِّرة عن المجعول </w:t>
      </w:r>
      <w:bookmarkStart w:id="503" w:name="pg10932_87849"/>
    </w:p>
    <w:p>
      <w:pPr>
        <w:pStyle w:val="BookText"/>
        <w:rPr/>
      </w:pPr>
      <w:bookmarkEnd w:id="503"/>
      <w:r>
        <w:rPr>
          <w:rFonts w:ascii="Amiri" w:hAnsi="Amiri" w:eastAsia="Amiri" w:cs="Amiri"/>
          <w:color w:val="111111"/>
          <w:sz w:val="28"/>
          <w:sz w:val="28"/>
          <w:szCs w:val="28"/>
          <w:rtl w:val="true"/>
          <w:lang w:bidi="ar-SA"/>
        </w:rPr>
        <w:t>في المحكوم، فإنَّ تصرُّفه سيكون في تلك الرُّتبة المتأخِّرة عن المجعول لا نفس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والحالة الأولى إنَّما تكون بين الأحكام الواقعيَّة، وأمَّا بين الأحكام الظاهريَّة والواقعيَّة فمن الواضح اختلاف الرُّتبة بين جعليهما، حيث يكون المجعول الظاهريُّ في طول المجعول الواقعيِّ؛ لأنَّه يجعل في رتبة الشَّكِّ في المجعول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الشّقُّ الإثباتيّ فبأن لا يؤخذ الشَّكُّ في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الدليل الحاكم، فإنَّه إذا كان دليل الحكم الظاهريِّ حاكماً على دليل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حاكماً إلَّا في حال الشَّكِّ في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تصرُّفه يكون في مرتبة الشَّكِّ هذا، لا في مرتبة الواقع المشكوك</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3208725_2870459653"/>
      <w:bookmarkStart w:id="505" w:name="_Toc197"/>
      <w:bookmarkEnd w:id="504"/>
      <w:r>
        <w:rPr>
          <w:rtl w:val="true"/>
        </w:rPr>
        <w:t>التَّقريب الآخر</w:t>
      </w:r>
      <w:bookmarkEnd w:id="505"/>
    </w:p>
    <w:p>
      <w:pPr>
        <w:pStyle w:val="Heading6"/>
        <w:numPr>
          <w:ilvl w:val="5"/>
          <w:numId w:val="1"/>
        </w:numPr>
        <w:rPr/>
      </w:pPr>
      <w:bookmarkStart w:id="506" w:name="__RefHeading___Toc3208727_2870459653"/>
      <w:bookmarkStart w:id="507" w:name="_Toc198"/>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 xml:space="preserve">ما ذكره المحقِّق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من أنَّ الحكومة الواقعيَّة إنَّما تحصل في حال تحقُّق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يتضمَّنه الدَّليل الحاكم حكماً واقعيَّاً، وأمَّا إذا كان حكماً ظاهريَّاً فإنَّ الحكومة ستكون ظاهريَّة سواء كان الدَّليل المحكوم واقعيَّاً أم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يؤخذ الشَّكُّ في المحكوم في موضوع الدَّليل الحاكم، وهو عين الشّقِّ الإثباتيِّ المذكور آنفاً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الاتّحاد الرُّتبيّ بين المجعولين ثبوتاً فلا يعتبره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الواقعيَّة، بل يعتبر بديله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كأمرٍ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تأخُّر جعل الحاكم عن المحكوم مرتبة؛ باعتبار كون الحكم في الدَّليل الحاكم متفرِّعاً عن أصل الحكم في المحكوم، ففي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شككت فابنِ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حكم الشَّكِّ هو البناء على الأكثر لم يتوجَّه نفي الشَّكِّ عن كثير الشَّكِّ بمعنى نفي حكمه عنه</w:t>
      </w:r>
      <w:r>
        <w:rPr>
          <w:rFonts w:eastAsia="Amiri" w:cs="Amiri" w:ascii="Amiri" w:hAnsi="Amiri"/>
          <w:color w:val="111111"/>
          <w:sz w:val="28"/>
          <w:szCs w:val="28"/>
          <w:rtl w:val="true"/>
          <w:lang w:bidi="ar-SA"/>
        </w:rPr>
        <w:t xml:space="preserve">. </w:t>
      </w:r>
      <w:bookmarkStart w:id="508" w:name="pg10932_87850"/>
    </w:p>
    <w:p>
      <w:pPr>
        <w:pStyle w:val="BookText"/>
        <w:rPr/>
      </w:pPr>
      <w:bookmarkEnd w:id="508"/>
      <w:r>
        <w:rPr>
          <w:rFonts w:ascii="Amiri" w:hAnsi="Amiri" w:eastAsia="Amiri" w:cs="Amiri"/>
          <w:color w:val="111111"/>
          <w:sz w:val="28"/>
          <w:sz w:val="28"/>
          <w:szCs w:val="28"/>
          <w:rtl w:val="true"/>
          <w:lang w:bidi="ar-SA"/>
        </w:rPr>
        <w:t xml:space="preserve">وفي كلام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3208729_2870459653"/>
      <w:bookmarkStart w:id="510" w:name="_Toc199"/>
      <w:bookmarkEnd w:id="509"/>
      <w:r>
        <w:rPr>
          <w:rtl w:val="true"/>
        </w:rPr>
        <w:t>الأمر الأوَّل</w:t>
      </w:r>
      <w:bookmarkEnd w:id="510"/>
    </w:p>
    <w:p>
      <w:pPr>
        <w:pStyle w:val="BookText"/>
        <w:rPr/>
      </w:pPr>
      <w:r>
        <w:rPr>
          <w:rFonts w:ascii="Amiri" w:hAnsi="Amiri" w:eastAsia="Amiri" w:cs="Amiri"/>
          <w:color w:val="111111"/>
          <w:sz w:val="28"/>
          <w:sz w:val="28"/>
          <w:szCs w:val="28"/>
          <w:rtl w:val="true"/>
          <w:lang w:bidi="ar-SA"/>
        </w:rPr>
        <w:t>أنَّ بين العلمين اختلافاً في كيفيَّة التَّشريع ثبوتاً فيما إذا كانت النِّسبة بين الحكمين العموم المطلق سواء أكان بلسان التَّخصيص أم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لا طوليَّة بين الجعلين، وإنَّما يوضع الموضوع الخاصّ إلى جنب الموضوع العامِّ المقيَّد بغير الخاصّ، ويُجعل حكمٌ لهذا وحكمٌ لذاك، فمثلاً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حاكماً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شككت فخذ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ومخصِّصاً له ثبوتاً، ففي المثال المذكور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ويجعل حكم هذا وحكم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المحقِّق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أنَّه لو لم يكن حكم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مجعولاً في الرُّتبة السَّابقة لم يتوجَّه نفي حكم الشَّكِّ هذا عن 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الصَّحيح ما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مقام الجعل يفترض أن يكون موضوع الحكم منقّحاً في الرُّتبة السَّابقة على الجعل، وفي هذه الرُّتبة يصنِّف المقنِّنُ الشَّاكَّ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ويجعل لكلٍّ من الصِّنفين حكمه ولو كان أحد الصِّنفين حكمه عدم حكم الصِّنف الآخر، وإلَّا لغى التَّصنيف، لا أنَّه يجعل الحكم على الموضوع العامِّ من دون تصنيف، ثمَّ يستثنى منه الخاصُّ، ويحتاج هذا الأمر إلى مزيد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الأمر الآخر أنَّ هذا الاختلاف لا يغيِّر من واقع المسألة المبحوث عنها</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3208731_2870459653"/>
      <w:bookmarkStart w:id="512" w:name="_Toc200"/>
      <w:bookmarkEnd w:id="511"/>
      <w:r>
        <w:rPr>
          <w:rtl w:val="true"/>
        </w:rPr>
        <w:t>الأمر الآخر</w:t>
      </w:r>
      <w:bookmarkEnd w:id="512"/>
    </w:p>
    <w:p>
      <w:pPr>
        <w:pStyle w:val="BookText"/>
        <w:rPr/>
      </w:pPr>
      <w:r>
        <w:rPr>
          <w:rFonts w:ascii="Amiri" w:hAnsi="Amiri" w:eastAsia="Amiri" w:cs="Amiri"/>
          <w:color w:val="111111"/>
          <w:sz w:val="28"/>
          <w:sz w:val="28"/>
          <w:szCs w:val="28"/>
          <w:rtl w:val="true"/>
          <w:lang w:bidi="ar-SA"/>
        </w:rPr>
        <w:t xml:space="preserve">في تحديد المقصود من الاتّحاد والاختلاف الرُّتبيِّ بين الجعلين عند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الشّقِّ الثبوتيِّ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الاتّحاد الرُّتبيّ بين الجعلين وكونهما في عرض واحد هو أن لا يكون أحد الجعلين مأخوذاً في موضوع الجعل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أُخذ فإنَّهما يختلفان في </w:t>
      </w:r>
      <w:bookmarkStart w:id="513" w:name="pg10932_87851"/>
    </w:p>
    <w:p>
      <w:pPr>
        <w:pStyle w:val="BookText"/>
        <w:rPr/>
      </w:pPr>
      <w:bookmarkEnd w:id="513"/>
      <w:r>
        <w:rPr>
          <w:rFonts w:ascii="Amiri" w:hAnsi="Amiri" w:eastAsia="Amiri" w:cs="Amiri"/>
          <w:color w:val="111111"/>
          <w:sz w:val="28"/>
          <w:sz w:val="28"/>
          <w:szCs w:val="28"/>
          <w:rtl w:val="true"/>
          <w:lang w:bidi="ar-SA"/>
        </w:rPr>
        <w:t>مرتبة الجعل؛ حيث إنَّ الجعل الآخر هذا لا يحصل إلَّا بعد تحقُّق الجعل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المحقِّق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 الاتّحاد والاختلاف الرُّتبيِّ غير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أنكر تأثيره في الحكومة الواقعيَّة، ومن الغريب أنَّ الشّقَّ الإثباتيّ الَّذي قَبِلَه المحقِّق المذكور إنَّما يحكي الشّقَّ الثَّبوتيّ في بيان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3208733_2870459653"/>
      <w:bookmarkStart w:id="515" w:name="_Toc201"/>
      <w:bookmarkEnd w:id="514"/>
      <w:r>
        <w:rPr>
          <w:rtl w:val="true"/>
        </w:rPr>
        <w:t>الجانب الآخر</w:t>
      </w:r>
      <w:r>
        <w:rPr>
          <w:rtl w:val="true"/>
        </w:rPr>
        <w:t xml:space="preserve">: </w:t>
      </w:r>
      <w:r>
        <w:rPr>
          <w:rtl w:val="true"/>
        </w:rPr>
        <w:t>في صحَّة هذا التَّقسيم</w:t>
      </w:r>
      <w:bookmarkEnd w:id="515"/>
    </w:p>
    <w:p>
      <w:pPr>
        <w:pStyle w:val="BookText"/>
        <w:rPr/>
      </w:pPr>
      <w:r>
        <w:rPr>
          <w:rFonts w:ascii="Amiri" w:hAnsi="Amiri" w:eastAsia="Amiri" w:cs="Amiri"/>
          <w:color w:val="111111"/>
          <w:sz w:val="28"/>
          <w:sz w:val="28"/>
          <w:szCs w:val="28"/>
          <w:rtl w:val="true"/>
          <w:lang w:bidi="ar-SA"/>
        </w:rPr>
        <w:t xml:space="preserve">لم يرتضِ بعض الأكابر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المذكور،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تقسيم الحكومة بالظاهريَّة والواقعيَّة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ملاك له كما لا يخفى؛ لأنَّ تقديم دليل على دليل آخر إذا كان على نحو الحكومة وتحت الضَّابط المتقدِّم فلا يكون مختلفاً حتَّى يكون التَّقسيم صحيحاً، واختلاف النَّتيجة لا يصحِّح التَّقسيم، فتقدُّم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أدلّة الشُّكوك كتقدُّم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أدلّة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نحو تقدُّم الأدلّة الحاكمة في الأحكام الواقعيَّة مخالفاً لنحو تقدُّم الأدلّة الحاكمة في الأحكام الظاهريَّة حتَّى يصحّ التَّقسيم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وانقدح بما تقدَّم في الجانب الأوَّل ضعف ما ذُكر؛ لاختلاف الأثر والثَّمرة بين القسمين كما هو معلوم في بحث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اختلاف نحو التَّصرُّف من أنَّه في الأدلّة الواقعيَّة يكون على نحو التَّوسعة والتَّضييق، وأمَّا في الأدلّة الظاهريَّة فقد يكون على نحو التَّوسعة والتَّضييق، وقد يكون بإعدام الموضوع كليَّاً في عالم التَّشريع</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3208735_2870459653"/>
      <w:bookmarkStart w:id="517" w:name="_Toc202"/>
      <w:bookmarkEnd w:id="516"/>
      <w:r>
        <w:rPr>
          <w:rtl w:val="true"/>
        </w:rPr>
        <w:t>التَّقسيم الرَّابع</w:t>
      </w:r>
      <w:bookmarkEnd w:id="517"/>
    </w:p>
    <w:p>
      <w:pPr>
        <w:pStyle w:val="Heading5"/>
        <w:numPr>
          <w:ilvl w:val="4"/>
          <w:numId w:val="1"/>
        </w:numPr>
        <w:rPr/>
      </w:pPr>
      <w:bookmarkStart w:id="518" w:name="__RefHeading___Toc3208737_2870459653"/>
      <w:bookmarkStart w:id="519" w:name="_Toc203"/>
      <w:bookmarkEnd w:id="518"/>
      <w:r>
        <w:rPr>
          <w:rtl w:val="true"/>
        </w:rPr>
        <w:t>اشارة</w:t>
      </w:r>
      <w:bookmarkEnd w:id="51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التَّقسيم الرَّابع</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الحكومة إلى الحكومة على سبيل التَّوسعة والحكومة على </w:t>
      </w:r>
      <w:bookmarkStart w:id="520" w:name="pg10932_87852"/>
    </w:p>
    <w:p>
      <w:pPr>
        <w:pStyle w:val="BookText"/>
        <w:rPr/>
      </w:pPr>
      <w:bookmarkEnd w:id="520"/>
      <w:r>
        <w:rPr>
          <w:rFonts w:ascii="Amiri" w:hAnsi="Amiri" w:eastAsia="Amiri" w:cs="Amiri"/>
          <w:color w:val="111111"/>
          <w:sz w:val="28"/>
          <w:sz w:val="28"/>
          <w:szCs w:val="28"/>
          <w:rtl w:val="true"/>
          <w:lang w:bidi="ar-SA"/>
        </w:rPr>
        <w:t>سبيل التَّضييق، باعتبار نحو تصرُّف الدَّليل الحاكم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يوجب توسعةً في الدليل المحكوم، أو تضييقاً فيه</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3208739_2870459653"/>
      <w:bookmarkStart w:id="522" w:name="_Toc204"/>
      <w:bookmarkEnd w:id="521"/>
      <w:r>
        <w:rPr>
          <w:rtl w:val="true"/>
        </w:rPr>
        <w:t>القسم الأوّل</w:t>
      </w:r>
      <w:r>
        <w:rPr>
          <w:rtl w:val="true"/>
        </w:rPr>
        <w:t xml:space="preserve">: </w:t>
      </w:r>
      <w:r>
        <w:rPr>
          <w:rtl w:val="true"/>
        </w:rPr>
        <w:t>الحكومة على سبيل التَّوسعة</w:t>
      </w:r>
      <w:bookmarkEnd w:id="522"/>
    </w:p>
    <w:p>
      <w:pPr>
        <w:pStyle w:val="BookText"/>
        <w:rPr/>
      </w:pPr>
      <w:r>
        <w:rPr>
          <w:rFonts w:ascii="Amiri" w:hAnsi="Amiri" w:eastAsia="Amiri" w:cs="Amiri"/>
          <w:color w:val="111111"/>
          <w:sz w:val="28"/>
          <w:sz w:val="28"/>
          <w:szCs w:val="28"/>
          <w:rtl w:val="true"/>
          <w:lang w:bidi="ar-SA"/>
        </w:rPr>
        <w:t>وهي تحصل في أغلب الدَّوالّ على النَّظر وفي جميع أقسام الحكومة السَّابقة حتَّى في الحكومة بملاك النَّظر إلى عقد الحمل، حيث يمكن للمقنّن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وجوب الإكرام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للمتَّقي غير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ثبوتاً بمعنى واحد في جميع الأقسام، وهو أنَّ الدَّليل الحاكم يثبت حكماً جديداً مسانخاً للحكم الَّذي يتضمَّنه الدَّليل المحكوم للأفراد الجديدة كالمتَّقي غير العالم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تختلف إثباتاً وبحسب اللسان، ففي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الحكومة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تحصل إلَّا في موضوع الحكم دون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إثبات الحكم الجديد هذا بلسان إثبات موضوعه، فلسان الدَّليل الحاكم ليس هو إثبات حكمٍ إضافيٍّ إلى جنب الحكم الَّذي يتضمَّنه الدليل المحكوم، وإنَّما هو مبيِّن لبعض أفراد موضوعه تنزيلاً وادِّعاءً، فيكون شمول الحكم الَّذي يتضمَّن الدَّليل لتلك الأفراد قهريَّاً من باب ثبوت الحكم بثبوت موضوعه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الحكومة على سبيل الاعتبار المتأصِّل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عن تماميَّة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يتأتّى إثبات الحكم الجديد على هذا السَّبيل، كما في حكومة أدلّة حجّيَّة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مفادها هو جعل العلميَّة للأمارات على سبيل الاعتبار المتأصِّل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جواز الإخبار عمَّا يعلم؛ إذ توسِّعها إلى ما يعلم وجداناً وما يعلم قانوناً</w:t>
      </w:r>
      <w:r>
        <w:rPr>
          <w:rFonts w:eastAsia="Amiri" w:cs="Amiri" w:ascii="Amiri" w:hAnsi="Amiri"/>
          <w:color w:val="111111"/>
          <w:sz w:val="28"/>
          <w:szCs w:val="28"/>
          <w:rtl w:val="true"/>
          <w:lang w:bidi="ar-SA"/>
        </w:rPr>
        <w:t xml:space="preserve">. </w:t>
      </w:r>
      <w:bookmarkStart w:id="523" w:name="pg10932_87853"/>
    </w:p>
    <w:p>
      <w:pPr>
        <w:pStyle w:val="Heading5"/>
        <w:numPr>
          <w:ilvl w:val="4"/>
          <w:numId w:val="1"/>
        </w:numPr>
        <w:rPr/>
      </w:pPr>
      <w:bookmarkStart w:id="524" w:name="__RefHeading___Toc3208741_2870459653"/>
      <w:bookmarkStart w:id="525" w:name="_Toc205"/>
      <w:bookmarkEnd w:id="523"/>
      <w:bookmarkEnd w:id="524"/>
      <w:r>
        <w:rPr>
          <w:rtl w:val="true"/>
        </w:rPr>
        <w:t>القسم الآخر</w:t>
      </w:r>
      <w:r>
        <w:rPr>
          <w:rtl w:val="true"/>
        </w:rPr>
        <w:t xml:space="preserve">: </w:t>
      </w:r>
      <w:r>
        <w:rPr>
          <w:rtl w:val="true"/>
        </w:rPr>
        <w:t>الحكومة على سبيل التَّضييق</w:t>
      </w:r>
      <w:bookmarkEnd w:id="525"/>
    </w:p>
    <w:p>
      <w:pPr>
        <w:pStyle w:val="BookText"/>
        <w:rPr/>
      </w:pPr>
      <w:r>
        <w:rPr>
          <w:rFonts w:ascii="Amiri" w:hAnsi="Amiri" w:eastAsia="Amiri" w:cs="Amiri"/>
          <w:color w:val="111111"/>
          <w:sz w:val="28"/>
          <w:sz w:val="28"/>
          <w:szCs w:val="28"/>
          <w:rtl w:val="true"/>
          <w:lang w:bidi="ar-SA"/>
        </w:rPr>
        <w:t>وهي كقسيمها تحصل في أغلب الدَّوالّ على النَّظر، وفي جميع أقسام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ثبوتاً عين التَّخصيص والتَّقييد بلا أدنى فرق</w:t>
      </w:r>
      <w:r>
        <w:rPr>
          <w:rStyle w:val="FootnoteAnchor"/>
          <w:rtl w:val="true"/>
        </w:rPr>
        <w:footnoteReference w:id="357"/>
      </w:r>
      <w:r>
        <w:rPr>
          <w:rFonts w:ascii="Amiri" w:hAnsi="Amiri" w:eastAsia="Amiri" w:cs="Amiri"/>
          <w:color w:val="111111"/>
          <w:sz w:val="28"/>
          <w:sz w:val="28"/>
          <w:szCs w:val="28"/>
          <w:rtl w:val="true"/>
          <w:lang w:bidi="ar-SA"/>
        </w:rPr>
        <w:t>، فالدليل الحاكم مخصِّص للدليل المحكوم، ومبيِّن أنَّ المراد الاستعماليّ فيه أوسع دائرة من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إثباتاً ففي الحكومة التَّنزيليَّة يكون نفي الحكم بلسان نفي موضوعه، فلسان الدَّليل الحاكم مبيِّن لكميَّة موضوع الدليل المحكوم، وأنَّ بعض أفراده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يتضمَّنها الدَّليل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أفراده تنزيلاً وادِّعاءً، فينتفي الحكم عن تلك الأفراد قهراً من جهة 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الحكومة على سبيل الاعتبار المتأصِّل فهي كحكومة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الأُصول العمليَّة الشَّرعيَّة كما مضى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تقسيمات أُخر نكتفي بالإشارة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حيث ذكر مفصَّلاً أقسام الحكومة التَّنزيليَّة ومواردها، واختلاف مؤدَّى الدَّليل الحاكم بحسبها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الحكومة التَّنزيليَّة إلى ما يكون التَّنزيل فيها إمَّا على سبيل التَّنزيل الأدبيِّ، أو على سبيل التَّنزيل القانونيِّ، وتتوقّف صحَّة هذا التَّقسيم على إثبات التَّنزيل القانونيِّ</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526" w:name="pg10932_87854"/>
    </w:p>
    <w:p>
      <w:pPr>
        <w:pStyle w:val="BookText"/>
        <w:rPr/>
      </w:pPr>
      <w:bookmarkEnd w:id="52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الحكومة بحسب الدَّوالّ على النَّظر كما أفاده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3208743_2870459653"/>
      <w:bookmarkStart w:id="528" w:name="_Toc206"/>
      <w:bookmarkEnd w:id="527"/>
      <w:r>
        <w:rPr>
          <w:rtl w:val="true"/>
        </w:rPr>
        <w:t>الخاتمة</w:t>
      </w:r>
      <w:r>
        <w:rPr>
          <w:rtl w:val="true"/>
        </w:rPr>
        <w:t xml:space="preserve">: </w:t>
      </w:r>
      <w:r>
        <w:rPr>
          <w:rtl w:val="true"/>
        </w:rPr>
        <w:t>في شؤون الحكومة وأحكامها من خلال مقارنتها مع شبيهيها من الجمع العرفيّ والورود</w:t>
      </w:r>
      <w:bookmarkEnd w:id="528"/>
    </w:p>
    <w:p>
      <w:pPr>
        <w:pStyle w:val="Heading4"/>
        <w:numPr>
          <w:ilvl w:val="3"/>
          <w:numId w:val="1"/>
        </w:numPr>
        <w:rPr/>
      </w:pPr>
      <w:bookmarkStart w:id="529" w:name="__RefHeading___Toc3208745_2870459653"/>
      <w:bookmarkStart w:id="530" w:name="_Toc207"/>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والحديث يقع في جهتين</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3208747_2870459653"/>
      <w:bookmarkStart w:id="532" w:name="_Toc208"/>
      <w:bookmarkEnd w:id="531"/>
      <w:r>
        <w:rPr>
          <w:rtl w:val="true"/>
        </w:rPr>
        <w:t>الجهة الأولى</w:t>
      </w:r>
      <w:r>
        <w:rPr>
          <w:rtl w:val="true"/>
        </w:rPr>
        <w:t xml:space="preserve">: </w:t>
      </w:r>
      <w:r>
        <w:rPr>
          <w:rtl w:val="true"/>
        </w:rPr>
        <w:t>في الحكومة والجمع العرفيّ من التَّخصيص والتَّقييد ونحوهما</w:t>
      </w:r>
      <w:bookmarkEnd w:id="532"/>
    </w:p>
    <w:p>
      <w:pPr>
        <w:pStyle w:val="Heading5"/>
        <w:numPr>
          <w:ilvl w:val="4"/>
          <w:numId w:val="1"/>
        </w:numPr>
        <w:rPr/>
      </w:pPr>
      <w:bookmarkStart w:id="533" w:name="__RefHeading___Toc3208749_2870459653"/>
      <w:bookmarkStart w:id="534" w:name="_Toc209"/>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 xml:space="preserve">ونتكلم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ذاتيهما،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حيث ذاتيهما فالحكومة التَّضييقيَّة خاصَّة من قبيل الجمع العرفيّ ثبوتاً على وجه التَّخصيص والتَّقييد، ففيما إذا كانت النِّسبة بين الحاكم والمحكوم هي العموم والخصوص المطلق، فإنَّ الدَّليل الحاكم يكشف عن أنَّ المراد الاستعماليّ للدليل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 جدّاً، ولذا يكون أوسع من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يختلفان إثباتاً وبحسب اللسان، فالحكومة بالقياس إلى الجمع العرفيّ تمتاز بخصوصيّتين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النَّظر، وهي متحقِّقة في جميع أقسام الحكومة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مسالمة الدَّليل الحاكم للدليل المحكوم من جهة أنَّ الحاكم إنَّما ينفي الحكم بنفي موضوعه لا مباشرة وبلسان المعارضة كما في الجمع العرفيّ، وهذه الخصوصيّة متحقِّقة في الحكومة التَّنزيليَّة بملاك النَّظر إلى عقد الوضع في الدَّليل </w:t>
      </w:r>
      <w:bookmarkStart w:id="535" w:name="pg10932_87855"/>
    </w:p>
    <w:p>
      <w:pPr>
        <w:pStyle w:val="BookText"/>
        <w:rPr/>
      </w:pPr>
      <w:bookmarkEnd w:id="535"/>
      <w:r>
        <w:rPr>
          <w:rFonts w:ascii="Amiri" w:hAnsi="Amiri" w:eastAsia="Amiri" w:cs="Amiri"/>
          <w:color w:val="111111"/>
          <w:sz w:val="28"/>
          <w:sz w:val="28"/>
          <w:szCs w:val="28"/>
          <w:rtl w:val="true"/>
          <w:lang w:bidi="ar-SA"/>
        </w:rPr>
        <w:t>المحكوم، دون الحكومة بملاك النَّظر إلى عقد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ما يتعلَّق بالحكومة والجمع العرفيّ من حيث ذاتيهما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أحكامهما فهل أنَّ الأحكام الثَّابتة للتخصيص والجمع العرفيّ تثبت بعينها للحكومة، أو أنَّهما يفترقان فيها؟</w:t>
      </w:r>
    </w:p>
    <w:p>
      <w:pPr>
        <w:pStyle w:val="BookText"/>
        <w:rPr/>
      </w:pPr>
      <w:r>
        <w:rPr>
          <w:rFonts w:ascii="Amiri" w:hAnsi="Amiri" w:eastAsia="Amiri" w:cs="Amiri"/>
          <w:color w:val="111111"/>
          <w:sz w:val="28"/>
          <w:sz w:val="28"/>
          <w:szCs w:val="28"/>
          <w:rtl w:val="true"/>
          <w:lang w:bidi="ar-SA"/>
        </w:rPr>
        <w:t>ومهمُّ هذه الأحكام هي</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3208751_2870459653"/>
      <w:bookmarkStart w:id="537" w:name="_Toc210"/>
      <w:bookmarkEnd w:id="536"/>
      <w:r>
        <w:rPr/>
        <w:t>1</w:t>
      </w:r>
      <w:r>
        <w:rPr>
          <w:rtl w:val="true"/>
        </w:rPr>
        <w:t>. (</w:t>
      </w:r>
      <w:r>
        <w:rPr>
          <w:rtl w:val="true"/>
        </w:rPr>
        <w:t>الحكم الأوَّل</w:t>
      </w:r>
      <w:r>
        <w:rPr>
          <w:rtl w:val="true"/>
        </w:rPr>
        <w:t xml:space="preserve">) </w:t>
      </w:r>
      <w:r>
        <w:rPr>
          <w:rtl w:val="true"/>
        </w:rPr>
        <w:t>في التَّخصيص</w:t>
      </w:r>
      <w:bookmarkEnd w:id="537"/>
    </w:p>
    <w:p>
      <w:pPr>
        <w:pStyle w:val="BookText"/>
        <w:rPr/>
      </w:pPr>
      <w:r>
        <w:rPr>
          <w:rFonts w:ascii="Amiri" w:hAnsi="Amiri" w:eastAsia="Amiri" w:cs="Amiri"/>
          <w:color w:val="111111"/>
          <w:sz w:val="28"/>
          <w:sz w:val="28"/>
          <w:szCs w:val="28"/>
          <w:rtl w:val="true"/>
          <w:lang w:bidi="ar-SA"/>
        </w:rPr>
        <w:t>إنَّ دائرة تأثير المخصِّص المتّصل، بل أيّ قرينة، هو ظهور العامّ، ودائرة تأثير المخصِّص المنفصل هي حجيَّة ذاك الظهور، ولا شكَّ في أنَّ الحاكم المتَّصل رافعٌ للظهور أيضاً، وإنَّما يقع الكلام في الحاكم المنفصل، فهل هو بحكم المخصِّص المنفصل أو لا؟</w:t>
      </w:r>
    </w:p>
    <w:p>
      <w:pPr>
        <w:pStyle w:val="BookText"/>
        <w:rPr/>
      </w:pPr>
      <w:r>
        <w:rPr>
          <w:rFonts w:ascii="Amiri" w:hAnsi="Amiri" w:eastAsia="Amiri" w:cs="Amiri"/>
          <w:color w:val="111111"/>
          <w:sz w:val="28"/>
          <w:sz w:val="28"/>
          <w:szCs w:val="28"/>
          <w:rtl w:val="true"/>
          <w:lang w:bidi="ar-SA"/>
        </w:rPr>
        <w:t>وقد اختلف الأعلام في ثبوت هذا الحكم في موارد الحكومة وعدمه، وفي وجه الثُّبوت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إلى أنَّ الحكم المذكور غير ثابت لموارد الحكومة؛ وذلك لأنَّ ميزان الحكومة عنده هو أن يكون الحاكم أوَّلاً وبالذات مفسِّراً للمراد من المحكوم عليه، والمقصود من كونه مفسِّراً له أوَّلاً وبالذات أن يكون كالقرائن المتَّصلة من حيث كونه موجباً لظهور المحكوم عليه في اختصاص الحكم الَّذي تضمَّنه بغير مورد الحاكم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 على ذلك ثمرتين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تعارض بين الحاكم والمحكوم في حال انفصالهما بخلاف المخصِّص </w:t>
      </w:r>
    </w:p>
    <w:p>
      <w:pPr>
        <w:pStyle w:val="BookText"/>
        <w:rPr/>
      </w:pPr>
      <w:r>
        <w:rPr>
          <w:rFonts w:ascii="Amiri" w:hAnsi="Amiri" w:eastAsia="Amiri" w:cs="Amiri"/>
          <w:color w:val="111111"/>
          <w:sz w:val="28"/>
          <w:sz w:val="28"/>
          <w:szCs w:val="28"/>
          <w:rtl w:val="true"/>
          <w:lang w:bidi="ar-SA"/>
        </w:rPr>
        <w:t>المنفصل بالنّسبة إلى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المنفصل لا يوجب ظهور العامِّ في اختصاص حكمه بغير مورد التَّخصيص، بل العامّ مع وجود المخصِّص المنفصل ظاهر في تعميم الحكم بالنِّسبة إلى مورد المخصِّص، ومن ثَمَّ يكونان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يقدَّم الخاصُّ لترجيح ظهوره على العامِّ، وهذا بخلاف الحاكم والمحكوم؛ فإنَّ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 في عموم حكمه بالنِّسبة إلى مورد الحاكم، بل ظاهر في اختصاصه بغير ذلك المورد، فلا معارضة في البين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المنفصل يقدَّم على المحكوم حتَّى وإن كان من أضعف الظُّهورات بخلاف الظَّاهرين؛ فإنَّ تقديم أحدهما على الآخر منوطٌ بكون ظهوره أقوى من ظهور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لم يرتضِ مساوقة الحكومة والتَّخصيص في الحكم المذكور، حيث يرى أنَّ الحاكم لمكان تكفُّله شرح مدلول المحكوم يكون بمنزلة القرينة المتَّصلة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يخرج سند المحكوم عن الاعتبار حتَّى في حال اقتضاء الحاكم طرح ظهوره تماماً، بحيث لا يبقى تحت ظهوره شيء من مدلوله؛ لأنَّ طرحه هذا عين شرحه وبيان المراد منه، ومن ثَمَّ ينتهي إلى العمل به، لكن بتوسُّط شارحيَّة الحاكم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بخلاف موارد الجمع العرفيّ حيث إنَّ طرح ظهور الدليل بالمرَّة يفضي إلى خروج سنده عن الاعتبار؛ لأنَّ التَّعبُّد بالسَّند حكم ظاهريٌّ يعتبر في مصحِّح جعله ترتُّب أثرٍ عمليٍّ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يتيسَّر مع طرحه، فيكون كالمجمل المعلوم عدم التَّعبُّد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ذهب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 وبعض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إلى ثبوت الحكم المذكور في موارد الحكومة، واستدلّ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بأنَّ الحاكم في نهاية المطاف قرينة، وكونها شخصيَّة لا يغيِّر في المقام شيئاً، فيكون حكمه حكمها من الجهة المبحوث عنها بلا أدنى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ضابطاً عامَّاً يجري أيضاً في الأحكام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عرفنا أنّ الحكومة عين التَّخصيص ثبوتاً وغيره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لسانها لسان المسالمة لا لسان المعارضة كما هو في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أحكام التَّخصيص بعضها منوط بخصوصيَّة مقام إثباته، وبعضها منوط بخصوصيَّة مقام ثبوته، فما يكون منوطاً بمقام ثبوته يثبت للحكومة لوحدة المناط، وما يكون منوطاً بمقام إثباته لا يسري إلى الحكومة لاختلاف المناط</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سريان الحكم المذكور إلى موارد الحكومة، وأنَّ التَّفسير والنَّظر إنَّما يوجب التَّقديم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طيِّ هذه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يوجب صيرورة الحاكم المنفصل بمثابة القرينة المتَّصلة، بل حاله حال سائر القرائن كما أفاد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bookmarkStart w:id="538" w:name="pg10932_87858"/>
    </w:p>
    <w:p>
      <w:pPr>
        <w:pStyle w:val="BookText"/>
        <w:rPr/>
      </w:pPr>
      <w:bookmarkEnd w:id="538"/>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هذا الحكم منوطاً بمقام الإثبات ونوع القرينة من أنَّها متَّصلة أو منفصلة على ما أفاده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منوط بمقام الثُّبوت؛ لأنَّ تصرُّف أحد الدَّليلين في مدلول الآخر فرع معارضتهما، وهي ثبوتيَّة لا إثباتيَّة كما مضى، ومن ثَمَّ لا يتمُّ جواب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صحيحاً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أصل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فرَّعه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أن يريد من القرائن المتَّصلة ما يكون من قبيل التَّقييد،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الاستثناء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إلَّا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ولا تكرم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متَّصلاً إلَّا أنَّه يقع تعارضٌ فيه كما في المنفصل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ولو كان من أضعف الظُّهورات يتقدَّم على المحكوم، ولكنَّ هذا لأجل النَّظر والتَّفسير، لا لكونه بمثابة قرينة متَّصلة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فرَّعه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إذا طرح مدلول المحكوم بالمرَّة لا يسقط سنده عن الاعتبار بخلافه في موارد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على تقدير تماميَّة ما قيل في الحكومة فهو يثبت أيضاً في موارد الجمع العرفيّ على ما أفاده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لكونه منوطاً بمقام ثبوتها لا إثباتها</w:t>
      </w:r>
      <w:r>
        <w:rPr>
          <w:rFonts w:eastAsia="IRNazanin" w:cs="IRNazanin"/>
          <w:color w:val="111111"/>
          <w:sz w:val="28"/>
          <w:szCs w:val="28"/>
          <w:rtl w:val="true"/>
          <w:lang w:bidi="fa-IR"/>
        </w:rPr>
        <w:t>.</w:t>
      </w:r>
    </w:p>
    <w:p>
      <w:pPr>
        <w:pStyle w:val="Heading5"/>
        <w:numPr>
          <w:ilvl w:val="4"/>
          <w:numId w:val="1"/>
        </w:numPr>
        <w:rPr/>
      </w:pPr>
      <w:bookmarkStart w:id="539" w:name="__RefHeading___Toc3208753_2870459653"/>
      <w:bookmarkStart w:id="540" w:name="_Toc211"/>
      <w:bookmarkEnd w:id="539"/>
      <w:r>
        <w:rPr/>
        <w:t>2</w:t>
      </w:r>
      <w:r>
        <w:rPr>
          <w:rtl w:val="true"/>
        </w:rPr>
        <w:t>. (</w:t>
      </w:r>
      <w:r>
        <w:rPr>
          <w:rtl w:val="true"/>
        </w:rPr>
        <w:t>الحكم الثَّاني</w:t>
      </w:r>
      <w:r>
        <w:rPr>
          <w:rtl w:val="true"/>
        </w:rPr>
        <w:t xml:space="preserve">) </w:t>
      </w:r>
      <w:r>
        <w:rPr>
          <w:rtl w:val="true"/>
        </w:rPr>
        <w:t>في إجمال المخصِّص</w:t>
      </w:r>
      <w:bookmarkEnd w:id="54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بين الأعلام التَّفريق بين المخصِّص المتَّصل والمخصِّص المنفصل، وكذلك يفرِّقون بين ما إذا كان نحو الإجمال دائراً بين الأقلِّ والأكثر أو المتباينين، فهل الموقف في موارد الحكومة عينه في موارد التَّخصيص، أو أنَّهما يفترقان في ذلك؟ </w:t>
      </w:r>
      <w:bookmarkStart w:id="541" w:name="pg10932_87859"/>
    </w:p>
    <w:p>
      <w:pPr>
        <w:pStyle w:val="BookText"/>
        <w:rPr/>
      </w:pPr>
      <w:bookmarkEnd w:id="541"/>
      <w:r>
        <w:rPr>
          <w:rFonts w:ascii="Amiri" w:hAnsi="Amiri" w:eastAsia="Amiri" w:cs="Amiri"/>
          <w:color w:val="111111"/>
          <w:sz w:val="28"/>
          <w:sz w:val="28"/>
          <w:szCs w:val="28"/>
          <w:rtl w:val="true"/>
          <w:lang w:bidi="ar-SA"/>
        </w:rPr>
        <w:t xml:space="preserve">ذهب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إلى أنَّ الحاكم المنفصل حكمه حكم المخصِّص المتَّصل؛ لعين ما ذكره في الحكم الأوَّل، ويناسب ذلك أيضاً كلام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المقابل ذهب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مساوقة الحكومة والتَّخصيص في الحكم المذكور؛ لعين ما أفاده في الحكم الأوَّل، والكلام هو الكلام</w:t>
      </w:r>
      <w:r>
        <w:rPr>
          <w:rFonts w:eastAsia="IRNazanin" w:cs="IRNazanin"/>
          <w:color w:val="111111"/>
          <w:sz w:val="28"/>
          <w:szCs w:val="28"/>
          <w:rtl w:val="true"/>
          <w:lang w:bidi="fa-IR"/>
        </w:rPr>
        <w:t>.</w:t>
      </w:r>
    </w:p>
    <w:p>
      <w:pPr>
        <w:pStyle w:val="Heading5"/>
        <w:numPr>
          <w:ilvl w:val="4"/>
          <w:numId w:val="1"/>
        </w:numPr>
        <w:rPr/>
      </w:pPr>
      <w:bookmarkStart w:id="542" w:name="__RefHeading___Toc3208755_2870459653"/>
      <w:bookmarkStart w:id="543" w:name="_Toc212"/>
      <w:bookmarkEnd w:id="542"/>
      <w:r>
        <w:rPr/>
        <w:t>3</w:t>
      </w:r>
      <w:r>
        <w:rPr>
          <w:rtl w:val="true"/>
        </w:rPr>
        <w:t>. (</w:t>
      </w:r>
      <w:r>
        <w:rPr>
          <w:rtl w:val="true"/>
        </w:rPr>
        <w:t>الحكم الثَّالث</w:t>
      </w:r>
      <w:r>
        <w:rPr>
          <w:rtl w:val="true"/>
        </w:rPr>
        <w:t xml:space="preserve">) </w:t>
      </w:r>
      <w:r>
        <w:rPr>
          <w:rtl w:val="true"/>
        </w:rPr>
        <w:t>في ميزان القرينيَّة في الجمع العرفيّ</w:t>
      </w:r>
      <w:bookmarkEnd w:id="543"/>
    </w:p>
    <w:p>
      <w:pPr>
        <w:pStyle w:val="Heading6"/>
        <w:numPr>
          <w:ilvl w:val="5"/>
          <w:numId w:val="1"/>
        </w:numPr>
        <w:rPr/>
      </w:pPr>
      <w:bookmarkStart w:id="544" w:name="__RefHeading___Toc3208757_2870459653"/>
      <w:bookmarkStart w:id="545" w:name="_Toc213"/>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وهو يدور مدار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الأقوائيَّة في الظُّهور، فلا يُقدَّم الأضعف ظهوراً على الأقوى ظهوراً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المزايا الدِّلاليَّة التي يستفاد منها في التَّوفيق بين 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لم ترجع هذه المزايا إلى الأقوائيَّة في الظُّهور، كما هو أحد الاحتمالين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الميزانين في كثير من الأحيان يتوقَّفان على ملاحظة النِّسبة بين الدَّليلين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الدَّليلين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التباين، أو العموم المطلق، أو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من قبيل الأوَّل فلا مورد للجمع العرفيّ بالتَّخصيص وأمَّا غيره فلا، كما في حمل الدَّليل الظَّاهر في الإلزام على الاستحباب بقرينة ما دلَّ على التَّرخيص</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على سبيل العموم المطلق فإنَّه عادةً يُقدَّم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الخاصَّ عند العقلاء يمثِّل قرينةً نوعيَّةً للتصرُّف في العامِّ وإن لم يفضِ إلى الأقوائيَّة كما عليه المحقِّق النَّائيني والسَّيِّد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الخاصَّ أقوى ظهوراً من العامِّ؛ لتمركز ظهوره في مورده، بخلاف العامِّ، أو لأضعفيَّة العامِّ من جهة كثرة </w:t>
      </w:r>
    </w:p>
    <w:p>
      <w:pPr>
        <w:pStyle w:val="BookText"/>
        <w:rPr/>
      </w:pPr>
      <w:r>
        <w:rPr>
          <w:rFonts w:ascii="Amiri" w:hAnsi="Amiri" w:eastAsia="Amiri" w:cs="Amiri"/>
          <w:color w:val="111111"/>
          <w:sz w:val="28"/>
          <w:sz w:val="28"/>
          <w:szCs w:val="28"/>
          <w:rtl w:val="true"/>
          <w:lang w:bidi="ar-SA"/>
        </w:rPr>
        <w:t>التَّخصيصات حتَّى قيل ما من عامٍّ إلَّا وقد 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النِّسبة بين المتعارضين العموم من وجه فإنَّه يأتي دور الميزان الثَّاني السَّالف الذِّكر، ويكون لملاحظة النِّسبة دور في التَّقديم، كما إذا لزم من تقديم أحد العامَّين على الآخر في مورد الاجتماع التَّخصيص المستهجن، كأنْ لا يبقى للعامِّ الآخر مورد أصلاً، أو يحمل على الفرد النَّادر، فإنَّه في مثل هذه الحالة يُقدَّم العامُّ الآخر في مورد الاجتماع، وكذلك إذا لزم من تقديم أحد العامَّين سقوط العنوان المأخوذ في العامِّ الآخر عن الموضوعيَّة بالمرَّة دون العكس، فإنَّه يُقدَّم الآخر في مورد الاجتماع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الحكومة فقد عرفنا أنَّ ميزان القرينيَّة فيها لا يتوقَّف على الأقوائيَّة في الظُّهور وإنَّما يُقدَّم الحاكم وإن كان من أضعف الظُّهورات على المحكوم وإن كان من أقوى الظُّهورات حتَّى لو كان المحكوم عامَّاً يأبى التَّخصيص لمكان قوَّة لسانه</w:t>
      </w:r>
      <w:r>
        <w:rPr>
          <w:rStyle w:val="FootnoteAnchor"/>
          <w:rtl w:val="true"/>
        </w:rPr>
        <w:footnoteReference w:id="367"/>
      </w:r>
      <w:r>
        <w:rPr>
          <w:rFonts w:ascii="Amiri" w:hAnsi="Amiri" w:eastAsia="Amiri" w:cs="Amiri"/>
          <w:color w:val="111111"/>
          <w:sz w:val="28"/>
          <w:sz w:val="28"/>
          <w:szCs w:val="28"/>
          <w:rtl w:val="true"/>
          <w:lang w:bidi="ar-SA"/>
        </w:rPr>
        <w:t>، كما قيل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Style w:val="FootnoteAnchor"/>
          <w:rtl w:val="true"/>
        </w:rPr>
        <w:footnoteReference w:id="368"/>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ينبغي لك أن تنقض اليقين بالشَّكِّ أبداً</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 xml:space="preserve">وذلك لأنَّ لسان الحاكم مسالم مع العامِّ المذكور حيث ينفي حكمه عن مورد الخاصِّ بلسان نفي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ذلك العامِّ، وهذا بخلاف التَّخصيص حيث إنَّه أُسلوبٌ معارضٌ مع العامِّ، فيكون في مقام كسر قوَّة لسانه، والمفروض أنَّ لسانه ممَّا لا يقبل الكسر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فهل الموقف عينه في الحكومة بالنِّسبة للمزايا المذكورة في العامّين من وجه، </w:t>
      </w:r>
      <w:bookmarkStart w:id="546" w:name="pg10932_87861"/>
    </w:p>
    <w:p>
      <w:pPr>
        <w:pStyle w:val="BookText"/>
        <w:rPr/>
      </w:pPr>
      <w:bookmarkEnd w:id="546"/>
      <w:r>
        <w:rPr>
          <w:rFonts w:ascii="Amiri" w:hAnsi="Amiri" w:eastAsia="Amiri" w:cs="Amiri"/>
          <w:color w:val="111111"/>
          <w:sz w:val="28"/>
          <w:sz w:val="28"/>
          <w:szCs w:val="28"/>
          <w:rtl w:val="true"/>
          <w:lang w:bidi="ar-SA"/>
        </w:rPr>
        <w:t>ومن ثَمَّ ملاحظة النِّسبة أم لا؟ قولان</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3208759_2870459653"/>
      <w:bookmarkStart w:id="548" w:name="_Toc214"/>
      <w:bookmarkEnd w:id="547"/>
      <w:r>
        <w:rPr>
          <w:rtl w:val="true"/>
        </w:rPr>
        <w:t>القول الأوَّل</w:t>
      </w:r>
      <w:bookmarkEnd w:id="548"/>
    </w:p>
    <w:p>
      <w:pPr>
        <w:pStyle w:val="BookText"/>
        <w:rPr/>
      </w:pPr>
      <w:r>
        <w:rPr>
          <w:rFonts w:ascii="IRNazanin" w:hAnsi="IRNazanin" w:eastAsia="IRNazanin"/>
          <w:color w:val="111111"/>
          <w:sz w:val="28"/>
          <w:sz w:val="28"/>
          <w:szCs w:val="28"/>
          <w:rtl w:val="true"/>
          <w:lang w:bidi="fa-IR"/>
        </w:rPr>
        <w:t xml:space="preserve">ما أفاده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من أنَّ بعض تلك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كاللَّتين ذكرناهما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في الحكومة، وتحول دون تقديم الحاكم على المحكوم، ومن ثَمَّ يجب ملاحظة النِّسبة بينهما مقدِّمةً لتلك المزايا كما اتَّضح ممَّا ذكرناه</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3208761_2870459653"/>
      <w:bookmarkStart w:id="550" w:name="_Toc215"/>
      <w:bookmarkEnd w:id="549"/>
      <w:r>
        <w:rPr>
          <w:rtl w:val="true"/>
        </w:rPr>
        <w:t>القول الآخر</w:t>
      </w:r>
      <w:bookmarkEnd w:id="550"/>
    </w:p>
    <w:p>
      <w:pPr>
        <w:pStyle w:val="BookText"/>
        <w:rPr/>
      </w:pPr>
      <w:r>
        <w:rPr>
          <w:rFonts w:ascii="Amiri" w:hAnsi="Amiri" w:eastAsia="Amiri" w:cs="Amiri"/>
          <w:color w:val="111111"/>
          <w:sz w:val="28"/>
          <w:sz w:val="28"/>
          <w:szCs w:val="28"/>
          <w:rtl w:val="true"/>
          <w:lang w:bidi="ar-SA"/>
        </w:rPr>
        <w:t>ما عليه المحقِّق النَّائيني والسَّيِّد الشَّهيد</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حاجة لملاحظة النِّسبة بين الحاكم والمحكوم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اختلف العلمان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الملاحظة، فذهب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عدم المعارضة بين الحاكم والمحكوم هو السَّبب في عدم ملاحظة النِّسبة، وأمَّا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فلمكان النَّظر والمصادرة العقلائيَّة التي ذكرناها في 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ذلك بناء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جريان المزايا المذكورة في الحكومة، وإن كان يضعفه احتمال أنَّ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ناظران إلى ملاحظة النِّسبة الدَّخيلة في قوَّة الظُّهور لا مطلقاً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والصَّحيح ما أفاده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مزايا الحكومة مقارنة بالجمع العرفيّ ليس إلَّا النَّظر والتَّفسير ولسان المسالمة، وهذه المزايا تعرَّفنا على آثارها في الفصول السَّابقة وفي هذا الفصل، وليس من آثارها أنَّ المتكلّم وإن كان من حقِّه أن يبيِّن كلامه بالطَّريقة التي تناسبه، ولكن لا تصل حدود هذه المصادرة إلى الخروج عن القواعد العقلائيَّة والأساليب العرفيَّة في مجال بيان التَّشريعات، فيحتاج لو أراد الخروج </w:t>
      </w:r>
      <w:bookmarkStart w:id="551" w:name="pg10932_87862"/>
    </w:p>
    <w:p>
      <w:pPr>
        <w:pStyle w:val="BookText"/>
        <w:rPr/>
      </w:pPr>
      <w:bookmarkEnd w:id="551"/>
      <w:r>
        <w:rPr>
          <w:rFonts w:ascii="Amiri" w:hAnsi="Amiri" w:eastAsia="Amiri" w:cs="Amiri"/>
          <w:color w:val="111111"/>
          <w:sz w:val="28"/>
          <w:sz w:val="28"/>
          <w:szCs w:val="28"/>
          <w:rtl w:val="true"/>
          <w:lang w:bidi="ar-SA"/>
        </w:rPr>
        <w:t xml:space="preserve">عن الأساليب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ظاهر حاله متابعتها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علامة على ذلك لا تفي بها المصادرة المذكورة ولا النَّظر ولا المسالمة</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3208763_2870459653"/>
      <w:bookmarkStart w:id="553" w:name="_Toc216"/>
      <w:bookmarkEnd w:id="552"/>
      <w:r>
        <w:rPr/>
        <w:t>4</w:t>
      </w:r>
      <w:r>
        <w:rPr>
          <w:rtl w:val="true"/>
        </w:rPr>
        <w:t>. (</w:t>
      </w:r>
      <w:r>
        <w:rPr>
          <w:rtl w:val="true"/>
        </w:rPr>
        <w:t>الحكم الرَّابع</w:t>
      </w:r>
      <w:r>
        <w:rPr>
          <w:rtl w:val="true"/>
        </w:rPr>
        <w:t xml:space="preserve">) </w:t>
      </w:r>
      <w:r>
        <w:rPr>
          <w:rtl w:val="true"/>
        </w:rPr>
        <w:t>في أنَّ الأدلّة يمكن أن تصنَّف بأحد الاعتبارات إلى أدلّة لفظيَّة أو لبِّية شرعيَّة كالإجماع والشهرة، أو لبِّية عقلائيَّة كالسِّيرة والارتكاز، أو أدلّة عقليَّة</w:t>
      </w:r>
      <w:bookmarkEnd w:id="553"/>
    </w:p>
    <w:p>
      <w:pPr>
        <w:pStyle w:val="Heading6"/>
        <w:numPr>
          <w:ilvl w:val="5"/>
          <w:numId w:val="1"/>
        </w:numPr>
        <w:rPr/>
      </w:pPr>
      <w:bookmarkStart w:id="554" w:name="__RefHeading___Toc3208765_2870459653"/>
      <w:bookmarkStart w:id="555" w:name="_Toc217"/>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ولا محذور في أن يكون الخاصُّ أيَّاً من الأنحاء المذكورة، وكذلك العامُّ الَّذي يراد تخصيصه إلَّا في حال كونه حكماً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وسرُّه</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يرجع إلى أنَّ مقام الإثبات والمراد الاستعماليّ للدليل العامِّ أوسع من مقام ثبوته، وهذا يستدعي أن يكون مقام الإثبات مغايراً لمقام الثُّبوت، ومثل هكذا تغاير وتعدُّد لا معنى له في الأحكام العقليَّة، وإنَّما يندكُّ أحدهما في الآخر؛ لأنَّ حقيقة الأحكام العقليَّة حضورها بحدودها عند العقل</w:t>
      </w:r>
      <w:r>
        <w:rPr>
          <w:rStyle w:val="FootnoteAnchor"/>
          <w:rtl w:val="true"/>
        </w:rPr>
        <w:footnoteReference w:id="373"/>
      </w:r>
      <w:r>
        <w:rPr>
          <w:rFonts w:ascii="Amiri" w:hAnsi="Amiri" w:eastAsia="Amiri" w:cs="Amiri"/>
          <w:color w:val="111111"/>
          <w:sz w:val="28"/>
          <w:sz w:val="28"/>
          <w:szCs w:val="28"/>
          <w:rtl w:val="true"/>
          <w:lang w:bidi="ar-SA"/>
        </w:rPr>
        <w:t>، أمَّا من جهة محمول تلك الأحكام فلأنَّه حكم عقليّ، وأمَّا من جهة موضوعها فإنَّه بمثابة العلَّة التَّامَّة للحكم العقليِّ، فإذا نقصت بعض حدودها صارت علَّة ناقصة، فلا حكم عقليّ، والمفروض أنَّ هناك حكماً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عقليَّاً آخر فيما إذا كان عقليَّاً اقتضائيَّاً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تصوير مرحلتين في الأحكام العقليَّة كما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بعض الظُّنون الخاصَّة قبل صدور دليل اعتبارها لا تعدُّ بياناً، فهنا تحصل مرحلة، ثُمَّ بعد صدور دليل الاعتبار تكون مرحلة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التَّعدُّد أنَّها أضيق من المرحلة الأولى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التَّفكيك كلُّه في دائرة العقل، وهو مسلَّط على المرحلتين، ويحصل </w:t>
      </w:r>
    </w:p>
    <w:p>
      <w:pPr>
        <w:pStyle w:val="BookText"/>
        <w:rPr/>
      </w:pPr>
      <w:r>
        <w:rPr>
          <w:rFonts w:ascii="IRNazanin" w:hAnsi="IRNazanin" w:eastAsia="IRNazanin"/>
          <w:color w:val="111111"/>
          <w:sz w:val="28"/>
          <w:sz w:val="28"/>
          <w:szCs w:val="28"/>
          <w:rtl w:val="true"/>
          <w:lang w:bidi="fa-IR"/>
        </w:rPr>
        <w:t>منها إدراك واحد وهو الواقع، فهي أشبه بمقدِّمات القياس المنطقيّ التي يرتّبها الذِّهن، فلا يقال إنَّهما مرحلتان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مقصود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العقل حينما يدرك أنَّ العامّ جميعه ليس بمراد، ومقام الإثبات أوسع من مقام الثُّبوت فهو يدرك الواقع بصورته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يُنقض على ما ذُكر بالأحكام العقلائيَّة؛ فإنَّ موطنها العقل بجنبته العقلائيَّة، فهو محيط بمراحلها فلا يكون مقام إثباتها مغايراً لمقام ثبوتها، ومع ذلك لا خلاف بين الأعلام في أنَّ الأحكام العقلائيَّة تُخصَّص من خلال ردع الشَّارع عن بعض حدودها، فما الفارق من الجهة المبحوثة لنا بين الموردين؟ويبدو أنَّ الفارق بينهما هو ما ذكرناه آنفاً من أنَّ موضوعات الأحكام العقليَّة بمثابة العلَّة التَّامَّة للإدراك العقليِّ، وهذا بخلاف موضوعات الأحكام العقلائيَّة حيث إنَّها لا تكون علَّة تامَّة لها؛ لأنَّها تكون مبنيَّة على رعاية ملاكات مقدَّرة من قبل العقلاء حسب مؤونة نفسيَّة وخارجيَّة يقدرونها</w:t>
      </w:r>
      <w:r>
        <w:rPr>
          <w:rStyle w:val="FootnoteAnchor"/>
          <w:rtl w:val="true"/>
        </w:rPr>
        <w:footnoteReference w:id="375"/>
      </w:r>
      <w:r>
        <w:rPr>
          <w:rFonts w:ascii="Amiri" w:hAnsi="Amiri" w:eastAsia="Amiri" w:cs="Amiri"/>
          <w:color w:val="111111"/>
          <w:sz w:val="28"/>
          <w:sz w:val="28"/>
          <w:szCs w:val="28"/>
          <w:rtl w:val="true"/>
          <w:lang w:bidi="ar-SA"/>
        </w:rPr>
        <w:t>، وعلى هذا يكون وجود مقامين إثباتيٍّ وثبوتيٍّ متفرِّعاً على هذه 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مزيد تدقيق نوكله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الجمع العرفيّ، وهل يشمل هذا التَّصنيف أدلّة الحكومة؟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بين الأعلام في تحقُّق الحكومة التَّضييقيَّة فيما إذا كان الحاكم والمحكوم كلاهما دليلاً لفظيَّاً، وكذلك لا خلاف في عدم تحقُّقها في الأدلّة العقليَّة حاكماً ومحكوماً، وإنَّما الخلاف في تحقُّقها في الأدلّة اللّبّيَّة، فالبعض ذهب إلى أنَّه لا حكومة في اللّبّيَّات</w:t>
      </w:r>
      <w:r>
        <w:rPr>
          <w:rStyle w:val="FootnoteAnchor"/>
          <w:rtl w:val="true"/>
        </w:rPr>
        <w:footnoteReference w:id="376"/>
      </w:r>
      <w:r>
        <w:rPr>
          <w:rFonts w:ascii="IRNazanin" w:hAnsi="IRNazanin" w:eastAsia="IRNazanin"/>
          <w:color w:val="111111"/>
          <w:sz w:val="28"/>
          <w:sz w:val="28"/>
          <w:szCs w:val="28"/>
          <w:rtl w:val="true"/>
          <w:lang w:bidi="fa-IR"/>
        </w:rPr>
        <w:t xml:space="preserve">، </w:t>
      </w:r>
      <w:bookmarkStart w:id="556" w:name="pg10932_87864"/>
    </w:p>
    <w:p>
      <w:pPr>
        <w:pStyle w:val="BookText"/>
        <w:rPr/>
      </w:pPr>
      <w:bookmarkEnd w:id="556"/>
      <w:r>
        <w:rPr>
          <w:rFonts w:ascii="Amiri" w:hAnsi="Amiri" w:eastAsia="Amiri" w:cs="Amiri"/>
          <w:color w:val="111111"/>
          <w:sz w:val="28"/>
          <w:sz w:val="28"/>
          <w:szCs w:val="28"/>
          <w:rtl w:val="true"/>
          <w:lang w:bidi="ar-SA"/>
        </w:rPr>
        <w:t xml:space="preserve">وفي مقابل ذلك 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إلى تأتّي الحكومة في اللّبّيَّات، وظاهره مطلق اللّبّيَّات شرعيَّة كانت أو عقلائيَّة، في حين أنَّ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العالی</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فصَّل بين اللّبّيَّات العقلائيَّة فبنى على تأتّي الحكومة فيها دون الأدلّة اللّبّيَّة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نوقعه في موضعين</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3208767_2870459653"/>
      <w:bookmarkStart w:id="558" w:name="_Toc218"/>
      <w:bookmarkEnd w:id="557"/>
      <w:r>
        <w:rPr>
          <w:rtl w:val="true"/>
        </w:rPr>
        <w:t>الموضع الأوَّل</w:t>
      </w:r>
      <w:bookmarkEnd w:id="558"/>
    </w:p>
    <w:p>
      <w:pPr>
        <w:pStyle w:val="BookText"/>
        <w:rPr/>
      </w:pPr>
      <w:r>
        <w:rPr>
          <w:rFonts w:ascii="Amiri" w:hAnsi="Amiri" w:eastAsia="Amiri" w:cs="Amiri"/>
          <w:color w:val="111111"/>
          <w:sz w:val="28"/>
          <w:sz w:val="28"/>
          <w:szCs w:val="28"/>
          <w:rtl w:val="true"/>
          <w:lang w:bidi="ar-SA"/>
        </w:rPr>
        <w:t>في الأدلّة التي تذكر لبيان أنَّه لا يصحُّ أن يكون الدَّليل الحاكم ولا الدَّليل المحكوم من قبيل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على عدم صحَّة كون الحاكم دليلاً عقليَّاً بما أفاده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من أنَّ الحكومة ليست إلَّا النَّظر الَّذي هو من شؤون الأدلّة اللفظيَّة وخصائصها، سواء أكان نظراً تفسيريَّاً أم تنزيليَّاً أم بمناسبات الحكم والموضوع؛ فإنَّ التَّفسير أُسلوب من أساليب التَّعبير والتَّنزيل لا واقع له إلَّا في عالم التَّعبير، ومناسبات الحكم والموضوع وإن كانت عقلائيَّة 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قد يقال بتأتّي الحكومة في الأدلّة اللّبّیَّة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تُنشئ ظهوراً في الدَّليل اللفظيِّ، فيصبح ذاك الظهور حجَّة، وليست هي حجَّة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لولا مساواته بين النَّظر والتَّنزيل من جهة، والأدلّة اللفظيَّة من جهة أُخرى كما سيأتي في الموضع الآخر، فإنَّ النَّظر والتَّنزيل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إعطاء حدِّ شيء لشيء آخر، أو سلب حدِّه عنه والَّذي يحصل بالكناية والاستعارة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لهما في الأدلّة العقليَّة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لعدم تأتّي كون الحاكم دليلاً عقليَّاًَ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عدم صحَّة كون المحكوم دليلاً عقليَّاً فأيضاً أفاد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الحكومة إنَّما تتصوَّر بلحاظ أحكام مشرِّع واحد، بأن يحكِّم دليل تشريع من تشريعاته على دليل تشريعه الآخر، ولا تتصوَّر بين أدلّة أحكام مشرِّع بالنسبة لأحكام العقل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اعتبره أحد الشَّرائط العامَّة للتَّعارض غير المستقرِّ</w:t>
      </w:r>
      <w:r>
        <w:rPr>
          <w:rStyle w:val="FootnoteAnchor"/>
          <w:rtl w:val="true"/>
        </w:rPr>
        <w:footnoteReference w:id="381"/>
      </w:r>
      <w:r>
        <w:rPr>
          <w:rFonts w:ascii="Amiri" w:hAnsi="Amiri" w:eastAsia="Amiri" w:cs="Amiri"/>
          <w:color w:val="111111"/>
          <w:sz w:val="28"/>
          <w:sz w:val="28"/>
          <w:szCs w:val="28"/>
          <w:rtl w:val="true"/>
          <w:lang w:bidi="ar-SA"/>
        </w:rPr>
        <w:t xml:space="preserve">، حيث اعتبره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العرفيّ والحكومة والورود فيما إذا كان بلحاظ الجنبة الإنشائيَّة للدليل الوارد دون ما إذا كان بلحاظ جنبته الإخباريَّة</w:t>
      </w:r>
      <w:r>
        <w:rPr>
          <w:rStyle w:val="FootnoteAnchor"/>
          <w:rtl w:val="true"/>
        </w:rPr>
        <w:footnoteReference w:id="382"/>
      </w:r>
      <w:r>
        <w:rPr>
          <w:rFonts w:ascii="IRNazanin" w:hAnsi="IRNazanin" w:eastAsia="IRNazanin"/>
          <w:color w:val="111111"/>
          <w:sz w:val="28"/>
          <w:sz w:val="28"/>
          <w:szCs w:val="28"/>
          <w:rtl w:val="true"/>
          <w:lang w:bidi="fa-IR"/>
        </w:rPr>
        <w:t xml:space="preserve">، والدَّليل على اعتبار هذا الشَّرط في الحكومة هو أنَّ الجمع بها مبنيٌ على الإعداد الشَّخصيّ للدليل الحاكم كي يكون قرينة على تفسير المراد من الدليل المحكوم، ولا يَعلم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يضيِّقه أو يوسِّعه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صدر منه، وهذا يعني أنَّه لا بدَّ من وحدة مصدر الدَّليلين، أو كان بحكم الواحد، كما هو الحال مع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الشَّرط على تقدير صحَّته ينبغي عليه أن يجيب عن تخصيص الأدلّة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وتحديد تشريعات مشرِّع من قبل مشرِّع آخر، كما حصل بين المشرِّع الإسلاميِّ والمشرِّع الجاهليِّ، وبيان فرقها عن الأدلّة العقليَّة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إمضاء الأدلّة العقلائيَّة وإضفاء الحجِّيَّة عليها يصيّرها كأنَّها </w:t>
      </w:r>
    </w:p>
    <w:p>
      <w:pPr>
        <w:pStyle w:val="BookText"/>
        <w:rPr/>
      </w:pPr>
      <w:r>
        <w:rPr>
          <w:rFonts w:ascii="Amiri" w:hAnsi="Amiri" w:eastAsia="Amiri" w:cs="Amiri"/>
          <w:color w:val="111111"/>
          <w:sz w:val="28"/>
          <w:sz w:val="28"/>
          <w:szCs w:val="28"/>
          <w:rtl w:val="true"/>
          <w:lang w:bidi="ar-SA"/>
        </w:rPr>
        <w:t>من تشريعاته، ومثله يجري في تشريعات مشرِّع آخر، وهذا بخلافه في الأدلّة العقليَّة لمكان كونها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يمكن بذل عناية تكون بموجبها الأدلّة العقليَّة القطعيَّة كأنَّها صدرت من نفس المشرِّع الَّذي صدر منه الدَّليل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بالبناء على بعض المباني في حقيقة أحكام العقل العمليِّ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ذهب إليه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أنَّها قوانين فطريَّة أودعها الله تعالى في باطن الإنسان يدركها من خلال قوَّة خاصَّة تسمَّى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الضَّمير والوجدان</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 وبالتالي فهي أمور جعليَّة مقنَّنة جُهِّز بها الإنسان في داخله، وبهذا يكون المشرِّع هو المكوِّن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على أساس قبولها من قبل المتكلّم كما هو ظاهر حاله والاتكاء عليها في مقام بيان مقاصده، ولذا لا يعتبر المشرِّع في هذه الموارد مؤسِّساً، وإنَّما يُحمل كلامه على الإرشاد إليها، وهذا المقدار يكفي لصيرورة المشرِّع بحكم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لأنَّ الأحكام الشَّرعيَّة إنَّما جاءت للكشف عن الأحكام العقليَّة التي لا يستطيع أن يصل إليها العقل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الأحكام الشَّرعيَّة ألطافٌ في الأحكام العقليَّة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يُتأمّل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صار الحكم العقليّ بالإرشاد ونحوه لنفس المشرّع لأمكن أن يتصرّف فيه، فيجعله في هذا المورد وينفيه عن ذاك المورد، وواضح أنّ هذا لا يتأتّى في الأحكام العقليّة؛ لأنّ الجعل والاعتبار لا يُعقل إلّا فيما يقبله، 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بالإرشاد ونحوه لا يصبح بمثابة أنّه من تشريعاته، أو أنّه يصبح من تشريعاته ولكن في مثله لا يتأتّى الجعل والاعتبار، فيكون استثناءً للمقالة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559" w:name="pg10932_87867"/>
    </w:p>
    <w:p>
      <w:pPr>
        <w:pStyle w:val="BookText"/>
        <w:rPr/>
      </w:pPr>
      <w:bookmarkEnd w:id="559"/>
      <w:r>
        <w:rPr>
          <w:rFonts w:ascii="Amiri" w:hAnsi="Amiri" w:eastAsia="Amiri" w:cs="Amiri"/>
          <w:color w:val="111111"/>
          <w:sz w:val="28"/>
          <w:sz w:val="28"/>
          <w:szCs w:val="28"/>
          <w:rtl w:val="true"/>
          <w:lang w:bidi="ar-SA"/>
        </w:rPr>
        <w:t>الجعل والاعتبار لا يتعلّق إلّا فيما يقبل الجعل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الفرق بين الأحكام العقليّة والأحكام العقلائيّة فإنّه في العقلائيّة يتأتّى الجعل والاعتبار لأنّها من الأصل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وجه عدم جواز أن يكون المحكوم دليلاً عقليَّاً هو عين ما ذكرناه في امتناع التَّخصيص في الأحكام العقليَّة؛ باعتبار وحدة المناط بين الحكومة والتَّخصيص بلحاظ مقام الثُّبوت</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3208769_2870459653"/>
      <w:bookmarkStart w:id="561" w:name="_Toc219"/>
      <w:bookmarkEnd w:id="560"/>
      <w:r>
        <w:rPr>
          <w:rtl w:val="true"/>
        </w:rPr>
        <w:t>الموضع الثَّاني</w:t>
      </w:r>
      <w:bookmarkEnd w:id="561"/>
    </w:p>
    <w:p>
      <w:pPr>
        <w:pStyle w:val="BookText"/>
        <w:rPr/>
      </w:pPr>
      <w:r>
        <w:rPr>
          <w:rFonts w:ascii="IRNazanin" w:hAnsi="IRNazanin" w:eastAsia="IRNazanin"/>
          <w:color w:val="111111"/>
          <w:sz w:val="28"/>
          <w:sz w:val="28"/>
          <w:szCs w:val="28"/>
          <w:rtl w:val="true"/>
          <w:lang w:bidi="fa-IR"/>
        </w:rPr>
        <w:t>في إمكان أن يكون الحاكم والمحكوم من الأدلّة اللّبّیَّة وعدم إمكان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لعدم إمكان كون الحاكم دليلاً لُّبِّياً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بتحديد النَّظر بأنَّه مدلول لفظيّ، وأنَّ الدَّوالّ على النَّظر جميعها من قبيل الألفاظ، والحال أنَّ الأدلّة اللّبّیَّة من مقولة المعنى لا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الشَّرح والتَّفسير والنَّظر لا يعقل في غير الألفاظ</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المنظور في الأدلّة اللّبّیَّة هو واقع الحكم، من دون أن يكون ذات لسان صالح للشَّرح والبيان بالإضافة إلى الأدلّة الأُخر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 ما ذكر في أوَّل هذا البيان بأنَّ ضابط الحكومة ليس إلَّا النَّظر، وهو لا يقتضي أن يكون مدلولاً لفظيَّاً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ذكر في أوسطه وذيله فيدفع</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بأنَّ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أهمُّ الدَّوالّ على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مقولة المعنى لا اللفظ، وذلك لأنَّه أمر اعتباريّ وفعَّاليَّة ذهنيَّة تخيُّليَّة محتواها إعطاء الذِّهن حدَّ شيءٍ لشيءٍ آخر، أو سلب حدِّه عنه، ودور اللّفظ فيه أنَّه مبرز لتلك الفعَّاليَّة وذاك الاعتبار،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ثانية أنَّ جري العقلاء خارجاً بما هم عقلاء إنَّما يكون على أساس بناء وارتكاز وفكرة ذهنيَّة تكون بمثابة العلَّة لذاك الجري، بتعبير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الجري الخارجيّ إلى بنائهم إنَّما هي كنسبة الوفاء بنذورهم وعهودهم في كونه إطاعة لبنائهم، وفي مرتبة متأخّرة عن بنائهم، ويكون ذاك الجري مبرِزاً لذلك البناء الذهنيِّ، وكاشفاً عن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 أنَّ هذا البناء والفكرة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أنَّه أمرٌ اعتباريٌّ دائماً، كما يرى السَّيِّد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 قد يكون اعتباريَّاً، وقد يكون أمراً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رابعة أنَّ الأمر الاعتباريَّ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تنزيل دائماً؛ لمساوقة الاعتبار للتَّنزيل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 أعمُّ من التَّنزيل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مانع من أن يكون البناء الذهنيُّ المتقدِّم على الجري العمليِّ من قبيل التَّنزيل،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دليل حجيَّة خبر الثَّقة بناء العقلاء مع عدم الرَّدع فيمكن أن يكون مضمون ذاك البناء هو أنَّ العقلاء يعتبرون العمل على خبر الثَّقة علماً، وينزِّلونه </w:t>
      </w:r>
      <w:bookmarkStart w:id="562" w:name="pg10932_87869"/>
    </w:p>
    <w:p>
      <w:pPr>
        <w:pStyle w:val="BookText"/>
        <w:rPr/>
      </w:pPr>
      <w:bookmarkEnd w:id="562"/>
      <w:r>
        <w:rPr>
          <w:rFonts w:ascii="Amiri" w:hAnsi="Amiri" w:eastAsia="Amiri" w:cs="Amiri"/>
          <w:color w:val="111111"/>
          <w:sz w:val="28"/>
          <w:sz w:val="28"/>
          <w:szCs w:val="28"/>
          <w:rtl w:val="true"/>
          <w:lang w:bidi="ar-SA"/>
        </w:rPr>
        <w:t>منزلته وإن كانوا يرون أنّ خبر الثَّقة ليس علماً؛ إذ العلم عبارة عن الانكشاف بنسبة المائة في المائة وعدم احتمال النَّقيض، وخبر الثَّقة ليس كذلك، إلَّا أنَّه مع ذلك يمكن أن يعتبروه علماً لمصالح يقدِّرونها، ويجرون على وفقه، وهذا الجري على وفقه مبرِزٌ لاعتبارهم، ولا يعتبر في الاعتباريَّات أن يكون مبرِزه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أن يكون الحاكم ممَّا بنى عليه العقلاء، ولا يعمُّ تمام أنحاء الأدلّة اللّبّیَّة، بل خصوص العقلائيَّة منها، فلا يتأتّى أن يكون الحاكم إجماعاً أو شهرة وإن صحَّ أن يكون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إمكان كون المحكوم دليلاً لُّبِّياًَ فيستدلّ له بما أفاده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من أنَّ الأدلّة اللّبّیَّة قطعيَّة المضمون بنحو لا تقبل البيان والتَّفسير، وكذلك الحال في الأدلّة اللفظيَّة القطعيَّة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اللّبّیَّة على تقدير أنَّها قطعيَّة المضمون فهي في أصلها لا في حدودها، ولذا جاز تخصيص سيرة العقلاء بالرَّدع عن بعض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القطعيَّ المضمون والدِّلالة لا يتأتّى فيه التَّخصيص كما مضى، ولكن لا مانع من تخصيصه بلسان الحكومة المسالم لقوَّة الدِّلالة والمضمون، وذلك لأنَّه يكون بلسان نفي الموضوع، فيكون نفي الحكم قهريَّاً من باب انتفاء موضوعه</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3208771_2870459653"/>
      <w:bookmarkStart w:id="564" w:name="_Toc220"/>
      <w:bookmarkEnd w:id="563"/>
      <w:r>
        <w:rPr>
          <w:rtl w:val="true"/>
        </w:rPr>
        <w:t>الجهة الثانية</w:t>
      </w:r>
      <w:r>
        <w:rPr>
          <w:rtl w:val="true"/>
        </w:rPr>
        <w:t xml:space="preserve">: </w:t>
      </w:r>
      <w:r>
        <w:rPr>
          <w:rtl w:val="true"/>
        </w:rPr>
        <w:t>في الحكومة والورود</w:t>
      </w:r>
      <w:bookmarkEnd w:id="564"/>
    </w:p>
    <w:p>
      <w:pPr>
        <w:pStyle w:val="Heading5"/>
        <w:numPr>
          <w:ilvl w:val="4"/>
          <w:numId w:val="1"/>
        </w:numPr>
        <w:rPr/>
      </w:pPr>
      <w:bookmarkStart w:id="565" w:name="__RefHeading___Toc3208773_2870459653"/>
      <w:bookmarkStart w:id="566" w:name="_Toc221"/>
      <w:bookmarkEnd w:id="565"/>
      <w:r>
        <w:rPr>
          <w:rtl w:val="true"/>
        </w:rPr>
        <w:t>اشارة</w:t>
      </w:r>
      <w:bookmarkEnd w:id="56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والورود هو تصرُّف أحد الدَّليلين في موضوع الدليل الآخر تصرُّفاً حقيقيَّاً بتوسُّط </w:t>
      </w:r>
      <w:bookmarkStart w:id="567" w:name="pg10932_87870"/>
    </w:p>
    <w:p>
      <w:pPr>
        <w:pStyle w:val="BookText"/>
        <w:rPr/>
      </w:pPr>
      <w:bookmarkEnd w:id="567"/>
      <w:r>
        <w:rPr>
          <w:rFonts w:ascii="Amiri" w:hAnsi="Amiri" w:eastAsia="Amiri" w:cs="Amiri"/>
          <w:color w:val="111111"/>
          <w:sz w:val="28"/>
          <w:sz w:val="28"/>
          <w:szCs w:val="28"/>
          <w:rtl w:val="true"/>
          <w:lang w:bidi="ar-SA"/>
        </w:rPr>
        <w:t>التَّعبُّد، فيقال للمتصرِّف وارد، وللمتصرَّف فيه 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ويفترق عن الحكومة في أنَّ التَّصرُّف في الأخيرة اعتباريٌّ وحكميٌّ، في حين أنَّه في الورود حقيقيٌّ وموضوعيٌّ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والورود والحكومة قد يكونان على سبيل التَّضييق، وقد يكونان على سبيل التَّوسعة، ومن ثَمَّ يقع الكلام مختصراً في جانبين</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3208775_2870459653"/>
      <w:bookmarkStart w:id="569" w:name="_Toc222"/>
      <w:bookmarkEnd w:id="568"/>
      <w:r>
        <w:rPr>
          <w:rtl w:val="true"/>
        </w:rPr>
        <w:t>الجانب الأوَّل</w:t>
      </w:r>
      <w:r>
        <w:rPr>
          <w:rtl w:val="true"/>
        </w:rPr>
        <w:t xml:space="preserve">: </w:t>
      </w:r>
      <w:r>
        <w:rPr>
          <w:rtl w:val="true"/>
        </w:rPr>
        <w:t>الحكومة والورود على سبيل التَّضييق</w:t>
      </w:r>
      <w:bookmarkEnd w:id="569"/>
    </w:p>
    <w:p>
      <w:pPr>
        <w:pStyle w:val="BookText"/>
        <w:rPr/>
      </w:pPr>
      <w:r>
        <w:rPr>
          <w:rFonts w:ascii="Amiri" w:hAnsi="Amiri" w:eastAsia="Amiri" w:cs="Amiri"/>
          <w:color w:val="111111"/>
          <w:sz w:val="28"/>
          <w:sz w:val="28"/>
          <w:szCs w:val="28"/>
          <w:rtl w:val="true"/>
          <w:lang w:bidi="ar-SA"/>
        </w:rPr>
        <w:t>ولنستعرض بعض ما يفترقان به في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 التَّضييقيَّة بحسب المراد الجديّ هي نفي للحكم عن موضوعه، وأمَّا المراد الجديّ في الورود التَّضييقيِّ فهو إخراج أحد أفراد الموضوع من تحته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قهراً يستتبع نفي حكم الدَّليل المورود عن هذا الفرد الخارج من جهة انتفاء الحكم بانتفاء موضوعه، ولكنّ هذا ليس مراداً جدّيّاً للورود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الحكومة التَّضييقيَّة يوجد تنافٍ بين مدلولي الحاكم والمحكوم، في حين أنَّه لا تنافي بين الدَّليل الوارد والمورود بحسب مدلوليهما، ووجهه عين ما حكيناه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لإثبات عدم التَّنافي بين الحاكم والمحكوم، وهو تامٌّ في الورود وإن لم يكن كذلك في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يتحقَّق التَّنافي بين الحكمين في الورود، وهو بمعنى عدم إمكان الاجتماع في مرتبة متأخِّرة عن مدلول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مرتبة فعليَّة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ومدلول أو فعليَّة أو وصول أو تنجُّز أو امتثال الدَّليل الوارد من جهة أُخرى، ففي هذه المرحلة يتقدَّم الوارد على المورود كما 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الورود يتأتّى في الموضوع الاعتباريِّ، فإذا كان تكوينيَّاً لا بدَّ أن يكون أحد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بلحاظه سيكون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اعتباريَّاً؛ لأنَّه هو الَّذي يقبل النَّفي الحقيقيَّ من </w:t>
      </w:r>
    </w:p>
    <w:p>
      <w:pPr>
        <w:pStyle w:val="BookText"/>
        <w:rPr/>
      </w:pPr>
      <w:r>
        <w:rPr>
          <w:rFonts w:ascii="Amiri" w:hAnsi="Amiri" w:eastAsia="Amiri" w:cs="Amiri"/>
          <w:color w:val="111111"/>
          <w:sz w:val="28"/>
          <w:sz w:val="28"/>
          <w:szCs w:val="28"/>
          <w:rtl w:val="true"/>
          <w:lang w:bidi="ar-SA"/>
        </w:rPr>
        <w:t>خلال الاعتبار والتَّعبُّد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موضوع الحكومة فهل يشترط أن يكون أمراً تكوينيَّاً من جهة أنَّه لو كان أمراً اعتباريَّاً فإنّه بمجرَّد الاعتبار يرتفع حقيقة، ويكون على سبيل الورود، ويتحقَّق الغرض المرجو من الحكومة حيث يكون النفي للحكم بلسان نفي موضوعه، إذ سينتفي الحكم قهراً أو لا يُشترط ذلك؟</w:t>
      </w:r>
    </w:p>
    <w:p>
      <w:pPr>
        <w:pStyle w:val="BookText"/>
        <w:rPr/>
      </w:pPr>
      <w:r>
        <w:rPr>
          <w:rFonts w:ascii="Amiri" w:hAnsi="Amiri" w:eastAsia="Amiri" w:cs="Amiri"/>
          <w:color w:val="111111"/>
          <w:sz w:val="28"/>
          <w:sz w:val="28"/>
          <w:szCs w:val="28"/>
          <w:rtl w:val="true"/>
          <w:lang w:bidi="ar-SA"/>
        </w:rPr>
        <w:t>والصَّحيح أنَّه لا يشترط ذلك فيجوز أيٌّ منهما؛ لأنَّ الاعتبار أمرٌ اختياريٌّ للمعتبِر، فقد يريد نفي بعض أحكام ذاك الموضوع عن هذا الفرد لا جميعها، ومثل هذا لا يحصل بالنَّفي الحقيقيِّ؛ إذ يستلزم نفي تمام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بنينا على أنَّ قسماً من موضوعات الأحكام من قبيل الماهيَّات الاعتباريَّة فإنَّه يكون تطبيقها على مواردها إنَّما هو باعتبارٍ خاصٍّ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متمِّم الجعل التَّطبيقيِّ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أنَّه ليس كلّ اعتبار يؤدِّي إلى الارتفاع أو الثُّبوت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الورود يتأتّى في تمام الأدلّة ما عدا ما إذا كان الدليل الوارد قطعيّ فإنّه لا يكون عندئذ مجال للتعبّد، والحال أنّ الورود رفع حقيقيّ للموضوع بتوسّط التعبّد، فيمكن أن يكون الدَّليل الوارد أو المورود حكماً عقليَّاً، بخلاف الحال في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بدَّ أن يكون ذا فردين حقيقيٍّ واعتباريٍّ حتَّى يتأتّى نفيه بالاعتبار؛ وذلك لأنَّ الورود التَّضييقيَّ غير متقوِّم بعدم تطابق مقام الإثبات مع مقام الثُّبوت كما هو الحال في الحكومة، بل متقوِّم بإخراج بعض الأفراد موضوعيَّاً بمؤونة التَّعبُّد، هذا على بيان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على ما احتملناه فيمكن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يلزم في الورود التَّفكيك بين العلَّة ومعلولها، أي بين الموضوع وحكمه المذكور في الدَّليل المورود؛ لأنَّه على الفرض</w:t>
      </w:r>
      <w:bookmarkStart w:id="570" w:name="pg10932_87872"/>
    </w:p>
    <w:p>
      <w:pPr>
        <w:pStyle w:val="BookText"/>
        <w:rPr/>
      </w:pPr>
      <w:bookmarkEnd w:id="570"/>
      <w:r>
        <w:rPr>
          <w:rFonts w:ascii="Amiri" w:hAnsi="Amiri" w:eastAsia="Amiri" w:cs="Amiri"/>
          <w:color w:val="111111"/>
          <w:sz w:val="28"/>
          <w:sz w:val="28"/>
          <w:szCs w:val="28"/>
          <w:rtl w:val="true"/>
          <w:lang w:bidi="ar-SA"/>
        </w:rPr>
        <w:t>خروجٌ حقيقيٌّ من تحت ذاك الموضوع</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3208777_2870459653"/>
      <w:bookmarkStart w:id="572" w:name="_Toc223"/>
      <w:bookmarkEnd w:id="571"/>
      <w:r>
        <w:rPr>
          <w:rtl w:val="true"/>
        </w:rPr>
        <w:t>الجانب الثَّاني</w:t>
      </w:r>
      <w:r>
        <w:rPr>
          <w:rtl w:val="true"/>
        </w:rPr>
        <w:t xml:space="preserve">: </w:t>
      </w:r>
      <w:r>
        <w:rPr>
          <w:rtl w:val="true"/>
        </w:rPr>
        <w:t>الحكومة والورود على سبيل التَّوسعة</w:t>
      </w:r>
      <w:bookmarkEnd w:id="572"/>
    </w:p>
    <w:p>
      <w:pPr>
        <w:pStyle w:val="BookText"/>
        <w:rPr/>
      </w:pPr>
      <w:r>
        <w:rPr>
          <w:rFonts w:ascii="Amiri" w:hAnsi="Amiri" w:eastAsia="Amiri" w:cs="Amiri"/>
          <w:color w:val="111111"/>
          <w:sz w:val="28"/>
          <w:sz w:val="28"/>
          <w:szCs w:val="28"/>
          <w:rtl w:val="true"/>
          <w:lang w:bidi="ar-SA"/>
        </w:rPr>
        <w:t>وأيضاً نستعرض بعض ما يفترقان به في نقطتين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 على سبيل التَّوسعة بحسب المراد الجدّيّ هي جعل لحكم جديد مسانخ للحكم الَّذي يتضمَّنه الدليل المحكوم بلسان جعل الموضوع فيما إذا كانت بملاك النَّظر إلى عقد الوضع كما سبق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المراد الجدّيّ للورود على سبيل التَّوسعة فهو توسعة الموضوع، وذلك بإضافة فرد جديد لموضوع الدَّليل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قهراً يستتبعه ثبوت حكم الدليل المورود لذاك الفرد من جهة ثبوت الحكم بثبوت موضوعه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الورود على سبيل التَّوسعة حاله حال الورود على سبيل التَّضييق من جهة أنحاء الأدلّة التي تجري فيها، والكلام في أنَّ الحكومة على نحو التَّوسعة فيما إذا كان المحكوم دليلاً عقليَّاً</w:t>
      </w:r>
      <w:r>
        <w:rPr>
          <w:rStyle w:val="FootnoteAnchor"/>
          <w:rtl w:val="true"/>
        </w:rPr>
        <w:footnoteReference w:id="390"/>
      </w:r>
      <w:r>
        <w:rPr>
          <w:rFonts w:ascii="Amiri" w:hAnsi="Amiri" w:eastAsia="Amiri" w:cs="Amiri"/>
          <w:color w:val="111111"/>
          <w:sz w:val="28"/>
          <w:sz w:val="28"/>
          <w:szCs w:val="28"/>
          <w:rtl w:val="true"/>
          <w:lang w:bidi="ar-SA"/>
        </w:rPr>
        <w:t xml:space="preserve">هل تلحق بالورود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إمكان تأتّي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تُلحق بالحكومة التَّضييقيَّة من امتناعها؟</w:t>
      </w:r>
    </w:p>
    <w:p>
      <w:pPr>
        <w:pStyle w:val="BookText"/>
        <w:rPr/>
      </w:pPr>
      <w:r>
        <w:rPr>
          <w:rFonts w:ascii="IRNazanin" w:hAnsi="IRNazanin" w:eastAsia="IRNazanin"/>
          <w:color w:val="111111"/>
          <w:sz w:val="28"/>
          <w:sz w:val="28"/>
          <w:szCs w:val="28"/>
          <w:rtl w:val="true"/>
          <w:lang w:bidi="fa-IR"/>
        </w:rPr>
        <w:t xml:space="preserve">ذهب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391"/>
      </w:r>
      <w:r>
        <w:rPr>
          <w:rFonts w:ascii="Amiri" w:hAnsi="Amiri" w:eastAsia="Amiri" w:cs="Amiri"/>
          <w:color w:val="111111"/>
          <w:sz w:val="28"/>
          <w:sz w:val="28"/>
          <w:szCs w:val="28"/>
          <w:rtl w:val="true"/>
          <w:lang w:bidi="ar-SA"/>
        </w:rPr>
        <w:t>إلى أنَّه يمكن تحقُّق الحكومة على نحو التَّوسعة في بعض موارد كون الدَّليل المحكوم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على نحو التَّوسعة متقوِّمة بركنين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الدَّليل المحكوم خصوص الماهيَّة التكوينيَّة؛ لأنَّه إذا كان أعمَّ من الماهيَّة التكوينيَّة والاعتباريَّة فبمجرَّد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 العادل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الموضوع، ولا تصل النَّوبة إلى جعل الحكم بلسان جعل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المأخوذ في الدليل المحكوم ممَّا تناله يد الجعل الشَّرعيِّ، وأمَّا إذا كان من الأمور التي لا تنالها يد الجعل الشَّرعيِّ فلا يمكن جعل ذلك الحكم بلسان جعل الموضوع والَّذي هو حقيقة الحكومة على نحو التَّوسعة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تحقَّق ركنا الحكومة على سبيل التَّوسعة في الدَّليل العقليِّ فإنَّه تتعقّل الحكومة فيه، وإلَّا فلا، ففي بعض الأحكام العقليَّة قد لا يتحقَّق الرُّكن الثَّاني، كما في حال حكم العقل بأنَّ العلم منجِّز ومعذِّر، والبناء على أنَّ المنجِّزيَّة من الأمور الواقعيَّة التي يدركها العقل، وكان موضوعها العلم الوجدانيَّ فحسب، فإنَّه لا يمكن تأتّي الحكومة على سبيل التَّوسعة ولو اعتبر الشارع المقدَّس الأمارة علماً، فإنَّه لا يترتَّب عليه أثر؛ لأنَّ الأثر هو المنجِّزيَّة، وهي بحسب الفرض أمرٌ واقعيٌّ لا يقبل الجعل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أحكام عقليَّة أُخرى قد يتحقَّق كلا الرُّكنين، كما في حكم العقل باختصاص عامَّة التَّكاليف الإلزاميَّة بالقادر، بمعنى أنَّ التَّكاليف الإلزاميَّة تُجعل بداعي جعل الدَّاعي بالنِّسبة إلى الفعل، أو بداعي جعل الزَّاجر عن الفعل، وهذا إنَّما يتصوَّر في حقِّ مَن هو قادر على إتيان العمل أو الكفِّ عنه، وأمَّا العاجز فجعل الحكم بالنِّسبة إليه غير صحيح، فالعقل يحكم بتضييق دائرة الأدلّة الدَّالّة على التَّكاليف الشَّرعيَّة، فلا تشمل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للشارع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العمل بالنِّسبة إليه حرجيَّاً أعتبره عاجزاً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المضطرَّ إلى فعل عمل أو ترك عمل أعتبره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ممَّا يعني أنَّ للشَّارع المقدَّس التَّوسعة في عنوان العاجز، واعتبار المضطر والمكره وأمثالهما عاجزاً، مع أنَّ المدرَك حكمٌ عقليٌّ، والسِّرُّ في ذلك أنَّ المحمول ممَّا تناله يد الجعل، وهو عنوان العاجز</w:t>
      </w:r>
      <w:r>
        <w:rPr>
          <w:rFonts w:eastAsia="Amiri" w:cs="Amiri" w:ascii="Amiri" w:hAnsi="Amiri"/>
          <w:color w:val="111111"/>
          <w:sz w:val="28"/>
          <w:szCs w:val="28"/>
          <w:rtl w:val="true"/>
          <w:lang w:bidi="ar-SA"/>
        </w:rPr>
        <w:t xml:space="preserve">. </w:t>
      </w:r>
      <w:bookmarkStart w:id="573" w:name="pg10932_87874"/>
    </w:p>
    <w:p>
      <w:pPr>
        <w:pStyle w:val="Heading3"/>
        <w:numPr>
          <w:ilvl w:val="2"/>
          <w:numId w:val="1"/>
        </w:numPr>
        <w:rPr/>
      </w:pPr>
      <w:bookmarkStart w:id="574" w:name="__RefHeading___Toc3208779_2870459653"/>
      <w:bookmarkStart w:id="575" w:name="_Toc224"/>
      <w:bookmarkEnd w:id="573"/>
      <w:bookmarkEnd w:id="574"/>
      <w:r>
        <w:rPr>
          <w:rtl w:val="true"/>
        </w:rPr>
        <w:t>مهم نتائج البحث</w:t>
      </w:r>
      <w:bookmarkEnd w:id="575"/>
    </w:p>
    <w:p>
      <w:pPr>
        <w:pStyle w:val="Heading4"/>
        <w:numPr>
          <w:ilvl w:val="3"/>
          <w:numId w:val="1"/>
        </w:numPr>
        <w:rPr/>
      </w:pPr>
      <w:bookmarkStart w:id="576" w:name="__RefHeading___Toc3208781_2870459653"/>
      <w:bookmarkStart w:id="577" w:name="_Toc225"/>
      <w:bookmarkEnd w:id="576"/>
      <w:r>
        <w:rPr>
          <w:rtl w:val="true"/>
        </w:rPr>
        <w:t>النَّتيجة الأولى</w:t>
      </w:r>
      <w:bookmarkEnd w:id="577"/>
    </w:p>
    <w:p>
      <w:pPr>
        <w:pStyle w:val="Heading5"/>
        <w:numPr>
          <w:ilvl w:val="4"/>
          <w:numId w:val="1"/>
        </w:numPr>
        <w:rPr/>
      </w:pPr>
      <w:bookmarkStart w:id="578" w:name="__RefHeading___Toc3208783_2870459653"/>
      <w:bookmarkStart w:id="579" w:name="_Toc226"/>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اتَّضح من البحث أنَّ في حقيقة الحكومة ثلاثة وجوه، بل أقوال</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3208785_2870459653"/>
      <w:bookmarkStart w:id="581" w:name="_Toc227"/>
      <w:bookmarkEnd w:id="580"/>
      <w:r>
        <w:rPr>
          <w:rtl w:val="true"/>
        </w:rPr>
        <w:t>القول الأوَّل</w:t>
      </w:r>
      <w:bookmarkEnd w:id="581"/>
    </w:p>
    <w:p>
      <w:pPr>
        <w:pStyle w:val="BookText"/>
        <w:rPr/>
      </w:pPr>
      <w:r>
        <w:rPr>
          <w:rFonts w:ascii="Amiri" w:hAnsi="Amiri" w:eastAsia="Amiri" w:cs="Amiri"/>
          <w:color w:val="111111"/>
          <w:sz w:val="28"/>
          <w:sz w:val="28"/>
          <w:szCs w:val="28"/>
          <w:rtl w:val="true"/>
          <w:lang w:bidi="ar-SA"/>
        </w:rPr>
        <w:t>المعروف من أنَّها نظر أحد الدَّليلين إلى الدَّليل الآخر أو حكمه، ومن هنا قسِّمت الحكومة إلى ما يكون الحاكم ناظراً إلى عقد الوضع في الدَّليل المحكوم، وإلى ما يكون ناظراً إلى عقد الحمل والحكم في الدَّليل المحكوم</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3208787_2870459653"/>
      <w:bookmarkStart w:id="583" w:name="_Toc228"/>
      <w:bookmarkEnd w:id="582"/>
      <w:r>
        <w:rPr>
          <w:rtl w:val="true"/>
        </w:rPr>
        <w:t>القول الثَّاني</w:t>
      </w:r>
      <w:bookmarkEnd w:id="583"/>
    </w:p>
    <w:p>
      <w:pPr>
        <w:pStyle w:val="BookText"/>
        <w:rPr/>
      </w:pPr>
      <w:r>
        <w:rPr>
          <w:rFonts w:ascii="Amiri" w:hAnsi="Amiri" w:eastAsia="Amiri" w:cs="Amiri"/>
          <w:color w:val="111111"/>
          <w:sz w:val="28"/>
          <w:sz w:val="28"/>
          <w:szCs w:val="28"/>
          <w:rtl w:val="true"/>
          <w:lang w:bidi="ar-SA"/>
        </w:rPr>
        <w:t>أنَّ حقيقة الحكومة هي أنَّها نظر مسالم من أحد الدَّليلين إلى الآخر، فتكون أخصَّ من القول الأوَّل؛ إذ لا تشمل الحكومة بملاك النَّظر إلى عقد الحمل، لأنَّه لا يكون تسالم في البين، وإنّما تنافٍ وتعارض</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3208789_2870459653"/>
      <w:bookmarkStart w:id="585" w:name="_Toc229"/>
      <w:bookmarkEnd w:id="584"/>
      <w:r>
        <w:rPr>
          <w:rtl w:val="true"/>
        </w:rPr>
        <w:t>القول الثَّالث</w:t>
      </w:r>
      <w:bookmarkEnd w:id="585"/>
    </w:p>
    <w:p>
      <w:pPr>
        <w:pStyle w:val="BookText"/>
        <w:rPr/>
      </w:pPr>
      <w:r>
        <w:rPr>
          <w:rFonts w:ascii="Amiri" w:hAnsi="Amiri" w:eastAsia="Amiri" w:cs="Amiri"/>
          <w:color w:val="111111"/>
          <w:sz w:val="28"/>
          <w:sz w:val="28"/>
          <w:szCs w:val="28"/>
          <w:rtl w:val="true"/>
          <w:lang w:bidi="ar-SA"/>
        </w:rPr>
        <w:t>أنَّ الحكومة منها ما يكون بملاك النَّظر إلى عقد وضع الدَّليل المحكوم، أو عقد حمله كما في القول الأوَّل، ومنها ما يكون بملاك رفع موضوع الدَّليل المحكوم تعبّداً وإن لم يكن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القول الأوَّل</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3208791_2870459653"/>
      <w:bookmarkStart w:id="587" w:name="_Toc230"/>
      <w:bookmarkEnd w:id="586"/>
      <w:r>
        <w:rPr>
          <w:rtl w:val="true"/>
        </w:rPr>
        <w:t>النَّتيجة الثَّانية</w:t>
      </w:r>
      <w:bookmarkEnd w:id="587"/>
    </w:p>
    <w:p>
      <w:pPr>
        <w:pStyle w:val="BookText"/>
        <w:rPr/>
      </w:pPr>
      <w:r>
        <w:rPr>
          <w:rFonts w:ascii="Amiri" w:hAnsi="Amiri" w:eastAsia="Amiri" w:cs="Amiri"/>
          <w:color w:val="111111"/>
          <w:sz w:val="28"/>
          <w:sz w:val="28"/>
          <w:szCs w:val="28"/>
          <w:rtl w:val="true"/>
          <w:lang w:bidi="ar-SA"/>
        </w:rPr>
        <w:t>تبيَّن أنَّ تحديد النَّظر بأنَّه مدلول لفظيٌّ تضمّنيٌّ أوالتزاميٌّ يجعله مختصَّاً بالأدلّة اللَّفظيَّة دون اللّبّیَّة العقلائيَّة، وبحال الاتِّصال دون الانفصال، وبما إذا كان المدلول بيِّناً بالمعنى الأخصِّ، أو على الأكثر بيِّناً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تعقُّل الحكومة في الأدلّة اللّبّیَّة العقلائيَّة كسيرة العقلاء، وتأتّي النَّظر، بل وقوعه بين الأدلّة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النَّظر ممَّا يحتاج إلى تأمُّل ونظر</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3208793_2870459653"/>
      <w:bookmarkStart w:id="589" w:name="_Toc231"/>
      <w:bookmarkEnd w:id="588"/>
      <w:r>
        <w:rPr>
          <w:rtl w:val="true"/>
        </w:rPr>
        <w:t>النَّتيجة الثَّالثة</w:t>
      </w:r>
      <w:bookmarkEnd w:id="58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انكشف من خلال البحث أنَّ المنظور إليه في الدَّليل المحكوم يمكن أن يكون نفس دلالة الدَّليل، بمعنى مدلول الدَّليل من حيث هو مدلول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bookmarkStart w:id="590" w:name="pg10932_87875"/>
    </w:p>
    <w:p>
      <w:pPr>
        <w:pStyle w:val="BookText"/>
        <w:rPr/>
      </w:pPr>
      <w:bookmarkEnd w:id="590"/>
      <w:r>
        <w:rPr>
          <w:rFonts w:ascii="Amiri" w:hAnsi="Amiri" w:eastAsia="Amiri" w:cs="Amiri"/>
          <w:color w:val="111111"/>
          <w:sz w:val="28"/>
          <w:sz w:val="28"/>
          <w:szCs w:val="28"/>
          <w:rtl w:val="true"/>
          <w:lang w:bidi="ar-SA"/>
        </w:rPr>
        <w:t>أن يكون مدلول الدَّليل ولكن لا من حيث إنَّه مدلول له، بل من حيث هو مع قطع النَّظر عن كونه مدلولاً للدليل كما في التَّخصيص والتَّقييد</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3208795_2870459653"/>
      <w:bookmarkStart w:id="592" w:name="_Toc232"/>
      <w:bookmarkEnd w:id="591"/>
      <w:r>
        <w:rPr>
          <w:rtl w:val="true"/>
        </w:rPr>
        <w:t>النَّتيجة الرَّابعة</w:t>
      </w:r>
      <w:bookmarkEnd w:id="592"/>
    </w:p>
    <w:p>
      <w:pPr>
        <w:pStyle w:val="BookText"/>
        <w:rPr/>
      </w:pPr>
      <w:r>
        <w:rPr>
          <w:rFonts w:ascii="Amiri" w:hAnsi="Amiri" w:eastAsia="Amiri" w:cs="Amiri"/>
          <w:color w:val="111111"/>
          <w:sz w:val="28"/>
          <w:sz w:val="28"/>
          <w:szCs w:val="28"/>
          <w:rtl w:val="true"/>
          <w:lang w:bidi="ar-SA"/>
        </w:rPr>
        <w:t>تجلَّى من البحث أنَّ في الحكومة تنافٍ بمعناه الواسع دون التَّنافي المصطلح عليه بالتَّعارض والتَّنافي المستقرَّ، وأنَّ ملاك القرينيَّة والتَّقديم فيها هو خصيصة النَّظر دون الأقوائيَّة</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3208797_2870459653"/>
      <w:bookmarkStart w:id="594" w:name="_Toc233"/>
      <w:bookmarkEnd w:id="593"/>
      <w:r>
        <w:rPr>
          <w:rtl w:val="true"/>
        </w:rPr>
        <w:t>النَّتيجة الخامسة</w:t>
      </w:r>
      <w:bookmarkEnd w:id="594"/>
    </w:p>
    <w:p>
      <w:pPr>
        <w:pStyle w:val="BookText"/>
        <w:rPr/>
      </w:pPr>
      <w:r>
        <w:rPr>
          <w:rFonts w:ascii="Amiri" w:hAnsi="Amiri" w:eastAsia="Amiri" w:cs="Amiri"/>
          <w:color w:val="111111"/>
          <w:sz w:val="28"/>
          <w:sz w:val="28"/>
          <w:szCs w:val="28"/>
          <w:rtl w:val="true"/>
          <w:lang w:bidi="ar-SA"/>
        </w:rPr>
        <w:t>اتَّضح أنَّ الحكومة متقدِّمة رتبة على الجمع العرفيّ والتَّعارض المستقرِّ، ومتأخِّرة عن الورود</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3208799_2870459653"/>
      <w:bookmarkStart w:id="596" w:name="_Toc234"/>
      <w:bookmarkEnd w:id="595"/>
      <w:r>
        <w:rPr>
          <w:rtl w:val="true"/>
        </w:rPr>
        <w:t>النَّتيجة السَّادسة</w:t>
      </w:r>
      <w:bookmarkEnd w:id="596"/>
    </w:p>
    <w:p>
      <w:pPr>
        <w:pStyle w:val="BookText"/>
        <w:rPr/>
      </w:pPr>
      <w:r>
        <w:rPr>
          <w:rFonts w:ascii="Amiri" w:hAnsi="Amiri" w:eastAsia="Amiri" w:cs="Amiri"/>
          <w:color w:val="111111"/>
          <w:sz w:val="28"/>
          <w:sz w:val="28"/>
          <w:szCs w:val="28"/>
          <w:rtl w:val="true"/>
          <w:lang w:bidi="ar-SA"/>
        </w:rPr>
        <w:t>عند مقارنة الحكومة مع الجمع العرفيّ من حيث أحكامها اتَّضح 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دائرة تأثير الحاكم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كالمخصِّص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ظهور الدَّليل المحكوم، ودائرة تأثير الحاكم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كالمخصِّص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حجّيَّة ذاك الظُّهور، لا أنَّ الحاكم المنفصل يؤثِّر في دائرة الظُّهور كالمتَّصل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ويترتَّب على ذلك الاختلاف في حال إجمال الحاكم فيما لو كان الإجمال دائراً بين الأقلِّ والأكثر، فإنَّه في التَّخصيص والتَّقييد يُتمسَّك بالعامِّ والمطلق في الزَّائد، وأمَّا على التَّعامل مع الحاكم المنفصل كالمتَّصل فإنَّه لا يُتمسَّك بالحكومة في الزَّائد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الجمع العرفيّ لمّا كان ميزان القرينيَّة هي الأقوائيَّة في الظُّهور فإنَّه يستدعي ملاحظة النِّسبة بين الدَّليلين، وأمَّا في الحكومة فإنَّ المعروف أنَّه لا حاجة إلى ملاحظة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ذهب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أحياناً لا بدَّ من ملاحظة النِّسبة في الحكومة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اتَّضح من البحث أنَّه لا يصحُّ التَّخصيص فيما إذا كان ما يراد تخصيصه حكماً </w:t>
      </w:r>
      <w:bookmarkStart w:id="597" w:name="pg10932_87876"/>
    </w:p>
    <w:p>
      <w:pPr>
        <w:pStyle w:val="BookText"/>
        <w:rPr/>
      </w:pPr>
      <w:bookmarkEnd w:id="597"/>
      <w:r>
        <w:rPr>
          <w:rFonts w:ascii="Amiri" w:hAnsi="Amiri" w:eastAsia="Amiri" w:cs="Amiri"/>
          <w:color w:val="111111"/>
          <w:sz w:val="28"/>
          <w:sz w:val="28"/>
          <w:szCs w:val="28"/>
          <w:rtl w:val="true"/>
          <w:lang w:bidi="ar-SA"/>
        </w:rPr>
        <w:t>عقليَّاً، ولا مانع من التَّخصيص فيما لو كان خصوص الخاصِّ حكماً عقليَّاً، أو كان العامُّ والخاصُّ من قبيل الأدلّة اللّبّیَّة عقلائيَّةً كانت أو شرعيَّة تأسيسيَّة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الحكومة فإنَّه لا تصحُّ فيما إذا كان الدَّليل الحاكم حكماً عقليَّاً فضلاً عن المحكوم، وأمَّا إذا كان الحاكم دليلاً لُّبِّياً فإنَّ المتعارف على الألسنة أنَّه لا حكومة في اللّبّيَّات؛ على أساس أنَّ التَّنزيل من مقولة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التَّنزيل من مقولة التَّخيُّل والمعنى، وما اللَّفظ إلَّا مبرِز له، فتتأتّى الحكومة في اللّبّيَّات العقلائيّة دون الشَّرعيَّة التَّأسيسيَّة</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3208801_2870459653"/>
      <w:bookmarkStart w:id="599" w:name="_Toc235"/>
      <w:bookmarkEnd w:id="598"/>
      <w:r>
        <w:rPr>
          <w:rtl w:val="true"/>
        </w:rPr>
        <w:t>النَّتيجة السَّابعة</w:t>
      </w:r>
      <w:bookmarkEnd w:id="599"/>
    </w:p>
    <w:p>
      <w:pPr>
        <w:pStyle w:val="BookText"/>
        <w:rPr/>
      </w:pPr>
      <w:r>
        <w:rPr>
          <w:rFonts w:ascii="Amiri" w:hAnsi="Amiri" w:eastAsia="Amiri" w:cs="Amiri"/>
          <w:color w:val="111111"/>
          <w:sz w:val="28"/>
          <w:sz w:val="28"/>
          <w:szCs w:val="28"/>
          <w:rtl w:val="true"/>
          <w:lang w:bidi="ar-SA"/>
        </w:rPr>
        <w:t>تفترق الحكومة عن الورود إذا كانا على سبيل التَّضييق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في الحكومة يوجد تنافٍ بين الحاكم والمحكوم في مقام مدلوليهما الَّذي هو الجعل، ولا تنافي في الورود في هذا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الورود يتأتَّى في الموضوع الاعتباريّ دون التَّكوينيّ، وإذا كان تكوينيَّاً لا بدَّ أن يكون أحد أفراده اعتباريَّاً حتّى يتأتَّى الرَّفع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الحكومة فلعلَّ السَّائد أنَّه لا بدَّ أن يكون تكوينيَّاً، وأمَّا إذا كان اعتباريَّاً فلا تتأتّى فيه الحكومة؛ لأنَّه لمجرَّد الاعتبار يرتفع الموضوع حقيقة، فيكون وروداً، واحتملنا تأتَّي الحكومة إذا كانت هناك أغراض لا يفي بها الرَّفع الوروديّ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الورود لا يأتي فيما لو كان الدليل الوارد قطعيّ؛ لأنَّها رفع حقيقيّ في طول التَّعبُّد، فإذا لم يكن تعبُّد فلا ورود، وأمَّا في الحكومة فتتأتَّى حتَّى في الأدلّة القطعيَّة؛ لأنَّها رفع تعبُّديّ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الطَّيِّبين الطَّاهرين</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0932_87878"/>
      <w:bookmarkStart w:id="601" w:name="pg10932_87878"/>
      <w:bookmarkEnd w:id="601"/>
    </w:p>
    <w:p>
      <w:pPr>
        <w:pStyle w:val="Heading3"/>
        <w:numPr>
          <w:ilvl w:val="2"/>
          <w:numId w:val="1"/>
        </w:numPr>
        <w:rPr/>
      </w:pPr>
      <w:bookmarkStart w:id="602" w:name="pg10932_87878"/>
      <w:bookmarkStart w:id="603" w:name="__RefHeading___Toc3208803_2870459653"/>
      <w:bookmarkStart w:id="604" w:name="_Toc236"/>
      <w:bookmarkEnd w:id="602"/>
      <w:bookmarkEnd w:id="603"/>
      <w:r>
        <w:rPr>
          <w:rtl w:val="true"/>
        </w:rPr>
        <w:t>المصادر</w:t>
      </w:r>
      <w:bookmarkEnd w:id="604"/>
    </w:p>
    <w:p>
      <w:pPr>
        <w:pStyle w:val="BookText"/>
        <w:rPr/>
      </w:pPr>
      <w:r>
        <w:rPr>
          <w:rFonts w:ascii="Amiri" w:hAnsi="Amiri" w:eastAsia="Amiri" w:cs="Amiri"/>
          <w:color w:val="111111"/>
          <w:sz w:val="28"/>
          <w:sz w:val="28"/>
          <w:szCs w:val="28"/>
          <w:rtl w:val="true"/>
          <w:lang w:bidi="ar-SA"/>
        </w:rPr>
        <w:t>القران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المحقِّق الميرزا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 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السَّيِّد محمَّد علي الرَّباني، النسخة الموجودة في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الأولى،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الفلسفة والمنهج الواقعيّ،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مطهّري،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أم القرى للتحقيق والنَّشر،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الثَّانية،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في علم الأُصول، الميرزا علي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العلوم والثَّقافة الإسلاميّة، مركز 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بستان كتاب، ط الثَّانية،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في شرح مناسك الحج، السيّد محمّد رضا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بقلم الشيخ أمجد رياض والشيخ نزار يوسف، ط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تقرير السَّيِّد محمود الهاشمي،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الإسلاميّة،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ط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محمَّد بن الحسن الصَّفَّار،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حسن </w:t>
      </w:r>
    </w:p>
    <w:p>
      <w:pPr>
        <w:pStyle w:val="BookText"/>
        <w:rPr/>
      </w:pPr>
      <w:r>
        <w:rPr>
          <w:rFonts w:ascii="Amiri" w:hAnsi="Amiri" w:eastAsia="Amiri" w:cs="Amiri"/>
          <w:color w:val="111111"/>
          <w:sz w:val="28"/>
          <w:sz w:val="28"/>
          <w:szCs w:val="28"/>
          <w:rtl w:val="true"/>
          <w:lang w:bidi="ar-SA"/>
        </w:rPr>
        <w:t>كوجه باغي،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القران،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موسوعة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الأدلّة واختلاف الحديث،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بقلم السَّيِّد هاشم الهاشمي، النسخة الموجودة في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المجدِّد السّيّد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الشيخ عليّ الرّوزدري،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علم الأُصول،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السَّيِّد علي الشَّاهرودي،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الإسلاميّة،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الأُصوليّة، الشيخ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العلّامة المجدّد الوحيد البهبهانيّ، ط الأولى، 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السيّد روح الله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الداوري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الإجماليّ حقيقته ومنجزيته عقلاً، السّيّد محمّد باقر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أوليّة محدودة التداول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w:t>
      </w:r>
    </w:p>
    <w:p>
      <w:pPr>
        <w:pStyle w:val="BookText"/>
        <w:rPr/>
      </w:pP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المحقِّق الميرزا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تقرير الشَّيخ محمَّد علي الكاظمي مع تعليقات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ضرر ولا ضرار، تقرير بحث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أصول الفقه، تأليف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المؤسّسة الدوليّة للدراسات والنشر،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ط الخامسة،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التَّعارض،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حلمي عبد الرَّؤوف السّنان،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انتشارات مدين،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الأُصول، الشيخ محمَّد كاظم الخراسانيّ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الأُصول،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تقرير السَّيِّد كاظم الحائري،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البشير،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الأُصول، السَّيِّد محمَّد باقر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أمجد رياض والشيخ </w:t>
      </w:r>
    </w:p>
    <w:p>
      <w:pPr>
        <w:pStyle w:val="BookText"/>
        <w:rPr/>
      </w:pPr>
      <w:r>
        <w:rPr>
          <w:rFonts w:ascii="Amiri" w:hAnsi="Amiri" w:eastAsia="Amiri" w:cs="Amiri"/>
          <w:color w:val="111111"/>
          <w:sz w:val="28"/>
          <w:sz w:val="28"/>
          <w:szCs w:val="28"/>
          <w:rtl w:val="true"/>
          <w:lang w:bidi="ar-SA"/>
        </w:rPr>
        <w:t>نزار يوسف، نسخة محدودة التَّداول،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دراسات علميَّة، مجلّة نصف سنوية تصدر عن المدرسة العلميّة الآخوند الصغرى النجف الأشرف، 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في اصول الفقه، السَّيِّد محمَّد سعيد الحكيم،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الأُصول،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السّيّد محمّد سرور الواعظ البهسودي، ضمن موسوعة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الميرزا أبي القاسم النُّوريّ الطَّهرانيّ،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الفاضلي،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الإمام الخمينيّ والثَّورة الإسلامية للتَّحقيق والدِّراسات العليا،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العروج، ط الأولى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الشيخ أبو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الشَّيخ أبو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 السَّابعة،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الأُصول، السَّيِّد محمَّد الحُسيني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تقرير السَّيِّد عبد الصَّاحب الحكيم،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ط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الطَّالب في شرح المكاسب، المحقِّق الميرزا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تقرير الشَّيخ موسى بن محمّد النجفيّ الخوانساريّ،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الموافقات، إبراهيم بن موسى الشَّاطبيّ، تعليق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مشهور بن حسن آل سلمان،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عفَّان،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الشّيخ آقا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الشيخ محمَّد تقي البروجرديّ،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الرَّابعة،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النِّهاية في شرح الكفاية، الميرزا علي الإيروانيّ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ط الأولى،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في الأُصول، السَّيِّد أبو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تقرير الشَّيخ حسن الصَّافي الأصفهانيّ، تحقيق ونشر 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 المقدَّسة،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الشيخ محمّد 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10932_87884"/>
      <w:bookmarkStart w:id="606" w:name="pg10932_87884"/>
      <w:bookmarkEnd w:id="606"/>
    </w:p>
    <w:p>
      <w:pPr>
        <w:pStyle w:val="Heading2"/>
        <w:numPr>
          <w:ilvl w:val="1"/>
          <w:numId w:val="1"/>
        </w:numPr>
        <w:rPr/>
      </w:pPr>
      <w:bookmarkStart w:id="607" w:name="pg10932_87884"/>
      <w:bookmarkStart w:id="608" w:name="__RefHeading___Toc3208805_2870459653"/>
      <w:bookmarkStart w:id="609" w:name="_Toc237"/>
      <w:bookmarkEnd w:id="607"/>
      <w:bookmarkEnd w:id="608"/>
      <w:r>
        <w:rPr>
          <w:rtl w:val="true"/>
        </w:rPr>
        <w:t xml:space="preserve">تطبيق حساب الاحتمالات على ما رواهُ جميلُ بن درّاج عن بعضِ أصحابنا </w:t>
      </w:r>
      <w:r>
        <w:rPr>
          <w:rtl w:val="true"/>
        </w:rPr>
        <w:t xml:space="preserve">- </w:t>
      </w:r>
      <w:r>
        <w:rPr>
          <w:rtl w:val="true"/>
        </w:rPr>
        <w:t xml:space="preserve">الشيخ صلاح الرمّاحيّ </w:t>
      </w:r>
      <w:r>
        <w:rPr>
          <w:rtl w:val="true"/>
        </w:rPr>
        <w:t>(</w:t>
      </w:r>
      <w:r>
        <w:rPr>
          <w:rtl w:val="true"/>
        </w:rPr>
        <w:t>دام عزه</w:t>
      </w:r>
      <w:r>
        <w:rPr>
          <w:rtl w:val="true"/>
        </w:rPr>
        <w:t>)</w:t>
      </w:r>
      <w:bookmarkEnd w:id="609"/>
    </w:p>
    <w:p>
      <w:pPr>
        <w:pStyle w:val="Heading3"/>
        <w:numPr>
          <w:ilvl w:val="2"/>
          <w:numId w:val="1"/>
        </w:numPr>
        <w:rPr/>
      </w:pPr>
      <w:bookmarkStart w:id="610" w:name="__RefHeading___Toc3208807_2870459653"/>
      <w:bookmarkStart w:id="611" w:name="_Toc238"/>
      <w:bookmarkEnd w:id="610"/>
      <w:r>
        <w:rPr>
          <w:rtl w:val="true"/>
        </w:rPr>
        <w:t>اشارة</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الثقة ووجه الطائفة، وهو ممّن أجمعت الطائفة على تصحيح ما يصحّ عنهم، وتصديقهم لما يقولون وأقرّوا لهم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المئات من الروايات في الكتب الأربعة وغيرها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الكلام فيما رواه 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روايات متفرّقة في الأبواب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الذي بين أيدينا هو محاولة لإخراج هذه الروايات عن حدِّ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يُتوقّف في الاحتجاج بها من هذه الجهة</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10932_87886"/>
      <w:bookmarkStart w:id="613" w:name="pg10932_87886"/>
      <w:bookmarkEnd w:id="613"/>
    </w:p>
    <w:p>
      <w:pPr>
        <w:pStyle w:val="Heading3"/>
        <w:numPr>
          <w:ilvl w:val="2"/>
          <w:numId w:val="1"/>
        </w:numPr>
        <w:rPr/>
      </w:pPr>
      <w:bookmarkStart w:id="614" w:name="pg10932_87886"/>
      <w:bookmarkStart w:id="615" w:name="__RefHeading___Toc3208809_2870459653"/>
      <w:bookmarkStart w:id="616" w:name="_Toc239"/>
      <w:bookmarkEnd w:id="614"/>
      <w:bookmarkEnd w:id="615"/>
      <w:r>
        <w:rPr>
          <w:rtl w:val="true"/>
        </w:rPr>
        <w:t>المدخل</w:t>
      </w:r>
      <w:bookmarkEnd w:id="6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الإرسال في سند الحديث على مراتب ودرجات؛ إذ قد يكون الإرسال فيه في طبقة واحدة كما لو أخبر الراوي عن رجل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يكون في عدّة طبقات كما لو أخبر الراوي عن بعض أصحابه عن رجل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يكون المرسل من كبار الرواة كمحمّد بن أبي عمير، وقد يكون غير ذلك</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جمع من الأعلام إلى حجّيّة وقبول الخبر المرسل</w:t>
      </w:r>
      <w:r>
        <w:rPr>
          <w:rStyle w:val="FootnoteAnchor"/>
          <w:rtl w:val="true"/>
        </w:rPr>
        <w:footnoteReference w:id="392"/>
      </w:r>
      <w:r>
        <w:rPr>
          <w:rFonts w:ascii="Amiri" w:hAnsi="Amiri" w:eastAsia="Amiri" w:cs="Amiri"/>
          <w:color w:val="111111"/>
          <w:sz w:val="28"/>
          <w:sz w:val="28"/>
          <w:szCs w:val="28"/>
          <w:rtl w:val="true"/>
          <w:lang w:bidi="ar-SA"/>
        </w:rPr>
        <w:t>إذا كان المرسل جليل القدر ولا يرسل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المقبوليّة للحديث المرسل مشروطة بحصول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الواسطة المبهمة من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عمل أصحابنا بمراسيل من عُرف عنه أنّه لا يرسل إلّا عن ثقة كابن أبي عمير وصفوان وأحمد بن محمّد بن أبي نصر البزنطي وأبي بصير ونظرائهم</w:t>
      </w:r>
      <w:r>
        <w:rPr>
          <w:rStyle w:val="FootnoteAnchor"/>
          <w:rtl w:val="true"/>
        </w:rPr>
        <w:footnoteReference w:id="393"/>
      </w:r>
      <w:r>
        <w:rPr>
          <w:rFonts w:ascii="Amiri" w:hAnsi="Amiri" w:eastAsia="Amiri" w:cs="Amiri"/>
          <w:color w:val="111111"/>
          <w:sz w:val="28"/>
          <w:sz w:val="28"/>
          <w:szCs w:val="28"/>
          <w:rtl w:val="true"/>
          <w:lang w:bidi="ar-SA"/>
        </w:rPr>
        <w:t>ولذلك جعلت مراسيلهم بحكم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هذا المعنى أيضاً عند علماء الجمهور بشأن بعض رواتهم، كما أشار إلى ذلك ابن حجر في لسان الميزان حيث ذكر عدّة من رواة الجمهور،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أيضاً عُرفوا بأنّهم لا يروون إلّا عن ثقة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يختلف الحال من مرسِل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الجلالة والوثاقة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يختلف الحال أيضاً بحسب لفظ الإرسال، كما في التعبير 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تجد بينها اختلافاً في درجة احتمال الصدور قوّةً وضعفاً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إشكال يُطرح في المقام يُعرف بإشكال الشبهة المصداقيّة،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اشتمال الواسطة 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أحد الضعفاء أو غير الموثّقين قائمٌ، ومعه لا يمكن الاعتماد على هذه الأخبار على الرغم من وثاقة الراوي عن تلك الواسطة المبهمة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ذلك بإثبات أنّ احتمال أن تكون الواسطة المبهمة أحد هؤلاء الضعفاء أو المضعّفين هو احتمال ضعيف من خلال اللجوء لحساب الاحتمالات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وللراوي الجليل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الروايات رواها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اهتمّ بها الفقهاء وأوردوها أثناء الاستدلال في مختلف أبواب الفقه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الطهارة، والصلاة، والزكاة، والحج، والتجارة، والنكاح، والطلاق، والنفقة، والحدود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تُذكر في المقام عدّة وجوه لتجاوز الإرسال المذكور</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الأسانيد المتقدّمة هو زرارة بن أعين أو محمّد بن مسلم، وذلك يبتني على مقدّمتين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أغلب مرويّات جميل عن بعض أصحابنا كانت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تُلحظ هذه الكثرة في استخدام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لغير زرارة ومحمّد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أغلب مرويّات جميل بن درّاج المسندة في الكتب الحديثيّة كانت عن زرارة ومحمّد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 تعبير الثقة عمّن روى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ينسحب عليه حكم الإرسال 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اللجوء إلى حساب الاحتمالات للتعرّف على مدى إمكان إخراج هذه المراسيل عن حدّ الإرسال والضعف إلى الإسناد والمقبوليّة، وهو ما يتناوله البحث الذي بين أيدينا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الكلام في مبحثين، وخاتمة</w:t>
      </w:r>
      <w:r>
        <w:rPr>
          <w:rFonts w:eastAsia="Amiri" w:cs="Amiri" w:ascii="Amiri" w:hAnsi="Amiri"/>
          <w:color w:val="111111"/>
          <w:sz w:val="28"/>
          <w:szCs w:val="28"/>
          <w:rtl w:val="true"/>
          <w:lang w:bidi="ar-SA"/>
        </w:rPr>
        <w:t xml:space="preserve">. </w:t>
      </w:r>
      <w:bookmarkStart w:id="617" w:name="pg10932_87889"/>
    </w:p>
    <w:p>
      <w:pPr>
        <w:pStyle w:val="Heading3"/>
        <w:numPr>
          <w:ilvl w:val="2"/>
          <w:numId w:val="1"/>
        </w:numPr>
        <w:rPr/>
      </w:pPr>
      <w:bookmarkStart w:id="618" w:name="__RefHeading___Toc3208811_2870459653"/>
      <w:bookmarkStart w:id="619" w:name="_Toc240"/>
      <w:bookmarkEnd w:id="617"/>
      <w:bookmarkEnd w:id="618"/>
      <w:r>
        <w:rPr>
          <w:rtl w:val="true"/>
        </w:rPr>
        <w:t>المبحث الأوّل</w:t>
      </w:r>
      <w:bookmarkEnd w:id="619"/>
    </w:p>
    <w:p>
      <w:pPr>
        <w:pStyle w:val="Heading4"/>
        <w:numPr>
          <w:ilvl w:val="3"/>
          <w:numId w:val="1"/>
        </w:numPr>
        <w:rPr/>
      </w:pPr>
      <w:bookmarkStart w:id="620" w:name="__RefHeading___Toc3208813_2870459653"/>
      <w:bookmarkStart w:id="621" w:name="_Toc241"/>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3208815_2870459653"/>
      <w:bookmarkStart w:id="623" w:name="_Toc242"/>
      <w:bookmarkEnd w:id="622"/>
      <w:r>
        <w:rPr>
          <w:rtl w:val="true"/>
        </w:rPr>
        <w:t>الأمر الأوّل</w:t>
      </w:r>
      <w:r>
        <w:rPr>
          <w:rtl w:val="true"/>
        </w:rPr>
        <w:t xml:space="preserve">: </w:t>
      </w:r>
      <w:r>
        <w:rPr>
          <w:rtl w:val="true"/>
        </w:rPr>
        <w:t>في بيان حال جميل بن درّاج، وأقوال الأعلام فيه، وكتبه</w:t>
      </w:r>
      <w:bookmarkEnd w:id="623"/>
    </w:p>
    <w:p>
      <w:pPr>
        <w:pStyle w:val="BookText"/>
        <w:rPr/>
      </w:pPr>
      <w:r>
        <w:rPr>
          <w:rFonts w:ascii="Amiri" w:hAnsi="Amiri" w:eastAsia="Amiri" w:cs="Amiri"/>
          <w:color w:val="111111"/>
          <w:sz w:val="28"/>
          <w:sz w:val="28"/>
          <w:szCs w:val="28"/>
          <w:rtl w:val="true"/>
          <w:lang w:bidi="ar-SA"/>
        </w:rPr>
        <w:t>وهو أبو عليّ جميل بن درّاج بن عبد الله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مشايخ الرواية، ومن كبار الفقهاء، ووجوه الشيعة، ثقة، جليل، كثير الرواية، وهو من الطبقة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 العلم عن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عنهما، وأخذ عن زرارة بن أعين، وكان تلميذه الوفيّ الذي صحبه مدّة طويلة حتى وفاته، وأكثرَ الرواية عنه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أحد الستّة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أحداث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الطبقة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أجمعت الطائفة على تصحيح ما يصحّ عنهم، وتصديقهم لما يقولون، والإقرار لهم بالفقه، حتى نَقَلَ عن أبي إسحاق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جميل أفقه هؤلاء الستّة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من الواقفة ثمّ رجع لما ظهر من المعجزات على يدّ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صحّة إمامته، فالتزم الحجّة، وقال بإمامته وإمامة مَن بعده من ولده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عديدة في فضله وإيمانه وعبادته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لجميل كتباً ثلاثة، أحدها منفرد، والآخر مشترك مع محمّد بن </w:t>
      </w:r>
    </w:p>
    <w:p>
      <w:pPr>
        <w:pStyle w:val="BookText"/>
        <w:rPr/>
      </w:pPr>
      <w:r>
        <w:rPr>
          <w:rFonts w:ascii="Amiri" w:hAnsi="Amiri" w:eastAsia="Amiri" w:cs="Amiri"/>
          <w:color w:val="111111"/>
          <w:sz w:val="28"/>
          <w:sz w:val="28"/>
          <w:szCs w:val="28"/>
          <w:rtl w:val="true"/>
          <w:lang w:bidi="ar-SA"/>
        </w:rPr>
        <w:t>حمران، والثالث مشترك مع مرازم بن حكيم، وذكر طريقه إلى جميع تلك الكتب</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صحيح للكتابين المشتركين، وأمّا الكتاب المنفرد به فلم يذكر له طريقاً في المشيخة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يُجاب بأنّ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صحيحاً لكتاب جميل المنفرد بتوسّط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كتاب جميل من الكتب المعروفة والمشهورة ومسلّمة الانتساب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ولم يستبعد البعض</w:t>
      </w:r>
      <w:r>
        <w:rPr>
          <w:rStyle w:val="FootnoteAnchor"/>
          <w:rtl w:val="true"/>
        </w:rPr>
        <w:footnoteReference w:id="404"/>
      </w:r>
      <w:r>
        <w:rPr>
          <w:rFonts w:ascii="Amiri" w:hAnsi="Amiri" w:eastAsia="Amiri" w:cs="Amiri"/>
          <w:color w:val="111111"/>
          <w:sz w:val="28"/>
          <w:sz w:val="28"/>
          <w:szCs w:val="28"/>
          <w:rtl w:val="true"/>
          <w:lang w:bidi="ar-SA"/>
        </w:rPr>
        <w:t xml:space="preserve">أنّه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أثبته له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 عن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أنّ لجميل كتاباً وأصلاً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الموجود في النسخ المتداولة من فهرست النجاشي إثبات الكتاب دون الأصل، فراجع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استطرف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ذكرها في مستطرفاته</w:t>
      </w:r>
      <w:r>
        <w:rPr>
          <w:rStyle w:val="FootnoteAnchor"/>
          <w:rtl w:val="true"/>
        </w:rPr>
        <w:footnoteReference w:id="407"/>
      </w:r>
      <w:r>
        <w:rPr>
          <w:rFonts w:ascii="Amiri" w:hAnsi="Amiri" w:eastAsia="Amiri" w:cs="Amiri"/>
          <w:color w:val="111111"/>
          <w:sz w:val="28"/>
          <w:sz w:val="28"/>
          <w:szCs w:val="28"/>
          <w:rtl w:val="true"/>
          <w:lang w:bidi="ar-SA"/>
        </w:rPr>
        <w:t xml:space="preserve">، وقد نقلها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624" w:name="pg10932_87891"/>
    </w:p>
    <w:p>
      <w:pPr>
        <w:pStyle w:val="Heading4"/>
        <w:numPr>
          <w:ilvl w:val="3"/>
          <w:numId w:val="1"/>
        </w:numPr>
        <w:rPr/>
      </w:pPr>
      <w:bookmarkStart w:id="625" w:name="__RefHeading___Toc3208817_2870459653"/>
      <w:bookmarkStart w:id="626" w:name="_Toc243"/>
      <w:bookmarkEnd w:id="624"/>
      <w:bookmarkEnd w:id="625"/>
      <w:r>
        <w:rPr>
          <w:rtl w:val="true"/>
        </w:rPr>
        <w:t>الأمر الثاني</w:t>
      </w:r>
      <w:r>
        <w:rPr>
          <w:rtl w:val="true"/>
        </w:rPr>
        <w:t xml:space="preserve">: </w:t>
      </w:r>
      <w:r>
        <w:rPr>
          <w:rtl w:val="true"/>
        </w:rPr>
        <w:t xml:space="preserve">في انصراف لفظ </w:t>
      </w:r>
      <w:r>
        <w:rPr>
          <w:rtl w:val="true"/>
        </w:rPr>
        <w:t>(</w:t>
      </w:r>
      <w:r>
        <w:rPr>
          <w:rtl w:val="true"/>
        </w:rPr>
        <w:t>جميل</w:t>
      </w:r>
      <w:r>
        <w:rPr>
          <w:rtl w:val="true"/>
        </w:rPr>
        <w:t xml:space="preserve">) </w:t>
      </w:r>
      <w:r>
        <w:rPr>
          <w:rtl w:val="true"/>
        </w:rPr>
        <w:t>عند إطلاقه إلى جميل بن درّاج</w:t>
      </w:r>
      <w:bookmarkEnd w:id="626"/>
    </w:p>
    <w:p>
      <w:pPr>
        <w:pStyle w:val="BookText"/>
        <w:rPr/>
      </w:pPr>
      <w:r>
        <w:rPr>
          <w:rFonts w:ascii="Amiri" w:hAnsi="Amiri" w:eastAsia="Amiri" w:cs="Amiri"/>
          <w:color w:val="111111"/>
          <w:sz w:val="28"/>
          <w:sz w:val="28"/>
          <w:szCs w:val="28"/>
          <w:rtl w:val="true"/>
          <w:lang w:bidi="ar-SA"/>
        </w:rPr>
        <w:t xml:space="preserve">ينحصر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 وجميل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الملاحَظ أنّ روايات ابن درّاج أضعاف روايات ابن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الإرسال في روايات ابن صالح نادر بخلاف الحال في الإرسال في روايات ابن درّاج فإنَّه متداول كثيراً، فيُظنُّ قويّاً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البحث عند إطلاقه في الأسانيد هو ابن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جانب آخر أنّ اختصار أسماء الرواة في الأسانيد لا يقع عادةً إلّا أن يكون المراد به واضحاً بقرينة الراوي والمروي عنه، أو يكون المراد به المشهور دون المغمور، أو الأشهر دون من هو أقلّ شهرة</w:t>
      </w:r>
      <w:r>
        <w:rPr>
          <w:rStyle w:val="FootnoteAnchor"/>
          <w:rtl w:val="true"/>
        </w:rPr>
        <w:footnoteReference w:id="409"/>
      </w:r>
      <w:r>
        <w:rPr>
          <w:rFonts w:ascii="Amiri" w:hAnsi="Amiri" w:eastAsia="Amiri" w:cs="Amiri"/>
          <w:color w:val="111111"/>
          <w:sz w:val="28"/>
          <w:sz w:val="28"/>
          <w:szCs w:val="28"/>
          <w:rtl w:val="true"/>
          <w:lang w:bidi="ar-SA"/>
        </w:rPr>
        <w:t>، ومن المقطوع به أنّ ابن درّاج كان أشهر عند أصحابنا من ابن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أنّهم كانوا يعبّرون عن جميل بن درّاج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هو أنّ بعضهم يصرّح بالاسم واسم الأب، بينما الآخر يكتفي بإطلاق الاسم فقط، هذا في نفس السند الواحد والرواية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أنّ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لا 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الرواية نفسها وعنونه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ترى أنّ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الرواية نفسها </w:t>
      </w:r>
    </w:p>
    <w:p>
      <w:pPr>
        <w:pStyle w:val="BookText"/>
        <w:rPr/>
      </w:pPr>
      <w:r>
        <w:rPr>
          <w:rFonts w:ascii="Amiri" w:hAnsi="Amiri" w:eastAsia="Amiri" w:cs="Amiri"/>
          <w:color w:val="111111"/>
          <w:sz w:val="28"/>
          <w:sz w:val="28"/>
          <w:szCs w:val="28"/>
          <w:rtl w:val="true"/>
          <w:lang w:bidi="ar-SA"/>
        </w:rPr>
        <w:t>وعنونه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والرواية نفسها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نفسه تارة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في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وأخرى عن جميل بن درّاج</w:t>
      </w:r>
      <w:r>
        <w:rPr>
          <w:rStyle w:val="FootnoteAnchor"/>
          <w:rtl w:val="true"/>
        </w:rPr>
        <w:footnoteReference w:id="411"/>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بينما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لا 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بينما ورد نفسه عن الشيخ نفسه في 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بينما ذكر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الخبر في تهذيب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بينما رواه نفسه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مجموع ما تقدّم لا يبعد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في الأسانيد هو جميل ابن درّاج وليس جميل بن صالح</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وكذلك روى جميل بن صالح عن محمّد بن مروان، وسدير، وعبد الملك بن عمرو، وفضيل بن يسار في عدّة موارد، ولم يروِ عنهم ابن درّاج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التتبّع تمّ تحديد الموارد التي تنصرف إلى جميل بن صالح دون جميل بن درّاج،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0932_87893"/>
    </w:p>
    <w:p>
      <w:pPr>
        <w:pStyle w:val="Heading4"/>
        <w:numPr>
          <w:ilvl w:val="3"/>
          <w:numId w:val="1"/>
        </w:numPr>
        <w:rPr/>
      </w:pPr>
      <w:bookmarkStart w:id="628" w:name="__RefHeading___Toc3208819_2870459653"/>
      <w:bookmarkStart w:id="629" w:name="_Toc244"/>
      <w:bookmarkEnd w:id="627"/>
      <w:bookmarkEnd w:id="628"/>
      <w:r>
        <w:rPr>
          <w:rtl w:val="true"/>
        </w:rPr>
        <w:t>الأمر الثالث</w:t>
      </w:r>
      <w:r>
        <w:rPr>
          <w:rtl w:val="true"/>
        </w:rPr>
        <w:t xml:space="preserve">: </w:t>
      </w:r>
      <w:r>
        <w:rPr>
          <w:rtl w:val="true"/>
        </w:rPr>
        <w:t>في استقصاء ما رواه جميل عن بعض أصحابنا</w:t>
      </w:r>
      <w:bookmarkEnd w:id="629"/>
    </w:p>
    <w:p>
      <w:pPr>
        <w:pStyle w:val="BookText"/>
        <w:rPr/>
      </w:pPr>
      <w:r>
        <w:rPr>
          <w:rFonts w:ascii="Amiri" w:hAnsi="Amiri" w:eastAsia="Amiri" w:cs="Amiri"/>
          <w:color w:val="111111"/>
          <w:sz w:val="28"/>
          <w:sz w:val="28"/>
          <w:szCs w:val="28"/>
          <w:rtl w:val="true"/>
          <w:lang w:bidi="ar-SA"/>
        </w:rPr>
        <w:t xml:space="preserve">بعد مراجعة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والفقيه والتهذيب والاستبصار وجدنا أنّ المجموع الكلّيّ لمرويات جميل بن درّاج عن بعض أصحابنا قد بلغ العشرات، وبعد عمليّة إحصاء هذه الروايات وتتبع أسانيدها لاحظنا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هذه الروايات قد تكرّر في أكثر من واحد من الكتب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قد يكون على نحو الجزئية بأن يُذكر مقطع من الرواية مع وحدة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يُذكر تمام الرواية مع ذات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بعضها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وبعضها الآخر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بيان عدم البُعد في اتّحاد العنوانين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إلّا على روايتين لم تذكرا في الكتب الأربعة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إحداهما في نوادر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جميل، 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رواها في الفقيه </w:t>
      </w:r>
      <w:r>
        <w:rPr>
          <w:rFonts w:eastAsia="IRNazanin" w:cs="IRNazanin"/>
          <w:color w:val="111111"/>
          <w:sz w:val="28"/>
          <w:szCs w:val="28"/>
          <w:rtl w:val="true"/>
          <w:lang w:bidi="fa-IR"/>
        </w:rPr>
        <w:t>(</w:t>
      </w: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جميل بن درّاج أنّه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والأخرى وردت مرسلة في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رجّحنا عدم احتسابهما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ورد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عن 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الكافي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الأكثر إلى اعتبارها سنداً</w:t>
      </w:r>
      <w:r>
        <w:rPr>
          <w:rStyle w:val="FootnoteAnchor"/>
          <w:rtl w:val="true"/>
        </w:rPr>
        <w:footnoteReference w:id="413"/>
      </w:r>
      <w:r>
        <w:rPr>
          <w:rFonts w:ascii="Amiri" w:hAnsi="Amiri" w:eastAsia="Amiri" w:cs="Amiri"/>
          <w:color w:val="111111"/>
          <w:sz w:val="28"/>
          <w:sz w:val="28"/>
          <w:szCs w:val="28"/>
          <w:rtl w:val="true"/>
          <w:lang w:bidi="ar-SA"/>
        </w:rPr>
        <w:t>باعتبار تعدّد النقل، فهو كالمستفيض المشتمل على بعض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كان منها 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حذف المكرّر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وثلاثون رواية، وهي كما يلي مع الإشارة لمواضع تكرارها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عن أحمد بن محمّد، عن عليّ بن حديد،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عن أحمد بن محمّد، عن عليّ بن حديد، عن جميل،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2/184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عليّ بن حديد، عن جميل،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جميل،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5/342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إبراهيم، عن أبيه، عن ابن أبي عمير، عن جميل بن درّاج،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5/285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من أصحابنا، عن أحمد بن محمّد، عن عليّ بن حديد، عن جميل،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5/220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جميل،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جميل بن درّاج،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عن أحمد بن محمّد بن عيسى، عن عليّ بن حديد، عن جميل بن </w:t>
      </w:r>
    </w:p>
    <w:p>
      <w:pPr>
        <w:pStyle w:val="BookText"/>
        <w:rPr/>
      </w:pPr>
      <w:r>
        <w:rPr>
          <w:rFonts w:ascii="IRNazanin" w:hAnsi="IRNazanin" w:eastAsia="IRNazanin"/>
          <w:color w:val="111111"/>
          <w:sz w:val="28"/>
          <w:sz w:val="28"/>
          <w:szCs w:val="28"/>
          <w:rtl w:val="true"/>
          <w:lang w:bidi="fa-IR"/>
        </w:rPr>
        <w:t xml:space="preserve">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عليّ بن حديد، عن جميل بن درّاج، عن بعض أصحابنا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8/149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جميل،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9/166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4/116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عن أحمد بن محمّد، عن عليّ بن حديد،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7/219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يحيى، عن أحمد بن محمّد، عن عليّ بن حديد،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7/320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10/275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جميل،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7/370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10/179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3/217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أبي عمير، عن جميل بن درّاج،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4/225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أخبرني به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سعد ابن عبد الله، عن أبي جعفر، عن عليّ بن حديد، عن جميل بن درّاج، عن بعض أصحابنا، عن أبي جعفر و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بن القاسم،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صفوان،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بن القاسم، عن النخعيّ، عن ابن أبي عمير، عن جميل،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5/118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عمير، عن جميل،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قولويه، عن جعفر بن محمّد، عن عبد الله بن نهيك، عن ابن أبي عمير، </w:t>
      </w:r>
    </w:p>
    <w:p>
      <w:pPr>
        <w:pStyle w:val="BookText"/>
        <w:rPr/>
      </w:pPr>
      <w:r>
        <w:rPr>
          <w:rFonts w:ascii="IRNazanin" w:hAnsi="IRNazanin" w:eastAsia="IRNazanin"/>
          <w:color w:val="111111"/>
          <w:sz w:val="28"/>
          <w:sz w:val="28"/>
          <w:szCs w:val="28"/>
          <w:rtl w:val="true"/>
          <w:lang w:bidi="fa-IR"/>
        </w:rPr>
        <w:t xml:space="preserve">عن عليّ، عن جميل،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6/293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عيسى، عن عليّ بن حديد،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محمّد بن عليّ بن محبوب، عن عليّ بن السنديّ، عن ابن أبي عمير،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7/285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محمّد بن عليّ بن محبوب، عن أحمد بن محمّد، عن عليّ بن حديد،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سعيد، عن ابن أبي عمير، عن جميل بن درّاج،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بن سعيد، عن ابن أبي عمير، عن جميل،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7/482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حديد،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الحسن، عن جعفر بن محمّد بن حكيم، عن جميل،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8/127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يحيى، عن أحمد بن محمّد، عن عليّ بن حديد، عن جميل،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10/129</w:t>
      </w:r>
      <w:r>
        <w:rPr>
          <w:rFonts w:eastAsia="IRNazanin" w:cs="IRNazanin"/>
          <w:color w:val="111111"/>
          <w:sz w:val="28"/>
          <w:szCs w:val="28"/>
          <w:rtl w:val="true"/>
          <w:lang w:bidi="fa-IR"/>
        </w:rPr>
        <w:t xml:space="preserve">). </w:t>
      </w:r>
      <w:bookmarkStart w:id="630" w:name="pg10932_87899"/>
    </w:p>
    <w:p>
      <w:pPr>
        <w:pStyle w:val="Heading4"/>
        <w:numPr>
          <w:ilvl w:val="3"/>
          <w:numId w:val="1"/>
        </w:numPr>
        <w:rPr/>
      </w:pPr>
      <w:bookmarkStart w:id="631" w:name="__RefHeading___Toc3208821_2870459653"/>
      <w:bookmarkStart w:id="632" w:name="_Toc245"/>
      <w:bookmarkEnd w:id="630"/>
      <w:bookmarkEnd w:id="631"/>
      <w:r>
        <w:rPr>
          <w:rtl w:val="true"/>
        </w:rPr>
        <w:t>الأمر الرابع</w:t>
      </w:r>
      <w:r>
        <w:rPr>
          <w:rtl w:val="true"/>
        </w:rPr>
        <w:t xml:space="preserve">: </w:t>
      </w:r>
      <w:r>
        <w:rPr>
          <w:rtl w:val="true"/>
        </w:rPr>
        <w:t>في بيان هل أنّ جميل بن درّاج روى عن مشهور بالضعف</w:t>
      </w:r>
      <w:bookmarkEnd w:id="632"/>
    </w:p>
    <w:p>
      <w:pPr>
        <w:pStyle w:val="Heading5"/>
        <w:numPr>
          <w:ilvl w:val="4"/>
          <w:numId w:val="1"/>
        </w:numPr>
        <w:rPr/>
      </w:pPr>
      <w:bookmarkStart w:id="633" w:name="__RefHeading___Toc3208823_2870459653"/>
      <w:bookmarkStart w:id="634" w:name="_Toc246"/>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أو عمّن ضعّفه بعضُ الرجاليّين صريحاً؟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رواية جميل بن درّاج في الكتب الأربعة وغيرها عن جملة من الرواة بلغوا ثلاثة وأربعين راوياً، وأغلبهم من الثقات كزرارة بن أعين ومحمّد بن مسلم وأبي بصير وأبان بن تغلب، كما وردت روايته أيضاً عن بعض المضعّفين وعن الذين لم يوثّقوا صريحاً،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محمّد الطيّار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زكريا بن يحيى الشعيريّ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محرز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الأشعث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عائذ الأحمسيّ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محرز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عنبسة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الأزرق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الصيقل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شهاب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ظبيان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القول بأنّ بعض هؤلاء يُشك في رواية جميل عنه، وبعضهم يمكن الاطمئنان بعدم التوقّف في قبول روايته، فنقول</w:t>
      </w:r>
      <w:r>
        <w:rPr>
          <w:rFonts w:eastAsia="Amiri" w:cs="Amiri" w:ascii="Amiri" w:hAnsi="Amiri"/>
          <w:color w:val="111111"/>
          <w:sz w:val="28"/>
          <w:szCs w:val="28"/>
          <w:rtl w:val="true"/>
          <w:lang w:bidi="ar-SA"/>
        </w:rPr>
        <w:t xml:space="preserve">: </w:t>
      </w:r>
      <w:bookmarkStart w:id="635" w:name="pg10932_87900"/>
    </w:p>
    <w:p>
      <w:pPr>
        <w:pStyle w:val="Heading5"/>
        <w:numPr>
          <w:ilvl w:val="4"/>
          <w:numId w:val="1"/>
        </w:numPr>
        <w:rPr/>
      </w:pPr>
      <w:bookmarkStart w:id="636" w:name="__RefHeading___Toc3208825_2870459653"/>
      <w:bookmarkStart w:id="637" w:name="_Toc247"/>
      <w:bookmarkEnd w:id="635"/>
      <w:bookmarkEnd w:id="636"/>
      <w:r>
        <w:rPr/>
        <w:t>1</w:t>
      </w:r>
      <w:r>
        <w:rPr>
          <w:rtl w:val="true"/>
        </w:rPr>
        <w:t xml:space="preserve">. </w:t>
      </w:r>
      <w:r>
        <w:rPr>
          <w:rtl w:val="true"/>
        </w:rPr>
        <w:t>حمزة بن محمّد الطيّار</w:t>
      </w:r>
      <w:bookmarkEnd w:id="637"/>
    </w:p>
    <w:p>
      <w:pPr>
        <w:pStyle w:val="BookText"/>
        <w:rPr/>
      </w:pPr>
      <w:r>
        <w:rPr>
          <w:rFonts w:ascii="Amiri" w:hAnsi="Amiri" w:eastAsia="Amiri" w:cs="Amiri"/>
          <w:color w:val="111111"/>
          <w:sz w:val="28"/>
          <w:sz w:val="28"/>
          <w:szCs w:val="28"/>
          <w:rtl w:val="true"/>
          <w:lang w:bidi="ar-SA"/>
        </w:rPr>
        <w:t>روى عنه جميل رواية واحدة، وردت في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وغيره، عن أحمد بن محمّد بن عيسى، عن الحسين بن سعيد، عن ابن أبي عمير، عن جميل بن درّاج، عن ابن الطيّار،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 هو حمزة لا والده، بقرينة أنّ الرواية مرويّة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ثعلبة بن ميمون عن حمزة بن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الرجل كونه إماميّاً</w:t>
      </w:r>
      <w:r>
        <w:rPr>
          <w:rStyle w:val="FootnoteAnchor"/>
          <w:rtl w:val="true"/>
        </w:rPr>
        <w:footnoteReference w:id="414"/>
      </w:r>
      <w:r>
        <w:rPr>
          <w:rFonts w:ascii="Amiri" w:hAnsi="Amiri" w:eastAsia="Amiri" w:cs="Amiri"/>
          <w:color w:val="111111"/>
          <w:sz w:val="28"/>
          <w:sz w:val="28"/>
          <w:szCs w:val="28"/>
          <w:rtl w:val="true"/>
          <w:lang w:bidi="ar-SA"/>
        </w:rPr>
        <w:t>، ولم يرد في حقّه توثيق أو 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والروايتان المعتبرتان اللّتان ذكرهما الكشّيّ</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الأحول، ومضمونها مضمون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الدالّتان على حُسن ابن الطيّار وجلالته إنّما هما واردتان بشأن أبيه كما نبّه على ذلك المحققّ التستريّ والسيد الخوئيّ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 بتوثيقه من جهة رواية صفوان عنه، لكنها غير ثابتة؛ لأنّ الطريق إلى تلك الرواية ضعيف</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3208827_2870459653"/>
      <w:bookmarkStart w:id="639" w:name="_Toc248"/>
      <w:bookmarkEnd w:id="638"/>
      <w:r>
        <w:rPr/>
        <w:t>2</w:t>
      </w:r>
      <w:r>
        <w:rPr>
          <w:rtl w:val="true"/>
        </w:rPr>
        <w:t xml:space="preserve">. </w:t>
      </w:r>
      <w:r>
        <w:rPr>
          <w:rtl w:val="true"/>
        </w:rPr>
        <w:t>زكريا بن يحيى الشعيريّ</w:t>
      </w:r>
      <w:bookmarkEnd w:id="63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يرد في حقّه توثيق أو تضعيف، وقد روى عنه جميل رواية واحدة، وردت في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40" w:name="pg10932_87901"/>
    </w:p>
    <w:p>
      <w:pPr>
        <w:pStyle w:val="BookText"/>
        <w:rPr/>
      </w:pPr>
      <w:bookmarkEnd w:id="640"/>
      <w:r>
        <w:rPr>
          <w:rFonts w:ascii="IRNazanin" w:hAnsi="IRNazanin" w:eastAsia="IRNazanin"/>
          <w:color w:val="111111"/>
          <w:sz w:val="28"/>
          <w:sz w:val="28"/>
          <w:szCs w:val="28"/>
          <w:rtl w:val="true"/>
          <w:lang w:bidi="fa-IR"/>
        </w:rPr>
        <w:t>وسندها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ومحمّد بن إسماعيل، عن الفضل بن شاذان جميعاً، عن ابن أبي عمير، عن جميل بن درّاج، عن زكريا بن يحيى الشعيريّ، عن الحكم 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على باب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للرجل ذكر في كتب الرجال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هناك اختلافاً كبيراً في النُسخ في مَن توسّط بين جميل والحكم، ولا يمكن ترجيح احتمال على آخر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تقدير كون المرويّ عنه هو زكريا بن يحيى فيحتمل أن يكون الواسطيّ الذي وثّقه النجاشيّ</w:t>
      </w:r>
      <w:r>
        <w:rPr>
          <w:rStyle w:val="FootnoteAnchor"/>
          <w:rtl w:val="true"/>
        </w:rPr>
        <w:footnoteReference w:id="419"/>
      </w:r>
      <w:r>
        <w:rPr>
          <w:rFonts w:ascii="Amiri" w:hAnsi="Amiri" w:eastAsia="Amiri" w:cs="Amiri"/>
          <w:color w:val="111111"/>
          <w:sz w:val="28"/>
          <w:sz w:val="28"/>
          <w:szCs w:val="28"/>
          <w:rtl w:val="true"/>
          <w:lang w:bidi="ar-SA"/>
        </w:rPr>
        <w:t>فإنّه من الطبقة الخامسة فيصلح أن يروي عنه جميل، وأمّا التميميّ الذي وثّقه النجاشيّ</w:t>
      </w:r>
      <w:r>
        <w:rPr>
          <w:rStyle w:val="FootnoteAnchor"/>
          <w:rtl w:val="true"/>
        </w:rPr>
        <w:footnoteReference w:id="420"/>
      </w:r>
      <w:r>
        <w:rPr>
          <w:rFonts w:ascii="Amiri" w:hAnsi="Amiri" w:eastAsia="Amiri" w:cs="Amiri"/>
          <w:color w:val="111111"/>
          <w:sz w:val="28"/>
          <w:sz w:val="28"/>
          <w:szCs w:val="28"/>
          <w:rtl w:val="true"/>
          <w:lang w:bidi="ar-SA"/>
        </w:rPr>
        <w:t>فهو لعلّه من السادسة، فيكون جميل أسبق منه</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3208829_2870459653"/>
      <w:bookmarkStart w:id="642" w:name="_Toc249"/>
      <w:bookmarkEnd w:id="641"/>
      <w:r>
        <w:rPr/>
        <w:t>3</w:t>
      </w:r>
      <w:r>
        <w:rPr>
          <w:rtl w:val="true"/>
        </w:rPr>
        <w:t xml:space="preserve">. </w:t>
      </w:r>
      <w:r>
        <w:rPr>
          <w:rtl w:val="true"/>
        </w:rPr>
        <w:t>سلمة بن محرز</w:t>
      </w:r>
      <w:bookmarkEnd w:id="642"/>
    </w:p>
    <w:p>
      <w:pPr>
        <w:pStyle w:val="BookText"/>
        <w:rPr/>
      </w:pPr>
      <w:r>
        <w:rPr>
          <w:rFonts w:ascii="IRNazanin" w:hAnsi="IRNazanin" w:eastAsia="IRNazanin"/>
          <w:color w:val="111111"/>
          <w:sz w:val="28"/>
          <w:sz w:val="28"/>
          <w:szCs w:val="28"/>
          <w:rtl w:val="true"/>
          <w:lang w:bidi="fa-IR"/>
        </w:rPr>
        <w:t xml:space="preserve">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والظاهر أنّه سلمة بن محرز القلانسيّ الكوفيّ، ويفهم من بعض رواياته أنّه كان شيعيّاً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اعتمد بعضهم على روايته من حيث كونه من مشايخ ابن أبي عمير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والمتتبِّع للأسانيد يجد أنّ روايات ابن أبي عمير عن رواة الطبقة الرابعة تكون مع </w:t>
      </w:r>
      <w:bookmarkStart w:id="643" w:name="pg10932_87902"/>
    </w:p>
    <w:p>
      <w:pPr>
        <w:pStyle w:val="BookText"/>
        <w:rPr/>
      </w:pPr>
      <w:bookmarkEnd w:id="643"/>
      <w:r>
        <w:rPr>
          <w:rFonts w:ascii="Amiri" w:hAnsi="Amiri" w:eastAsia="Amiri" w:cs="Amiri"/>
          <w:color w:val="111111"/>
          <w:sz w:val="28"/>
          <w:sz w:val="28"/>
          <w:szCs w:val="28"/>
          <w:rtl w:val="true"/>
          <w:lang w:bidi="ar-SA"/>
        </w:rPr>
        <w:t>الواسطة في سائر الموارد، فكون سلمة من مشايخ ابن أبي عمير محلّ نظر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3208831_2870459653"/>
      <w:bookmarkStart w:id="645" w:name="_Toc250"/>
      <w:bookmarkEnd w:id="644"/>
      <w:r>
        <w:rPr/>
        <w:t>4</w:t>
      </w:r>
      <w:r>
        <w:rPr>
          <w:rtl w:val="true"/>
        </w:rPr>
        <w:t xml:space="preserve">. </w:t>
      </w:r>
      <w:r>
        <w:rPr>
          <w:rtl w:val="true"/>
        </w:rPr>
        <w:t>عمرو بن الأشعث</w:t>
      </w:r>
      <w:bookmarkEnd w:id="645"/>
    </w:p>
    <w:p>
      <w:pPr>
        <w:pStyle w:val="BookText"/>
        <w:rPr/>
      </w:pPr>
      <w:r>
        <w:rPr>
          <w:rFonts w:ascii="Amiri" w:hAnsi="Amiri" w:eastAsia="Amiri" w:cs="Amiri"/>
          <w:color w:val="111111"/>
          <w:sz w:val="28"/>
          <w:sz w:val="28"/>
          <w:szCs w:val="28"/>
          <w:rtl w:val="true"/>
          <w:lang w:bidi="ar-SA"/>
        </w:rPr>
        <w:t>لم يرد في حقّه توثيق أو تضعيف، وقد روى عنه جميل رواية واحدة، وردت في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عليّ بن حديد، عن جميل، عن عمرو بن الأشعث أنّه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قلّة رواياته فقد رواها عنه ثلاثة من أصحاب الإجماع</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جميل عنه غير ثابتة؛ فإنّ الراوي عن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حديد، وهو مضعّف</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3208833_2870459653"/>
      <w:bookmarkStart w:id="647" w:name="_Toc251"/>
      <w:bookmarkEnd w:id="646"/>
      <w:r>
        <w:rPr/>
        <w:t>5</w:t>
      </w:r>
      <w:r>
        <w:rPr>
          <w:rtl w:val="true"/>
        </w:rPr>
        <w:t xml:space="preserve">. </w:t>
      </w:r>
      <w:r>
        <w:rPr>
          <w:rtl w:val="true"/>
        </w:rPr>
        <w:t>عائذ الأحمسيّ</w:t>
      </w:r>
      <w:bookmarkEnd w:id="647"/>
    </w:p>
    <w:p>
      <w:pPr>
        <w:pStyle w:val="BookText"/>
        <w:rPr/>
      </w:pPr>
      <w:r>
        <w:rPr>
          <w:rFonts w:ascii="Amiri" w:hAnsi="Amiri" w:eastAsia="Amiri" w:cs="Amiri"/>
          <w:color w:val="111111"/>
          <w:sz w:val="28"/>
          <w:sz w:val="28"/>
          <w:szCs w:val="28"/>
          <w:rtl w:val="true"/>
          <w:lang w:bidi="ar-SA"/>
        </w:rPr>
        <w:t>روى عنه جميل رواية واحدة، وردت في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جميل بن درّاج، عن عائذ الأحمسيّ، قال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عائذ الأحمسيّ هو عائذ بن حبيب كما يدلّ عليه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المشيخة،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فيه عن عائذ الأحمسيّ فقد رويته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عائذ ابن حبيب الأحمسيّ</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648" w:name="pg10932_87903"/>
    </w:p>
    <w:p>
      <w:pPr>
        <w:pStyle w:val="BookText"/>
        <w:rPr/>
      </w:pPr>
      <w:bookmarkEnd w:id="648"/>
      <w:r>
        <w:rPr>
          <w:rFonts w:ascii="Amiri" w:hAnsi="Amiri" w:eastAsia="Amiri" w:cs="Amiri"/>
          <w:color w:val="111111"/>
          <w:sz w:val="28"/>
          <w:sz w:val="28"/>
          <w:szCs w:val="28"/>
          <w:rtl w:val="true"/>
          <w:lang w:bidi="ar-SA"/>
        </w:rPr>
        <w:t>ولم يرد في حقّه توثيق أو تضعيف</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3208835_2870459653"/>
      <w:bookmarkStart w:id="650" w:name="_Toc252"/>
      <w:bookmarkEnd w:id="649"/>
      <w:r>
        <w:rPr/>
        <w:t>6</w:t>
      </w:r>
      <w:r>
        <w:rPr>
          <w:rtl w:val="true"/>
        </w:rPr>
        <w:t xml:space="preserve">. </w:t>
      </w:r>
      <w:r>
        <w:rPr>
          <w:rtl w:val="true"/>
        </w:rPr>
        <w:t>عبد الله بن عطاء</w:t>
      </w:r>
      <w:bookmarkEnd w:id="650"/>
    </w:p>
    <w:p>
      <w:pPr>
        <w:pStyle w:val="BookText"/>
        <w:rPr/>
      </w:pPr>
      <w:r>
        <w:rPr>
          <w:rFonts w:ascii="Amiri" w:hAnsi="Amiri" w:eastAsia="Amiri" w:cs="Amiri"/>
          <w:color w:val="111111"/>
          <w:sz w:val="28"/>
          <w:sz w:val="28"/>
          <w:szCs w:val="28"/>
          <w:rtl w:val="true"/>
          <w:lang w:bidi="ar-SA"/>
        </w:rPr>
        <w:t>لم يرد في حقّه توثيق أو تضعيف، وقد روى عنه جميل رواية واحدة، وردت في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جميل بن درّاج، عن عبد الله بن عطاء،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Heading5"/>
        <w:numPr>
          <w:ilvl w:val="4"/>
          <w:numId w:val="1"/>
        </w:numPr>
        <w:rPr/>
      </w:pPr>
      <w:bookmarkStart w:id="651" w:name="__RefHeading___Toc3208837_2870459653"/>
      <w:bookmarkStart w:id="652" w:name="_Toc253"/>
      <w:bookmarkEnd w:id="651"/>
      <w:r>
        <w:rPr/>
        <w:t>7</w:t>
      </w:r>
      <w:r>
        <w:rPr>
          <w:rtl w:val="true"/>
        </w:rPr>
        <w:t xml:space="preserve">. </w:t>
      </w:r>
      <w:r>
        <w:rPr>
          <w:rtl w:val="true"/>
        </w:rPr>
        <w:t>عبد الله بن محرز</w:t>
      </w:r>
      <w:bookmarkEnd w:id="652"/>
    </w:p>
    <w:p>
      <w:pPr>
        <w:pStyle w:val="BookText"/>
        <w:rPr/>
      </w:pPr>
      <w:r>
        <w:rPr>
          <w:rFonts w:ascii="Amiri" w:hAnsi="Amiri" w:eastAsia="Amiri" w:cs="Amiri"/>
          <w:color w:val="111111"/>
          <w:sz w:val="28"/>
          <w:sz w:val="28"/>
          <w:szCs w:val="28"/>
          <w:rtl w:val="true"/>
          <w:lang w:bidi="ar-SA"/>
        </w:rPr>
        <w:t>لم يرد في حقّه توثيق أو تضعيف، ووردت رواية جميل عنه في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فضّال، عن جعفر بن محمّد بن حكيم، عن جميل بن درّاج، عن عبد الله بن محرز،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والرواية بنفس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في الكافي</w:t>
      </w:r>
      <w:r>
        <w:rPr>
          <w:rFonts w:eastAsia="IRNazanin" w:cs="IRNazanin"/>
          <w:color w:val="111111"/>
          <w:sz w:val="28"/>
          <w:szCs w:val="28"/>
          <w:rtl w:val="true"/>
          <w:lang w:bidi="fa-IR"/>
        </w:rPr>
        <w:t>: (</w:t>
      </w:r>
      <w:r>
        <w:rPr>
          <w:rFonts w:eastAsia="IRNazanin" w:cs="IRNazanin"/>
          <w:color w:val="111111"/>
          <w:sz w:val="28"/>
          <w:szCs w:val="28"/>
          <w:lang w:bidi="fa-IR"/>
        </w:rPr>
        <w:t>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مغاير،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عمر بن أذينة، عن عبد الله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Heading5"/>
        <w:numPr>
          <w:ilvl w:val="4"/>
          <w:numId w:val="1"/>
        </w:numPr>
        <w:rPr/>
      </w:pPr>
      <w:bookmarkStart w:id="653" w:name="__RefHeading___Toc3208839_2870459653"/>
      <w:bookmarkStart w:id="654" w:name="_Toc254"/>
      <w:bookmarkEnd w:id="653"/>
      <w:r>
        <w:rPr/>
        <w:t>8</w:t>
      </w:r>
      <w:r>
        <w:rPr>
          <w:rtl w:val="true"/>
        </w:rPr>
        <w:t xml:space="preserve">. </w:t>
      </w:r>
      <w:r>
        <w:rPr>
          <w:rtl w:val="true"/>
        </w:rPr>
        <w:t>عنبسة</w:t>
      </w:r>
      <w:bookmarkEnd w:id="654"/>
    </w:p>
    <w:p>
      <w:pPr>
        <w:pStyle w:val="BookText"/>
        <w:rPr/>
      </w:pPr>
      <w:r>
        <w:rPr>
          <w:rFonts w:ascii="Amiri" w:hAnsi="Amiri" w:eastAsia="Amiri" w:cs="Amiri"/>
          <w:color w:val="111111"/>
          <w:sz w:val="28"/>
          <w:sz w:val="28"/>
          <w:szCs w:val="28"/>
          <w:rtl w:val="true"/>
          <w:lang w:bidi="ar-SA"/>
        </w:rPr>
        <w:t>روى عنه جميل رواية واحدة وردت في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يجبر الرجل إلّا على نفقة الأبوين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عمير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عن عنبسة،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bookmarkStart w:id="655" w:name="pg10932_87904"/>
    </w:p>
    <w:p>
      <w:pPr>
        <w:pStyle w:val="BookText"/>
        <w:rPr/>
      </w:pPr>
      <w:bookmarkEnd w:id="655"/>
      <w:r>
        <w:rPr>
          <w:rFonts w:ascii="Amiri" w:hAnsi="Amiri" w:eastAsia="Amiri" w:cs="Amiri"/>
          <w:color w:val="111111"/>
          <w:sz w:val="28"/>
          <w:sz w:val="28"/>
          <w:szCs w:val="28"/>
          <w:rtl w:val="true"/>
          <w:lang w:bidi="ar-SA"/>
        </w:rPr>
        <w:t>ويمكن القول بوثاقته من خلال رواية صفوان عنه في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رجال الكشّيّ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ابن أبي عمير عنه في من لا يحضره الفقيه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427"/>
      </w:r>
      <w:r>
        <w:rPr>
          <w:rFonts w:ascii="Amiri" w:hAnsi="Amiri" w:eastAsia="Amiri" w:cs="Amiri"/>
          <w:color w:val="111111"/>
          <w:sz w:val="28"/>
          <w:sz w:val="28"/>
          <w:szCs w:val="28"/>
          <w:rtl w:val="true"/>
          <w:lang w:bidi="ar-SA"/>
        </w:rPr>
        <w:t xml:space="preserve">باتّحاده مع عنبسة بن بجاد العابد الذي وثّقه النجاشي في 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3208841_2870459653"/>
      <w:bookmarkStart w:id="657" w:name="_Toc255"/>
      <w:bookmarkEnd w:id="656"/>
      <w:r>
        <w:rPr/>
        <w:t>9</w:t>
      </w:r>
      <w:r>
        <w:rPr>
          <w:rtl w:val="true"/>
        </w:rPr>
        <w:t xml:space="preserve">. </w:t>
      </w:r>
      <w:r>
        <w:rPr>
          <w:rtl w:val="true"/>
        </w:rPr>
        <w:t>عليّ الأزرق</w:t>
      </w:r>
      <w:bookmarkEnd w:id="657"/>
    </w:p>
    <w:p>
      <w:pPr>
        <w:pStyle w:val="BookText"/>
        <w:rPr/>
      </w:pPr>
      <w:r>
        <w:rPr>
          <w:rFonts w:ascii="Amiri" w:hAnsi="Amiri" w:eastAsia="Amiri" w:cs="Amiri"/>
          <w:color w:val="111111"/>
          <w:sz w:val="28"/>
          <w:sz w:val="28"/>
          <w:szCs w:val="28"/>
          <w:rtl w:val="true"/>
          <w:lang w:bidi="ar-SA"/>
        </w:rPr>
        <w:t>روى عنه جميل رواية واحدة، وردت في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جميل بن درّاج، عن عليّ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 الأزرق هو عليّ بن أبي المغيرة الزبيديّ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وثّقه العلّامة وابن داود</w:t>
      </w:r>
      <w:r>
        <w:rPr>
          <w:rStyle w:val="FootnoteAnchor"/>
          <w:rtl w:val="true"/>
        </w:rPr>
        <w:footnoteReference w:id="429"/>
      </w:r>
      <w:r>
        <w:rPr>
          <w:rFonts w:ascii="Amiri" w:hAnsi="Amiri" w:eastAsia="Amiri" w:cs="Amiri"/>
          <w:color w:val="111111"/>
          <w:sz w:val="28"/>
          <w:sz w:val="28"/>
          <w:szCs w:val="28"/>
          <w:rtl w:val="true"/>
          <w:lang w:bidi="ar-SA"/>
        </w:rPr>
        <w:t xml:space="preserve">، ولكن لا يمكن البناء على ذلك، ولعلّ منشأ توثيقهما عبارة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ابنه الحسن</w:t>
      </w:r>
      <w:r>
        <w:rPr>
          <w:rStyle w:val="FootnoteAnchor"/>
          <w:rtl w:val="true"/>
        </w:rPr>
        <w:footnoteReference w:id="430"/>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عليّ بن أبي المغيرة الزبيديّ الكوفيّ، ثقة هو، وأبوه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يروي كتاب أبيه،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أنّ التوثيق في كلام النجاشيّ يرجع إلى الحسن لا إلى أبيه ولا إليهما معاً، كما أوضح ذلك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658" w:name="pg10932_87905"/>
    </w:p>
    <w:p>
      <w:pPr>
        <w:pStyle w:val="Heading5"/>
        <w:numPr>
          <w:ilvl w:val="4"/>
          <w:numId w:val="1"/>
        </w:numPr>
        <w:rPr/>
      </w:pPr>
      <w:bookmarkStart w:id="659" w:name="__RefHeading___Toc3208843_2870459653"/>
      <w:bookmarkStart w:id="660" w:name="_Toc256"/>
      <w:bookmarkEnd w:id="658"/>
      <w:bookmarkEnd w:id="659"/>
      <w:r>
        <w:rPr/>
        <w:t>10</w:t>
      </w:r>
      <w:r>
        <w:rPr>
          <w:rtl w:val="true"/>
        </w:rPr>
        <w:t xml:space="preserve">. </w:t>
      </w:r>
      <w:r>
        <w:rPr>
          <w:rtl w:val="true"/>
        </w:rPr>
        <w:t>منصور الصيقل</w:t>
      </w:r>
      <w:bookmarkEnd w:id="660"/>
    </w:p>
    <w:p>
      <w:pPr>
        <w:pStyle w:val="BookText"/>
        <w:rPr/>
      </w:pPr>
      <w:r>
        <w:rPr>
          <w:rFonts w:ascii="IRNazanin" w:hAnsi="IRNazanin" w:eastAsia="IRNazanin"/>
          <w:color w:val="111111"/>
          <w:sz w:val="28"/>
          <w:sz w:val="28"/>
          <w:szCs w:val="28"/>
          <w:rtl w:val="true"/>
          <w:lang w:bidi="fa-IR"/>
        </w:rPr>
        <w:t xml:space="preserve">كوفيٌّ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البرقي</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إشعار بأنّه من الشيعة الخلّص</w:t>
      </w:r>
      <w:r>
        <w:rPr>
          <w:rStyle w:val="FootnoteAnchor"/>
          <w:rtl w:val="true"/>
        </w:rPr>
        <w:footnoteReference w:id="433"/>
      </w:r>
      <w:r>
        <w:rPr>
          <w:rFonts w:ascii="Amiri" w:hAnsi="Amiri" w:eastAsia="Amiri" w:cs="Amiri"/>
          <w:color w:val="111111"/>
          <w:sz w:val="28"/>
          <w:sz w:val="28"/>
          <w:szCs w:val="28"/>
          <w:rtl w:val="true"/>
          <w:lang w:bidi="ar-SA"/>
        </w:rPr>
        <w:t>، ولم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جميل خمس روايات</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3208845_2870459653"/>
      <w:bookmarkStart w:id="662" w:name="_Toc257"/>
      <w:bookmarkEnd w:id="661"/>
      <w:r>
        <w:rPr/>
        <w:t>11</w:t>
      </w:r>
      <w:r>
        <w:rPr>
          <w:rtl w:val="true"/>
        </w:rPr>
        <w:t xml:space="preserve">. </w:t>
      </w:r>
      <w:r>
        <w:rPr>
          <w:rtl w:val="true"/>
        </w:rPr>
        <w:t>الحسن بن شهاب</w:t>
      </w:r>
      <w:bookmarkEnd w:id="662"/>
    </w:p>
    <w:p>
      <w:pPr>
        <w:pStyle w:val="BookText"/>
        <w:rPr/>
      </w:pPr>
      <w:r>
        <w:rPr>
          <w:rFonts w:ascii="Amiri" w:hAnsi="Amiri" w:eastAsia="Amiri" w:cs="Amiri"/>
          <w:color w:val="111111"/>
          <w:sz w:val="28"/>
          <w:sz w:val="28"/>
          <w:szCs w:val="28"/>
          <w:rtl w:val="true"/>
          <w:lang w:bidi="ar-SA"/>
        </w:rPr>
        <w:t>روى عنه جميل رواية واحدة، وردت في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محمّد بن الحسين، عن صفوان، عن جميل، عن الحسن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فيه توثيق، وقد روى عنه بعض الأجلّة غير جميل، كأبان بن عثمان وجعفر بن بشير</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3208847_2870459653"/>
      <w:bookmarkStart w:id="664" w:name="_Toc258"/>
      <w:bookmarkEnd w:id="663"/>
      <w:r>
        <w:rPr/>
        <w:t>12</w:t>
      </w:r>
      <w:r>
        <w:rPr>
          <w:rtl w:val="true"/>
        </w:rPr>
        <w:t xml:space="preserve">. </w:t>
      </w:r>
      <w:r>
        <w:rPr>
          <w:rtl w:val="true"/>
        </w:rPr>
        <w:t>يونس بن ظبيان</w:t>
      </w:r>
      <w:bookmarkEnd w:id="664"/>
    </w:p>
    <w:p>
      <w:pPr>
        <w:pStyle w:val="BookText"/>
        <w:rPr/>
      </w:pPr>
      <w:r>
        <w:rPr>
          <w:rFonts w:ascii="Amiri" w:hAnsi="Amiri" w:eastAsia="Amiri" w:cs="Amiri"/>
          <w:color w:val="111111"/>
          <w:sz w:val="28"/>
          <w:sz w:val="28"/>
          <w:szCs w:val="28"/>
          <w:rtl w:val="true"/>
          <w:lang w:bidi="ar-SA"/>
        </w:rPr>
        <w:t>روى جميل عن يونس رواية واحدة مشتركاً مع حفص بن غياث، وردت في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جميل بن درّاج، عن يونس بن ظبيان، وحفص بن غياث،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أخبار في ذمّه</w:t>
      </w:r>
      <w:r>
        <w:rPr>
          <w:rStyle w:val="FootnoteAnchor"/>
          <w:rtl w:val="true"/>
        </w:rPr>
        <w:footnoteReference w:id="434"/>
      </w:r>
      <w:r>
        <w:rPr>
          <w:rFonts w:ascii="Amiri" w:hAnsi="Amiri" w:eastAsia="Amiri" w:cs="Amiri"/>
          <w:color w:val="111111"/>
          <w:sz w:val="28"/>
          <w:sz w:val="28"/>
          <w:szCs w:val="28"/>
          <w:rtl w:val="true"/>
          <w:lang w:bidi="ar-SA"/>
        </w:rPr>
        <w:t>، وأخرى في مدحه</w:t>
      </w:r>
      <w:r>
        <w:rPr>
          <w:rStyle w:val="FootnoteAnchor"/>
          <w:rtl w:val="true"/>
        </w:rPr>
        <w:footnoteReference w:id="435"/>
      </w:r>
      <w:r>
        <w:rPr>
          <w:rFonts w:ascii="Amiri" w:hAnsi="Amiri" w:eastAsia="Amiri" w:cs="Amiri"/>
          <w:color w:val="111111"/>
          <w:sz w:val="28"/>
          <w:sz w:val="28"/>
          <w:szCs w:val="28"/>
          <w:rtl w:val="true"/>
          <w:lang w:bidi="ar-SA"/>
        </w:rPr>
        <w:t>، وقد ذهب أساطين علماء الرجال إلى تضعيف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الجدير بالذكر أنّ جميل روى هذه الرواية عن يونس بن ظبيان وحفص بن غياث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وحفص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ثبوت رواية جميل بن درّاج عن زكريا بن يحيى، ولا عن عمرو بن الأشعث؛ لضعف السند إلى جميل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جميل بن درّاج لم يروِ عمّن ثبت ضعفه إلّا في يونس بن ظبيان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من يمكن القول بوثاقته ممّن مرّ ذكرهم من المشايخ الاثني عشر هو عنبسة ابن مصعب بناءً على وثاقة من روى عنه ابن أبي عمير وصفوان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جميل بن درّاج عن ثمانية من المشايخ الذين لم يرد في حقّهم توثيق أو تضعيف</w:t>
      </w:r>
      <w:r>
        <w:rPr>
          <w:rFonts w:eastAsia="Amiri" w:cs="Amiri" w:ascii="Amiri" w:hAnsi="Amiri"/>
          <w:color w:val="111111"/>
          <w:sz w:val="28"/>
          <w:szCs w:val="28"/>
          <w:rtl w:val="true"/>
          <w:lang w:bidi="ar-SA"/>
        </w:rPr>
        <w:t xml:space="preserve">. </w:t>
      </w:r>
      <w:bookmarkStart w:id="665" w:name="pg10932_87907"/>
    </w:p>
    <w:p>
      <w:pPr>
        <w:pStyle w:val="Heading3"/>
        <w:numPr>
          <w:ilvl w:val="2"/>
          <w:numId w:val="1"/>
        </w:numPr>
        <w:rPr/>
      </w:pPr>
      <w:bookmarkStart w:id="666" w:name="__RefHeading___Toc3208849_2870459653"/>
      <w:bookmarkStart w:id="667" w:name="_Toc259"/>
      <w:bookmarkEnd w:id="665"/>
      <w:bookmarkEnd w:id="666"/>
      <w:r>
        <w:rPr>
          <w:rtl w:val="true"/>
        </w:rPr>
        <w:t>المبحث الثاني</w:t>
      </w:r>
      <w:r>
        <w:rPr>
          <w:rtl w:val="true"/>
        </w:rPr>
        <w:t xml:space="preserve">: </w:t>
      </w:r>
      <w:r>
        <w:rPr>
          <w:rtl w:val="true"/>
        </w:rPr>
        <w:t>في تطبيق حساب الاحتمالات على روايات جميل</w:t>
      </w:r>
      <w:bookmarkEnd w:id="667"/>
    </w:p>
    <w:p>
      <w:pPr>
        <w:pStyle w:val="Heading4"/>
        <w:numPr>
          <w:ilvl w:val="3"/>
          <w:numId w:val="1"/>
        </w:numPr>
        <w:rPr/>
      </w:pPr>
      <w:bookmarkStart w:id="668" w:name="__RefHeading___Toc3208851_2870459653"/>
      <w:bookmarkStart w:id="669" w:name="_Toc260"/>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روى جميل بن درّاج في الكتب الحديثيّة المئات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تلك الروايات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بضعف أو عدم ثبوت وثاقة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منهم، إلّا أنك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القول بوثاقة بعضهم وعدم ثبوت روايته عن البعض الآخر، فيتحصّل أنّ جميل روى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وكان غير الموثقين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والمضعّف صريحاً هو شيخ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حساب الاحتمالات أن يُجرى وفق عدد الروايات</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كلّ راوٍ على استحقاقه من قيمة الاحتمال بحسب رواياته، إلّا أننا لم نقتصر على ذلك وأجريناه وفق عدد الرواة أيضاً لزيادة في الفائدة لمن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المعادلة التي تخرج النسبة المئويّة للثقات والضعفاء مباشرة يكون شكلها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المحدّد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bookmarkStart w:id="670" w:name="pg10932_87908"/>
    </w:p>
    <w:p>
      <w:pPr>
        <w:pStyle w:val="BookText"/>
        <w:rPr/>
      </w:pPr>
      <w:bookmarkEnd w:id="670"/>
      <w:r>
        <w:rPr>
          <w:rFonts w:ascii="Amiri" w:hAnsi="Amiri" w:eastAsia="Amiri" w:cs="Amiri"/>
          <w:color w:val="111111"/>
          <w:sz w:val="28"/>
          <w:sz w:val="28"/>
          <w:szCs w:val="28"/>
          <w:rtl w:val="true"/>
          <w:lang w:bidi="ar-SA"/>
        </w:rPr>
        <w:t>ولتطبيق هذه المعادلة هناك عدّة حالات وصور</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208853_2870459653"/>
      <w:bookmarkStart w:id="672" w:name="_Toc261"/>
      <w:bookmarkEnd w:id="671"/>
      <w:r>
        <w:rPr>
          <w:rtl w:val="true"/>
        </w:rPr>
        <w:t>الحالة الأولى</w:t>
      </w:r>
      <w:bookmarkEnd w:id="672"/>
    </w:p>
    <w:p>
      <w:pPr>
        <w:pStyle w:val="BookText"/>
        <w:rPr/>
      </w:pPr>
      <w:r>
        <w:rPr>
          <w:rFonts w:ascii="Amiri" w:hAnsi="Amiri" w:eastAsia="Amiri" w:cs="Amiri"/>
          <w:color w:val="111111"/>
          <w:sz w:val="28"/>
          <w:sz w:val="28"/>
          <w:szCs w:val="28"/>
          <w:rtl w:val="true"/>
          <w:lang w:bidi="ar-SA"/>
        </w:rPr>
        <w:t xml:space="preserve">في حساب المرويّات التي وردت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مشايخه في 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والتهذيب والاستبصار والفقيه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أجرينا التتبّع لجميع 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حذف المكرّر منها، واستبعاد الروايات الضعيفة السند إلى جميل؛ لأنّها غير منتجة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النتائج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 رواياته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عدد رواياته عمّن لم يوثّق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عدد رواياته عمّن صرّح بضعفه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ولحساب نسبة رواياته عن غير الموثّق عدا ما رواه عن بعض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نسبة رواياته عن غير الموثّقين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3208855_2870459653"/>
      <w:bookmarkStart w:id="674" w:name="_Toc262"/>
      <w:bookmarkEnd w:id="673"/>
      <w:r>
        <w:rPr>
          <w:rtl w:val="true"/>
        </w:rPr>
        <w:t>الحالة الثانية</w:t>
      </w:r>
      <w:bookmarkEnd w:id="674"/>
    </w:p>
    <w:p>
      <w:pPr>
        <w:pStyle w:val="BookText"/>
        <w:rPr/>
      </w:pPr>
      <w:r>
        <w:rPr>
          <w:rFonts w:ascii="Amiri" w:hAnsi="Amiri" w:eastAsia="Amiri" w:cs="Amiri"/>
          <w:color w:val="111111"/>
          <w:sz w:val="28"/>
          <w:sz w:val="28"/>
          <w:szCs w:val="28"/>
          <w:rtl w:val="true"/>
          <w:lang w:bidi="ar-SA"/>
        </w:rPr>
        <w:t xml:space="preserve">في حساب المرويّات التي وردت بعنوان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مشايخه في 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والتهذيب والاستبصار والفقيه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أجرينا التتبّع لجميع 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حذف المكرّر منها، واستبعاد الروايات الضعيفة السند؛ لأنّها غير منتجة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النتائج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 رواياته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رواياته عمّن لم يوثّق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75" w:name="pg10932_87909"/>
    </w:p>
    <w:p>
      <w:pPr>
        <w:pStyle w:val="BookText"/>
        <w:rPr/>
      </w:pPr>
      <w:bookmarkEnd w:id="675"/>
      <w:r>
        <w:rPr>
          <w:rFonts w:ascii="Amiri" w:hAnsi="Amiri" w:eastAsia="Amiri" w:cs="Amiri"/>
          <w:color w:val="111111"/>
          <w:sz w:val="28"/>
          <w:sz w:val="28"/>
          <w:szCs w:val="28"/>
          <w:rtl w:val="true"/>
          <w:lang w:bidi="ar-SA"/>
        </w:rPr>
        <w:t>عدد رواياته عن 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ولحساب نسبة رواياته عن غير الموثق عدا ما رواه عن بعض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أردنا أن ندمج العنوانين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النتيجة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3208857_2870459653"/>
      <w:bookmarkStart w:id="677" w:name="_Toc263"/>
      <w:bookmarkEnd w:id="676"/>
      <w:r>
        <w:rPr>
          <w:rtl w:val="true"/>
        </w:rPr>
        <w:t>الحالة الثالثة</w:t>
      </w:r>
      <w:bookmarkEnd w:id="677"/>
    </w:p>
    <w:p>
      <w:pPr>
        <w:pStyle w:val="BookText"/>
        <w:rPr/>
      </w:pPr>
      <w:r>
        <w:rPr>
          <w:rFonts w:ascii="Amiri" w:hAnsi="Amiri" w:eastAsia="Amiri" w:cs="Amiri"/>
          <w:color w:val="111111"/>
          <w:sz w:val="28"/>
          <w:sz w:val="28"/>
          <w:szCs w:val="28"/>
          <w:rtl w:val="true"/>
          <w:lang w:bidi="ar-SA"/>
        </w:rPr>
        <w:t>في حساب نسبة الاحتمال لمشايخه غير الموثّقين والضعفاء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غير الموثّقين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الضعفاء صريحاً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غير الموثّقين والضعفاء صريحاً معاً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هذه النتائج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المهم منها وهو دمج الحالتين الأولى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يحصل الاطمئنان بكون الواسطة المبهمة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بين جميل وبين أحد الإمامين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سوى أحد مشايخه الثقات</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678" w:name="pg10932_87911"/>
    </w:p>
    <w:p>
      <w:pPr>
        <w:pStyle w:val="Heading3"/>
        <w:numPr>
          <w:ilvl w:val="2"/>
          <w:numId w:val="1"/>
        </w:numPr>
        <w:rPr/>
      </w:pPr>
      <w:bookmarkStart w:id="679" w:name="__RefHeading___Toc3208859_2870459653"/>
      <w:bookmarkStart w:id="680" w:name="_Toc264"/>
      <w:bookmarkEnd w:id="678"/>
      <w:bookmarkEnd w:id="679"/>
      <w:r>
        <w:rPr>
          <w:rtl w:val="true"/>
        </w:rPr>
        <w:t>الخاتمة</w:t>
      </w:r>
      <w:r>
        <w:rPr>
          <w:rtl w:val="true"/>
        </w:rPr>
        <w:t xml:space="preserve">: </w:t>
      </w:r>
      <w:r>
        <w:rPr>
          <w:rtl w:val="true"/>
        </w:rPr>
        <w:t>في خلاصة النتائج التي توصّلنا إليها من خلال الطرح المتقدّم</w:t>
      </w:r>
      <w:bookmarkEnd w:id="68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جميل بن درّاج من الرواة الثقات المكثرين الذين أجمع الأصحاب الأوائل على جلالته وأقرّوا له بالعلم والفقاهة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جميل بن درّاج في الكتب الأربعة عن واحد وأربعين شيخاً، وجلّهم من الثقات كزرارة ومحمّد بن مسلم وأبان بن تغلب، وأنّه لم يروِ عن ضعيف مصرّح بضعفه إلّا في يونس بن ظبيان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عن ثمانية ممّن لم يصرّح بوثاقتها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مرويّات جميل بن درّاج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ستّاً وثلاثين رواية، وقد تكرّرت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 خلال حساب الاحتمالات أنّ نسبة روايات جميل بن درّاج عن غير الموثقين والمضعّفين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نسبة ضئيلة يمكن إهمالها عند العقلاء ليحصل الاطمئنان بأنّ الواسطة 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سوى أحد مشايخه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تقدّم فإنّه لو اطمأنّ الرجاليّ وفق هذه المعطيات وحكم على أنّ الذي عبّر عنه جميل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مشايخه الثقات لما كان بعيداً عن الصواب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الطّيّبين الطّاهرين</w:t>
      </w:r>
      <w:r>
        <w:rPr>
          <w:rFonts w:eastAsia="Amiri" w:cs="Amiri" w:ascii="Amiri" w:hAnsi="Amiri"/>
          <w:color w:val="111111"/>
          <w:sz w:val="28"/>
          <w:szCs w:val="28"/>
          <w:rtl w:val="true"/>
          <w:lang w:bidi="ar-SA"/>
        </w:rPr>
        <w:t xml:space="preserve">. </w:t>
      </w:r>
      <w:bookmarkStart w:id="681" w:name="pg10932_87912"/>
    </w:p>
    <w:p>
      <w:pPr>
        <w:pStyle w:val="Heading3"/>
        <w:numPr>
          <w:ilvl w:val="2"/>
          <w:numId w:val="1"/>
        </w:numPr>
        <w:rPr/>
      </w:pPr>
      <w:bookmarkStart w:id="682" w:name="__RefHeading___Toc3208861_2870459653"/>
      <w:bookmarkStart w:id="683" w:name="_Toc265"/>
      <w:bookmarkEnd w:id="681"/>
      <w:bookmarkEnd w:id="682"/>
      <w:r>
        <w:rPr>
          <w:rtl w:val="true"/>
        </w:rPr>
        <w:t>المصادر</w:t>
      </w:r>
      <w:bookmarkEnd w:id="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ط الرابعة،</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فقهيّة، السيّد محمّد رضا السيستانيّ،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الثالثة،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شرح مناسك الحجّ، أبحاث السيّد محمّد رضا السيستانيّ، بقلم الشيخ أمجد رياض والشيخ نزار يوسف،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الثانية،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الرجال، الشيخ عبد النبي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ط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تنقيح المقال في علم الرجال، الشيخ عبد الله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محيي الدين المامقانيّ، الشيخ محمّد رضا المامقانيّ،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p>
    <w:p>
      <w:pPr>
        <w:pStyle w:val="BookText"/>
        <w:rPr/>
      </w:pPr>
      <w:r>
        <w:rPr>
          <w:rFonts w:ascii="Amiri" w:hAnsi="Amiri" w:eastAsia="Amiri" w:cs="Amiri"/>
          <w:color w:val="111111"/>
          <w:sz w:val="28"/>
          <w:sz w:val="28"/>
          <w:szCs w:val="28"/>
          <w:rtl w:val="true"/>
          <w:lang w:bidi="ar-SA"/>
        </w:rPr>
        <w:t>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ط الثالثة،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في معرفة الرجال، الشيخ أبو منصور الحسن بن يوسف بن المطهّر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داود، الشيخ تقي الدين الحسن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الشيخ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الرجاليّة، الشيخ أبو المعالي محمّد بن محمّد إبراهيم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الدرايتيّ،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ط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الرواشح السماويّة، السيّد محمّد باقر الداماد الحسينيّ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حسين قيصريه ها، نعمة الله الجليليّ،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ط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الأصول، الشيخ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مهدي نجف،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الرجال، السيّد محسن الحسينيّ الأعرجيّ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الهداية لإحياء التراث،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ط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عباد الله الطهرانيّ، الشيخ عليّ أحمد ناصح،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المطبعة، بهمن، ط الأولى، شعبان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أبو العبّاس أحمد بن عليّ ابن أحمد بن العبّاس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الخامسة،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الأولى، شعبان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الرجاليّة، الشيخ محمّد إسماعيل بن الحسين المازندرانيّ الخواجوئيّ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مؤسّسة الطبع والنشر التابعة للأستانة الرضويّة المقدّسة، ط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 الشيخ محمّد تقي التستريّ،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علم الرجال، أبحاث السيّد محمّد رضا السيستانيّ، جمعها ونظّمها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البكّاء،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قوانين الأصول، الميرزا أبو القاسم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المتوفّرة في برنامج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حيدريّ، ط الخامسة،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الطهارة، السيّد روح الله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الامام الخميني، مطبعة مؤسّسة العروج، ط الثانية،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شهاب الدين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الثانية،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دراسات علميّة، العدد الخامس،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مطبعة دار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إلى تنقيح شرائع الإسلام، 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الشيخ محمّد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الثانية،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مقباس الهداية في علم الدراية، الشيخ عبد الله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رضا المامقانيّ،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ط الأولى،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الشيخ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 المقال في تحقيق أحوال الرجال، الميرزا محمّد بن عليّ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الدراية في شرح الكفاية، الشيخ محمّد حسين الغرويّ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مهدي أحدي أمير كلائي،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إلى تحصيل مسائل الشريعة،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4" w:name="pg10932_87918"/>
      <w:bookmarkStart w:id="685" w:name="pg10932_87918"/>
      <w:bookmarkEnd w:id="685"/>
    </w:p>
    <w:p>
      <w:pPr>
        <w:pStyle w:val="Heading2"/>
        <w:numPr>
          <w:ilvl w:val="1"/>
          <w:numId w:val="1"/>
        </w:numPr>
        <w:rPr/>
      </w:pPr>
      <w:bookmarkStart w:id="686" w:name="pg10932_87918"/>
      <w:bookmarkStart w:id="687" w:name="__RefHeading___Toc3208863_2870459653"/>
      <w:bookmarkStart w:id="688" w:name="_Toc266"/>
      <w:bookmarkEnd w:id="686"/>
      <w:bookmarkEnd w:id="687"/>
      <w:r>
        <w:rPr>
          <w:rtl w:val="true"/>
        </w:rPr>
        <w:t xml:space="preserve">تعليقة على رجالي الطوسيّ والنجاشيّ </w:t>
      </w:r>
      <w:r>
        <w:rPr>
          <w:rtl w:val="true"/>
        </w:rPr>
        <w:t>(</w:t>
      </w:r>
      <w:r>
        <w:rPr>
          <w:rtl w:val="true"/>
        </w:rPr>
        <w:t>رضوان الله تعالی علیهما</w:t>
      </w:r>
      <w:r>
        <w:rPr>
          <w:rtl w:val="true"/>
        </w:rPr>
        <w:t xml:space="preserve">) </w:t>
      </w:r>
      <w:r>
        <w:rPr>
          <w:rtl w:val="true"/>
        </w:rPr>
        <w:t xml:space="preserve">للمحقّق الداماد </w:t>
      </w:r>
      <w:r>
        <w:rPr>
          <w:rtl w:val="true"/>
        </w:rPr>
        <w:t>(</w:t>
      </w:r>
      <w:r>
        <w:rPr>
          <w:rtl w:val="true"/>
        </w:rPr>
        <w:t>قدس سره</w:t>
      </w:r>
      <w:r>
        <w:rPr>
          <w:rtl w:val="true"/>
        </w:rPr>
        <w:t xml:space="preserve">) - </w:t>
      </w:r>
      <w:r>
        <w:rPr>
          <w:rtl w:val="true"/>
        </w:rPr>
        <w:t xml:space="preserve">السّيّد جعفر الحسينيّ الإشكوريّ </w:t>
      </w:r>
      <w:r>
        <w:rPr>
          <w:rtl w:val="true"/>
        </w:rPr>
        <w:t>(</w:t>
      </w:r>
      <w:r>
        <w:rPr>
          <w:rtl w:val="true"/>
        </w:rPr>
        <w:t>دام عزه</w:t>
      </w:r>
      <w:r>
        <w:rPr>
          <w:rtl w:val="true"/>
        </w:rPr>
        <w:t>)</w:t>
      </w:r>
      <w:bookmarkEnd w:id="688"/>
    </w:p>
    <w:p>
      <w:pPr>
        <w:pStyle w:val="Heading3"/>
        <w:numPr>
          <w:ilvl w:val="2"/>
          <w:numId w:val="1"/>
        </w:numPr>
        <w:rPr/>
      </w:pPr>
      <w:bookmarkStart w:id="689" w:name="__RefHeading___Toc3208865_2870459653"/>
      <w:bookmarkStart w:id="690" w:name="_Toc267"/>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تعليقة على</w:t>
      </w:r>
    </w:p>
    <w:p>
      <w:pPr>
        <w:pStyle w:val="BookText"/>
        <w:rPr/>
      </w:pPr>
      <w:r>
        <w:rPr>
          <w:rFonts w:ascii="Amiri" w:hAnsi="Amiri" w:eastAsia="Amiri" w:cs="Amiri"/>
          <w:color w:val="111111"/>
          <w:sz w:val="28"/>
          <w:sz w:val="28"/>
          <w:szCs w:val="28"/>
          <w:rtl w:val="true"/>
          <w:lang w:bidi="ar-SA"/>
        </w:rPr>
        <w:t>رجالي الطوسيّ والنجاشيّ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السيد محمد باقر بن محمد الداماد الحُسَيْنِي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جعفر الحسيني الاشكوري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10932_87920"/>
      <w:bookmarkStart w:id="692" w:name="pg10932_87920"/>
      <w:bookmarkEnd w:id="692"/>
    </w:p>
    <w:p>
      <w:pPr>
        <w:pStyle w:val="BookText"/>
        <w:rPr/>
      </w:pPr>
      <w:bookmarkStart w:id="693" w:name="pg10932_87920"/>
      <w:bookmarkEnd w:id="693"/>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694" w:name="__RefHeading___Toc3208867_2870459653"/>
      <w:bookmarkStart w:id="695" w:name="_Toc268"/>
      <w:bookmarkEnd w:id="694"/>
      <w:r>
        <w:rPr>
          <w:rtl w:val="true"/>
        </w:rPr>
        <w:t>مقدّمة التحقيق</w:t>
      </w:r>
      <w:bookmarkEnd w:id="695"/>
    </w:p>
    <w:p>
      <w:pPr>
        <w:pStyle w:val="Heading4"/>
        <w:numPr>
          <w:ilvl w:val="3"/>
          <w:numId w:val="1"/>
        </w:numPr>
        <w:rPr/>
      </w:pPr>
      <w:bookmarkStart w:id="696" w:name="__RefHeading___Toc3208869_2870459653"/>
      <w:bookmarkStart w:id="697" w:name="_Toc269"/>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الحمد لله وسلام على عباده الذين اصطفى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تعليقات للعلّامة الفقيه الحكيم المتكلّم المحدّث الرجاليّ السيّد محمّد باقر بن محمّد الحسينيّ الأسترآباديّ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على النسخة التي كانت في حيازته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الطوسيّ،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علي النجاشيّ الموجودة الآن في ضمن المجموعة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مدرسة المروي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تشتمل على كتب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للشيخ الطوسيّ، والرجال له أيضاً، ورجال النجاشي، كتبها حسن بن حسين بن حجّي مهدي النجفيّ الخفاجيّ كما أشار إلى اسمه في نهاية الكتاب بلا تصريح منه بسنة الكتابة، وهي من مستنسخات القرن الحادي عشر، بل أواخر القرن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فهرسه الشيخ رضا الأستادي في فهرس المكتبة ص</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واحتمل بأنّ التعليقات الموجودة على رجال الطوسيّ والنجاشيّ لعلّها بخطّ المير الداماد، وعلى النسخة تملّك لمحمّد مهدي بن رضي الدين محمّد الهرويّ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الحواشي الموجودة على النسخة فهي بخطّه بلا شكّ، كما لا يخفى على المتمهّر في الفنّ، إضافة إلى تصريح العلّامة الأفنديّ في رياض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للمير </w:t>
      </w:r>
      <w:bookmarkStart w:id="698" w:name="pg10932_87921"/>
    </w:p>
    <w:p>
      <w:pPr>
        <w:pStyle w:val="BookText"/>
        <w:rPr/>
      </w:pPr>
      <w:bookmarkEnd w:id="698"/>
      <w:r>
        <w:rPr>
          <w:rFonts w:ascii="Amiri" w:hAnsi="Amiri" w:eastAsia="Amiri" w:cs="Amiri"/>
          <w:color w:val="111111"/>
          <w:sz w:val="28"/>
          <w:sz w:val="28"/>
          <w:szCs w:val="28"/>
          <w:rtl w:val="true"/>
          <w:lang w:bidi="ar-SA"/>
        </w:rPr>
        <w:t>الداماد حاشية رجال الشيخ وحاشية رجال النجاشيّ،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بهما في شارع النجاة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المير قصد بهما هذه الحواشي التي كتبها على هذه النسخة، والله العالم</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3208871_2870459653"/>
      <w:bookmarkStart w:id="700" w:name="_Toc270"/>
      <w:bookmarkEnd w:id="699"/>
      <w:r>
        <w:rPr>
          <w:rtl w:val="true"/>
        </w:rPr>
        <w:t>طريقي في العمل</w:t>
      </w:r>
      <w:bookmarkEnd w:id="700"/>
    </w:p>
    <w:p>
      <w:pPr>
        <w:pStyle w:val="BookText"/>
        <w:rPr/>
      </w:pPr>
      <w:r>
        <w:rPr>
          <w:rFonts w:ascii="Amiri" w:hAnsi="Amiri" w:eastAsia="Amiri" w:cs="Amiri"/>
          <w:color w:val="111111"/>
          <w:sz w:val="28"/>
          <w:sz w:val="28"/>
          <w:szCs w:val="28"/>
          <w:rtl w:val="true"/>
          <w:lang w:bidi="ar-SA"/>
        </w:rPr>
        <w:t xml:space="preserve">اعتمدت في إيراد كلام الشيخ الطوسيّ في رجاله على النسخة المطبوعة بتحقيق الشيخ جواد القيّوميّ الأصفهانيّ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مؤسّسة النشر الإسلاميّ التابعة لجماعة المدرّسين بقمّ المقدّسة، والنجاشيّ في رجاله على النسخة المطبوعة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العلّامة الآية السيّد موسى الشبيريّ الزنجانيّ في نفس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أوردت عبارة المتن الذي للسيّد المير عليه حاشية، مشيراً إلى الصفحة ورقم الترجمة كما في المطبوع بقلم أشدّ سواداً، ثمّ نقلت عبارة المير كما رأيتُ بخطّه، واهتممت في إيراد كلماته كما ضبطه وأعربه حفظاً لما أراد إيصاله للقارئ، ثمّ ذكرت في الهامش المصادر التي ربّما يراجع المحشّي إليها بعض تحقيقاته وتدقيقاته، وفي نهاية الرسالة أوردت فهرساً للمصادر التي استفدت منها في هذا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وأعرضتُ في هذه المقدّمة عن ترجمة حياة المير الداماد؛ لشهرته، واستغنائه عن التعريف، إضافة إلى ما كتبه أصحاب التراجم في كتبهم عن حياته وآثاره، وما كُتب عن حياته مستقلّا ً، أو في مقدّمات كتبه المطبوعة، والله هو المستعان وعليه التكلان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السيّد جعفر الحسينيّ الإشكوريّ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89" o:detectmouseclick="t"/>
                <v:stroke color="#3465a4" joinstyle="round" endcap="flat"/>
                <w10:wrap type="none"/>
              </v:shape>
            </w:pict>
          </mc:Fallback>
        </mc:AlternateConten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من التعليقة على رجال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المؤلّف </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92" o:detectmouseclick="t"/>
                <v:stroke color="#3465a4" joinstyle="round" endcap="flat"/>
                <w10:wrap type="none"/>
              </v:shape>
            </w:pict>
          </mc:Fallback>
        </mc:AlternateConten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من التعليقة على رجال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المؤلّف </w:t>
      </w:r>
      <w:bookmarkStart w:id="701" w:name="pg10932_8792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2" w:name="__RefHeading___Toc3208873_2870459653"/>
      <w:bookmarkStart w:id="703" w:name="_Toc271"/>
      <w:bookmarkEnd w:id="701"/>
      <w:bookmarkEnd w:id="702"/>
      <w:r>
        <w:rPr>
          <w:rtl w:val="true"/>
        </w:rPr>
        <w:t xml:space="preserve">تعليقة على رجال الطوسيّ </w:t>
      </w:r>
      <w:r>
        <w:rPr>
          <w:rtl w:val="true"/>
        </w:rPr>
        <w:t>(</w:t>
      </w:r>
      <w:r>
        <w:rPr>
          <w:rtl w:val="true"/>
        </w:rPr>
        <w:t>قدس سره</w:t>
      </w:r>
      <w:r>
        <w:rPr>
          <w:rtl w:val="true"/>
        </w:rPr>
        <w:t>)</w:t>
      </w:r>
      <w:bookmarkEnd w:id="70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 من قريش</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مذحج بن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وإسكان الذال المعجمة وكسر الحاء المهملة والجيم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قبائل الأنصار، ذكره المطرّزيّ في المغرب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w:t>
      </w:r>
      <w:r>
        <w:rPr>
          <w:rStyle w:val="FootnoteAnchor"/>
          <w:rtl w:val="true"/>
        </w:rPr>
        <w:footnoteReference w:id="439"/>
      </w:r>
      <w:r>
        <w:rPr>
          <w:rFonts w:ascii="Amiri" w:hAnsi="Amiri" w:eastAsia="Amiri" w:cs="Amiri"/>
          <w:color w:val="111111"/>
          <w:sz w:val="28"/>
          <w:sz w:val="28"/>
          <w:szCs w:val="28"/>
          <w:rtl w:val="true"/>
          <w:lang w:bidi="ar-SA"/>
        </w:rPr>
        <w:t>، والجوهريّ في الصحاح أورده في باب الجيم وفصل الميم</w:t>
      </w:r>
      <w:r>
        <w:rPr>
          <w:rStyle w:val="FootnoteAnchor"/>
          <w:rtl w:val="true"/>
        </w:rPr>
        <w:footnoteReference w:id="440"/>
      </w:r>
      <w:r>
        <w:rPr>
          <w:rFonts w:ascii="Amiri" w:hAnsi="Amiri" w:eastAsia="Amiri" w:cs="Amiri"/>
          <w:color w:val="111111"/>
          <w:sz w:val="28"/>
          <w:sz w:val="28"/>
          <w:szCs w:val="28"/>
          <w:rtl w:val="true"/>
          <w:lang w:bidi="ar-SA"/>
        </w:rPr>
        <w:t>، فكأنّه ظنّ الميم 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مَذْحِجٌ أَكمَةٌ ولد بها أبو هذه القبيلة، فسمّي باسمها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 في القاموس في باب الجيم وفصل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مَذْحِجٌ كَمَجلِسٍ أَكمَةٌ ولدت مالكا وطيئا أمُّهما عندها فسمّوا مَذْحِجاً، وذكر الجوهريّ إيّاه في الميم غلط وإن أحاله على سيبويه</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ما قاله الشيخ إنّ رابع الأركان هو عمّار</w:t>
      </w:r>
      <w:r>
        <w:rPr>
          <w:rStyle w:val="FootnoteAnchor"/>
          <w:rtl w:val="true"/>
        </w:rPr>
        <w:footnoteReference w:id="442"/>
      </w:r>
      <w:r>
        <w:rPr>
          <w:rFonts w:ascii="Amiri" w:hAnsi="Amiri" w:eastAsia="Amiri" w:cs="Amiri"/>
          <w:color w:val="111111"/>
          <w:sz w:val="28"/>
          <w:sz w:val="28"/>
          <w:szCs w:val="28"/>
          <w:rtl w:val="true"/>
          <w:lang w:bidi="ar-SA"/>
        </w:rPr>
        <w:t>، ومنهم من عدّ حذيفة رابع الأركان مكان عمّار</w:t>
      </w:r>
      <w:r>
        <w:rPr>
          <w:rStyle w:val="FootnoteAnchor"/>
          <w:rtl w:val="true"/>
        </w:rPr>
        <w:footnoteReference w:id="443"/>
      </w:r>
      <w:r>
        <w:rPr>
          <w:rFonts w:ascii="Amiri" w:hAnsi="Amiri" w:eastAsia="Amiri" w:cs="Amiri"/>
          <w:color w:val="111111"/>
          <w:sz w:val="28"/>
          <w:sz w:val="28"/>
          <w:szCs w:val="28"/>
          <w:rtl w:val="true"/>
          <w:lang w:bidi="ar-SA"/>
        </w:rPr>
        <w:t xml:space="preserve">، وقد سبق نقله في باب الحاء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عبادة</w:t>
      </w:r>
      <w:r>
        <w:rPr>
          <w:rStyle w:val="FootnoteAnchor"/>
          <w:rtl w:val="true"/>
        </w:rPr>
        <w:footnoteReference w:id="444"/>
      </w: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عباد بضمّ المهملة وتخفيف الموحّدة من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عبادة بن قيس بن ثعلبة البكري،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بضمّ المهملة وتخفيف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هاني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وضع عليه الحرس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حارس، والحَرسيّ واحد حَرَس السلطان، الفرق بين الواحد والجمع بالياء المشدّدة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الأرّجاني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سيأتي في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عبد الله الرجّانيّ يروي </w:t>
      </w:r>
    </w:p>
    <w:p>
      <w:pPr>
        <w:pStyle w:val="BookText"/>
        <w:rPr/>
      </w:pPr>
      <w:r>
        <w:rPr>
          <w:rFonts w:ascii="Amiri" w:hAnsi="Amiri" w:eastAsia="Amiri" w:cs="Amiri"/>
          <w:color w:val="111111"/>
          <w:sz w:val="28"/>
          <w:sz w:val="28"/>
          <w:szCs w:val="28"/>
          <w:rtl w:val="true"/>
          <w:lang w:bidi="ar-SA"/>
        </w:rPr>
        <w:t>عنه صالح بن حمزة</w:t>
      </w:r>
      <w:r>
        <w:rPr>
          <w:rStyle w:val="FootnoteAnchor"/>
          <w:rtl w:val="true"/>
        </w:rPr>
        <w:footnoteReference w:id="445"/>
      </w:r>
      <w:r>
        <w:rPr>
          <w:rFonts w:ascii="IRNazanin" w:hAnsi="IRNazanin" w:eastAsia="IRNazanin"/>
          <w:color w:val="111111"/>
          <w:sz w:val="28"/>
          <w:sz w:val="28"/>
          <w:szCs w:val="28"/>
          <w:rtl w:val="true"/>
          <w:lang w:bidi="fa-IR"/>
        </w:rPr>
        <w:t>، والحسين الأرّجانيّ، وكأنّهما والحسين بن عبد الله الأرّجانيّ هذا جميعاً واحد، وفي كتاب من لا يحضره الفقيه في باب صلاة الجماعة وفضلها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أبي عبد الله الأرّجانيّ،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بكار أبو العلاء الخفاف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رجال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أبو العلاء الخفّاف بن عبد الملك الأزديّ الكوفيّ، وهو الذي سيذكره الشيخ في باب الكنى</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بأبي العلاء الخفّاف الكوفيّ العامّيّ السَلُوليّ خالد بن طَهْمان المذكور ههنا، فتثبّت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طهمان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أبو العلاء الخفّاف السَلُوليّ العامّيّ الذي ذكره النجاشي وحكى أمره عن البخاريّ وعن مسلم بن الحجّاج</w:t>
      </w:r>
      <w:r>
        <w:rPr>
          <w:rStyle w:val="FootnoteAnchor"/>
          <w:rtl w:val="true"/>
        </w:rPr>
        <w:footnoteReference w:id="448"/>
      </w:r>
      <w:r>
        <w:rPr>
          <w:rFonts w:ascii="IRNazanin" w:hAnsi="IRNazanin" w:eastAsia="IRNazanin"/>
          <w:color w:val="111111"/>
          <w:sz w:val="28"/>
          <w:sz w:val="28"/>
          <w:szCs w:val="28"/>
          <w:rtl w:val="true"/>
          <w:lang w:bidi="fa-IR"/>
        </w:rPr>
        <w:t>، فتعرّف واستقم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عامّيّة الرجل غير ثابتة عندي، كيف وعمدة محدّثيهم أبو عبد الله الذهبيّ قال في مختصره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طهمان أبو العلاء الكوفيّ الخفّاف، عن أنس وعدّة، وعنه الفريابيّ وأحمد بن يونس، صدوق شيعيّ، ضعّفَه ابن معين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تقرّر عند أصحابنا أنّ من أمارات جلالة الرجل وصحّة حديثه تضعيف العامّة إيّاه بالتّشيّع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 شيخنا النجاشيّ أنّه كان من رجال حديث العامّة لا أنّه كان عامّيّ المذهب، والله سبحانه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سيأتي علي بن رباط هذا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 وهو عمّ علي بن الحسن بن رباط الآتي في أصحاب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 بعلي بن رباط</w:t>
      </w:r>
      <w:r>
        <w:rPr>
          <w:rStyle w:val="FootnoteAnchor"/>
          <w:rtl w:val="true"/>
        </w:rPr>
        <w:footnoteReference w:id="451"/>
      </w:r>
      <w:r>
        <w:rPr>
          <w:rFonts w:ascii="Amiri" w:hAnsi="Amiri" w:eastAsia="Amiri" w:cs="Amiri"/>
          <w:color w:val="111111"/>
          <w:sz w:val="28"/>
          <w:sz w:val="28"/>
          <w:szCs w:val="28"/>
          <w:rtl w:val="true"/>
          <w:lang w:bidi="ar-SA"/>
        </w:rPr>
        <w:t xml:space="preserve">نسبةً إلى الجدّ باسقاط الأب من البين، ثقةً بوضوح الأمر لدى المتمهّر فلا تكوننّ من القاصرين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 بن أبي عمارة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نجيّة بن الحارث</w:t>
      </w:r>
      <w:r>
        <w:rPr>
          <w:rStyle w:val="FootnoteAnchor"/>
          <w:rtl w:val="true"/>
        </w:rPr>
        <w:footnoteReference w:id="452"/>
      </w:r>
      <w:r>
        <w:rPr>
          <w:rFonts w:ascii="IRNazanin" w:hAnsi="IRNazanin" w:eastAsia="IRNazanin"/>
          <w:color w:val="111111"/>
          <w:sz w:val="28"/>
          <w:sz w:val="28"/>
          <w:szCs w:val="28"/>
          <w:rtl w:val="true"/>
          <w:lang w:bidi="fa-IR"/>
        </w:rPr>
        <w:t xml:space="preserve">القوّاس الآتي في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 وسيجيء في أصحاب أبي الحسن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نجيّة بن الحارث</w:t>
      </w:r>
      <w:r>
        <w:rPr>
          <w:rStyle w:val="FootnoteAnchor"/>
          <w:rtl w:val="true"/>
        </w:rPr>
        <w:footnoteReference w:id="454"/>
      </w:r>
      <w:r>
        <w:rPr>
          <w:rFonts w:ascii="Amiri" w:hAnsi="Amiri" w:eastAsia="Amiri" w:cs="Amiri"/>
          <w:color w:val="111111"/>
          <w:sz w:val="28"/>
          <w:sz w:val="28"/>
          <w:szCs w:val="28"/>
          <w:rtl w:val="true"/>
          <w:lang w:bidi="ar-SA"/>
        </w:rPr>
        <w:t>، فلعلّ الحارث هو المكنّى بأبي عمارة، وناجية بن أبي عمارة الصيداويّ هذا هو أبو حبيب الأسديّ على ما في كتاب من لا يحضره الفقيه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وصريح كلام الكشّيّ إنّ ناجية هو نجيّة القواس، وإنّ نجيّة بن الحارث شيخ صادق كوفيّ، صديق علي بن يقطين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والحسن بن داود ظنّ أنّ نجبة بن الحارث بالباء الموحّدة بعد الجيم</w:t>
      </w:r>
      <w:r>
        <w:rPr>
          <w:rStyle w:val="FootnoteAnchor"/>
          <w:rtl w:val="true"/>
        </w:rPr>
        <w:footnoteReference w:id="457"/>
      </w:r>
      <w:r>
        <w:rPr>
          <w:rFonts w:ascii="Amiri" w:hAnsi="Amiri" w:eastAsia="Amiri" w:cs="Amiri"/>
          <w:color w:val="111111"/>
          <w:sz w:val="28"/>
          <w:sz w:val="28"/>
          <w:szCs w:val="28"/>
          <w:rtl w:val="true"/>
          <w:lang w:bidi="ar-SA"/>
        </w:rPr>
        <w:t xml:space="preserve">، وأنّه رجل آخر غير ناجية بن أبي عمارة الصيداويّ، فليتثبّت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الورد أمّا أنتم فترجعون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مغفوراً لكم، وأمّا غيركم فيُحْفَظون في أهاليهم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جعفر الكلينيّ في جامعه الكافي بسند صحيح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 الخفاف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أبو العلاء الخفّاف بن عبد الملك الأَزْدِيُّ الكوفيّ والد الحسين وعلي وعبد الحميد من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الأعيان، فتثبَّت ولا تتغلَّطْ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كثير العجلي الكوفي، أبو معمر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مَعْمَر العجليّ الكوفيّ وهو غير أبي معمر السَنْجَريّ، اسم ذاك عبد الله بن سَنْجَرَة، واسم هذا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أبو معمر الهلاليّ الكوفيّ واسمه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عبد الله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إدريس بن عبد الله بن سعد الأشعريّ القمّيّ، وابنه زكريّا بن إدريس أبو جُرَير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إنّه</w:t>
      </w:r>
      <w:r>
        <w:rPr>
          <w:rStyle w:val="FootnoteAnchor"/>
          <w:rtl w:val="true"/>
        </w:rPr>
        <w:footnoteReference w:id="459"/>
      </w:r>
      <w:r>
        <w:rPr>
          <w:rFonts w:ascii="Amiri" w:hAnsi="Amiri" w:eastAsia="Amiri" w:cs="Amiri"/>
          <w:color w:val="111111"/>
          <w:sz w:val="28"/>
          <w:sz w:val="28"/>
          <w:szCs w:val="28"/>
          <w:rtl w:val="true"/>
          <w:lang w:bidi="ar-SA"/>
        </w:rPr>
        <w:t>روى عن الرضا عليه</w:t>
      </w:r>
      <w:r>
        <w:rPr>
          <w:rStyle w:val="FootnoteAnchor"/>
          <w:rtl w:val="true"/>
        </w:rPr>
        <w:footnoteReference w:id="460"/>
      </w:r>
      <w:r>
        <w:rPr>
          <w:rFonts w:ascii="IRNazanin" w:hAnsi="IRNazanin" w:eastAsia="IRNazanin"/>
          <w:color w:val="111111"/>
          <w:sz w:val="28"/>
          <w:sz w:val="28"/>
          <w:szCs w:val="28"/>
          <w:rtl w:val="true"/>
          <w:lang w:bidi="fa-IR"/>
        </w:rPr>
        <w:t>السلام</w:t>
      </w:r>
      <w:r>
        <w:rPr>
          <w:rStyle w:val="FootnoteAnchor"/>
          <w:rtl w:val="true"/>
        </w:rPr>
        <w:footnoteReference w:id="461"/>
      </w:r>
      <w:r>
        <w:rPr>
          <w:rFonts w:ascii="Amiri" w:hAnsi="Amiri" w:eastAsia="Amiri" w:cs="Amiri"/>
          <w:color w:val="111111"/>
          <w:sz w:val="28"/>
          <w:sz w:val="28"/>
          <w:szCs w:val="28"/>
          <w:rtl w:val="true"/>
          <w:lang w:bidi="ar-SA"/>
        </w:rPr>
        <w:t>، وذكره الشيخ في أصحاب الصادق</w:t>
      </w:r>
      <w:r>
        <w:rPr>
          <w:rStyle w:val="FootnoteAnchor"/>
          <w:rtl w:val="true"/>
        </w:rPr>
        <w:footnoteReference w:id="462"/>
      </w:r>
      <w:r>
        <w:rPr>
          <w:rFonts w:ascii="IRNazanin" w:hAnsi="IRNazanin" w:eastAsia="IRNazanin"/>
          <w:color w:val="111111"/>
          <w:sz w:val="28"/>
          <w:sz w:val="28"/>
          <w:szCs w:val="28"/>
          <w:rtl w:val="true"/>
          <w:lang w:bidi="fa-IR"/>
        </w:rPr>
        <w:t xml:space="preserve">وفي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والحسن بن داود قد التبس عليه الأمر مع وضوحه، 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عبد الله بن سعد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قصور عن التدبّر في قول النجاشي، وعن نيل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ضمجة الكوفي، روى عنه وهيب بن حفص، وكان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ضمخة، صمحة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وهيب، ويحتمل حمّاد، ولكنّ الأظهر الارجاع إلى وهيب كما يظهر </w:t>
      </w:r>
    </w:p>
    <w:p>
      <w:pPr>
        <w:pStyle w:val="BookText"/>
        <w:rPr/>
      </w:pPr>
      <w:r>
        <w:rPr>
          <w:rFonts w:ascii="Amiri" w:hAnsi="Amiri" w:eastAsia="Amiri" w:cs="Amiri"/>
          <w:color w:val="111111"/>
          <w:sz w:val="28"/>
          <w:sz w:val="28"/>
          <w:szCs w:val="28"/>
          <w:rtl w:val="true"/>
          <w:lang w:bidi="ar-SA"/>
        </w:rPr>
        <w:t>من كتاب النجاشي</w:t>
      </w:r>
      <w:r>
        <w:rPr>
          <w:rStyle w:val="FootnoteAnchor"/>
          <w:rtl w:val="true"/>
        </w:rPr>
        <w:footnoteReference w:id="465"/>
      </w:r>
      <w:r>
        <w:rPr>
          <w:rFonts w:ascii="Amiri" w:hAnsi="Amiri" w:eastAsia="Amiri" w:cs="Amiri"/>
          <w:color w:val="111111"/>
          <w:sz w:val="28"/>
          <w:sz w:val="28"/>
          <w:szCs w:val="28"/>
          <w:rtl w:val="true"/>
          <w:lang w:bidi="ar-SA"/>
        </w:rPr>
        <w:t xml:space="preserve">، وحمّاد أيضاً ثقة، بل أوثق وأجلّ من وهيب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يونس، أبو ولاد الحناط الآجريّ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من درب آجُرّ،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آجُرّ موضعان ببغداد</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ولّاد الخيّاط حفص بن يونس هو الذي قال ابن فضّال إنّه مخزوميّ، وأمّا أبو ولّاد الحنّاط حفص بن سالم فسيأتي أنّه مولى جعفي</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زياد الشيبانيّ الكوفيّ، أبو العلاء، 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يذكره النجاشي ولا العلّامة ولا تقيّ الدين الحسن بن داود، وإسناد حذيفة بن منصور عنه لا يدلّ على صحّته على ما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نقيّ الحديث، يروي الصحيح والسليم</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الأرجاني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رَجّان ككتّان</w:t>
      </w:r>
      <w:r>
        <w:rPr>
          <w:rStyle w:val="FootnoteAnchor"/>
          <w:rtl w:val="true"/>
        </w:rPr>
        <w:footnoteReference w:id="469"/>
      </w:r>
      <w:r>
        <w:rPr>
          <w:rFonts w:ascii="Amiri" w:hAnsi="Amiri" w:eastAsia="Amiri" w:cs="Amiri"/>
          <w:color w:val="111111"/>
          <w:sz w:val="28"/>
          <w:sz w:val="28"/>
          <w:szCs w:val="28"/>
          <w:rtl w:val="true"/>
          <w:lang w:bidi="ar-SA"/>
        </w:rPr>
        <w:t>واد بنجد ود بفارس ويقال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أرّجان أيضاً، </w:t>
      </w:r>
    </w:p>
    <w:p>
      <w:pPr>
        <w:pStyle w:val="BookText"/>
        <w:rPr/>
      </w:pPr>
      <w:r>
        <w:rPr>
          <w:rFonts w:ascii="IRNazanin" w:hAnsi="IRNazanin" w:eastAsia="IRNazanin"/>
          <w:color w:val="111111"/>
          <w:sz w:val="28"/>
          <w:sz w:val="28"/>
          <w:szCs w:val="28"/>
          <w:rtl w:val="true"/>
          <w:lang w:bidi="fa-IR"/>
        </w:rPr>
        <w:t>منه أحمد بن الحسن</w:t>
      </w:r>
      <w:r>
        <w:rPr>
          <w:rStyle w:val="FootnoteAnchor"/>
          <w:rtl w:val="true"/>
        </w:rPr>
        <w:footnoteReference w:id="470"/>
      </w:r>
      <w:r>
        <w:rPr>
          <w:rFonts w:ascii="Amiri" w:hAnsi="Amiri" w:eastAsia="Amiri" w:cs="Amiri"/>
          <w:color w:val="111111"/>
          <w:sz w:val="28"/>
          <w:sz w:val="28"/>
          <w:szCs w:val="28"/>
          <w:rtl w:val="true"/>
          <w:lang w:bidi="ar-SA"/>
        </w:rPr>
        <w:t>، وأحمد بن أيّوب، وعبد الله بن محمد بن شعيب، وأخوه أحمد الرجّانيّون المحدّثون</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وكأنّ الحسين الأرّجانيّ هذا هو الحسين بن عبد الله الرجّانيّ السابق ذكره، وقد سلف في أصحاب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عبد الله الأرّجانيّ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عبيد الله مكان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نجيح الجوان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المفتوحة والجيم المكسورة والياء المثنّاة من تحت والحاء المهملة أخيراً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وتشديد الواو والنون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والمضبوط في نسخ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الزاي مكان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ضبط بالراء وذلك غلط كما قاله الحسن بن داود في كتابه</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النون على ما ضبطه العلّامة في الإيضاح</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والرجل صحيح العقيدة، حسن الحال على ما رواه أبو عمرو الكشّيّ وإن كان في ترجمة المفضل بن عمر قد ينسب إلى الارتفاع</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عبد الله النقّاض الكوفي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مضى في أصحاب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عبد الله القصّاص الكوفيّ، </w:t>
      </w:r>
    </w:p>
    <w:p>
      <w:pPr>
        <w:pStyle w:val="BookText"/>
        <w:rPr/>
      </w:pPr>
      <w:r>
        <w:rPr>
          <w:rFonts w:ascii="IRNazanin" w:hAnsi="IRNazanin" w:eastAsia="IRNazanin"/>
          <w:color w:val="111111"/>
          <w:sz w:val="28"/>
          <w:sz w:val="28"/>
          <w:szCs w:val="28"/>
          <w:rtl w:val="true"/>
          <w:lang w:bidi="fa-IR"/>
        </w:rPr>
        <w:t xml:space="preserve">روى عنه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المشهور أبو محمد سليمان بن مهران الأزديّ، معروف بالفضل والجلالة والتشيّع والاستقامة، والعامّة مطبقون على فضله، مقرّون بجلالته مع اعترافهم بتشيّعه</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أنّ المتأخّرين كالعلّامة والشيخ ابن داود وغيرهما قد تطابقوا على الاغفال عن ذكره والثناء عليه مع اتفاق الأُمّة على علوّ قدره وعظم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 النخعي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في الفهرست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كتاب، يرويه جماعات من أصحابنا</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معالم العلماء لمحمّد 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 xml:space="preserve">عميرة ثقة،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واقفيّ، له كتاب</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ما في شرح الإرشاد لشيخنا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تضعيفه عن بعض أصحابنا</w:t>
      </w:r>
      <w:r>
        <w:rPr>
          <w:rStyle w:val="FootnoteAnchor"/>
          <w:rtl w:val="true"/>
        </w:rPr>
        <w:footnoteReference w:id="481"/>
      </w:r>
      <w:r>
        <w:rPr>
          <w:rFonts w:ascii="Amiri" w:hAnsi="Amiri" w:eastAsia="Amiri" w:cs="Amiri"/>
          <w:color w:val="111111"/>
          <w:sz w:val="28"/>
          <w:sz w:val="28"/>
          <w:szCs w:val="28"/>
          <w:rtl w:val="true"/>
          <w:lang w:bidi="ar-SA"/>
        </w:rPr>
        <w:t xml:space="preserve">إشارة إلى طعن ابن شهر آشوب فيه بالوقف، ولكنّه غير مؤثّر في </w:t>
      </w:r>
    </w:p>
    <w:p>
      <w:pPr>
        <w:pStyle w:val="BookText"/>
        <w:rPr/>
      </w:pPr>
      <w:r>
        <w:rPr>
          <w:rFonts w:ascii="Amiri" w:hAnsi="Amiri" w:eastAsia="Amiri" w:cs="Amiri"/>
          <w:color w:val="111111"/>
          <w:sz w:val="28"/>
          <w:sz w:val="28"/>
          <w:szCs w:val="28"/>
          <w:rtl w:val="true"/>
          <w:lang w:bidi="ar-SA"/>
        </w:rPr>
        <w:t>التضعيف بعد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الرجل ثقة ممدوح، والوقف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للتوثيق، كيف وهو غير ثابت ولو كان لكان في كلام النجاشي على سبيل الحكم به، أو على سبيل النقل عن غيره كما هو المعهود من هجّيراه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w:t>
      </w:r>
      <w:r>
        <w:rPr>
          <w:rStyle w:val="FootnoteAnchor"/>
          <w:rtl w:val="true"/>
        </w:rPr>
        <w:footnoteReference w:id="482"/>
      </w:r>
      <w:r>
        <w:rPr>
          <w:rFonts w:ascii="IRNazanin" w:hAnsi="IRNazanin" w:eastAsia="IRNazanin"/>
          <w:color w:val="111111"/>
          <w:sz w:val="28"/>
          <w:sz w:val="28"/>
          <w:szCs w:val="28"/>
          <w:rtl w:val="true"/>
          <w:lang w:bidi="fa-IR"/>
        </w:rPr>
        <w:t xml:space="preserve">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أخو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يلي 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فاضلاً فقيهاً، يروي عن آبائه، عن رسول الله أخباراً كثيرة، وحدّث الناس عنه وحملوا عنه الآثار، ذكره المفيد رحمه الله تعالى في إرشاده</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رباط البجلي الكوفي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في هذا الباب أيضاً علي بن رباط البجليّ أيضاً</w:t>
      </w:r>
      <w:r>
        <w:rPr>
          <w:rStyle w:val="FootnoteAnchor"/>
          <w:rtl w:val="true"/>
        </w:rPr>
        <w:footnoteReference w:id="484"/>
      </w:r>
      <w:r>
        <w:rPr>
          <w:rFonts w:ascii="Amiri" w:hAnsi="Amiri" w:eastAsia="Amiri" w:cs="Amiri"/>
          <w:color w:val="111111"/>
          <w:sz w:val="28"/>
          <w:sz w:val="28"/>
          <w:szCs w:val="28"/>
          <w:rtl w:val="true"/>
          <w:lang w:bidi="ar-SA"/>
        </w:rPr>
        <w:t>، فيستبين أنّ عليّاً وعبد الله ويونس إخوة، وهم من أبناء رباط،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أيضاً على ما ذكره الكشّيّ</w:t>
      </w:r>
      <w:r>
        <w:rPr>
          <w:rStyle w:val="FootnoteAnchor"/>
          <w:rtl w:val="true"/>
        </w:rPr>
        <w:footnoteReference w:id="485"/>
      </w:r>
      <w:r>
        <w:rPr>
          <w:rFonts w:ascii="Amiri" w:hAnsi="Amiri" w:eastAsia="Amiri" w:cs="Amiri"/>
          <w:color w:val="111111"/>
          <w:sz w:val="28"/>
          <w:sz w:val="28"/>
          <w:szCs w:val="28"/>
          <w:rtl w:val="true"/>
          <w:lang w:bidi="ar-SA"/>
        </w:rPr>
        <w:t>، وإسحاق أيضاً على ما ذكره النجاشي</w:t>
      </w:r>
      <w:r>
        <w:rPr>
          <w:rStyle w:val="FootnoteAnchor"/>
          <w:rtl w:val="true"/>
        </w:rPr>
        <w:footnoteReference w:id="486"/>
      </w:r>
      <w:r>
        <w:rPr>
          <w:rFonts w:ascii="Amiri" w:hAnsi="Amiri" w:eastAsia="Amiri" w:cs="Amiri"/>
          <w:color w:val="111111"/>
          <w:sz w:val="28"/>
          <w:sz w:val="28"/>
          <w:szCs w:val="28"/>
          <w:rtl w:val="true"/>
          <w:lang w:bidi="ar-SA"/>
        </w:rPr>
        <w:t>، والحسن وهو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ستّة، والكشّيّ ذكر بني رباط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أربعة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وعلي ويونس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كلّهم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أولاد كثيرة من حملة الحديث</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عبيد الله الأعرج، وهو وأخوه عبد الله الهاشميّ من أجلّاء أصحاب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مسلم الهراء،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مسلم الكوفيّ هو أخو معاذ بن مسلم الهَرّاء الكوفيّ النحويّ، قاله أبو عمرو الكشّيّ في كتابه</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جداعة</w:t>
      </w:r>
      <w:r>
        <w:rPr>
          <w:rStyle w:val="FootnoteAnchor"/>
          <w:rtl w:val="true"/>
        </w:rPr>
        <w:footnoteReference w:id="489"/>
      </w:r>
      <w:r>
        <w:rPr>
          <w:rFonts w:ascii="Amiri" w:hAnsi="Amiri" w:eastAsia="Amiri" w:cs="Amiri"/>
          <w:color w:val="111111"/>
          <w:sz w:val="28"/>
          <w:sz w:val="28"/>
          <w:szCs w:val="28"/>
          <w:rtl w:val="true"/>
          <w:lang w:bidi="ar-SA"/>
        </w:rPr>
        <w:t xml:space="preserve">، فغير المتمهّر يتوهّم من ذلك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رباط مولى بجيلة، كوفيّ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ذكر علي بن رباط هذا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 وسيأتي ابن أخيه علي بن الحسن بن رباط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 بعلي بن رباط نسبةً إلى الجدّ</w:t>
      </w:r>
      <w:r>
        <w:rPr>
          <w:rStyle w:val="FootnoteAnchor"/>
          <w:rtl w:val="true"/>
        </w:rPr>
        <w:footnoteReference w:id="491"/>
      </w:r>
      <w:r>
        <w:rPr>
          <w:rFonts w:ascii="Amiri" w:hAnsi="Amiri" w:eastAsia="Amiri" w:cs="Amiri"/>
          <w:color w:val="111111"/>
          <w:sz w:val="28"/>
          <w:sz w:val="28"/>
          <w:szCs w:val="28"/>
          <w:rtl w:val="true"/>
          <w:lang w:bidi="ar-SA"/>
        </w:rPr>
        <w:t xml:space="preserve">، فلا تكن </w:t>
      </w:r>
    </w:p>
    <w:p>
      <w:pPr>
        <w:pStyle w:val="BookText"/>
        <w:rPr/>
      </w:pPr>
      <w:r>
        <w:rPr>
          <w:rFonts w:ascii="Amiri" w:hAnsi="Amiri" w:eastAsia="Amiri" w:cs="Amiri"/>
          <w:color w:val="111111"/>
          <w:sz w:val="28"/>
          <w:sz w:val="28"/>
          <w:szCs w:val="28"/>
          <w:rtl w:val="true"/>
          <w:lang w:bidi="ar-SA"/>
        </w:rPr>
        <w:t xml:space="preserve">من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بن عبد السلام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كتب الأخبار كثيراً عن مثنّى بن عبد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ذلك في التهذيب في باب تطهير الثياب وغيرها من النجاسات عن مثنّى بن عبد السلام،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 الحسن بن داود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بن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 خطأ غير مستند إلى منشأ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مسلم الهرّاء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صريح في أنّ معاذ بن مسلم الهرّاء الكوفيّ النحويّ غير معاذ بن كثير الكسائيّ الكوفيّ النحويّ</w:t>
      </w:r>
      <w:r>
        <w:rPr>
          <w:rStyle w:val="FootnoteAnchor"/>
          <w:rtl w:val="true"/>
        </w:rPr>
        <w:footnoteReference w:id="494"/>
      </w:r>
      <w:r>
        <w:rPr>
          <w:rFonts w:ascii="IRNazanin" w:hAnsi="IRNazanin" w:eastAsia="IRNazanin"/>
          <w:color w:val="111111"/>
          <w:sz w:val="28"/>
          <w:sz w:val="28"/>
          <w:szCs w:val="28"/>
          <w:rtl w:val="true"/>
          <w:lang w:bidi="fa-IR"/>
        </w:rPr>
        <w:t xml:space="preserve">، وهما من أصحاب مولانا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الكشّاف أنّ معاذ بن مسلم الهرّاء أستاذ الفرّاء الكوفيّ النحويّ</w:t>
      </w:r>
      <w:r>
        <w:rPr>
          <w:rStyle w:val="FootnoteAnchor"/>
          <w:rtl w:val="true"/>
        </w:rPr>
        <w:footnoteReference w:id="495"/>
      </w:r>
      <w:r>
        <w:rPr>
          <w:rFonts w:ascii="Amiri" w:hAnsi="Amiri" w:eastAsia="Amiri" w:cs="Amiri"/>
          <w:color w:val="111111"/>
          <w:sz w:val="28"/>
          <w:sz w:val="28"/>
          <w:szCs w:val="28"/>
          <w:rtl w:val="true"/>
          <w:lang w:bidi="ar-SA"/>
        </w:rPr>
        <w:t>، فقال صاحب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 بن مسلم الهرّاء أخذ عنه الكسائيّ، وأخذ الفرّاء عن الكسائيّ، فيكون الهرّاء أستاذ أستاذ الفرّاء، والفرّاء تلميذ تلميذ الهرّاء وخرّيج خرّيجه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الصدوق أبو جعفر بن بابويه في كتابه الفقيه في باب نوادر الصيام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معاذ بن كثير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مسلم الهرّاء</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الكشّاف مطابق لذلك، فليتدبّر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نجية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ناجية بن أبي عمارة السالف ذكره في أصحاب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7"/>
      </w:r>
      <w:r>
        <w:rPr>
          <w:rFonts w:ascii="Amiri" w:hAnsi="Amiri" w:eastAsia="Amiri" w:cs="Amiri"/>
          <w:color w:val="111111"/>
          <w:sz w:val="28"/>
          <w:sz w:val="28"/>
          <w:szCs w:val="28"/>
          <w:rtl w:val="true"/>
          <w:lang w:bidi="ar-SA"/>
        </w:rPr>
        <w:t>كما في المستبين من كلام الكشّيّ</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المختار القلانسي، واقفي، له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كوفيّ، مولى أحمس من بجيلة، وأخوه الحسن يكنّى أبا محمد، ذُكِرا فيمن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كتاب يرويه عنه حمّاد بن عيسى وغيره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عقدة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كوفيّ ثقة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إرشاد شيخنا المفيد في باب النصّ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خاصّة الكاظم وثقاته وأهل الورع والعلم والفقه، من شيعته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الكافي قال الحسين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جماعة من الثقات عنه نصّاً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يدافع كونه واقفياً، ولذلك لم يحكم به النجاشي ولا نقله عن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الرجل من أعيان الثقات وعيون الأَثبات، والله سبحانه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خلف الزّام،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أبي خلف الزّام ثقة كما وثّقه، ولكن طريقه إليه على ما في الفهرست ضعيف بأبي المفضّل على الأشهر، وبابن بطّة اتّفاقاً</w:t>
      </w:r>
      <w:r>
        <w:rPr>
          <w:rStyle w:val="FootnoteAnchor"/>
          <w:rtl w:val="true"/>
        </w:rPr>
        <w:footnoteReference w:id="504"/>
      </w:r>
      <w:r>
        <w:rPr>
          <w:rFonts w:ascii="Amiri" w:hAnsi="Amiri" w:eastAsia="Amiri" w:cs="Amiri"/>
          <w:color w:val="111111"/>
          <w:sz w:val="28"/>
          <w:sz w:val="28"/>
          <w:szCs w:val="28"/>
          <w:rtl w:val="true"/>
          <w:lang w:bidi="ar-SA"/>
        </w:rPr>
        <w:t>، وكذلك طريق النجاشي إليه فيه ابن بطّة</w:t>
      </w:r>
      <w:r>
        <w:rPr>
          <w:rStyle w:val="FootnoteAnchor"/>
          <w:rtl w:val="true"/>
        </w:rPr>
        <w:footnoteReference w:id="505"/>
      </w:r>
      <w:r>
        <w:rPr>
          <w:rFonts w:ascii="Amiri" w:hAnsi="Amiri" w:eastAsia="Amiri" w:cs="Amiri"/>
          <w:color w:val="111111"/>
          <w:sz w:val="28"/>
          <w:sz w:val="28"/>
          <w:szCs w:val="28"/>
          <w:rtl w:val="true"/>
          <w:lang w:bidi="ar-SA"/>
        </w:rPr>
        <w:t xml:space="preserve">، فيكون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عمران، واقفي، 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سعد بن موسى الأنصاريّ، وموسى كنيته أبو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أسانيد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موسى الخزرج،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غير والد عبد الله بن محمد بن خالد الطيالسيّ، وذاك هو محمد بن خالد </w:t>
      </w:r>
    </w:p>
    <w:p>
      <w:pPr>
        <w:pStyle w:val="BookText"/>
        <w:rPr/>
      </w:pPr>
      <w:r>
        <w:rPr>
          <w:rFonts w:ascii="Amiri" w:hAnsi="Amiri" w:eastAsia="Amiri" w:cs="Amiri"/>
          <w:color w:val="111111"/>
          <w:sz w:val="28"/>
          <w:sz w:val="28"/>
          <w:szCs w:val="28"/>
          <w:rtl w:val="true"/>
          <w:lang w:bidi="ar-SA"/>
        </w:rPr>
        <w:t xml:space="preserve">الطيالسيّ الذي يروي عنه حميد بن زياد كثيراً من الأصول كما لا يخفى على المتمهّر، فليتعرّف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الطحان،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أبا يحيى الطحّان هذا هو أبو يحيى الحنّاط الذي يروي عنه الحسن بن محبوب كتابه على ما في الفهرست</w:t>
      </w:r>
      <w:r>
        <w:rPr>
          <w:rStyle w:val="FootnoteAnchor"/>
          <w:rtl w:val="true"/>
        </w:rPr>
        <w:footnoteReference w:id="507"/>
      </w:r>
      <w:r>
        <w:rPr>
          <w:rFonts w:ascii="Amiri" w:hAnsi="Amiri" w:eastAsia="Amiri" w:cs="Amiri"/>
          <w:color w:val="111111"/>
          <w:sz w:val="28"/>
          <w:sz w:val="28"/>
          <w:szCs w:val="28"/>
          <w:rtl w:val="true"/>
          <w:lang w:bidi="ar-SA"/>
        </w:rPr>
        <w:t>، وكذلك الحسن بن محمد بن سماعة على ما في كتاب النجاشي</w:t>
      </w:r>
      <w:r>
        <w:rPr>
          <w:rStyle w:val="FootnoteAnchor"/>
          <w:rtl w:val="true"/>
        </w:rPr>
        <w:footnoteReference w:id="508"/>
      </w:r>
      <w:r>
        <w:rPr>
          <w:rFonts w:ascii="Amiri" w:hAnsi="Amiri" w:eastAsia="Amiri" w:cs="Amiri"/>
          <w:color w:val="111111"/>
          <w:sz w:val="28"/>
          <w:sz w:val="28"/>
          <w:szCs w:val="28"/>
          <w:rtl w:val="true"/>
          <w:lang w:bidi="ar-SA"/>
        </w:rPr>
        <w:t>، وكثيراً ما في الأسانيد الحسن بن محبوب، عن أبي يحيى الحنّاط</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الزبالي من أهل زبالة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في مولد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مدح أبي خالد الزباليّ وحسن عقيدته ومحبّته</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هاشم العبّاسيّ هو المَشْرفيّ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وبالشين المعجمة قبل الراء والفاء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مشارف الشام قرى من أرض العرب، إليها تنسب السيوف المشرفيّة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بين جزيرة العرب وبلاد الريف، تدنو من الريف، قيل لها ذلك </w:t>
      </w:r>
    </w:p>
    <w:p>
      <w:pPr>
        <w:pStyle w:val="BookText"/>
        <w:rPr/>
      </w:pPr>
      <w:r>
        <w:rPr>
          <w:rFonts w:ascii="IRNazanin" w:hAnsi="IRNazanin" w:eastAsia="IRNazanin"/>
          <w:color w:val="111111"/>
          <w:sz w:val="28"/>
          <w:sz w:val="28"/>
          <w:szCs w:val="28"/>
          <w:rtl w:val="true"/>
          <w:lang w:bidi="fa-IR"/>
        </w:rPr>
        <w:t>لأنّها أشرفت على السواد</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صُحِّفَ فضبط 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إبراهيم العبّاسيّ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المشرفيّ</w:t>
      </w:r>
      <w:r>
        <w:rPr>
          <w:rStyle w:val="FootnoteAnchor"/>
          <w:rtl w:val="true"/>
        </w:rPr>
        <w:footnoteReference w:id="512"/>
      </w:r>
      <w:r>
        <w:rPr>
          <w:rFonts w:ascii="IRNazanin" w:hAnsi="IRNazanin" w:eastAsia="IRNazanin"/>
          <w:color w:val="111111"/>
          <w:sz w:val="28"/>
          <w:sz w:val="28"/>
          <w:szCs w:val="28"/>
          <w:rtl w:val="true"/>
          <w:lang w:bidi="fa-IR"/>
        </w:rPr>
        <w:t xml:space="preserve">،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كتاب ترويه جماعة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على ذلك الشيخ تقي الدين الحسن بن داود في قسم الممدوحين من كتابه</w:t>
      </w:r>
      <w:r>
        <w:rPr>
          <w:rStyle w:val="FootnoteAnchor"/>
          <w:rtl w:val="true"/>
        </w:rPr>
        <w:footnoteReference w:id="514"/>
      </w:r>
      <w:r>
        <w:rPr>
          <w:rFonts w:ascii="Amiri" w:hAnsi="Amiri" w:eastAsia="Amiri" w:cs="Amiri"/>
          <w:color w:val="111111"/>
          <w:sz w:val="28"/>
          <w:sz w:val="28"/>
          <w:szCs w:val="28"/>
          <w:rtl w:val="true"/>
          <w:lang w:bidi="ar-SA"/>
        </w:rPr>
        <w:t>، وفي قسم المجروحين من الخلاصة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إبراهيم العبّاسيّ</w:t>
      </w:r>
      <w:r>
        <w:rPr>
          <w:rStyle w:val="FootnoteAnchor"/>
          <w:rtl w:val="true"/>
        </w:rPr>
        <w:footnoteReference w:id="515"/>
      </w:r>
      <w:r>
        <w:rPr>
          <w:rFonts w:ascii="IRNazanin" w:hAnsi="IRNazanin" w:eastAsia="IRNazanin"/>
          <w:color w:val="111111"/>
          <w:sz w:val="28"/>
          <w:sz w:val="28"/>
          <w:szCs w:val="28"/>
          <w:rtl w:val="true"/>
          <w:lang w:bidi="fa-IR"/>
        </w:rPr>
        <w:t xml:space="preserve">، والله سبحانه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رباط هذا هو علي بن الحسن بن رباط على ما ذكره الكشّيّ والنجاشي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الفهرست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رباط</w:t>
      </w:r>
      <w:r>
        <w:rPr>
          <w:rStyle w:val="FootnoteAnchor"/>
          <w:rtl w:val="true"/>
        </w:rPr>
        <w:footnoteReference w:id="517"/>
      </w:r>
      <w:r>
        <w:rPr>
          <w:rFonts w:ascii="IRNazanin" w:hAnsi="IRNazanin" w:eastAsia="IRNazanin"/>
          <w:color w:val="111111"/>
          <w:sz w:val="28"/>
          <w:sz w:val="28"/>
          <w:szCs w:val="28"/>
          <w:rtl w:val="true"/>
          <w:lang w:bidi="fa-IR"/>
        </w:rPr>
        <w:t xml:space="preserve">، وهو غير علي بن رباط السالف ذكره في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أصحاب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ذاك عمّ ذا؛ لصريح قول الكشّيّ في بني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أربعة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وعلي ويونس، كلّهم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ولهم أولاد </w:t>
      </w:r>
    </w:p>
    <w:p>
      <w:pPr>
        <w:pStyle w:val="BookText"/>
        <w:rPr/>
      </w:pPr>
      <w:r>
        <w:rPr>
          <w:rFonts w:ascii="Amiri" w:hAnsi="Amiri" w:eastAsia="Amiri" w:cs="Amiri"/>
          <w:color w:val="111111"/>
          <w:sz w:val="28"/>
          <w:sz w:val="28"/>
          <w:szCs w:val="28"/>
          <w:rtl w:val="true"/>
          <w:lang w:bidi="ar-SA"/>
        </w:rPr>
        <w:t>كثيرة من حَمَلة الحديث</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من كتاب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مكان علي، وإسحاق مكان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سبق إلى بعض الأوهام أنّ في عبارة الفهرست ما يؤذن باتّحاد علي بن الحسن بن رباط وعلي بن رباط ليس له مطابق ومصداق أصلاً، وليُراجَع في ذلك ما علّقناه على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القمّي يكنّى أبا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القاسم إدريس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إدريس بن الحسن القمّيّ من رجال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عن أبي إسحاق الكنديّ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غيره من أصحاب الكاظم ومن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بشار النيسابوري، وهو عمّ أبي عبد الله الشاذاني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الشاذانيّ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بالمعجمتين من حاشيتي الألف والنون من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أحمد بن نعيم الذي أنفذ بما اجتمع عنده من مال الغريم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وزاده من ماله، فورد عليه الجواب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إليّ ما أنفذت إليّ من خاصّة مالك وهو كذا وكذا تقبّل الله منك</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حفصويه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سليمان بن حفص المروزيّ كان يروي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جملة ما يرويه عنه حديث ما يقال في سجدة الشكر على ما ذكره الصدوق في الفقيه</w:t>
      </w:r>
      <w:r>
        <w:rPr>
          <w:rStyle w:val="FootnoteAnchor"/>
          <w:rtl w:val="true"/>
        </w:rPr>
        <w:footnoteReference w:id="520"/>
      </w:r>
      <w:r>
        <w:rPr>
          <w:rFonts w:ascii="Amiri" w:hAnsi="Amiri" w:eastAsia="Amiri" w:cs="Amiri"/>
          <w:color w:val="111111"/>
          <w:sz w:val="28"/>
          <w:sz w:val="28"/>
          <w:szCs w:val="28"/>
          <w:rtl w:val="true"/>
          <w:lang w:bidi="ar-SA"/>
        </w:rPr>
        <w:t>، وأورده شيخنا الشهيد في الذكرى</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خصيصاً بأبي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الذي روى قدر صاع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مقدار ماء الغسل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 والمراد به أبو الحسن الثاني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يقال المراد به أبو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والصدوق رضوان الله تعالى عليه رواه مرسلاً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سليمان بن حفص ربّما يروي عن مولانا العسكريّ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حديث ذكر سبحان الله والحمد لله ولا إله إلّا الله والله أكبر للمسافر بعد صلاته المقصورة ثلاثين مرّة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وجلالة الرجل ممّا قد بيّنّاه في مواضع من تعليقاتنا ومعلّقاتنا، فليعرف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 بن بزيع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 بن بزيع مولى المنصور، ثقة، كوفيّ</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بزيع كلّهم بيت الجلالة والثقة، وذكر الكشّيّ أنّ محمد بن إسماعيل بن بزيع وأحمد بن حمزة بن بزيع في عداد الوزراء</w:t>
      </w:r>
      <w:r>
        <w:rPr>
          <w:rStyle w:val="FootnoteAnchor"/>
          <w:rtl w:val="true"/>
        </w:rPr>
        <w:footnoteReference w:id="525"/>
      </w:r>
      <w:r>
        <w:rPr>
          <w:rFonts w:ascii="IRNazanin" w:hAnsi="IRNazanin" w:eastAsia="IRNazanin"/>
          <w:color w:val="111111"/>
          <w:sz w:val="28"/>
          <w:sz w:val="28"/>
          <w:szCs w:val="28"/>
          <w:rtl w:val="true"/>
          <w:lang w:bidi="fa-IR"/>
        </w:rPr>
        <w:t>، وربّما يحسب أنّ موسى بن عمر بن بزيع هو موسى بن حمزة بن بزيع، لأنّ عمر بن بزيع غير معروف، فلعلّه تصحيف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وهم؛ لأنّ موسى بن حمزة بن بزيع يروي عنه سليمان بن جعفر الجعفريّ فهو يروي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يستبين من الطبقات، وموسى بن عمر بن بزيع من أصحاب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الأسانيد في كتب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المالكيّ مصغّراً، عن أحمد بن هلال العبرتائي</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أنّه هو الذي سمّاه الشيخ هنا الحسن، وأمّا حِسْبَان التعدّد وظنّ أنّهما أخوان فممّا لا مستند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يبعد أن يكون هذا الرجل ابن أخي الحسين بن مالك القمّيّ الذي قد سبق في أصحاب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وتوثيقه</w:t>
      </w:r>
      <w:r>
        <w:rPr>
          <w:rStyle w:val="FootnoteAnchor"/>
          <w:rtl w:val="true"/>
        </w:rPr>
        <w:footnoteReference w:id="527"/>
      </w:r>
      <w:r>
        <w:rPr>
          <w:rFonts w:ascii="IRNazanin" w:hAnsi="IRNazanin" w:eastAsia="IRNazanin"/>
          <w:color w:val="111111"/>
          <w:sz w:val="28"/>
          <w:sz w:val="28"/>
          <w:szCs w:val="28"/>
          <w:rtl w:val="true"/>
          <w:lang w:bidi="fa-IR"/>
        </w:rPr>
        <w:t xml:space="preserve">، والعلم عند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قمّي، ثقة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عبد الله بن جعفر الحِمْيَريّ شيخ القمّيّين ووجههم،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الحِمْيَريّ، قَدِم الكوفة سنة نيّف وتسعين ومائتين وسمع أهلها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أستاد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أبا الحسن علي بن بابويه </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xml:space="preserve">، فتوهّم الحسن بن داود أنّه يعني أبا الحسن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كش</w:t>
      </w:r>
      <w:r>
        <w:rPr>
          <w:rFonts w:eastAsia="IRNazanin" w:cs="IRNazanin"/>
          <w:color w:val="111111"/>
          <w:sz w:val="28"/>
          <w:szCs w:val="28"/>
          <w:rtl w:val="true"/>
          <w:lang w:bidi="fa-IR"/>
        </w:rPr>
        <w:t>)</w:t>
      </w:r>
      <w:r>
        <w:rPr>
          <w:rStyle w:val="FootnoteAnchor"/>
          <w:rtl w:val="true"/>
        </w:rPr>
        <w:footnoteReference w:id="529"/>
      </w:r>
      <w:r>
        <w:rPr>
          <w:rFonts w:ascii="Amiri" w:hAnsi="Amiri" w:eastAsia="Amiri" w:cs="Amiri"/>
          <w:color w:val="111111"/>
          <w:sz w:val="28"/>
          <w:sz w:val="28"/>
          <w:szCs w:val="28"/>
          <w:rtl w:val="true"/>
          <w:lang w:bidi="ar-SA"/>
        </w:rPr>
        <w:t xml:space="preserve">، وهذه من فضايح الأغلاط وكبائر الأغاليط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الصفّار الذي سيذكر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عن الحسن بن موسى الخشّاب</w:t>
      </w:r>
      <w:r>
        <w:rPr>
          <w:rStyle w:val="FootnoteAnchor"/>
          <w:rtl w:val="true"/>
        </w:rPr>
        <w:footnoteReference w:id="530"/>
      </w:r>
      <w:r>
        <w:rPr>
          <w:rFonts w:ascii="Amiri" w:hAnsi="Amiri" w:eastAsia="Amiri" w:cs="Amiri"/>
          <w:color w:val="111111"/>
          <w:sz w:val="28"/>
          <w:sz w:val="28"/>
          <w:szCs w:val="28"/>
          <w:rtl w:val="true"/>
          <w:lang w:bidi="ar-SA"/>
        </w:rPr>
        <w:t>وهو محمد بن الحسن بن فرّوخ الصفّار المذكور في كتاب النجاشي</w:t>
      </w:r>
      <w:r>
        <w:rPr>
          <w:rStyle w:val="FootnoteAnchor"/>
          <w:rtl w:val="true"/>
        </w:rPr>
        <w:footnoteReference w:id="531"/>
      </w:r>
      <w:r>
        <w:rPr>
          <w:rFonts w:ascii="Amiri" w:hAnsi="Amiri" w:eastAsia="Amiri" w:cs="Amiri"/>
          <w:color w:val="111111"/>
          <w:sz w:val="28"/>
          <w:sz w:val="28"/>
          <w:szCs w:val="28"/>
          <w:rtl w:val="true"/>
          <w:lang w:bidi="ar-SA"/>
        </w:rPr>
        <w:t xml:space="preserve">، فليس ذلك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نصر بن سعيد الباهلي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ويكنّى أبا سليمان، وقد روى عن أبي إسحاق إبراهيم بن إسحاق الأحمريّ على ما في الفهرست</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يدرك عصر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يمكن أن يكون قد روى أيضاً عن إبراهيم بن إسحاق الثقة الذي هو من رجال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مضى ذكره في أصحابه كما ربّما يسبق إلى بعض الأوهام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أبي رافع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الصحيح، وكذلك ذكره في الفهرست</w:t>
      </w:r>
      <w:r>
        <w:rPr>
          <w:rStyle w:val="FootnoteAnchor"/>
          <w:rtl w:val="true"/>
        </w:rPr>
        <w:footnoteReference w:id="533"/>
      </w:r>
      <w:r>
        <w:rPr>
          <w:rFonts w:ascii="Amiri" w:hAnsi="Amiri" w:eastAsia="Amiri" w:cs="Amiri"/>
          <w:color w:val="111111"/>
          <w:sz w:val="28"/>
          <w:sz w:val="28"/>
          <w:szCs w:val="28"/>
          <w:rtl w:val="true"/>
          <w:lang w:bidi="ar-SA"/>
        </w:rPr>
        <w:t>، وهكذا في آخر كتاب الاستبصار في مَسْنَدَتِهِ</w:t>
      </w:r>
      <w:r>
        <w:rPr>
          <w:rStyle w:val="FootnoteAnchor"/>
          <w:rtl w:val="true"/>
        </w:rPr>
        <w:footnoteReference w:id="534"/>
      </w:r>
      <w:r>
        <w:rPr>
          <w:rFonts w:ascii="Amiri" w:hAnsi="Amiri" w:eastAsia="Amiri" w:cs="Amiri"/>
          <w:color w:val="111111"/>
          <w:sz w:val="28"/>
          <w:sz w:val="28"/>
          <w:szCs w:val="28"/>
          <w:rtl w:val="true"/>
          <w:lang w:bidi="ar-SA"/>
        </w:rPr>
        <w:t>، والنجاشي أيضاً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في باب وجوب الترتيب في أعضاء الوضوء من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أبي رافع الصيمريّ</w:t>
      </w:r>
      <w:r>
        <w:rPr>
          <w:rStyle w:val="FootnoteAnchor"/>
          <w:rtl w:val="true"/>
        </w:rPr>
        <w:footnoteReference w:id="536"/>
      </w:r>
      <w:r>
        <w:rPr>
          <w:rFonts w:ascii="Amiri" w:hAnsi="Amiri" w:eastAsia="Amiri" w:cs="Amiri"/>
          <w:color w:val="111111"/>
          <w:sz w:val="28"/>
          <w:sz w:val="28"/>
          <w:szCs w:val="28"/>
          <w:rtl w:val="true"/>
          <w:lang w:bidi="ar-SA"/>
        </w:rPr>
        <w:t xml:space="preserve">، فمن سهو القلم، أو من تحريف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اختل</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أَخْبَلَ أَفْعَلَ من الخَبال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خَبالٍ، يعني ذا فسادٍ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والخبال في الأصل الفساد، وأكثر ما يستعمل في العقول والأبدان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في التنزيل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يَألُونَكُم خبالاً</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الخشاب، روى عنه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فرّوخ الصفّار الذي ذكره النجاشي في كتابه</w:t>
      </w:r>
      <w:r>
        <w:rPr>
          <w:rStyle w:val="FootnoteAnchor"/>
          <w:rtl w:val="true"/>
        </w:rPr>
        <w:footnoteReference w:id="53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محمد بن الحسن الصفّار الذي قد تقدّم ذكره في أصحاب الفقيه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 فإنّه متقدّم على الحسن بن موسى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التلعكبري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عنه أيضاً محمد بن هارون الكنديّ نسخةً لعبد الله بن إبراهيم بن 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يرويها عن آبائه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ذلك شيخنا أبو العبّاس النجاشي عن أبي عبد الله الحسين بن جعفر بن محمد الخزاز، عن محمد بن هارون الكِنديّ</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الزبير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ناهز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ناهز الصبيّ البلوغ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منه وأدناه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يعقوب بن نصر الأنباري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طالب الأنباريّ اسمه عبيد الله، وفي الفهرست</w:t>
      </w:r>
      <w:r>
        <w:rPr>
          <w:rStyle w:val="FootnoteAnchor"/>
          <w:rtl w:val="true"/>
        </w:rPr>
        <w:footnoteReference w:id="542"/>
      </w:r>
      <w:r>
        <w:rPr>
          <w:rFonts w:ascii="Amiri" w:hAnsi="Amiri" w:eastAsia="Amiri" w:cs="Amiri"/>
          <w:color w:val="111111"/>
          <w:sz w:val="28"/>
          <w:sz w:val="28"/>
          <w:szCs w:val="28"/>
          <w:rtl w:val="true"/>
          <w:lang w:bidi="ar-SA"/>
        </w:rPr>
        <w:t>وفي كتاب الكشّيّ اسمه عبد الله</w:t>
      </w:r>
      <w:r>
        <w:rPr>
          <w:rStyle w:val="FootnoteAnchor"/>
          <w:rtl w:val="true"/>
        </w:rPr>
        <w:footnoteReference w:id="543"/>
      </w:r>
      <w:r>
        <w:rPr>
          <w:rFonts w:ascii="Amiri" w:hAnsi="Amiri" w:eastAsia="Amiri" w:cs="Amiri"/>
          <w:color w:val="111111"/>
          <w:sz w:val="28"/>
          <w:sz w:val="28"/>
          <w:szCs w:val="28"/>
          <w:rtl w:val="true"/>
          <w:lang w:bidi="ar-SA"/>
        </w:rPr>
        <w:t>، وكذلك في كتاب الحسن بن داود</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يكنّى أبا الحسن، نيسابوري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يروي أبو جعفر الكلينيّ عنه، عن الفضل بن شاذان</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10932_87950"/>
      <w:bookmarkStart w:id="705" w:name="pg10932_87950"/>
      <w:bookmarkEnd w:id="70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6" w:name="pg10932_87950"/>
      <w:bookmarkStart w:id="707" w:name="__RefHeading___Toc3208875_2870459653"/>
      <w:bookmarkStart w:id="708" w:name="_Toc272"/>
      <w:bookmarkEnd w:id="706"/>
      <w:bookmarkEnd w:id="707"/>
      <w:r>
        <w:rPr>
          <w:rtl w:val="true"/>
        </w:rPr>
        <w:t xml:space="preserve">تعليقة على رجال النجاشيّ </w:t>
      </w:r>
      <w:r>
        <w:rPr>
          <w:rtl w:val="true"/>
        </w:rPr>
        <w:t>(</w:t>
      </w:r>
      <w:r>
        <w:rPr>
          <w:rtl w:val="true"/>
        </w:rPr>
        <w:t>رحمة الله</w:t>
      </w:r>
      <w:r>
        <w:rPr>
          <w:rtl w:val="true"/>
        </w:rPr>
        <w:t>)</w:t>
      </w:r>
      <w:bookmarkEnd w:id="70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أبو إسحاق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الشيخ رحمه الله تعالى في أحاديث الخمس من كتاب التهذيب أنّه أدرك أبا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له معه خطاباً في الخمس</w:t>
      </w:r>
      <w:r>
        <w:rPr>
          <w:rStyle w:val="FootnoteAnchor"/>
          <w:rtl w:val="true"/>
        </w:rPr>
        <w:footnoteReference w:id="546"/>
      </w:r>
      <w:r>
        <w:rPr>
          <w:rFonts w:ascii="IRNazanin" w:hAnsi="IRNazanin" w:eastAsia="IRNazanin"/>
          <w:color w:val="111111"/>
          <w:sz w:val="28"/>
          <w:sz w:val="28"/>
          <w:szCs w:val="28"/>
          <w:rtl w:val="true"/>
          <w:lang w:bidi="fa-IR"/>
        </w:rPr>
        <w:t xml:space="preserve">، وذكر المصنّف في ترجمة محمد بن علي بن إبراهيم بن محمد الهمذانيّ أنّ إبراهيم بن هاشم روى عن إبراهيم بن محمد الهمذانيّ،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وإبراهيم بن هاشم أجلّ من أن يحتاج إلى صريح التوثيق، وقد حكم العلّامة بالصحّة على عدّة من أسانيد الفقيه والتهذيب وهو في الطريق</w:t>
      </w:r>
      <w:r>
        <w:rPr>
          <w:rStyle w:val="FootnoteAnchor"/>
          <w:rtl w:val="true"/>
        </w:rPr>
        <w:footnoteReference w:id="548"/>
      </w:r>
      <w:r>
        <w:rPr>
          <w:rFonts w:ascii="Amiri" w:hAnsi="Amiri" w:eastAsia="Amiri" w:cs="Amiri"/>
          <w:color w:val="111111"/>
          <w:sz w:val="28"/>
          <w:sz w:val="28"/>
          <w:szCs w:val="28"/>
          <w:rtl w:val="true"/>
          <w:lang w:bidi="ar-SA"/>
        </w:rPr>
        <w:t>، ولذلك عدّ طريق الصدوق إلى كردويه وإلى إسماعيل بن مهران مثلاً من الصحاح</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أبو إسحاق الأحمري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سنة تسع وستين ومائتين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وسبعين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بكر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السمال 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سمعان اسم السمّال، وهبيرة هو أبو السمّال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وأخوه رويا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ثقة هو وأخوه كما توهّمه بعض القاصرين ممّن ليس أهلاً للقوانين الأدبيّة والأساليب العربيّة، فليس فيه توثيق إسماعيل بن أبي السمّال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ووقفا عن القول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ووقفا فعلان على صيغة التثنية، فلا غبار على العبارة كما توهّمه بعض الطلبة القاصرين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همام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هو وأبوه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توثيق عبد الرحمن بن أبي عبد الله، وابنه همّام بن عبد الرحمن، ونافلته أبي همّام إسماعيل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جنازة الحسن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الملتفت المبشّر هو محمد بن عبد الله بن زرارة فيما رواه الكشّيّ</w:t>
      </w:r>
      <w:r>
        <w:rPr>
          <w:rStyle w:val="FootnoteAnchor"/>
          <w:rtl w:val="true"/>
        </w:rPr>
        <w:footnoteReference w:id="550"/>
      </w:r>
      <w:r>
        <w:rPr>
          <w:rFonts w:ascii="Amiri" w:hAnsi="Amiri" w:eastAsia="Amiri" w:cs="Amiri"/>
          <w:color w:val="111111"/>
          <w:sz w:val="28"/>
          <w:sz w:val="28"/>
          <w:szCs w:val="28"/>
          <w:rtl w:val="true"/>
          <w:lang w:bidi="ar-SA"/>
        </w:rPr>
        <w:t xml:space="preserve">، فيكون هو ممدوح علي بن الريّان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محمد بن عبد الله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هذا هو محمد بن عبد الله بن زرارة كما يستبين ممّا في كتاب الكشّيّ، وقد قال علي بن الريّان إنّه أصدق لهجة من أحمد بن الحسن، وإنّه رجل فاضل ديّن</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سعيد هاشم بن حيان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وأبوه وجهين في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لايتوهّمنّ متوهّم من هذه العبارة أنّ أباه أبا سعيد هاشم بن حيّان المكاري كان واقفيّاً، فإنّ كون إنسان وجهاً في طائفة لا يستلزم كونه منهم وعلى مذهبهم، ألا يرى أنّ علي بن الحسن بن فضّال قال النجاشي</w:t>
      </w:r>
      <w:r>
        <w:rPr>
          <w:rStyle w:val="FootnoteAnchor"/>
          <w:rtl w:val="true"/>
        </w:rPr>
        <w:footnoteReference w:id="552"/>
      </w:r>
      <w:r>
        <w:rPr>
          <w:rFonts w:ascii="Amiri" w:hAnsi="Amiri" w:eastAsia="Amiri" w:cs="Amiri"/>
          <w:color w:val="111111"/>
          <w:sz w:val="28"/>
          <w:sz w:val="28"/>
          <w:szCs w:val="28"/>
          <w:rtl w:val="true"/>
          <w:lang w:bidi="ar-SA"/>
        </w:rPr>
        <w:t>والشيخ</w:t>
      </w:r>
      <w:r>
        <w:rPr>
          <w:rStyle w:val="FootnoteAnchor"/>
          <w:rtl w:val="true"/>
        </w:rPr>
        <w:footnoteReference w:id="553"/>
      </w:r>
      <w:r>
        <w:rPr>
          <w:rFonts w:ascii="Amiri" w:hAnsi="Amiri" w:eastAsia="Amiri" w:cs="Amiri"/>
          <w:color w:val="111111"/>
          <w:sz w:val="28"/>
          <w:sz w:val="28"/>
          <w:szCs w:val="28"/>
          <w:rtl w:val="true"/>
          <w:lang w:bidi="ar-SA"/>
        </w:rPr>
        <w:t>وغيره</w:t>
      </w:r>
      <w:r>
        <w:rPr>
          <w:rStyle w:val="FootnoteAnchor"/>
          <w:rtl w:val="true"/>
        </w:rPr>
        <w:footnoteReference w:id="554"/>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فقيه أصحابنا ووجههم وثقتهم، مع أنّه كان فطحيّاً ومات على الفطحيّة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يصحّ الوقف فيه وهو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يرو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كان من أصحابه ولا بقي إلى زمن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يعلم وقفه عليه، أو قوله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أورده الحسن بن داود في الممدوحين</w:t>
      </w:r>
      <w:r>
        <w:rPr>
          <w:rStyle w:val="FootnoteAnchor"/>
          <w:rtl w:val="true"/>
        </w:rPr>
        <w:footnoteReference w:id="555"/>
      </w:r>
      <w:r>
        <w:rPr>
          <w:rFonts w:ascii="Amiri" w:hAnsi="Amiri" w:eastAsia="Amiri" w:cs="Amiri"/>
          <w:color w:val="111111"/>
          <w:sz w:val="28"/>
          <w:sz w:val="28"/>
          <w:szCs w:val="28"/>
          <w:rtl w:val="true"/>
          <w:lang w:bidi="ar-SA"/>
        </w:rPr>
        <w:t>، وأبو عمرو الكشّيّ ذكر ابنه الحسين في الواقفة دونه</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الرجال في أصحاب أبي الحسن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w:t>
      </w:r>
      <w:r>
        <w:rPr>
          <w:rStyle w:val="FootnoteAnchor"/>
          <w:rtl w:val="true"/>
        </w:rPr>
        <w:footnoteReference w:id="557"/>
      </w:r>
      <w:r>
        <w:rPr>
          <w:rFonts w:ascii="Amiri" w:hAnsi="Amiri" w:eastAsia="Amiri" w:cs="Amiri"/>
          <w:color w:val="111111"/>
          <w:sz w:val="28"/>
          <w:sz w:val="28"/>
          <w:szCs w:val="28"/>
          <w:rtl w:val="true"/>
          <w:lang w:bidi="ar-SA"/>
        </w:rPr>
        <w:t xml:space="preserve">كما يرويه المصنّف </w:t>
      </w:r>
    </w:p>
    <w:p>
      <w:pPr>
        <w:pStyle w:val="BookText"/>
        <w:rPr/>
      </w:pPr>
      <w:r>
        <w:rPr>
          <w:rFonts w:ascii="Amiri" w:hAnsi="Amiri" w:eastAsia="Amiri" w:cs="Amiri"/>
          <w:color w:val="111111"/>
          <w:sz w:val="28"/>
          <w:sz w:val="28"/>
          <w:szCs w:val="28"/>
          <w:rtl w:val="true"/>
          <w:lang w:bidi="ar-SA"/>
        </w:rPr>
        <w:t>عن حميد بن زياد</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رباط البجلي 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وجدناه في النسخ الواقعة إلينا من كتاب الكشّيّ في بني رباط على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أربعة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وعلي ويونس كلّهم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ولهم أولاد كثيرة من حَمَلة الحديث</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يقال في بعض النسخ إسحاق مكان الحسين، وعبد الله مكان علي كما في هذا الكتاب، ولم أجد ذلك فيما وقع إليّ إلى الآن، والله سبحانه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الحسين أوجههم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توثيق أخيه عبد الحميد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هو أوجه الإخوة كان جليلاً ثَبتاً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 له كتاب يعدّ في الأصول، أخبرنا به جماعة من أصحابنا عن محمد بن علي بن الحسين بن بابويه، عن محمد بن الحسن بن الوليد، عن الصفّار، عن محمد بن الحسين بن أبي الخطّاب، عن محمد بن أبي عمير وصفوان، عن الحسين بن أبي العلاء</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كتابه معدوداً في الأصول، وابن أبي عمير وصفوان بن يحيى يرويانه عنه، والشيخ يرويه عنهما بهذا الإسناد الصحيح العالي الطبقات في أعلى الدرجات، فجلالة أمره إذن من المستبينات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السيّد المعظّم جمال الدين أحمد بن طاوس تزكيته في البشرى</w:t>
      </w:r>
      <w:r>
        <w:rPr>
          <w:rStyle w:val="FootnoteAnchor"/>
          <w:rtl w:val="true"/>
        </w:rPr>
        <w:footnoteReference w:id="561"/>
      </w:r>
      <w:r>
        <w:rPr>
          <w:rFonts w:ascii="Amiri" w:hAnsi="Amiri" w:eastAsia="Amiri" w:cs="Amiri"/>
          <w:color w:val="111111"/>
          <w:sz w:val="28"/>
          <w:sz w:val="28"/>
          <w:szCs w:val="28"/>
          <w:rtl w:val="true"/>
          <w:lang w:bidi="ar-SA"/>
        </w:rPr>
        <w:t>، وأورده الحسن بن داود في قسم الموثّقين</w:t>
      </w:r>
      <w:r>
        <w:rPr>
          <w:rStyle w:val="FootnoteAnchor"/>
          <w:rtl w:val="true"/>
        </w:rPr>
        <w:footnoteReference w:id="562"/>
      </w:r>
      <w:r>
        <w:rPr>
          <w:rFonts w:ascii="Amiri" w:hAnsi="Amiri" w:eastAsia="Amiri" w:cs="Amiri"/>
          <w:color w:val="111111"/>
          <w:sz w:val="28"/>
          <w:sz w:val="28"/>
          <w:szCs w:val="28"/>
          <w:rtl w:val="true"/>
          <w:lang w:bidi="ar-SA"/>
        </w:rPr>
        <w:t xml:space="preserve">، والعلّامة لم يذكره في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خالد بن محمد بن علي البرقي، أبو علي، أخو محمّد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محمد بن شهر آشوب في كتاب معالم العلماء إنّ الحسن بن خالد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أخو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 تفسير العسكريّ من املاء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مائة وعشرون مجلّدة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أبو هلال العسكريّ صاحب التفسير المشهور فليس هو من أصحابنا، ولا تفسيره المعروف هو هذا التفسير المنسوب إلى إملاء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عمران بن أبي بكر الأشعري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جخ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w:t>
      </w:r>
      <w:r>
        <w:rPr>
          <w:rStyle w:val="FootnoteAnchor"/>
          <w:rtl w:val="true"/>
        </w:rPr>
        <w:footnoteReference w:id="564"/>
      </w:r>
      <w:r>
        <w:rPr>
          <w:rFonts w:ascii="Amiri" w:hAnsi="Amiri" w:eastAsia="Amiri" w:cs="Amiri"/>
          <w:color w:val="111111"/>
          <w:sz w:val="28"/>
          <w:sz w:val="28"/>
          <w:szCs w:val="28"/>
          <w:rtl w:val="true"/>
          <w:lang w:bidi="ar-SA"/>
        </w:rPr>
        <w:t>بن عامر الأشعريّ، يروي عن عمّه عبد الله بن عامر، و</w:t>
      </w:r>
      <w:r>
        <w:rPr>
          <w:rStyle w:val="FootnoteAnchor"/>
          <w:rtl w:val="true"/>
        </w:rPr>
        <w:footnoteReference w:id="565"/>
      </w:r>
      <w:r>
        <w:rPr>
          <w:rFonts w:ascii="Amiri" w:hAnsi="Amiri" w:eastAsia="Amiri" w:cs="Amiri"/>
          <w:color w:val="111111"/>
          <w:sz w:val="28"/>
          <w:sz w:val="28"/>
          <w:szCs w:val="28"/>
          <w:rtl w:val="true"/>
          <w:lang w:bidi="ar-SA"/>
        </w:rPr>
        <w:t>عن ابن أبي عمير، روى عنه الكلينيّ</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الكلينيّ الرواية عنه في كتابه الكافيّ</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القاف وإسكان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المكسورة والقاف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 قطع بموت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قطعيّاً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ولد المصنّف على حاشية الايضاح أنّها بفتح القاف لا بالضمّ، وإنّما هو من سهو القلم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الحسن بن بكران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هذا الوقت علوّاً</w:t>
      </w:r>
      <w:r>
        <w:rPr>
          <w:rStyle w:val="FootnoteAnchor"/>
          <w:rtl w:val="true"/>
        </w:rPr>
        <w:footnoteReference w:id="570"/>
      </w:r>
      <w:r>
        <w:rPr>
          <w:rFonts w:ascii="Amiri" w:hAnsi="Amiri" w:eastAsia="Amiri" w:cs="Amiri"/>
          <w:color w:val="111111"/>
          <w:sz w:val="28"/>
          <w:sz w:val="28"/>
          <w:szCs w:val="28"/>
          <w:rtl w:val="true"/>
          <w:lang w:bidi="ar-SA"/>
        </w:rPr>
        <w:t>فلم أسمع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غُلَوآءُ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المعجمة وفتح اللام أو إسكانها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القاموس</w:t>
      </w:r>
      <w:r>
        <w:rPr>
          <w:rStyle w:val="FootnoteAnchor"/>
          <w:rtl w:val="true"/>
        </w:rPr>
        <w:footnoteReference w:id="571"/>
      </w:r>
      <w:r>
        <w:rPr>
          <w:rFonts w:ascii="Amiri" w:hAnsi="Amiri" w:eastAsia="Amiri" w:cs="Amiri"/>
          <w:color w:val="111111"/>
          <w:sz w:val="28"/>
          <w:sz w:val="28"/>
          <w:szCs w:val="28"/>
          <w:rtl w:val="true"/>
          <w:lang w:bidi="ar-SA"/>
        </w:rPr>
        <w:t>، وبألفٍ ممدودة بعد الواو، ومحلّها الرفع على اسم كان التامّة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هذا الوقت جُمُوحٌ وسرعةٌ فضاق المجال عن سماع شيء منه، أو كان في هذا الوقت أوّل الشباب وسرعته فلم يتّفق لي أن أسمع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الغُلَوآء سرعة الشَباب وأوّله</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القاموس</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مجمل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الغُلَوآء أن يَمُرَّ على وجهه جامحاً، والغُلَوآء سرعة الشباب </w:t>
      </w:r>
    </w:p>
    <w:p>
      <w:pPr>
        <w:pStyle w:val="BookText"/>
        <w:rPr/>
      </w:pPr>
      <w:r>
        <w:rPr>
          <w:rFonts w:ascii="Amiri" w:hAnsi="Amiri" w:eastAsia="Amiri" w:cs="Amiri"/>
          <w:color w:val="111111"/>
          <w:sz w:val="28"/>
          <w:sz w:val="28"/>
          <w:szCs w:val="28"/>
          <w:rtl w:val="true"/>
          <w:lang w:bidi="ar-SA"/>
        </w:rPr>
        <w:t>وأوّله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من غُلَوآئه وفعل ذلك في غلوآء شَبابه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 الأثيريّة 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شُموخُ أنْفِهِ وغُلَوآءُ شَبَابه، غُلَوآء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وشِرَّتُهُ</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مؤدبي علي بن الحسين السعدآبادي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السعدآبادي الذي يروي عنه الكلينيّ</w:t>
      </w:r>
      <w:r>
        <w:rPr>
          <w:rStyle w:val="FootnoteAnchor"/>
          <w:rtl w:val="true"/>
        </w:rPr>
        <w:footnoteReference w:id="577"/>
      </w:r>
      <w:r>
        <w:rPr>
          <w:rFonts w:ascii="Amiri" w:hAnsi="Amiri" w:eastAsia="Amiri" w:cs="Amiri"/>
          <w:color w:val="111111"/>
          <w:sz w:val="28"/>
          <w:sz w:val="28"/>
          <w:szCs w:val="28"/>
          <w:rtl w:val="true"/>
          <w:lang w:bidi="ar-SA"/>
        </w:rPr>
        <w:t xml:space="preserve">وهو مؤدّب أبي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عبد الله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أبو عبد الله محمد بن علي أخو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الأشعر يكنّى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قيل في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أبي جعفر، فالمراد أحمد بن محمد بن عيسى الأشعريّ القميّ هذا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يراد به أبو جعفر محمد بن عمر بن سعيد وذلك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عن </w:t>
      </w:r>
    </w:p>
    <w:p>
      <w:pPr>
        <w:pStyle w:val="BookText"/>
        <w:rPr/>
      </w:pPr>
      <w:r>
        <w:rPr>
          <w:rFonts w:ascii="IRNazanin" w:hAnsi="IRNazanin" w:eastAsia="IRNazanin"/>
          <w:color w:val="111111"/>
          <w:sz w:val="28"/>
          <w:sz w:val="28"/>
          <w:szCs w:val="28"/>
          <w:rtl w:val="true"/>
          <w:lang w:bidi="fa-IR"/>
        </w:rPr>
        <w:t xml:space="preserve">يونس بن يعقوب، بدلالة ما في الكافي في كتاب الحجّة في تاريخ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أبي جعفر محمد بن عمر بن سعيد، عن يونس بن يعقوب</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يعنى أيضاً بأبي جعفر في الأسانيد أحمد بن عيسى العلويّ العمريّ الزاهد الثقة من أصحاب العيّاشيّ، وسيأتي في ترجمة علي بن محمد بن عبد الله أبي الحسن القزوينيّ القاضي أنّه روى كتب العيّاشيّ عن أبي جعفر أحمد بن عيسى العلويّ الزاهد عن العياشيّ وأنّه أوّل من أوردها إلى بغداد</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أبو جعفر العبرتائي، صالح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يرويه عن الحسن بن محبوب من كتاب المشيخة، وعن محمد بن أبي عمير من نوادره، فهو صحيح معتمد عليه</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عمر بن يزيد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أنا وأحمد بن الحسين رحمه الله على أبيه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به ابن الغضائريّ أبا عبد الله الحسين بن عبيد الله شيخ الشيخ الطوسيّ، ومصنّف كتاب الرجال ابنه أحمد بن الحسين هذا شريك المصنّف في قراءة كتاب النوادر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أحمد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الغضائريّ مصنّف 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الحسن بن شاذان أبو العبّاس الفامي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الحسن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والميم بعد الألف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القميّ مكان الفاميّ</w:t>
      </w:r>
      <w:r>
        <w:rPr>
          <w:rStyle w:val="FootnoteAnchor"/>
          <w:rtl w:val="true"/>
        </w:rPr>
        <w:footnoteReference w:id="582"/>
      </w:r>
      <w:r>
        <w:rPr>
          <w:rFonts w:ascii="Amiri" w:hAnsi="Amiri" w:eastAsia="Amiri" w:cs="Amiri"/>
          <w:color w:val="111111"/>
          <w:sz w:val="28"/>
          <w:sz w:val="28"/>
          <w:szCs w:val="28"/>
          <w:rtl w:val="true"/>
          <w:lang w:bidi="ar-SA"/>
        </w:rPr>
        <w:t>، وكذلك في كتاب الحسن بن داود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وليعلم أنّ أبا عبد الله بن شاذان الذي هو أحد أشياخ المصنّف يروي عنه ويذكره في أسانيده كثيراً، هو محمد بن علي بن الحسن بن شاذان أخو أحمد هذا، يعبّر عنه بأبي عبد الله بن شاذان</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الواحد بن أحمد البزاز وكان قد لقي أبا الحسن علي بن محمد القرشي المعروف بابن الزبير، وكان علوّا</w:t>
      </w:r>
      <w:r>
        <w:rPr>
          <w:rStyle w:val="FootnoteAnchor"/>
          <w:rtl w:val="true"/>
        </w:rPr>
        <w:footnoteReference w:id="585"/>
      </w:r>
      <w:r>
        <w:rPr>
          <w:rFonts w:ascii="Amiri" w:hAnsi="Amiri" w:eastAsia="Amiri" w:cs="Amiri"/>
          <w:color w:val="111111"/>
          <w:sz w:val="28"/>
          <w:sz w:val="28"/>
          <w:szCs w:val="28"/>
          <w:rtl w:val="true"/>
          <w:lang w:bidi="ar-SA"/>
        </w:rPr>
        <w:t>في الوقت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سياق الكلام على ما هو الظاهر من دَيْدَنِه ارجاعه إلى المعروف بابن الزبير كما هو المستبين،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الحسن علي بن محمد القرشيّ المعروف بابن الزبير غَلْواً في </w:t>
      </w:r>
    </w:p>
    <w:p>
      <w:pPr>
        <w:pStyle w:val="BookText"/>
        <w:rPr/>
      </w:pP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واسكان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بالفضل والجلالة في زمانه، بل أقصى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بسهمه غَلْواً، وغالى به غِلآءً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به أبعد ما قدَر عليه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بالسهم والسهم غَلْواً ارتفع في ذهابه وجاوز المَدَى</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مجمل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وغلا بسهمه غَلْواً إذا رَمَى به أقصى الغاية، وكلّ مَرْماةٍ 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وغلت الدابّة في سيرها غَلْواً، وتغالى النَبْتُ ارتفع وطال، ومنه الغَلْوَة مقدار 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والغُلَوآء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الشباب وشِرّتُه، وغلا السعْرُ غَلآءً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الرقاب أغلاها ثمناً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أرفعها، وكلّ شيء بلغ مَدَاه في الارتفاع فهو غَلْوٌ في بابه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أرجعنا المضمر إلى 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أحمد 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الكلام أنّه لقي أبا الحسن علي بن محمد المعروف بابن الزبير وقد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شبابه، أو كان جموحٌ وسرعةٌ في الوقت على مضاهاة ما سلف في ترجمة إسحاق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غَلْواً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في العلم والفضل على أقصى مراتب الجلالة في وقته وزمانه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غَلَوْتُ بالسهم غَلْواً إذا رميت به أبعدَ ما تقدر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غلوآء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الشباب، أو سرعة الانقضاء 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الفائديّ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إجازة أبو عبد الله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القزوينيّ هو محمد بن علي أخو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الرقم</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العباس النجاشي الأسدي مصنّف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رحمه الله تعالى والده في ترجمة أبي جعفر محمد بن علي بن بابويه رضي الله تعالى عنه، فقال بعد عدّ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بجميع كتبه وقرأت بعضها على والدي علي بن أحمد بن العبّاس النجاشي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أجازلي</w:t>
      </w:r>
      <w:r>
        <w:rPr>
          <w:rStyle w:val="FootnoteAnchor"/>
          <w:rtl w:val="true"/>
        </w:rPr>
        <w:footnoteReference w:id="589"/>
      </w:r>
      <w:r>
        <w:rPr>
          <w:rFonts w:ascii="Amiri" w:hAnsi="Amiri" w:eastAsia="Amiri" w:cs="Amiri"/>
          <w:color w:val="111111"/>
          <w:sz w:val="28"/>
          <w:sz w:val="28"/>
          <w:szCs w:val="28"/>
          <w:rtl w:val="true"/>
          <w:lang w:bidi="ar-SA"/>
        </w:rPr>
        <w:t>جميع كتبه لمّا سمعنا منه ببغداد</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غياث بن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الشهيد في الذكرى في باب صلاة الجمعة نقل عن المحقّق في المعتبر أنّ حفصاً عامّيّ، تولّى القضاء من قبل الرشيد بشرقيّ بغداد، ثمّ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يضرّ، لأنّ الشيخ 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حفص يعتمد عليه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تولّيه القضاء من قبل الرشيد وإن كان يَشينه إلّا أنّه لا يدلّ على عامّيّته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الشهيد في الذكرى نقل عن العلّامة في المختلف في باب صلاة الجمعة</w:t>
      </w:r>
      <w:r>
        <w:rPr>
          <w:rStyle w:val="FootnoteAnchor"/>
          <w:rtl w:val="true"/>
        </w:rPr>
        <w:footnoteReference w:id="59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رواية محمد بن مسلم، الحكم بن مسكين، ولا يحضرني الآن حاله، فنحن نمنع صحّة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ذكره الكشّيّ ولم يتعرّض</w:t>
      </w:r>
      <w:r>
        <w:rPr>
          <w:rStyle w:val="FootnoteAnchor"/>
          <w:rtl w:val="true"/>
        </w:rPr>
        <w:footnoteReference w:id="593"/>
      </w:r>
      <w:r>
        <w:rPr>
          <w:rFonts w:ascii="Amiri" w:hAnsi="Amiri" w:eastAsia="Amiri" w:cs="Amiri"/>
          <w:color w:val="111111"/>
          <w:sz w:val="28"/>
          <w:sz w:val="28"/>
          <w:szCs w:val="28"/>
          <w:rtl w:val="true"/>
          <w:lang w:bidi="ar-SA"/>
        </w:rPr>
        <w:t>له بذمّ، والرواية لا يطعن فيها كون الراوي مجهولاً عند بعض الناس</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الكشّيّ لرجل من دون أن يتعرّض لطعن فيه أو غميزة، آية جلالة الرجل، ولكن ذلك غير مذكور في اختيار الشيخ لكتاب الكشّيّ، فكأنّه قدّس الله لطيفه وجده في أصل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أبو محمد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كتاباً فيه عبر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به أحمد بن الحسين بن عبيد الله الغضائريّ وهو مصنّف كتاب الرجال المقصور على ايراد الضعفاء لا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رحمه الله تعالى ذكره في ديباجة الفهرست ودعا له بالرَحْمَلَة</w:t>
      </w:r>
      <w:r>
        <w:rPr>
          <w:rStyle w:val="FootnoteAnchor"/>
          <w:rtl w:val="true"/>
        </w:rPr>
        <w:footnoteReference w:id="595"/>
      </w:r>
      <w:r>
        <w:rPr>
          <w:rFonts w:ascii="Amiri" w:hAnsi="Amiri" w:eastAsia="Amiri" w:cs="Amiri"/>
          <w:color w:val="111111"/>
          <w:sz w:val="28"/>
          <w:sz w:val="28"/>
          <w:szCs w:val="28"/>
          <w:rtl w:val="true"/>
          <w:lang w:bidi="ar-SA"/>
        </w:rPr>
        <w:t xml:space="preserve">كما المصنّف في هذا الموضع، وفي ترجمة أحمد بن الحسين بن عمر بن </w:t>
      </w:r>
    </w:p>
    <w:p>
      <w:pPr>
        <w:pStyle w:val="BookText"/>
        <w:rPr/>
      </w:pPr>
      <w:r>
        <w:rPr>
          <w:rFonts w:ascii="Amiri" w:hAnsi="Amiri" w:eastAsia="Amiri" w:cs="Amiri"/>
          <w:color w:val="111111"/>
          <w:sz w:val="28"/>
          <w:sz w:val="28"/>
          <w:szCs w:val="28"/>
          <w:rtl w:val="true"/>
          <w:lang w:bidi="ar-SA"/>
        </w:rPr>
        <w:t>يزيد الصيقل</w:t>
      </w:r>
      <w:r>
        <w:rPr>
          <w:rStyle w:val="FootnoteAnchor"/>
          <w:rtl w:val="true"/>
        </w:rPr>
        <w:footnoteReference w:id="596"/>
      </w:r>
      <w:r>
        <w:rPr>
          <w:rFonts w:ascii="Amiri" w:hAnsi="Amiri" w:eastAsia="Amiri" w:cs="Amiri"/>
          <w:color w:val="111111"/>
          <w:sz w:val="28"/>
          <w:sz w:val="28"/>
          <w:szCs w:val="28"/>
          <w:rtl w:val="true"/>
          <w:lang w:bidi="ar-SA"/>
        </w:rPr>
        <w:t xml:space="preserve">، وذلك في قوّة التنصيص عليه بالتوثيق والمدح كما هو هِجّيراهم، ويظهر من ذلك أنّه كان قد توفّي قبل الشيخ وقبل المصنّف أيضاً رحمهما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طهمان أبو العلاء الخفاف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غير خالد بن بكّار أبي العلاء الخفّاف الكوفيّ أيضاً من رجال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ذكرهما الشيخ رحمه الله تعالى باسميهما في كتاب الرجال في أصحاب الباقر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أبو العلاء الخفّاف الأزديّ الكوفيّ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عبد الملك والد الحسين وعلي وعبد الحميد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ذكره الشيخ في باب الكُنى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وهناك التباسات على غير المتمهّر، فَلْيَتَثَبَّتْ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المهملة وبلامين عن حاشيتي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سَلُول قبيلة من هوازن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يثبت عندي كونه من العامّة، كيف وعلماء العامّة اعترفوا بثقته وطعنوا فيه بغميزة التشيّع، قال عمدة محدّثيهم أبو عبد الله الذهبيّ في مختصره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طهمان أبو العلاء الكوفيّ الخفّاف عن أنس وعدّة، وعنه الفريابيّ، وأحمد بن يونس،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وضعّفه ابن معين</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ذلك في شرح صحيح البخاريّ</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المصنّف عنى أنّه من رجال حديث العامّة لا أنّه عامّيّ المذهب، ومن المتقرّر عند أصحابنا أنّ آية جلالة الرجل وصحّة حديثه تضعيف العامّة إيّاه بالتشيّع مع اعترافهم بحسن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الأسانيد في كتب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زكّار بن فرقد</w:t>
      </w:r>
      <w:r>
        <w:rPr>
          <w:rStyle w:val="FootnoteAnchor"/>
          <w:rtl w:val="true"/>
        </w:rPr>
        <w:footnoteReference w:id="601"/>
      </w:r>
      <w:r>
        <w:rPr>
          <w:rFonts w:ascii="Amiri" w:hAnsi="Amiri" w:eastAsia="Amiri" w:cs="Amiri"/>
          <w:color w:val="111111"/>
          <w:sz w:val="28"/>
          <w:sz w:val="28"/>
          <w:szCs w:val="28"/>
          <w:rtl w:val="true"/>
          <w:lang w:bidi="ar-SA"/>
        </w:rPr>
        <w:t xml:space="preserve">، ولم أر أحداً عدّه من إخوة داود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عبد الله الفياض أبو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النقّاض، كذلك في كتاب الرجال 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 وفي أصحاب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عبد الله القصّاص الكوفيّ، روى عنه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زكّار بن الحسن الدينوري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زكّار بن فرقد في أسانيد الأخبار، ولم يستبن لي أنّه من إخوة داود بن فرقد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والعلّامة في الخلاصة قال في ترجمة زكّار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زكّار أبو الحسن الدينوريّ</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شهداء المتأخّرين في معلّقاته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النسخة هي الصحيحة، لأنّ الشيخ في التهذيب روى عنه حديثاً في باب الوضوء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زكّار بن فرقد</w:t>
      </w:r>
      <w:r>
        <w:rPr>
          <w:rStyle w:val="FootnoteAnchor"/>
          <w:rtl w:val="true"/>
        </w:rPr>
        <w:footnoteReference w:id="605"/>
      </w:r>
      <w:r>
        <w:rPr>
          <w:rFonts w:ascii="Amiri" w:hAnsi="Amiri" w:eastAsia="Amiri" w:cs="Amiri"/>
          <w:color w:val="111111"/>
          <w:sz w:val="28"/>
          <w:sz w:val="28"/>
          <w:szCs w:val="28"/>
          <w:rtl w:val="true"/>
          <w:lang w:bidi="ar-SA"/>
        </w:rPr>
        <w:t>، وهو ينافي ابن الحسن لا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وبخط السيّد جمال الدين من كتاب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زكّار بن الحسن</w:t>
      </w:r>
      <w:r>
        <w:rPr>
          <w:rStyle w:val="FootnoteAnchor"/>
          <w:rtl w:val="true"/>
        </w:rPr>
        <w:footnoteReference w:id="606"/>
      </w:r>
      <w:r>
        <w:rPr>
          <w:rFonts w:ascii="Amiri" w:hAnsi="Amiri" w:eastAsia="Amiri" w:cs="Amiri"/>
          <w:color w:val="111111"/>
          <w:sz w:val="28"/>
          <w:sz w:val="28"/>
          <w:szCs w:val="28"/>
          <w:rtl w:val="true"/>
          <w:lang w:bidi="ar-SA"/>
        </w:rPr>
        <w:t>، وكذلك ابن داود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أبو الحسن مكان ابن الحسن صحيحاً فكون زكّار أبي الحسن الدينوريّ هو زكّار بن فرقد الكوفيّ لا يخلو عن بعد ما، إلّا ان يكون زكّار قد انتقل من الكوفة فصار دينوريّاً بعدما كان كوفيّاً، لكن طبقة الرواية وتاريخ الطبقات لا يساعد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طلحة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أخا يحيى بن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كتب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أبي طلحة،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 وشيخنا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طلحة باسقاط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رباط البجلي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عمّه علي بن رباط فمن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صرّح بذلك </w:t>
      </w:r>
    </w:p>
    <w:p>
      <w:pPr>
        <w:pStyle w:val="BookText"/>
        <w:rPr/>
      </w:pPr>
      <w:r>
        <w:rPr>
          <w:rFonts w:ascii="Amiri" w:hAnsi="Amiri" w:eastAsia="Amiri" w:cs="Amiri"/>
          <w:color w:val="111111"/>
          <w:sz w:val="28"/>
          <w:sz w:val="28"/>
          <w:szCs w:val="28"/>
          <w:rtl w:val="true"/>
          <w:lang w:bidi="ar-SA"/>
        </w:rPr>
        <w:t>الكشّيّ في ذكر بني رباط</w:t>
      </w:r>
      <w:r>
        <w:rPr>
          <w:rStyle w:val="FootnoteAnchor"/>
          <w:rtl w:val="true"/>
        </w:rPr>
        <w:footnoteReference w:id="609"/>
      </w:r>
      <w:r>
        <w:rPr>
          <w:rFonts w:ascii="IRNazanin" w:hAnsi="IRNazanin" w:eastAsia="IRNazanin"/>
          <w:color w:val="111111"/>
          <w:sz w:val="28"/>
          <w:sz w:val="28"/>
          <w:szCs w:val="28"/>
          <w:rtl w:val="true"/>
          <w:lang w:bidi="fa-IR"/>
        </w:rPr>
        <w:t xml:space="preserve">، والشيخ أيضاً على طباق ذلك في كتاب الرجال ذكر العمّ في أصحاب أبي عبد الله الصادق وفي أصحاب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 وذكر ابن الأخ في أصحاب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نسبه إلى جدّه رباط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رباط باسقاط الوالد من البين</w:t>
      </w:r>
      <w:r>
        <w:rPr>
          <w:rStyle w:val="FootnoteAnchor"/>
          <w:rtl w:val="true"/>
        </w:rPr>
        <w:footnoteReference w:id="611"/>
      </w:r>
      <w:r>
        <w:rPr>
          <w:rFonts w:ascii="Amiri" w:hAnsi="Amiri" w:eastAsia="Amiri" w:cs="Amiri"/>
          <w:color w:val="111111"/>
          <w:sz w:val="28"/>
          <w:sz w:val="28"/>
          <w:szCs w:val="28"/>
          <w:rtl w:val="true"/>
          <w:lang w:bidi="ar-SA"/>
        </w:rPr>
        <w:t xml:space="preserve">، ثقة منه بأنّ المتمهّر لا يخفى عليه الأمر فلا تكوننّ من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زعم أبو المفضل الشيباني رحمه الله أنّه 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محمد بن عبد الله بن المطّلب الشيبانيّ، ذكره الشيخ في كتاب الرجال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الرواية إلّا أنّه ضعّفه قوم</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الفهرست</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ترجمته في حرف الميم محمد بن عبد الله بن محمد بن عبيد الله بن البهلول أبو المفضّل</w:t>
      </w:r>
      <w:r>
        <w:rPr>
          <w:rStyle w:val="FootnoteAnchor"/>
          <w:rtl w:val="true"/>
        </w:rPr>
        <w:footnoteReference w:id="614"/>
      </w:r>
      <w:r>
        <w:rPr>
          <w:rFonts w:ascii="Amiri" w:hAnsi="Amiri" w:eastAsia="Amiri" w:cs="Amiri"/>
          <w:color w:val="111111"/>
          <w:sz w:val="28"/>
          <w:sz w:val="28"/>
          <w:szCs w:val="28"/>
          <w:rtl w:val="true"/>
          <w:lang w:bidi="ar-SA"/>
        </w:rPr>
        <w:t xml:space="preserve">، وذكره هنا والدعاء له بالرَحْمَلَة مدح وتوقير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بالطاطري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الطاطريّ متقدّم في الطبقة على علي بن الحسن بن رباط، فما توهّمه بعض </w:t>
      </w:r>
    </w:p>
    <w:p>
      <w:pPr>
        <w:pStyle w:val="BookText"/>
        <w:rPr/>
      </w:pPr>
      <w:r>
        <w:rPr>
          <w:rFonts w:ascii="Amiri" w:hAnsi="Amiri" w:eastAsia="Amiri" w:cs="Amiri"/>
          <w:color w:val="111111"/>
          <w:sz w:val="28"/>
          <w:sz w:val="28"/>
          <w:szCs w:val="28"/>
          <w:rtl w:val="true"/>
          <w:lang w:bidi="ar-SA"/>
        </w:rPr>
        <w:t xml:space="preserve">المتوهّمين من أنّه يروي عنه، غير مستقيم فلا تكوننّ من المتخبّطين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يشركه في كثير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كان يروي عن أكثر من يروي عنه الطاطريّ، ولم يكن يروي عن الطاطريّ شيئاً وإن كان هو أستاذه ومنه تعلّم مذهب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أحمد بن الحسين رحمه الله أنّه رأى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به أحمد بن الحسين بن عبيد الله الغضائريّ وهو مصنّف كتاب الرجال المعروف لا أبوه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بن الزبير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بن شاذان هذا غير أبي عبد الله الشاذانيّ، ذاك ابن أخي بشر بن بشّار النيسابوريّ كما ذكره الشيخ في كتاب الرجال في أصحاب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واسمه محمد بن أحمد بن نعيم، وهذا اسمه محمد بن علي بن شاذان أخو أحمد بن علي بن الحسن بن شاذان الفاميّ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شجرة بن ميمون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شجرة بن ميمون أخو بشير النبّال، ذكره الكشّيّ وروى حديثاً فيه مدحه ومدح </w:t>
      </w:r>
    </w:p>
    <w:p>
      <w:pPr>
        <w:pStyle w:val="BookText"/>
        <w:rPr/>
      </w:pPr>
      <w:r>
        <w:rPr>
          <w:rFonts w:ascii="Amiri" w:hAnsi="Amiri" w:eastAsia="Amiri" w:cs="Amiri"/>
          <w:color w:val="111111"/>
          <w:sz w:val="28"/>
          <w:sz w:val="28"/>
          <w:szCs w:val="28"/>
          <w:rtl w:val="true"/>
          <w:lang w:bidi="ar-SA"/>
        </w:rPr>
        <w:t>أخيه شجرة</w:t>
      </w:r>
      <w:r>
        <w:rPr>
          <w:rStyle w:val="FootnoteAnchor"/>
          <w:rtl w:val="true"/>
        </w:rPr>
        <w:footnoteReference w:id="616"/>
      </w:r>
      <w:r>
        <w:rPr>
          <w:rFonts w:ascii="IRNazanin" w:hAnsi="IRNazanin" w:eastAsia="IRNazanin"/>
          <w:color w:val="111111"/>
          <w:sz w:val="28"/>
          <w:sz w:val="28"/>
          <w:szCs w:val="28"/>
          <w:rtl w:val="true"/>
          <w:lang w:bidi="fa-IR"/>
        </w:rPr>
        <w:t xml:space="preserve">، والشيخ في كتاب الرجال في باب الباء من أصحاب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ميمون الوابشيّ الهمْدانيّ النبّال الكوفيّ، وأخوه شجرة وهما ابنا أبي أراكة، واسمه ميمون مولى بني وابش، وهو ميمون بن سنجار</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باب الشين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أخو بشير النبّال</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الباء من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ميمون الوابشيّ النبّال كوفيّ</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باب الشين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بن ميمون أبي أراكة النبّال الوابشيّ، مولاهم الكوفيّ</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بيت النبّال بيت الثقة والجلالة، وهم كلّهم ثقات أجلّاء، وبشير النبّال أجلّهم وأوجههم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رحمه الله تعالى وأكثر أصحابنا المتأخّرين عن ذلك كلّه من الذاهلين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جداعة الأزدي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ضبطه بعضهم باعجام الذال بعد الجيم المضمومة</w:t>
      </w:r>
      <w:r>
        <w:rPr>
          <w:rStyle w:val="FootnoteAnchor"/>
          <w:rtl w:val="true"/>
        </w:rPr>
        <w:footnoteReference w:id="621"/>
      </w:r>
      <w:r>
        <w:rPr>
          <w:rFonts w:ascii="IRNazanin" w:hAnsi="IRNazanin" w:eastAsia="IRNazanin"/>
          <w:color w:val="111111"/>
          <w:sz w:val="28"/>
          <w:sz w:val="28"/>
          <w:szCs w:val="28"/>
          <w:rtl w:val="true"/>
          <w:lang w:bidi="fa-IR"/>
        </w:rPr>
        <w:t xml:space="preserve">، والأصوب الأشهر إهمالها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إبراهيم بن مهزم، عن عامر بن جداعة بكتبه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يستبين منه أنّ عامر بن جداعة وعامر بن عبد الله بن جداعة واحد، وكذلك من كتاب الكشّيّ، وروى الكشّيّ حديث الحواريّين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حجر بن زايدة وعامر بن عبد الله بن جداعة من حواريّ محمد بن علي الباقر وجعفر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 ورواه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حجر بن زايدة، والأرجح الأصحّ عندي تعديل الرجل وفاقاً للعلّامة في الخلاصة</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العمركي بن علي أبو محمد البوفكي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ذكره العلّامة في الخلاصة في باب العين المهملة</w:t>
      </w:r>
      <w:r>
        <w:rPr>
          <w:rStyle w:val="FootnoteAnchor"/>
          <w:rtl w:val="true"/>
        </w:rPr>
        <w:footnoteReference w:id="624"/>
      </w:r>
      <w:r>
        <w:rPr>
          <w:rFonts w:ascii="Amiri" w:hAnsi="Amiri" w:eastAsia="Amiri" w:cs="Amiri"/>
          <w:color w:val="111111"/>
          <w:sz w:val="28"/>
          <w:sz w:val="28"/>
          <w:szCs w:val="28"/>
          <w:rtl w:val="true"/>
          <w:lang w:bidi="ar-SA"/>
        </w:rPr>
        <w:t>، ثمّ في الفائدة الأولى من فوائد الخاتمة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Style w:val="FootnoteAnchor"/>
          <w:rtl w:val="true"/>
        </w:rPr>
        <w:footnoteReference w:id="625"/>
      </w:r>
      <w:r>
        <w:rPr>
          <w:rFonts w:ascii="Amiri" w:hAnsi="Amiri" w:eastAsia="Amiri" w:cs="Amiri"/>
          <w:color w:val="111111"/>
          <w:sz w:val="28"/>
          <w:sz w:val="28"/>
          <w:szCs w:val="28"/>
          <w:rtl w:val="true"/>
          <w:lang w:bidi="ar-SA"/>
        </w:rPr>
        <w:t>العمركيّ يروي عن علي بن جعفر، اسمه علي البرمكيّ</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والحسن بن داود ذكر أوّلاً مثل ما في الكتاب، إلّا أنّه لم يذكر أنّ كنيته أبو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سيّدنا جمال الدين قدّس الله روحه يقول في 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علي بن البوفكيّ</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حِسبان التعدّد هناك غلط، والتعويل في تكنيته على ما قاله المصنّف، وفي </w:t>
      </w:r>
    </w:p>
    <w:p>
      <w:pPr>
        <w:pStyle w:val="BookText"/>
        <w:rPr/>
      </w:pPr>
      <w:r>
        <w:rPr>
          <w:rFonts w:ascii="Amiri" w:hAnsi="Amiri" w:eastAsia="Amiri" w:cs="Amiri"/>
          <w:color w:val="111111"/>
          <w:sz w:val="28"/>
          <w:sz w:val="28"/>
          <w:szCs w:val="28"/>
          <w:rtl w:val="true"/>
          <w:lang w:bidi="ar-SA"/>
        </w:rPr>
        <w:t xml:space="preserve">تسميته على ما قاله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الملاحم أخبرنا أبو عبد الله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القزوينيّ هو محمد بن علي أخو أبي عمرو أحمد بن علي الفايدي القزوينيّ، ومن القاصرين من التبس عليه الأمر فظنّ أنّه أبو عبد الله بن شاذان، فلا تتخبّط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كتاب نوادر أخبرنا محمد بن علي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شاذان هو من أشياخ المصنّف، وهو أبو عبد الله بن شاذان أخو أبي العبّاس أحمد بن علي بن الحسن بن شاذان الفامي القمّيّ، فلا تتخبّط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بالمعجمتين من حاشيتي الألف والنون أخيراً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هو المعروف بأبي عبد الله الشاذانيّ كما قد نبّهنا عليه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عند أحمد بن الحسين بن عبيد الله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به ابن الغضائري المصنّف لكتاب الرجال المعروف، وهو أحمد بن الحسين بن عبيد الله الغضائري، والحسين أستاد النجاشي، وأحمد شريكه في القراءة على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جليل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أيضاً من شيخنا النجاشي في ترجمة محمد بن أحمد بن يحيي تعديل أبي جعفر العبيديّ وتوثيقه، والاستدراك على محمد بن الحسن بن الوليد في ادخاله فيمن استثناه </w:t>
      </w:r>
    </w:p>
    <w:p>
      <w:pPr>
        <w:pStyle w:val="BookText"/>
        <w:rPr/>
      </w:pPr>
      <w:r>
        <w:rPr>
          <w:rFonts w:ascii="Amiri" w:hAnsi="Amiri" w:eastAsia="Amiri" w:cs="Amiri"/>
          <w:color w:val="111111"/>
          <w:sz w:val="28"/>
          <w:sz w:val="28"/>
          <w:szCs w:val="28"/>
          <w:rtl w:val="true"/>
          <w:lang w:bidi="ar-SA"/>
        </w:rPr>
        <w:t>من رجال نوادر الحكمة</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وثّقه وعظّم أمره أبو عمرو الكشّيّ حيث أورد جملةً من الحكايات في محمد بن سنان، ثمّ أردفها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الفضل، وأبوه، ويونس، ومحمد بن عيسى العبيديّ، ومحمد بن الحسين بن أبي الخطّاب، والحسن والحسين ابنا سعيد الأهوازيّان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وابنا دندان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وأيّوب بن نوح وغيرهم من العدول والثقات من أهل العلم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طريق الشيخ إليه على ما ذكره في الفهرست ينتهي إلى أبي علي محمد بن همّام، عنه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أبو علي بن همّام يروي عنه فذلك أعدل شاهد له بالثقة والجلالة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أمر أبي جعفر العبيديّ في العلم والعدالة عندي أوضح من أن يتطرّق إليه الشكّ بالاستثناء من رجال نوادر الحكمة، مع أن مجرّد ذلك لا يدلّ على الضعف أصلاً؛ لما قد ذكره أبو عمرو الكشّيّ من صغر السنّ وعدم لقائه الحسن بن محبوب</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ما رابه فيه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رَابَه رَيْباً شكّكه،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والتهمة، ومنها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 فإنّ الكذب رِيبَة وإنّ الصدق طمأنينة</w:t>
      </w:r>
      <w:r>
        <w:rPr>
          <w:rStyle w:val="FootnoteAnchor"/>
          <w:rtl w:val="true"/>
        </w:rPr>
        <w:footnoteReference w:id="63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يشكّك ويحصّل فيك </w:t>
      </w:r>
    </w:p>
    <w:p>
      <w:pPr>
        <w:pStyle w:val="BookText"/>
        <w:rPr/>
      </w:pPr>
      <w:r>
        <w:rPr>
          <w:rFonts w:ascii="Amiri" w:hAnsi="Amiri" w:eastAsia="Amiri" w:cs="Amiri"/>
          <w:color w:val="111111"/>
          <w:sz w:val="28"/>
          <w:sz w:val="28"/>
          <w:szCs w:val="28"/>
          <w:rtl w:val="true"/>
          <w:lang w:bidi="ar-SA"/>
        </w:rPr>
        <w:t>الرِيبَة لكونه ممّا فيه بعض الشبهة إلى ما لا يشككك، لكونه ممّا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الأصل قلق النفس واضطرابها، ألا ترى كيف قابلها بالطمأنينة وهي السكون وذلك أنّ النفس لا تستقرّ متى شكّت في أمر، وإذا أَيْقَنَتْه سكنت واطمأنّت</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أبو عيسى الوراق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هو محمد بن هارون الذي روى عن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محمد بن أحمد بن يحيى، وقد سبق ذكره في ترجمة محمد بن أحمد بن يحيى</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هو محمد بن هارون بن عمران صاحب حكاية الحوانيت</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والعلّامة لم يذكر في الخلاصة أبا عيسى الورّاق هذا، ولا محمد بن هارون صاحب الحوانيت، بل إنّما ذكر الذي روى عنه محمد بن أحمد بن يحيى في قسم المجروحين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تقي الدين الحسن بن داود لم يورد صاحب الحوانيت في كتابه، بل إنّما ذكر محمد بن هارون الذي روى عنه محمد بن أحمد بن يحيى في المجروحين</w:t>
      </w:r>
      <w:r>
        <w:rPr>
          <w:rStyle w:val="FootnoteAnchor"/>
          <w:rtl w:val="true"/>
        </w:rPr>
        <w:footnoteReference w:id="637"/>
      </w:r>
      <w:r>
        <w:rPr>
          <w:rFonts w:ascii="IRNazanin" w:hAnsi="IRNazanin" w:eastAsia="IRNazanin"/>
          <w:color w:val="111111"/>
          <w:sz w:val="28"/>
          <w:sz w:val="28"/>
          <w:szCs w:val="28"/>
          <w:rtl w:val="true"/>
          <w:lang w:bidi="fa-IR"/>
        </w:rPr>
        <w:t xml:space="preserve">، ومحمد بن </w:t>
      </w:r>
    </w:p>
    <w:p>
      <w:pPr>
        <w:pStyle w:val="BookText"/>
        <w:rPr/>
      </w:pPr>
      <w:r>
        <w:rPr>
          <w:rFonts w:ascii="Amiri" w:hAnsi="Amiri" w:eastAsia="Amiri" w:cs="Amiri"/>
          <w:color w:val="111111"/>
          <w:sz w:val="28"/>
          <w:sz w:val="28"/>
          <w:szCs w:val="28"/>
          <w:rtl w:val="true"/>
          <w:lang w:bidi="ar-SA"/>
        </w:rPr>
        <w:t>هارون أبا عيسى الورّاق في الممدوحين</w:t>
      </w:r>
      <w:r>
        <w:rPr>
          <w:rStyle w:val="FootnoteAnchor"/>
          <w:rtl w:val="true"/>
        </w:rPr>
        <w:footnoteReference w:id="638"/>
      </w:r>
      <w:r>
        <w:rPr>
          <w:rFonts w:ascii="Amiri" w:hAnsi="Amiri" w:eastAsia="Amiri" w:cs="Amiri"/>
          <w:color w:val="111111"/>
          <w:sz w:val="28"/>
          <w:sz w:val="28"/>
          <w:szCs w:val="28"/>
          <w:rtl w:val="true"/>
          <w:lang w:bidi="ar-SA"/>
        </w:rPr>
        <w:t>، وذكر الحسن بن محمد بن هارون صاحب حكاية الحوانيت</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بن محمد التبان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ابن التبّان الذي تبّانيّات السيّد المرتضى رضي الله تعالى عنه أجوبة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بن وهب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القزوينيّ هو أبو عبد الله أخو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بن معاوية بن عمار الدهني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السِمْسِم وغيره، وبه سمّى دُهْن بَجِيلَةَ حيّ منهم، وإليهم يُنْسَبُ عماّر الدُهْنيّ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 بن حفص أبو علي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الوقف في القول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شهداء المتأخّرين في حواشيه على الخلاصة نقل في ترجمة حمّاد بن ضمخة هذا القول عن المصنّف باسقاط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بمقتضى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ضعّف </w:t>
      </w:r>
    </w:p>
    <w:p>
      <w:pPr>
        <w:pStyle w:val="BookText"/>
        <w:rPr/>
      </w:pPr>
      <w:r>
        <w:rPr>
          <w:rFonts w:ascii="IRNazanin" w:hAnsi="IRNazanin" w:eastAsia="IRNazanin"/>
          <w:color w:val="111111"/>
          <w:sz w:val="28"/>
          <w:sz w:val="28"/>
          <w:szCs w:val="28"/>
          <w:rtl w:val="true"/>
          <w:lang w:bidi="fa-IR"/>
        </w:rPr>
        <w:t xml:space="preserve">وهيب بن حفص بالوقف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هذا غريب عن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بن السائب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محمد بن السائب هذا وهو الكلبيّ النسّابة المشهور تلميذ أبي مخنف لوط بن يحيى صاحب كتاب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وصاحبه الخصيص به، وإليه ينتهي طريق المصنّف إلى أبي مخنف كما أورده في ترجمته</w:t>
      </w:r>
      <w:r>
        <w:rPr>
          <w:rStyle w:val="FootnoteAnchor"/>
          <w:rtl w:val="true"/>
        </w:rPr>
        <w:footnoteReference w:id="642"/>
      </w:r>
      <w:r>
        <w:rPr>
          <w:rFonts w:ascii="Amiri" w:hAnsi="Amiri" w:eastAsia="Amiri" w:cs="Amiri"/>
          <w:color w:val="111111"/>
          <w:sz w:val="28"/>
          <w:sz w:val="28"/>
          <w:szCs w:val="28"/>
          <w:rtl w:val="true"/>
          <w:lang w:bidi="ar-SA"/>
        </w:rPr>
        <w:t>، وكذلك هو في طريق الشيخ عن أبي مِخْنَف كما ذكره في الفهرست في ترجمة لوط بن يحيى أبي مِخْنَف الأزديّ</w:t>
      </w:r>
      <w:r>
        <w:rPr>
          <w:rStyle w:val="FootnoteAnchor"/>
          <w:rtl w:val="true"/>
        </w:rPr>
        <w:footnoteReference w:id="643"/>
      </w:r>
      <w:r>
        <w:rPr>
          <w:rFonts w:ascii="Amiri" w:hAnsi="Amiri" w:eastAsia="Amiri" w:cs="Amiri"/>
          <w:color w:val="111111"/>
          <w:sz w:val="28"/>
          <w:sz w:val="28"/>
          <w:szCs w:val="28"/>
          <w:rtl w:val="true"/>
          <w:lang w:bidi="ar-SA"/>
        </w:rPr>
        <w:t xml:space="preserve">، وطريقه إليه في رواية أكثر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محمد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الكلبيّ النسّابة المشهور بالعلم المعروف بمعرفة النسب، وأبوه محمد بن السائب الكلبيّ أيضاً مشهور بالعلم متثقّف في اللغة والقراءة والفقه، وله كتاب معروف في غريب القرآن وشواهده من الأشعار، أورده شيخ الطائفة رحمه الله تعالى في الفهرست في ترجمة أبان بن تغلب وذكر كتابه أيضاً</w:t>
      </w:r>
      <w:r>
        <w:rPr>
          <w:rStyle w:val="FootnoteAnchor"/>
          <w:rtl w:val="true"/>
        </w:rPr>
        <w:footnoteReference w:id="644"/>
      </w:r>
      <w:r>
        <w:rPr>
          <w:rFonts w:ascii="IRNazanin" w:hAnsi="IRNazanin" w:eastAsia="IRNazanin"/>
          <w:color w:val="111111"/>
          <w:sz w:val="28"/>
          <w:sz w:val="28"/>
          <w:szCs w:val="28"/>
          <w:rtl w:val="true"/>
          <w:lang w:bidi="fa-IR"/>
        </w:rPr>
        <w:t xml:space="preserve">، وهو من رجال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كتاب الرجال في أصحاب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ذكر في كتب الأخبار الكلبيّ النسّابة</w:t>
      </w:r>
      <w:r>
        <w:rPr>
          <w:rStyle w:val="FootnoteAnchor"/>
          <w:rtl w:val="true"/>
        </w:rPr>
        <w:footnoteReference w:id="646"/>
      </w:r>
      <w:r>
        <w:rPr>
          <w:rFonts w:ascii="Amiri" w:hAnsi="Amiri" w:eastAsia="Amiri" w:cs="Amiri"/>
          <w:color w:val="111111"/>
          <w:sz w:val="28"/>
          <w:sz w:val="28"/>
          <w:szCs w:val="28"/>
          <w:rtl w:val="true"/>
          <w:lang w:bidi="ar-SA"/>
        </w:rPr>
        <w:t xml:space="preserve">، ولا سيّما الكلبيّ النسّابة عن أبي عبد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هشام بن محمد بن السائب الكلبيّ هذا لا أبوه محمد بن السائب الكلبيّ، ولا محمد بن مروان الكلبيّ من رجال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 ولا الحسن بن علوان الكلبيّ من رجال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48"/>
      </w:r>
      <w:r>
        <w:rPr>
          <w:rFonts w:ascii="Amiri" w:hAnsi="Amiri" w:eastAsia="Amiri" w:cs="Amiri"/>
          <w:color w:val="111111"/>
          <w:sz w:val="28"/>
          <w:sz w:val="28"/>
          <w:szCs w:val="28"/>
          <w:rtl w:val="true"/>
          <w:lang w:bidi="ar-SA"/>
        </w:rPr>
        <w:t>، ولا أخوه الحسين بن علوان</w:t>
      </w:r>
      <w:r>
        <w:rPr>
          <w:rStyle w:val="FootnoteAnchor"/>
          <w:rtl w:val="true"/>
        </w:rPr>
        <w:footnoteReference w:id="649"/>
      </w:r>
      <w:r>
        <w:rPr>
          <w:rFonts w:ascii="IRNazanin" w:hAnsi="IRNazanin" w:eastAsia="IRNazanin"/>
          <w:color w:val="111111"/>
          <w:sz w:val="28"/>
          <w:sz w:val="28"/>
          <w:szCs w:val="28"/>
          <w:rtl w:val="true"/>
          <w:lang w:bidi="fa-IR"/>
        </w:rPr>
        <w:t xml:space="preserve">، ولا خلّاد أبو الأسود الكلبيّ الكوفيّ من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 فتثبّت ولا تتخبّط فإنّ ذلك خفيّ على كثير ممّن يدّعي التمهّر في معرفة الرجال والأسانيد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إبراهيم العبّاسي الذي يقال له المشرقي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بالفاء لا بالقاف نسبةً إلى مشارف الشام قرى من أرض العرب تقرب من المُدُن وهي بين بلاد الريف وجزيرة العرب وتدنو من الريف</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والمشرفيّ يقال أيضاً لعبد الله بن قيس على ما ذكره الصدوق أبو جعفر محمد بن علي بن بابويه رضي الله تعالى عنه في كتاب التوحيد في باب معنى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 ۚ غُلَّتْ أَيْدِيهِمْ وَلُعِنُوا بِمَا قَالُوا ۘ بَلْ يَدَاهُ مَبْسُوطَتَانِ</w:t>
      </w:r>
      <w:r>
        <w:rPr>
          <w:rStyle w:val="FootnoteAnchor"/>
          <w:rtl w:val="true"/>
        </w:rPr>
        <w:footnoteReference w:id="652"/>
      </w:r>
      <w:r>
        <w:rPr>
          <w:rFonts w:ascii="Amiri" w:hAnsi="Amiri" w:eastAsia="Amiri" w:cs="Amiri"/>
          <w:color w:val="111111"/>
          <w:sz w:val="28"/>
          <w:sz w:val="28"/>
          <w:szCs w:val="28"/>
          <w:rtl w:val="true"/>
          <w:lang w:bidi="ar-SA"/>
        </w:rPr>
        <w:t>حيث روى بسنده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عيسى، عن المَشرفيّ</w:t>
      </w:r>
      <w:r>
        <w:rPr>
          <w:rStyle w:val="FootnoteAnchor"/>
          <w:rtl w:val="true"/>
        </w:rPr>
        <w:footnoteReference w:id="653"/>
      </w:r>
      <w:r>
        <w:rPr>
          <w:rFonts w:ascii="IRNazanin" w:hAnsi="IRNazanin" w:eastAsia="IRNazanin"/>
          <w:color w:val="111111"/>
          <w:sz w:val="28"/>
          <w:sz w:val="28"/>
          <w:szCs w:val="28"/>
          <w:rtl w:val="true"/>
          <w:lang w:bidi="fa-IR"/>
        </w:rPr>
        <w:t xml:space="preserve">عبد الله بن </w:t>
      </w:r>
    </w:p>
    <w:p>
      <w:pPr>
        <w:pStyle w:val="BookText"/>
        <w:rPr/>
      </w:pPr>
      <w:r>
        <w:rPr>
          <w:rFonts w:ascii="Amiri" w:hAnsi="Amiri" w:eastAsia="Amiri" w:cs="Amiri"/>
          <w:color w:val="111111"/>
          <w:sz w:val="28"/>
          <w:sz w:val="28"/>
          <w:szCs w:val="28"/>
          <w:rtl w:val="true"/>
          <w:lang w:bidi="ar-SA"/>
        </w:rPr>
        <w:t>قيس</w:t>
      </w:r>
      <w:r>
        <w:rPr>
          <w:rStyle w:val="FootnoteAnchor"/>
          <w:rtl w:val="true"/>
        </w:rPr>
        <w:footnoteReference w:id="654"/>
      </w:r>
      <w:r>
        <w:rPr>
          <w:rFonts w:ascii="IRNazanin" w:hAnsi="IRNazanin" w:eastAsia="IRNazanin"/>
          <w:color w:val="111111"/>
          <w:sz w:val="28"/>
          <w:sz w:val="28"/>
          <w:szCs w:val="28"/>
          <w:rtl w:val="true"/>
          <w:lang w:bidi="fa-IR"/>
        </w:rPr>
        <w:t xml:space="preserve">،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يَدَاهُ مَبْسُوطَتَانِ،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يدان هكذا وأشرت بيدي إلى يديه</w:t>
      </w:r>
      <w:r>
        <w:rPr>
          <w:rStyle w:val="FootnoteAnchor"/>
          <w:rtl w:val="true"/>
        </w:rPr>
        <w:footnoteReference w:id="6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كان هكذا كان</w:t>
      </w:r>
      <w:r>
        <w:rPr>
          <w:rStyle w:val="FootnoteAnchor"/>
          <w:rtl w:val="true"/>
        </w:rPr>
        <w:footnoteReference w:id="656"/>
      </w:r>
      <w:r>
        <w:rPr>
          <w:rFonts w:ascii="Amiri" w:hAnsi="Amiri" w:eastAsia="Amiri" w:cs="Amiri"/>
          <w:color w:val="111111"/>
          <w:sz w:val="28"/>
          <w:sz w:val="28"/>
          <w:szCs w:val="28"/>
          <w:rtl w:val="true"/>
          <w:lang w:bidi="ar-SA"/>
        </w:rPr>
        <w:t>مخلوقاً</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بن عبد الله أبو كهمس 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كتاب الرجال في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الهيثم بن عبيد الشيبانيّ أبو كهمس الكوفيّ، اُسنِد عنه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أبو جعفر الكلينيّ رضوان الله تعالى عليه في جامعه الكافي في اضعاف الأسانيد، قال في باب من حفظ القرآن ثمّ 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كهمس الهيثم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في الفقيه في باب أحكام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أبو كهمس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التهذيب أيضاً مثله</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 الحسين بن علي بن الحسين بن موسى بن بابويه القمّيّ على ما سلف منه في ترجمته أنّ الحسين بن عبيد الله يروي عنه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الحسين بن عليّ بن سفيان البزوفريّ على ما قد سلف منه أيضاً أنّه يروي عن الحسين بن عبيد الله، عنه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قال الشيخ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الرجال في ذكر طريقه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سفيان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حميد فهو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bookmarkStart w:id="709" w:name="pg10932_87979"/>
    </w:p>
    <w:p>
      <w:pPr>
        <w:pStyle w:val="Heading3"/>
        <w:numPr>
          <w:ilvl w:val="2"/>
          <w:numId w:val="1"/>
        </w:numPr>
        <w:rPr/>
      </w:pPr>
      <w:bookmarkStart w:id="710" w:name="__RefHeading___Toc3208877_2870459653"/>
      <w:bookmarkStart w:id="711" w:name="_Toc273"/>
      <w:bookmarkEnd w:id="709"/>
      <w:bookmarkEnd w:id="710"/>
      <w:r>
        <w:rPr>
          <w:rtl w:val="true"/>
        </w:rPr>
        <w:t>مصادر التحقيق</w:t>
      </w:r>
      <w:bookmarkEnd w:id="711"/>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الطائفة أبو جعفر محمد بن الحسن الطوسيّ،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المفيد أبو عبد الله محمد بن محمد بن النعمان العكبريّ البغداديّ،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جار الله الزمخشري، دار ومطابع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الطائفة أبو جعفر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الاشتباه، أبو منصور الحسن بن يوسف بن المطهّر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أو مدينة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بكر أحمد بن علي الخطيب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التحرير الطاوسي المستخرج من كتاب حلّ الاشكال، أبو منصور حسن بن زين الدين بن علي العامليّ صاحب المعالم،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الجواهريّ،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الطائفة أبو جعفر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خلاصة الأقوال، الشهيد الثاني زين الدين بن عليّ الجباعيّ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نزار الحسن،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ط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في معرفة الرجال، أبو منصور حسن بن يوسف بن المطهّر العلّامة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الأصفهانيّ،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ذكرى الشيعة في احكام الشريعة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الشهيد الأوّل محمّد بن جمال الدين مكّيّ العامليّ،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الطائفة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الأصفهانيّ،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العبّاس أحمد بن علي بن أحمد النجاشيّ الأسديّ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الشبيريّ الزنجانيّ،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تقي الدين حسن بن علي بن داود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الأشرف،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الحافظ أبو عيسى محمّد بن عيسى بن سورة الترمذي،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w:t>
      </w:r>
    </w:p>
    <w:p>
      <w:pPr>
        <w:pStyle w:val="BookText"/>
        <w:rPr/>
      </w:pPr>
      <w:r>
        <w:rPr>
          <w:rFonts w:ascii="Amiri" w:hAnsi="Amiri" w:eastAsia="Amiri" w:cs="Amiri"/>
          <w:color w:val="111111"/>
          <w:sz w:val="28"/>
          <w:sz w:val="28"/>
          <w:szCs w:val="28"/>
          <w:rtl w:val="true"/>
          <w:lang w:bidi="ar-SA"/>
        </w:rPr>
        <w:t xml:space="preserve">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محمد عبد الله بن الرحمن بن الفضل الدارميّ، طبع 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دهقان، مطبعة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عبد الرحمن أحمد بن شعيب النسائيّ،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سليمان البنداريّ وسيّد كسروي حسن،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نصر إسماعيل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الغفار عطار،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المراد في شرح نكت الارشاد، الشهيد الأوّل محمّد بن جمال الدين مكّيّ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رضا المختاري،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ط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شيخ الطائفة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الأصفهانيّ،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والقابوس الوسيط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مجد الدين محمد بن يعقوب الفيروز آباديّ،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الكاشف في معرفة من له رواية في كتب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عبد الله محمّد بن أحمد الذهبيّ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 أحمد محمد نمر الخطيب،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للثقافة الإسلاميّة، جدّة،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محمّد بن يعقوب بن إسحاق الكلينيّ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وعيون الأقاويل في وجوه التأويل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القاسم جار الله محمود بن عمر الزمخشري،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مصطفة البابي الحلبي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شهاب الدين أبو الفضل أحمد بن علي بن حجر العسقلانيّ،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مجلس دائرة المعارف النظامية الكائنة في الهند بمحروسة حيدر آباد،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إلى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مجمل اللغة، أحمد بن فارس بن زكريا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عبد المحسن سلطان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منصور حسن بن يوسف بن المطهّر العلّامة الحلّيّ،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عبد الله محمّد بن عبد الله النيسابوريّ،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عن المطبوع في مطبعة دائرة المعارف النظامية في حيدر آباد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الإمام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بن محمّد بن حنبل،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عن النسخة المطبوعة بالطبعة الميمنية بمصر بإدارة أحمد البابي الحلبيّ في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العلماء، أبو عبد الله محمّد بن علي بن شهر آشوب السرويّ المازندرانيّ،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الأشرف،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في شرح المختصر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الدين أبو القاسم جعفر بن الحسن بن سعيد الحلّيّن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بإشراف ناصر مكارم الشيرازيّ،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الحافظ أبو الحسن أحمد بن عبد الله بن صالح العجليّ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عبد العظيم البستوي،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بالمدينة المنوّرة،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المُغرّب في ترتيب المعرّب، ناصر بن عبد السيّد بن علي المطرّزيّ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الصدوق محمّد بن علي بن بابويه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مجد الدين أبو السعادات المبارك بن محمّد الجزري ابن الأثير،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ومحمود محمد الطناحي،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شرح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نقل عنه ذلك 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أيضاً عن الأوزاعي 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عون المعبود شرح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شرح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لما في الموطأ من المعاني والأسانيد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كلام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شهرة جزئيّتها في الفاتحة فقط، فلا يرد عليه ما أوردتم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البعض ادَّعى أنَّ الأكثر عندهم على الجزئيَّة،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وبالجملة فأصحابنا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كأكثر المخالفين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عدّها آية جميع السور؛ ولذا أثبتوها في المصاحف بخطّ القرآن مع شدّة اهتمامهم بعدم كتابة غيره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وهكذا نقله الشيخ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وفي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آية من كلِّ سورة أو بعض آية، كما هو المشهور عن الشّافعي ومَن وافقه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الصلاة، تقرير بحث شيخ الشريعة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لزوم قراءتها مع السورة في الصلاة، لكن لدلالة الأدلّة على ذلك، لا من جهة كونها جزءاً،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فتلزم قراءتها معها لسلامة نصوص الإثبات عن المعارض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لم تثبت جزئيّتها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تنتج جواز التقسيط في صلاة الآية مع قطع النظر عن الدليل الخاصّ؛ إذ أقصى ما كان مستفاداً من تلك الروايات هو أصل لزوم قراءة البسملة لا جزئيّتها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قراءة القرآن،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تمهيدية في الفقه الاستدلالي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قراءة القرآن،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والملاحظ أنَّ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البرقي عدّه من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أنّني لم أجد ذلك في النسخة المتوفّرة من رجال البرقي، بل الموجود فيها ذكره في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الأردبيلي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والمحدّث النوري في خاتمة مستدرك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سماحة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تقرير بحثه،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والسيّد الأستاذ السيّد محمّد رضا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الوجه المحقّق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لعدم توثيقه صريحاً في الرجال إلَّا من باب وكالته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تبنّى ذلك الوحيد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فإنَّه يرى وثاقة محمّد بن عيسى ابن عبيد المبدوء به سند الرواية، هذا من جهة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وقريب منه ما ذكره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في النهاية وابن الجنيد وسلّار، وإن كانت عبارة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تخلو من اضطراب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حمل السيّد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الخلاف الوارد في المبسوط على وجه لا يرجع إلى جزئيّتها للسور،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الإجماع المدّعى في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فالمتيقّن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انعقاده بالنسبة إلى جزئيّتها لسورة النمل،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الروايات بسم الله الرحمن الرحيم آية من الحمد ومن كلّ سورة من سور القرآن وبعض آية من سورة النمل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ما لم يقم الشاهد على رجوع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الجميع لكان المتيقّن هو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رسالة الشرائع، نشر مجلة دراسات علمية، العدد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الشيخ عبد الكريم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عدّها من روايات هذه الطائفة المحدّث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والمحقّق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الوحيد البهبهاني في تعليقته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والسيّد الأستاذ السيّد محمّد رضا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حيث قال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أوردت جملاً من الطرق إلى هذه المصنّفات والأصول، ولتفصيل ذلك شرح يطول هو مذكور في الفهارس المصنّفة في هذا الباب للشيوخ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أراده أخذه من هناك إن شاء الله وقد ذكرنا نحن مستوفى في كتاب فهرست الشيعة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وارتضى هذا الحمل العلّامة المجلسي في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 يمكن أن يكون قرأها سرّاً ولم يسمعها الراوي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أحكام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باب التسليم على النساء،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الغيرة،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باب ما يحلُّ النظر إليه من 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الجريدة،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الحجاب باللغة الأورديّة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الحجاب باللغة الأورديّة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يحلّ النظر إليه من المرأة،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يحلّ النظر إليه من المرأة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يحلّ النظر إليه من المرأة بغير تلذّذ وتعمّد، وما لا يجب عليها ستره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قرّب الاستدلال بها الشيخ علي الصافي الكلبايكاني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 له على تقريراته لبحث السيّد البروجردي المطبوعة باسم تبيان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لمن أراد التزويج،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النظر إلى نساء الأعراب وأهل السواد،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لأنّهن إذا نهين لا ينتهين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النظر إلى نساء أهل الذمّة،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ذكر مثل هذا الكلام السيّد الخوئي في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والخاجوئي في رسائله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والسيّد علي نقي في إثبات الحجاب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التقرير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يحلّ النظر إليه من المرأة،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وغيرها من الموارد الأخرى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يحلّ النظر إليه من المرأة،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يحل النظر إليه من 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يحلّ النظر إليه من المرأة،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الزاني،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إسماعيل بن مهران، عن محمّد بن منصور الخزاعي، عن علي بن سويد، ومحمّد بن يحيى، عن محمّد بن الحسين، عن محمّد بن إسماعيل بن بزيع، عن عمّه حمزة بن بزيع، عن علي بن سويد، والحسن بن محمّد، عن محمّد بن أحمد النهدي، عن إسماعيل بن مهران، عن محمّد بن منصور، عن علي بن سويد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يجب على الجارية القناع،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يصيبها البلاء في جسدها فيعالجها الرجال،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الخصيان،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قناع الإماء وأمهات الأولاد،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الخصيان،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القواعد من النساء،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القواعد من النساء،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القواعد من النساء،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القواعد من النساء،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باللغة الفارسية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يغسل المرأة والمرأة تغسل الرجل،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النجعة في 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نساء الأعراب وأهل السواد،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نساء أهل الذمّة،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تحقيق صبحي صالح</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للمحرمة أن تلبسه من الثياب والحلي وما يكره لها من ذلك،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للمحرمة أن تلبسه من الثياب والحلي وما يكره لها من ذلك،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للمحرمة أن تلبسه من الثياب والحلي وما يكره لها من ذلك،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يحل النظر إليه من المرأة،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الكفاية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لاستخدام الوجدان في الشؤون اللفظيّة عموماً 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غيرها من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الرجل يقتل المرأة والمرأة تقتل الرجل، وفضل دية الرجل على دية المرأة في النفس والجراحات،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11/253</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حاشية أغا رضا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الكفاية مع حواشي المشكينيّ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من جهة الجزم بانتفائه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الجهة نفرّق بين سنخي الحكم العقلي في باب التخطئة والتصويب أيضاً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بداية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دروس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تعارض الأدلّة واختلاف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كتاب التعارض للسيّد الطَّباطبائيّ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الأُصول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حجيَّة ظواهر الكتاب بعد البحث عن المخصِّص والمقيِّد،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اختلاف الحديث،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تعارض الأدلّة واختلاف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شرح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تعارض الأدلّة واختلاف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للسَّيّد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على أنَّ التَّنزيل حالة أدبيَّة دائماً، وأمَّا إذا كان حالة قانونيَّة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كلمات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يختلف، ولذا جعل ارتفاع الحكم بارتفاع موضوعه في الحكومة النَّاظرة إلى عقد الوضع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المجدِّد الميرزا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يختلف هذا الوجه في إثبات عدم التَّنافي بين الحاكم والمحكوم عن الوجه الَّذي حكيناه عن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لا يكتفي بعنوان المفسِّريّة والنَّظر، وإنَّما يعتمد على أنَّ المفسِّريَّة المذكورة تفضي إلى صيرورة الحاكم دائماً بمثابة القرينة المتَّصلة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 تطهير البدن والثّياب من النجاسات،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الأدلّة واختلاف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الإجمالي حقيقته ومنجزيَّته عقلاً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كلُّ مَن يبني على حكومة الأمارات على الأُصول العمليَّة التَّشريعيَّة، وكذلك حكومة بعض الأمارات على بعض كحكومة الأظهر على الظَّاهر فيما إذا كان دليل اعتبارها بناء العقلاء، والأدلّة اللفظيَّة إن كانت فهي مرشدة إليها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الاستصحاب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أنَّ كلَّ تصرُّف في الأدلّة العقليَّة إنَّما يكون على سبيل الورود بلحاظ الجنبة الأخباريَّة، بأن يكون الوارد متكفّلاً للإخبار عن عدم انطباق موضوع الدليل المورود على فرد، حيث إنَّ في هذه الحالة لا يعتبر وحدة المصدر للدليلين الوارد والمورود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الإجمالي حقيقته ومنجزَّيته عقلاً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المجدِّد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في شرح هذه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أُصول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وأهمُّها محاضرات سيّدنا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المبادئ الأحكاميَّة والتي تعرَّض لها في بحثه الشَّريف في علم الأُصول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كان الحاكم دليلاً عقليَّاً فحكمها حكم الحكومة على سبيل التَّضييق من امتناعها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كان أحد الراويين مُسنداً والآخر مرسلاً نُظر في حال المُرسل، فإن كان ممّن يُعلم أنّه لا يُرسل إلاّ عن ثقة موثوق به فلا ترجيح لخبر غيره على خبره، ولأجل ذلك سوّت الطائفة بين ما يرويه محمّد بن أبي عمير وصفوان بن يحيى وأحمد بن محمّد بن أبي نصر وغيرهم من الثقات الذين عُرفوا بأنّهم لا يروون ولا يُرسلون إلّا عمّن يوثق به، وبين ما أسنده غيرهم، ولذلك عملوا بمراسيلهم إذا انفردوا عن رواية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الطائفة كما عملت بالمسانيد عملت بالمراسيل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مساواة جميل بن درّاج مع المشايخ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عمير وصفوان والبزنطي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وأضرابهم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تحت عنوان نظرة في أسانيد مستطرفات كتاب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للسيد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معروف بين الأعلام، وممّن ذكره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محضر درسه الشريف في شرح مناسك الحج لعام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الرواية الأولى عن زرارة، والرواية الثانية عن محمّد بن مسلم، ولكن لا يبعد اتّحادهما؛ لاستبعاد أن يكون المتن نفسه يرويه جميل بن درّاج تارة وجميل بن صالح أخرى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الرواية الأولى رواها ابن أبي عمير عن جميل، والثانية رواها ابن أبي نجران عن جميل بن درّاج ولكن لا يبعد اتّحادهما للوجه الذي ذكرناه في الهامش السابق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المراجعة وملاحظة المشايخ والطرق يتّضح أنّ الحسن بن محبوب غالباً ما يروي عن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جميل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يروِ عن ابن درّاج إلّا نادراً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الحكم قال، 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ابن الطيّار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ولقّاه نضرة وسروراً، فقد كان شديد الخصومة عنّا أهل البيت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في تحقيق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وتفصيل طبقات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9/561</w:t>
      </w:r>
      <w:r>
        <w:rPr>
          <w:rFonts w:ascii="IRNazanin" w:hAnsi="IRNazanin" w:eastAsia="IRNazanin"/>
          <w:b w:val="false"/>
          <w:b w:val="false"/>
          <w:bCs w:val="false"/>
          <w:i w:val="false"/>
          <w:i w:val="false"/>
          <w:iCs w:val="false"/>
          <w:color w:val="333333"/>
          <w:sz w:val="20"/>
          <w:sz w:val="20"/>
          <w:szCs w:val="20"/>
          <w:rtl w:val="true"/>
        </w:rPr>
        <w:t>، 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الجوهريّ في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 من قريش وهو مخزوم بن يقظة بن مرّة بن كعب بن لؤي بن غالب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مذحج مثال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من اليمن وهو مذحج بن يحابر بن مالك بن زيد بن كهلان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 من نفس الكلمة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وهما يحسبانه أحد الأركان الأربعة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وفي الأصل الذي اعتمده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المورد الذي بعده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من 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عبد الله البر الأرجانيّ، وقد نقل المحقّق في الهامش بأنّه أخذ هذا العنوان من ابن حجر في 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البرجانيّ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 الله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باقي الموارد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وليس فيه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إدريس بن عبد الله القمّيّ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وما أثبتناه من المصدر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إدريس القمّيّ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إدريس بن عبد الله الأشعريّ، قمّيّ، يكنّى أبا جرير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النقاض</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معرفة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وفي متن الأصل الذي اعتمده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للتعليق عليه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 الأصل تصحيح بما يوافق المطبوع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علي بن الحسين أخو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والزيادة منه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وعمر ابنا مسلم كوفيّان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السند في التهذيب، ولكن الموجود في المطبوع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علي بن إسحاق بن سعد، عن موسى بن الخزرج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أحمد بن أبي رافع الصيمريّ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وفي الأصل الذي اعتمده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 عليه بنقطتين فوقانيتين ونقطة أسفلها إشارة إلى أنّه يقرأ بوجهين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يألون الناس خبالاً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اختيار معرفة الرجال المطبوع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العبارة في الكشّيّ، وإنّما نقله النجاشي في رجاله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ترجمة الحسن بن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علي بن فضال نقلاً عنه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حيان الكوفي مولى بني عقيل، أبو سعيد المكاري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الواو ليس في المصدر المطبوع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هامش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وفي الأصل الذي اعتمده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غُلَوآء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 المطبوع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 المطبوع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وفي الأصل الذي اعتمده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غَلْواً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أجازني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بكار أبو العلاء الخفاف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طهمان الكوفي، والزيادة منّا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ضمن المصادر المتاحة بين يدي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النقاض</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زكار بن الحسن الدينوري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 عبداً صالحاً، وكذا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ميمون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المطبوع من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 وإيضاح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البوفكي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والزيادة منه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حنبل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والدارمي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دع ما يريبك إلى ما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لا يريبك، والترمذي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والحاكم النيسابوري في مستدركه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والبيهقي في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الرابعة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في ذيل ترجمة أخيه الحسين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المشرقي، عن عبد الله بن قيس، وقد أشار محقّق الكتاب في الهامش بأنّ في بعض النسخ كما في المتن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image" Target="media/image3.jpeg"/><Relationship Id="rId289" Type="http://schemas.openxmlformats.org/officeDocument/2006/relationships/image" Target="media/image3.jpeg"/><Relationship Id="rId290" Type="http://schemas.openxmlformats.org/officeDocument/2006/relationships/footer" Target="footer283.xml"/><Relationship Id="rId291" Type="http://schemas.openxmlformats.org/officeDocument/2006/relationships/image" Target="media/image4.jpeg"/><Relationship Id="rId292" Type="http://schemas.openxmlformats.org/officeDocument/2006/relationships/image" Target="media/image4.jpeg"/><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5.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50046</Words>
  <Characters>226322</Characters>
  <CharactersWithSpaces>274291</CharactersWithSpaces>
  <Paragraphs>2339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2026-08-20T09:54:59Z</dcterms:created>
  <dc:creator>ghaemiyeh.com</dc:creator>
  <dc:description/>
  <dc:language>en-US</dc:language>
  <cp:lastModifiedBy/>
  <dcterms:modified xsi:type="dcterms:W3CDTF">2026-08-20T13:25:11Z</dcterms:modified>
  <cp:revision>1</cp:revision>
  <dc:subject/>
  <dc:title>دراسات علمیة - 14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