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13</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7248_2870459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127250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127252_2870459653">
            <w:r>
              <w:rPr>
                <w:webHidden/>
                <w:rStyle w:val="IndexLink"/>
                <w:rtl w:val="true"/>
              </w:rPr>
              <w:t>الأسس المعتمدة للنشر</w:t>
            </w:r>
            <w:r>
              <w:rPr>
                <w:rStyle w:val="IndexLink"/>
                <w:rtl w:val="true"/>
              </w:rPr>
              <w:tab/>
            </w:r>
            <w:r>
              <w:rPr>
                <w:rStyle w:val="IndexLink"/>
              </w:rPr>
              <w:t>10</w:t>
            </w:r>
          </w:hyperlink>
        </w:p>
        <w:p>
          <w:pPr>
            <w:pStyle w:val="Contents2"/>
            <w:tabs>
              <w:tab w:val="clear" w:pos="8743"/>
              <w:tab w:val="right" w:pos="9026" w:leader="dot"/>
            </w:tabs>
            <w:rPr/>
          </w:pPr>
          <w:hyperlink w:anchor="__RefHeading___Toc3127254_2870459653">
            <w:r>
              <w:rPr>
                <w:webHidden/>
                <w:rStyle w:val="IndexLink"/>
                <w:rtl w:val="true"/>
              </w:rPr>
              <w:t>محتويات العدد</w:t>
            </w:r>
            <w:r>
              <w:rPr>
                <w:rStyle w:val="IndexLink"/>
                <w:rtl w:val="true"/>
              </w:rPr>
              <w:tab/>
            </w:r>
            <w:r>
              <w:rPr>
                <w:rStyle w:val="IndexLink"/>
              </w:rPr>
              <w:t>11</w:t>
            </w:r>
          </w:hyperlink>
        </w:p>
        <w:p>
          <w:pPr>
            <w:pStyle w:val="Contents2"/>
            <w:tabs>
              <w:tab w:val="clear" w:pos="8743"/>
              <w:tab w:val="right" w:pos="9026" w:leader="dot"/>
            </w:tabs>
            <w:rPr/>
          </w:pPr>
          <w:hyperlink w:anchor="__RefHeading___Toc3127256_2870459653">
            <w:r>
              <w:rPr>
                <w:webHidden/>
                <w:rStyle w:val="IndexLink"/>
                <w:rtl w:val="true"/>
              </w:rPr>
              <w:t>الكلمة الافتتاحيّة</w:t>
            </w:r>
            <w:r>
              <w:rPr>
                <w:rStyle w:val="IndexLink"/>
                <w:rtl w:val="true"/>
              </w:rPr>
              <w:tab/>
            </w:r>
            <w:r>
              <w:rPr>
                <w:rStyle w:val="IndexLink"/>
              </w:rPr>
              <w:t>13</w:t>
            </w:r>
          </w:hyperlink>
        </w:p>
        <w:p>
          <w:pPr>
            <w:pStyle w:val="Contents2"/>
            <w:tabs>
              <w:tab w:val="clear" w:pos="8743"/>
              <w:tab w:val="right" w:pos="9026" w:leader="dot"/>
            </w:tabs>
            <w:rPr/>
          </w:pPr>
          <w:hyperlink w:anchor="__RefHeading___Toc3127258_2870459653">
            <w:r>
              <w:rPr>
                <w:webHidden/>
                <w:rStyle w:val="IndexLink"/>
                <w:rtl w:val="true"/>
              </w:rPr>
              <w:t xml:space="preserve">حكم إبداء المرأة وجهها وكفَّيها ونظر الرجل إليهما </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جعفر اليعسوبي </w:t>
            </w:r>
            <w:r>
              <w:rPr>
                <w:rStyle w:val="IndexLink"/>
                <w:rtl w:val="true"/>
              </w:rPr>
              <w:t>(</w:t>
            </w:r>
            <w:r>
              <w:rPr>
                <w:rStyle w:val="IndexLink"/>
                <w:rtl w:val="true"/>
              </w:rPr>
              <w:t>دام عزه</w:t>
            </w:r>
            <w:r>
              <w:rPr>
                <w:rStyle w:val="IndexLink"/>
                <w:rtl w:val="true"/>
              </w:rPr>
              <w:t>)</w:t>
              <w:tab/>
            </w:r>
            <w:r>
              <w:rPr>
                <w:rStyle w:val="IndexLink"/>
              </w:rPr>
              <w:t>17</w:t>
            </w:r>
          </w:hyperlink>
        </w:p>
        <w:p>
          <w:pPr>
            <w:pStyle w:val="Contents3"/>
            <w:tabs>
              <w:tab w:val="clear" w:pos="8459"/>
              <w:tab w:val="right" w:pos="9026" w:leader="dot"/>
            </w:tabs>
            <w:rPr/>
          </w:pPr>
          <w:hyperlink w:anchor="__RefHeading___Toc3127260_2870459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127262_2870459653">
            <w:r>
              <w:rPr>
                <w:webHidden/>
                <w:rStyle w:val="IndexLink"/>
                <w:rtl w:val="true"/>
              </w:rPr>
              <w:t>المقام الأوَّل</w:t>
            </w:r>
            <w:r>
              <w:rPr>
                <w:rStyle w:val="IndexLink"/>
                <w:rtl w:val="true"/>
              </w:rPr>
              <w:t xml:space="preserve">: </w:t>
            </w:r>
            <w:r>
              <w:rPr>
                <w:rStyle w:val="IndexLink"/>
                <w:rtl w:val="true"/>
              </w:rPr>
              <w:t>الأقوال في المسألة</w:t>
            </w:r>
            <w:r>
              <w:rPr>
                <w:rStyle w:val="IndexLink"/>
                <w:rtl w:val="true"/>
              </w:rPr>
              <w:tab/>
            </w:r>
            <w:r>
              <w:rPr>
                <w:rStyle w:val="IndexLink"/>
              </w:rPr>
              <w:t>21</w:t>
            </w:r>
          </w:hyperlink>
        </w:p>
        <w:p>
          <w:pPr>
            <w:pStyle w:val="Contents4"/>
            <w:tabs>
              <w:tab w:val="clear" w:pos="8176"/>
              <w:tab w:val="right" w:pos="9026" w:leader="dot"/>
            </w:tabs>
            <w:rPr/>
          </w:pPr>
          <w:hyperlink w:anchor="__RefHeading___Toc3127264_2870459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127266_2870459653">
            <w:r>
              <w:rPr>
                <w:webHidden/>
                <w:rStyle w:val="IndexLink"/>
                <w:rtl w:val="true"/>
              </w:rPr>
              <w:t>القول الأوَّل</w:t>
            </w:r>
            <w:r>
              <w:rPr>
                <w:rStyle w:val="IndexLink"/>
                <w:rtl w:val="true"/>
              </w:rPr>
              <w:tab/>
            </w:r>
            <w:r>
              <w:rPr>
                <w:rStyle w:val="IndexLink"/>
              </w:rPr>
              <w:t>21</w:t>
            </w:r>
          </w:hyperlink>
        </w:p>
        <w:p>
          <w:pPr>
            <w:pStyle w:val="Contents4"/>
            <w:tabs>
              <w:tab w:val="clear" w:pos="8176"/>
              <w:tab w:val="right" w:pos="9026" w:leader="dot"/>
            </w:tabs>
            <w:rPr/>
          </w:pPr>
          <w:hyperlink w:anchor="__RefHeading___Toc3127268_2870459653">
            <w:r>
              <w:rPr>
                <w:webHidden/>
                <w:rStyle w:val="IndexLink"/>
                <w:rtl w:val="true"/>
              </w:rPr>
              <w:t>القول الثاني</w:t>
            </w:r>
            <w:r>
              <w:rPr>
                <w:rStyle w:val="IndexLink"/>
                <w:rtl w:val="true"/>
              </w:rPr>
              <w:tab/>
            </w:r>
            <w:r>
              <w:rPr>
                <w:rStyle w:val="IndexLink"/>
              </w:rPr>
              <w:t>24</w:t>
            </w:r>
          </w:hyperlink>
        </w:p>
        <w:p>
          <w:pPr>
            <w:pStyle w:val="Contents4"/>
            <w:tabs>
              <w:tab w:val="clear" w:pos="8176"/>
              <w:tab w:val="right" w:pos="9026" w:leader="dot"/>
            </w:tabs>
            <w:rPr/>
          </w:pPr>
          <w:hyperlink w:anchor="__RefHeading___Toc3127270_2870459653">
            <w:r>
              <w:rPr>
                <w:webHidden/>
                <w:rStyle w:val="IndexLink"/>
                <w:rtl w:val="true"/>
              </w:rPr>
              <w:t>القول الثالث</w:t>
            </w:r>
            <w:r>
              <w:rPr>
                <w:rStyle w:val="IndexLink"/>
                <w:rtl w:val="true"/>
              </w:rPr>
              <w:tab/>
            </w:r>
            <w:r>
              <w:rPr>
                <w:rStyle w:val="IndexLink"/>
              </w:rPr>
              <w:t>28</w:t>
            </w:r>
          </w:hyperlink>
        </w:p>
        <w:p>
          <w:pPr>
            <w:pStyle w:val="Contents4"/>
            <w:tabs>
              <w:tab w:val="clear" w:pos="8176"/>
              <w:tab w:val="right" w:pos="9026" w:leader="dot"/>
            </w:tabs>
            <w:rPr/>
          </w:pPr>
          <w:hyperlink w:anchor="__RefHeading___Toc3127272_2870459653">
            <w:r>
              <w:rPr>
                <w:webHidden/>
                <w:rStyle w:val="IndexLink"/>
                <w:rtl w:val="true"/>
              </w:rPr>
              <w:t>القول الرابع</w:t>
            </w:r>
            <w:r>
              <w:rPr>
                <w:rStyle w:val="IndexLink"/>
                <w:rtl w:val="true"/>
              </w:rPr>
              <w:tab/>
            </w:r>
            <w:r>
              <w:rPr>
                <w:rStyle w:val="IndexLink"/>
              </w:rPr>
              <w:t>28</w:t>
            </w:r>
          </w:hyperlink>
        </w:p>
        <w:p>
          <w:pPr>
            <w:pStyle w:val="Contents4"/>
            <w:tabs>
              <w:tab w:val="clear" w:pos="8176"/>
              <w:tab w:val="right" w:pos="9026" w:leader="dot"/>
            </w:tabs>
            <w:rPr/>
          </w:pPr>
          <w:hyperlink w:anchor="__RefHeading___Toc3127274_2870459653">
            <w:r>
              <w:rPr>
                <w:webHidden/>
                <w:rStyle w:val="IndexLink"/>
                <w:rtl w:val="true"/>
              </w:rPr>
              <w:t>القول الخامس</w:t>
            </w:r>
            <w:r>
              <w:rPr>
                <w:rStyle w:val="IndexLink"/>
                <w:rtl w:val="true"/>
              </w:rPr>
              <w:tab/>
            </w:r>
            <w:r>
              <w:rPr>
                <w:rStyle w:val="IndexLink"/>
              </w:rPr>
              <w:t>29</w:t>
            </w:r>
          </w:hyperlink>
        </w:p>
        <w:p>
          <w:pPr>
            <w:pStyle w:val="Contents3"/>
            <w:tabs>
              <w:tab w:val="clear" w:pos="8459"/>
              <w:tab w:val="right" w:pos="9026" w:leader="dot"/>
            </w:tabs>
            <w:rPr/>
          </w:pPr>
          <w:hyperlink w:anchor="__RefHeading___Toc3127276_2870459653">
            <w:r>
              <w:rPr>
                <w:webHidden/>
                <w:rStyle w:val="IndexLink"/>
                <w:rtl w:val="true"/>
              </w:rPr>
              <w:t>المقام الثّاني</w:t>
            </w:r>
            <w:r>
              <w:rPr>
                <w:rStyle w:val="IndexLink"/>
                <w:rtl w:val="true"/>
              </w:rPr>
              <w:t xml:space="preserve">: </w:t>
            </w:r>
            <w:r>
              <w:rPr>
                <w:rStyle w:val="IndexLink"/>
                <w:rtl w:val="true"/>
              </w:rPr>
              <w:t>في ذكر أدلّة الأقوال</w:t>
            </w:r>
            <w:r>
              <w:rPr>
                <w:rStyle w:val="IndexLink"/>
                <w:rtl w:val="true"/>
              </w:rPr>
              <w:tab/>
            </w:r>
            <w:r>
              <w:rPr>
                <w:rStyle w:val="IndexLink"/>
              </w:rPr>
              <w:t>30</w:t>
            </w:r>
          </w:hyperlink>
        </w:p>
        <w:p>
          <w:pPr>
            <w:pStyle w:val="Contents4"/>
            <w:tabs>
              <w:tab w:val="clear" w:pos="8176"/>
              <w:tab w:val="right" w:pos="9026" w:leader="dot"/>
            </w:tabs>
            <w:rPr/>
          </w:pPr>
          <w:hyperlink w:anchor="__RefHeading___Toc3127278_2870459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127280_2870459653">
            <w:r>
              <w:rPr>
                <w:webHidden/>
                <w:rStyle w:val="IndexLink"/>
                <w:rtl w:val="true"/>
              </w:rPr>
              <w:t>الدليل الأوَّل</w:t>
            </w:r>
            <w:r>
              <w:rPr>
                <w:rStyle w:val="IndexLink"/>
                <w:rtl w:val="true"/>
              </w:rPr>
              <w:t xml:space="preserve">: </w:t>
            </w:r>
            <w:r>
              <w:rPr>
                <w:rStyle w:val="IndexLink"/>
                <w:rtl w:val="true"/>
              </w:rPr>
              <w:t>الكتاب</w:t>
            </w:r>
            <w:r>
              <w:rPr>
                <w:rStyle w:val="IndexLink"/>
                <w:rtl w:val="true"/>
              </w:rPr>
              <w:tab/>
            </w:r>
            <w:r>
              <w:rPr>
                <w:rStyle w:val="IndexLink"/>
              </w:rPr>
              <w:t>30</w:t>
            </w:r>
          </w:hyperlink>
        </w:p>
        <w:p>
          <w:pPr>
            <w:pStyle w:val="Contents5"/>
            <w:tabs>
              <w:tab w:val="clear" w:pos="7892"/>
              <w:tab w:val="right" w:pos="9026" w:leader="dot"/>
            </w:tabs>
            <w:rPr/>
          </w:pPr>
          <w:hyperlink w:anchor="__RefHeading___Toc3127282_2870459653">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127284_2870459653">
            <w:r>
              <w:rPr>
                <w:webHidden/>
                <w:rStyle w:val="IndexLink"/>
                <w:rtl w:val="true"/>
              </w:rPr>
              <w:t>الآية الأولى</w:t>
            </w:r>
            <w:r>
              <w:rPr>
                <w:rStyle w:val="IndexLink"/>
                <w:rtl w:val="true"/>
              </w:rPr>
              <w:tab/>
            </w:r>
            <w:r>
              <w:rPr>
                <w:rStyle w:val="IndexLink"/>
              </w:rPr>
              <w:t>30</w:t>
            </w:r>
          </w:hyperlink>
        </w:p>
        <w:p>
          <w:pPr>
            <w:pStyle w:val="Contents6"/>
            <w:tabs>
              <w:tab w:val="clear" w:pos="7609"/>
              <w:tab w:val="right" w:pos="9026" w:leader="dot"/>
            </w:tabs>
            <w:rPr/>
          </w:pPr>
          <w:hyperlink w:anchor="__RefHeading___Toc3127286_2870459653">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127288_2870459653">
            <w:r>
              <w:rPr>
                <w:webHidden/>
                <w:rStyle w:val="IndexLink"/>
                <w:rtl w:val="true"/>
              </w:rPr>
              <w:t>التقريب الأوَّل</w:t>
            </w:r>
            <w:r>
              <w:rPr>
                <w:rStyle w:val="IndexLink"/>
                <w:rtl w:val="true"/>
              </w:rPr>
              <w:tab/>
            </w:r>
            <w:r>
              <w:rPr>
                <w:rStyle w:val="IndexLink"/>
              </w:rPr>
              <w:t>30</w:t>
            </w:r>
          </w:hyperlink>
        </w:p>
        <w:p>
          <w:pPr>
            <w:pStyle w:val="Contents6"/>
            <w:tabs>
              <w:tab w:val="clear" w:pos="7609"/>
              <w:tab w:val="right" w:pos="9026" w:leader="dot"/>
            </w:tabs>
            <w:rPr/>
          </w:pPr>
          <w:hyperlink w:anchor="__RefHeading___Toc3127290_2870459653">
            <w:r>
              <w:rPr>
                <w:webHidden/>
                <w:rStyle w:val="IndexLink"/>
                <w:rtl w:val="true"/>
              </w:rPr>
              <w:t>التقريب الثاني</w:t>
            </w:r>
            <w:r>
              <w:rPr>
                <w:rStyle w:val="IndexLink"/>
                <w:rtl w:val="true"/>
              </w:rPr>
              <w:tab/>
            </w:r>
            <w:r>
              <w:rPr>
                <w:rStyle w:val="IndexLink"/>
              </w:rPr>
              <w:t>46</w:t>
            </w:r>
          </w:hyperlink>
        </w:p>
        <w:p>
          <w:pPr>
            <w:pStyle w:val="Contents6"/>
            <w:tabs>
              <w:tab w:val="clear" w:pos="7609"/>
              <w:tab w:val="right" w:pos="9026" w:leader="dot"/>
            </w:tabs>
            <w:rPr/>
          </w:pPr>
          <w:hyperlink w:anchor="__RefHeading___Toc3127292_2870459653">
            <w:r>
              <w:rPr>
                <w:webHidden/>
                <w:rStyle w:val="IndexLink"/>
                <w:rtl w:val="true"/>
              </w:rPr>
              <w:t>التقريب الثالث</w:t>
            </w:r>
            <w:r>
              <w:rPr>
                <w:rStyle w:val="IndexLink"/>
                <w:rtl w:val="true"/>
              </w:rPr>
              <w:tab/>
            </w:r>
            <w:r>
              <w:rPr>
                <w:rStyle w:val="IndexLink"/>
              </w:rPr>
              <w:t>48</w:t>
            </w:r>
          </w:hyperlink>
        </w:p>
        <w:p>
          <w:pPr>
            <w:pStyle w:val="Contents5"/>
            <w:tabs>
              <w:tab w:val="clear" w:pos="7892"/>
              <w:tab w:val="right" w:pos="9026" w:leader="dot"/>
            </w:tabs>
            <w:rPr/>
          </w:pPr>
          <w:hyperlink w:anchor="__RefHeading___Toc3127294_2870459653">
            <w:r>
              <w:rPr>
                <w:webHidden/>
                <w:rStyle w:val="IndexLink"/>
                <w:rtl w:val="true"/>
              </w:rPr>
              <w:t>الآية الثانية</w:t>
            </w:r>
            <w:r>
              <w:rPr>
                <w:rStyle w:val="IndexLink"/>
                <w:rtl w:val="true"/>
              </w:rPr>
              <w:tab/>
            </w:r>
            <w:r>
              <w:rPr>
                <w:rStyle w:val="IndexLink"/>
              </w:rPr>
              <w:t>49</w:t>
            </w:r>
          </w:hyperlink>
        </w:p>
        <w:p>
          <w:pPr>
            <w:pStyle w:val="Contents6"/>
            <w:tabs>
              <w:tab w:val="clear" w:pos="7609"/>
              <w:tab w:val="right" w:pos="9026" w:leader="dot"/>
            </w:tabs>
            <w:rPr/>
          </w:pPr>
          <w:hyperlink w:anchor="__RefHeading___Toc3127296_2870459653">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127298_2870459653">
            <w:r>
              <w:rPr>
                <w:webHidden/>
                <w:rStyle w:val="IndexLink"/>
                <w:rtl w:val="true"/>
              </w:rPr>
              <w:t>الإيراد الأوَّل</w:t>
            </w:r>
            <w:r>
              <w:rPr>
                <w:rStyle w:val="IndexLink"/>
                <w:rtl w:val="true"/>
              </w:rPr>
              <w:tab/>
            </w:r>
            <w:r>
              <w:rPr>
                <w:rStyle w:val="IndexLink"/>
              </w:rPr>
              <w:t>50</w:t>
            </w:r>
          </w:hyperlink>
        </w:p>
        <w:p>
          <w:pPr>
            <w:pStyle w:val="Contents6"/>
            <w:tabs>
              <w:tab w:val="clear" w:pos="7609"/>
              <w:tab w:val="right" w:pos="9026" w:leader="dot"/>
            </w:tabs>
            <w:rPr/>
          </w:pPr>
          <w:hyperlink w:anchor="__RefHeading___Toc3127300_2870459653">
            <w:r>
              <w:rPr>
                <w:webHidden/>
                <w:rStyle w:val="IndexLink"/>
                <w:rtl w:val="true"/>
              </w:rPr>
              <w:t>الإيراد الثاني</w:t>
            </w:r>
            <w:r>
              <w:rPr>
                <w:rStyle w:val="IndexLink"/>
                <w:rtl w:val="true"/>
              </w:rPr>
              <w:tab/>
            </w:r>
            <w:r>
              <w:rPr>
                <w:rStyle w:val="IndexLink"/>
              </w:rPr>
              <w:t>55</w:t>
            </w:r>
          </w:hyperlink>
        </w:p>
        <w:p>
          <w:pPr>
            <w:pStyle w:val="Contents6"/>
            <w:tabs>
              <w:tab w:val="clear" w:pos="7609"/>
              <w:tab w:val="right" w:pos="9026" w:leader="dot"/>
            </w:tabs>
            <w:rPr/>
          </w:pPr>
          <w:hyperlink w:anchor="__RefHeading___Toc3127302_2870459653">
            <w:r>
              <w:rPr>
                <w:webHidden/>
                <w:rStyle w:val="IndexLink"/>
                <w:rtl w:val="true"/>
              </w:rPr>
              <w:t>الإيراد الثالث</w:t>
            </w:r>
            <w:r>
              <w:rPr>
                <w:rStyle w:val="IndexLink"/>
                <w:rtl w:val="true"/>
              </w:rPr>
              <w:tab/>
            </w:r>
            <w:r>
              <w:rPr>
                <w:rStyle w:val="IndexLink"/>
              </w:rPr>
              <w:t>58</w:t>
            </w:r>
          </w:hyperlink>
        </w:p>
        <w:p>
          <w:pPr>
            <w:pStyle w:val="Contents5"/>
            <w:tabs>
              <w:tab w:val="clear" w:pos="7892"/>
              <w:tab w:val="right" w:pos="9026" w:leader="dot"/>
            </w:tabs>
            <w:rPr/>
          </w:pPr>
          <w:hyperlink w:anchor="__RefHeading___Toc3127304_2870459653">
            <w:r>
              <w:rPr>
                <w:webHidden/>
                <w:rStyle w:val="IndexLink"/>
                <w:rtl w:val="true"/>
              </w:rPr>
              <w:t>الآية الثالثة</w:t>
            </w:r>
            <w:r>
              <w:rPr>
                <w:rStyle w:val="IndexLink"/>
                <w:rtl w:val="true"/>
              </w:rPr>
              <w:tab/>
            </w:r>
            <w:r>
              <w:rPr>
                <w:rStyle w:val="IndexLink"/>
              </w:rPr>
              <w:t>60</w:t>
            </w:r>
          </w:hyperlink>
        </w:p>
        <w:p>
          <w:pPr>
            <w:pStyle w:val="Contents5"/>
            <w:tabs>
              <w:tab w:val="clear" w:pos="7892"/>
              <w:tab w:val="right" w:pos="9026" w:leader="dot"/>
            </w:tabs>
            <w:rPr/>
          </w:pPr>
          <w:hyperlink w:anchor="__RefHeading___Toc3127306_2870459653">
            <w:r>
              <w:rPr>
                <w:webHidden/>
                <w:rStyle w:val="IndexLink"/>
                <w:rtl w:val="true"/>
              </w:rPr>
              <w:t>الآية الرابعة</w:t>
            </w:r>
            <w:r>
              <w:rPr>
                <w:rStyle w:val="IndexLink"/>
                <w:rtl w:val="true"/>
              </w:rPr>
              <w:tab/>
            </w:r>
            <w:r>
              <w:rPr>
                <w:rStyle w:val="IndexLink"/>
              </w:rPr>
              <w:t>65</w:t>
            </w:r>
          </w:hyperlink>
        </w:p>
        <w:p>
          <w:pPr>
            <w:pStyle w:val="Contents2"/>
            <w:tabs>
              <w:tab w:val="clear" w:pos="8743"/>
              <w:tab w:val="right" w:pos="9026" w:leader="dot"/>
            </w:tabs>
            <w:rPr/>
          </w:pPr>
          <w:hyperlink w:anchor="__RefHeading___Toc3127308_2870459653">
            <w:r>
              <w:rPr>
                <w:webHidden/>
                <w:rStyle w:val="IndexLink"/>
                <w:rtl w:val="true"/>
              </w:rPr>
              <w:t xml:space="preserve">نكاح ذات البعل </w:t>
            </w:r>
            <w:r>
              <w:rPr>
                <w:rStyle w:val="IndexLink"/>
                <w:rtl w:val="true"/>
              </w:rPr>
              <w:t>(</w:t>
            </w:r>
            <w:r>
              <w:rPr>
                <w:rStyle w:val="IndexLink"/>
                <w:rtl w:val="true"/>
              </w:rPr>
              <w:t>الحلقة الثانية</w:t>
            </w:r>
            <w:r>
              <w:rPr>
                <w:rStyle w:val="IndexLink"/>
                <w:rtl w:val="true"/>
              </w:rPr>
              <w:t xml:space="preserve">) - </w:t>
            </w:r>
            <w:r>
              <w:rPr>
                <w:rStyle w:val="IndexLink"/>
                <w:rtl w:val="true"/>
              </w:rPr>
              <w:t xml:space="preserve">الشيخ علي سالم الناصري </w:t>
            </w:r>
            <w:r>
              <w:rPr>
                <w:rStyle w:val="IndexLink"/>
                <w:rtl w:val="true"/>
              </w:rPr>
              <w:t>(</w:t>
            </w:r>
            <w:r>
              <w:rPr>
                <w:rStyle w:val="IndexLink"/>
                <w:rtl w:val="true"/>
              </w:rPr>
              <w:t>دام عزه</w:t>
            </w:r>
            <w:r>
              <w:rPr>
                <w:rStyle w:val="IndexLink"/>
                <w:rtl w:val="true"/>
              </w:rPr>
              <w:t>)</w:t>
              <w:tab/>
            </w:r>
            <w:r>
              <w:rPr>
                <w:rStyle w:val="IndexLink"/>
              </w:rPr>
              <w:t>73</w:t>
            </w:r>
          </w:hyperlink>
        </w:p>
        <w:p>
          <w:pPr>
            <w:pStyle w:val="Contents3"/>
            <w:tabs>
              <w:tab w:val="clear" w:pos="8459"/>
              <w:tab w:val="right" w:pos="9026" w:leader="dot"/>
            </w:tabs>
            <w:rPr/>
          </w:pPr>
          <w:hyperlink w:anchor="__RefHeading___Toc3127310_2870459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3127312_2870459653">
            <w:r>
              <w:rPr>
                <w:webHidden/>
                <w:rStyle w:val="IndexLink"/>
                <w:rtl w:val="true"/>
              </w:rPr>
              <w:t>المقدّمة</w:t>
            </w:r>
            <w:r>
              <w:rPr>
                <w:rStyle w:val="IndexLink"/>
                <w:rtl w:val="true"/>
              </w:rPr>
              <w:tab/>
            </w:r>
            <w:r>
              <w:rPr>
                <w:rStyle w:val="IndexLink"/>
              </w:rPr>
              <w:t>75</w:t>
            </w:r>
          </w:hyperlink>
        </w:p>
        <w:p>
          <w:pPr>
            <w:pStyle w:val="Contents3"/>
            <w:tabs>
              <w:tab w:val="clear" w:pos="8459"/>
              <w:tab w:val="right" w:pos="9026" w:leader="dot"/>
            </w:tabs>
            <w:rPr/>
          </w:pPr>
          <w:hyperlink w:anchor="__RefHeading___Toc3127314_2870459653">
            <w:r>
              <w:rPr>
                <w:webHidden/>
                <w:rStyle w:val="IndexLink"/>
                <w:rtl w:val="true"/>
              </w:rPr>
              <w:t>القسم الثاني</w:t>
            </w:r>
            <w:r>
              <w:rPr>
                <w:rStyle w:val="IndexLink"/>
                <w:rtl w:val="true"/>
              </w:rPr>
              <w:t xml:space="preserve">: </w:t>
            </w:r>
            <w:r>
              <w:rPr>
                <w:rStyle w:val="IndexLink"/>
                <w:rtl w:val="true"/>
              </w:rPr>
              <w:t>ما يدلُّ على عدم الحرمة المؤبَّدة</w:t>
            </w:r>
            <w:r>
              <w:rPr>
                <w:rStyle w:val="IndexLink"/>
                <w:rtl w:val="true"/>
              </w:rPr>
              <w:tab/>
            </w:r>
            <w:r>
              <w:rPr>
                <w:rStyle w:val="IndexLink"/>
              </w:rPr>
              <w:t>77</w:t>
            </w:r>
          </w:hyperlink>
        </w:p>
        <w:p>
          <w:pPr>
            <w:pStyle w:val="Contents4"/>
            <w:tabs>
              <w:tab w:val="clear" w:pos="8176"/>
              <w:tab w:val="right" w:pos="9026" w:leader="dot"/>
            </w:tabs>
            <w:rPr/>
          </w:pPr>
          <w:hyperlink w:anchor="__RefHeading___Toc3127316_2870459653">
            <w:r>
              <w:rPr>
                <w:webHidden/>
                <w:rStyle w:val="IndexLink"/>
                <w:rtl w:val="true"/>
              </w:rPr>
              <w:t>الرواية الأولى</w:t>
            </w:r>
            <w:r>
              <w:rPr>
                <w:rStyle w:val="IndexLink"/>
                <w:rtl w:val="true"/>
              </w:rPr>
              <w:tab/>
            </w:r>
            <w:r>
              <w:rPr>
                <w:rStyle w:val="IndexLink"/>
              </w:rPr>
              <w:t>77</w:t>
            </w:r>
          </w:hyperlink>
        </w:p>
        <w:p>
          <w:pPr>
            <w:pStyle w:val="Contents4"/>
            <w:tabs>
              <w:tab w:val="clear" w:pos="8176"/>
              <w:tab w:val="right" w:pos="9026" w:leader="dot"/>
            </w:tabs>
            <w:rPr/>
          </w:pPr>
          <w:hyperlink w:anchor="__RefHeading___Toc3127318_2870459653">
            <w:r>
              <w:rPr>
                <w:webHidden/>
                <w:rStyle w:val="IndexLink"/>
                <w:rtl w:val="true"/>
              </w:rPr>
              <w:t>الرواية الثانية</w:t>
            </w:r>
            <w:r>
              <w:rPr>
                <w:rStyle w:val="IndexLink"/>
                <w:rtl w:val="true"/>
              </w:rPr>
              <w:tab/>
            </w:r>
            <w:r>
              <w:rPr>
                <w:rStyle w:val="IndexLink"/>
              </w:rPr>
              <w:t>77</w:t>
            </w:r>
          </w:hyperlink>
        </w:p>
        <w:p>
          <w:pPr>
            <w:pStyle w:val="Contents5"/>
            <w:tabs>
              <w:tab w:val="clear" w:pos="7892"/>
              <w:tab w:val="right" w:pos="9026" w:leader="dot"/>
            </w:tabs>
            <w:rPr/>
          </w:pPr>
          <w:hyperlink w:anchor="__RefHeading___Toc3127320_287045965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127322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77</w:t>
            </w:r>
          </w:hyperlink>
        </w:p>
        <w:p>
          <w:pPr>
            <w:pStyle w:val="Contents6"/>
            <w:tabs>
              <w:tab w:val="clear" w:pos="7609"/>
              <w:tab w:val="right" w:pos="9026" w:leader="dot"/>
            </w:tabs>
            <w:rPr/>
          </w:pPr>
          <w:hyperlink w:anchor="__RefHeading___Toc3127324_2870459653">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127326_2870459653">
            <w:r>
              <w:rPr>
                <w:webHidden/>
                <w:rStyle w:val="IndexLink"/>
                <w:rtl w:val="true"/>
              </w:rPr>
              <w:t>المحاولة الأولى</w:t>
            </w:r>
            <w:r>
              <w:rPr>
                <w:rStyle w:val="IndexLink"/>
                <w:rtl w:val="true"/>
              </w:rPr>
              <w:t xml:space="preserve">: </w:t>
            </w:r>
            <w:r>
              <w:rPr>
                <w:rStyle w:val="IndexLink"/>
                <w:rtl w:val="true"/>
              </w:rPr>
              <w:t>الاستعانة بنظريّة حساب الاحتمالات</w:t>
            </w:r>
            <w:r>
              <w:rPr>
                <w:rStyle w:val="IndexLink"/>
                <w:rtl w:val="true"/>
              </w:rPr>
              <w:tab/>
            </w:r>
            <w:r>
              <w:rPr>
                <w:rStyle w:val="IndexLink"/>
              </w:rPr>
              <w:t>78</w:t>
            </w:r>
          </w:hyperlink>
        </w:p>
        <w:p>
          <w:pPr>
            <w:pStyle w:val="Contents6"/>
            <w:tabs>
              <w:tab w:val="clear" w:pos="7609"/>
              <w:tab w:val="right" w:pos="9026" w:leader="dot"/>
            </w:tabs>
            <w:rPr/>
          </w:pPr>
          <w:hyperlink w:anchor="__RefHeading___Toc3127328_287045965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127330_2870459653">
            <w:r>
              <w:rPr>
                <w:webHidden/>
                <w:rStyle w:val="IndexLink"/>
                <w:rtl w:val="true"/>
              </w:rPr>
              <w:t>الطريقة الأولى</w:t>
            </w:r>
            <w:r>
              <w:rPr>
                <w:rStyle w:val="IndexLink"/>
                <w:rtl w:val="true"/>
              </w:rPr>
              <w:t xml:space="preserve">: </w:t>
            </w:r>
            <w:r>
              <w:rPr>
                <w:rStyle w:val="IndexLink"/>
                <w:rtl w:val="true"/>
              </w:rPr>
              <w:t>من خلال حساب الاحتمال المجرّد من الخصوصيّات</w:t>
            </w:r>
            <w:r>
              <w:rPr>
                <w:rStyle w:val="IndexLink"/>
                <w:rtl w:val="true"/>
              </w:rPr>
              <w:tab/>
            </w:r>
            <w:r>
              <w:rPr>
                <w:rStyle w:val="IndexLink"/>
              </w:rPr>
              <w:t>78</w:t>
            </w:r>
          </w:hyperlink>
        </w:p>
        <w:p>
          <w:pPr>
            <w:pStyle w:val="Contents6"/>
            <w:tabs>
              <w:tab w:val="clear" w:pos="7609"/>
              <w:tab w:val="right" w:pos="9026" w:leader="dot"/>
            </w:tabs>
            <w:rPr/>
          </w:pPr>
          <w:hyperlink w:anchor="__RefHeading___Toc3127332_2870459653">
            <w:r>
              <w:rPr>
                <w:webHidden/>
                <w:rStyle w:val="IndexLink"/>
                <w:rtl w:val="true"/>
              </w:rPr>
              <w:t>الطريقة الأخرى</w:t>
            </w:r>
            <w:r>
              <w:rPr>
                <w:rStyle w:val="IndexLink"/>
                <w:rtl w:val="true"/>
              </w:rPr>
              <w:t xml:space="preserve">: </w:t>
            </w:r>
            <w:r>
              <w:rPr>
                <w:rStyle w:val="IndexLink"/>
                <w:rtl w:val="true"/>
              </w:rPr>
              <w:t>من خلال حساب الاحتمال مع ضمّ أمر آخر</w:t>
            </w:r>
            <w:r>
              <w:rPr>
                <w:rStyle w:val="IndexLink"/>
                <w:rtl w:val="true"/>
              </w:rPr>
              <w:tab/>
            </w:r>
            <w:r>
              <w:rPr>
                <w:rStyle w:val="IndexLink"/>
              </w:rPr>
              <w:t>79</w:t>
            </w:r>
          </w:hyperlink>
        </w:p>
        <w:p>
          <w:pPr>
            <w:pStyle w:val="Contents6"/>
            <w:tabs>
              <w:tab w:val="clear" w:pos="7609"/>
              <w:tab w:val="right" w:pos="9026" w:leader="dot"/>
            </w:tabs>
            <w:rPr/>
          </w:pPr>
          <w:hyperlink w:anchor="__RefHeading___Toc3127334_2870459653">
            <w:r>
              <w:rPr>
                <w:webHidden/>
                <w:rStyle w:val="IndexLink"/>
                <w:rtl w:val="true"/>
              </w:rPr>
              <w:t>المحاولة الثانية</w:t>
            </w:r>
            <w:r>
              <w:rPr>
                <w:rStyle w:val="IndexLink"/>
                <w:rtl w:val="true"/>
              </w:rPr>
              <w:tab/>
            </w:r>
            <w:r>
              <w:rPr>
                <w:rStyle w:val="IndexLink"/>
              </w:rPr>
              <w:t>79</w:t>
            </w:r>
          </w:hyperlink>
        </w:p>
        <w:p>
          <w:pPr>
            <w:pStyle w:val="Contents6"/>
            <w:tabs>
              <w:tab w:val="clear" w:pos="7609"/>
              <w:tab w:val="right" w:pos="9026" w:leader="dot"/>
            </w:tabs>
            <w:rPr/>
          </w:pPr>
          <w:hyperlink w:anchor="__RefHeading___Toc3127336_2870459653">
            <w:r>
              <w:rPr>
                <w:webHidden/>
                <w:rStyle w:val="IndexLink"/>
                <w:rtl w:val="true"/>
              </w:rPr>
              <w:t>المحاولة الثَّالثة</w:t>
            </w:r>
            <w:r>
              <w:rPr>
                <w:rStyle w:val="IndexLink"/>
                <w:rtl w:val="true"/>
              </w:rPr>
              <w:tab/>
            </w:r>
            <w:r>
              <w:rPr>
                <w:rStyle w:val="IndexLink"/>
              </w:rPr>
              <w:t>81</w:t>
            </w:r>
          </w:hyperlink>
        </w:p>
        <w:p>
          <w:pPr>
            <w:pStyle w:val="Contents5"/>
            <w:tabs>
              <w:tab w:val="clear" w:pos="7892"/>
              <w:tab w:val="right" w:pos="9026" w:leader="dot"/>
            </w:tabs>
            <w:rPr/>
          </w:pPr>
          <w:hyperlink w:anchor="__RefHeading___Toc3127338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82</w:t>
            </w:r>
          </w:hyperlink>
        </w:p>
        <w:p>
          <w:pPr>
            <w:pStyle w:val="Contents6"/>
            <w:tabs>
              <w:tab w:val="clear" w:pos="7609"/>
              <w:tab w:val="right" w:pos="9026" w:leader="dot"/>
            </w:tabs>
            <w:rPr/>
          </w:pPr>
          <w:hyperlink w:anchor="__RefHeading___Toc3127340_2870459653">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127342_2870459653">
            <w:r>
              <w:rPr>
                <w:webHidden/>
                <w:rStyle w:val="IndexLink"/>
                <w:rtl w:val="true"/>
              </w:rPr>
              <w:t>النقطة الأولى</w:t>
            </w:r>
            <w:r>
              <w:rPr>
                <w:rStyle w:val="IndexLink"/>
                <w:rtl w:val="true"/>
              </w:rPr>
              <w:tab/>
            </w:r>
            <w:r>
              <w:rPr>
                <w:rStyle w:val="IndexLink"/>
              </w:rPr>
              <w:t>82</w:t>
            </w:r>
          </w:hyperlink>
        </w:p>
        <w:p>
          <w:pPr>
            <w:pStyle w:val="Contents6"/>
            <w:tabs>
              <w:tab w:val="clear" w:pos="7609"/>
              <w:tab w:val="right" w:pos="9026" w:leader="dot"/>
            </w:tabs>
            <w:rPr/>
          </w:pPr>
          <w:hyperlink w:anchor="__RefHeading___Toc3127344_2870459653">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127346_2870459653">
            <w:r>
              <w:rPr>
                <w:webHidden/>
                <w:rStyle w:val="IndexLink"/>
                <w:rtl w:val="true"/>
              </w:rPr>
              <w:t>القول الأوَّل</w:t>
            </w:r>
            <w:r>
              <w:rPr>
                <w:rStyle w:val="IndexLink"/>
                <w:rtl w:val="true"/>
              </w:rPr>
              <w:tab/>
            </w:r>
            <w:r>
              <w:rPr>
                <w:rStyle w:val="IndexLink"/>
              </w:rPr>
              <w:t>82</w:t>
            </w:r>
          </w:hyperlink>
        </w:p>
        <w:p>
          <w:pPr>
            <w:pStyle w:val="Contents6"/>
            <w:tabs>
              <w:tab w:val="clear" w:pos="7609"/>
              <w:tab w:val="right" w:pos="9026" w:leader="dot"/>
            </w:tabs>
            <w:rPr/>
          </w:pPr>
          <w:hyperlink w:anchor="__RefHeading___Toc3127348_2870459653">
            <w:r>
              <w:rPr>
                <w:webHidden/>
                <w:rStyle w:val="IndexLink"/>
                <w:rtl w:val="true"/>
              </w:rPr>
              <w:t>القول الآخر</w:t>
            </w:r>
            <w:r>
              <w:rPr>
                <w:rStyle w:val="IndexLink"/>
                <w:rtl w:val="true"/>
              </w:rPr>
              <w:tab/>
            </w:r>
            <w:r>
              <w:rPr>
                <w:rStyle w:val="IndexLink"/>
              </w:rPr>
              <w:t>83</w:t>
            </w:r>
          </w:hyperlink>
        </w:p>
        <w:p>
          <w:pPr>
            <w:pStyle w:val="Contents6"/>
            <w:tabs>
              <w:tab w:val="clear" w:pos="7609"/>
              <w:tab w:val="right" w:pos="9026" w:leader="dot"/>
            </w:tabs>
            <w:rPr/>
          </w:pPr>
          <w:hyperlink w:anchor="__RefHeading___Toc3127350_2870459653">
            <w:r>
              <w:rPr>
                <w:webHidden/>
                <w:rStyle w:val="IndexLink"/>
                <w:rtl w:val="true"/>
              </w:rPr>
              <w:t>النقطة الأخرى</w:t>
            </w:r>
            <w:r>
              <w:rPr>
                <w:rStyle w:val="IndexLink"/>
                <w:rtl w:val="true"/>
              </w:rPr>
              <w:tab/>
            </w:r>
            <w:r>
              <w:rPr>
                <w:rStyle w:val="IndexLink"/>
              </w:rPr>
              <w:t>88</w:t>
            </w:r>
          </w:hyperlink>
        </w:p>
        <w:p>
          <w:pPr>
            <w:pStyle w:val="Contents4"/>
            <w:tabs>
              <w:tab w:val="clear" w:pos="8176"/>
              <w:tab w:val="right" w:pos="9026" w:leader="dot"/>
            </w:tabs>
            <w:rPr/>
          </w:pPr>
          <w:hyperlink w:anchor="__RefHeading___Toc3127352_2870459653">
            <w:r>
              <w:rPr>
                <w:webHidden/>
                <w:rStyle w:val="IndexLink"/>
                <w:rtl w:val="true"/>
              </w:rPr>
              <w:t>الرواية الثالثة</w:t>
            </w:r>
            <w:r>
              <w:rPr>
                <w:rStyle w:val="IndexLink"/>
                <w:rtl w:val="true"/>
              </w:rPr>
              <w:tab/>
            </w:r>
            <w:r>
              <w:rPr>
                <w:rStyle w:val="IndexLink"/>
              </w:rPr>
              <w:t>90</w:t>
            </w:r>
          </w:hyperlink>
        </w:p>
        <w:p>
          <w:pPr>
            <w:pStyle w:val="Contents4"/>
            <w:tabs>
              <w:tab w:val="clear" w:pos="8176"/>
              <w:tab w:val="right" w:pos="9026" w:leader="dot"/>
            </w:tabs>
            <w:rPr/>
          </w:pPr>
          <w:hyperlink w:anchor="__RefHeading___Toc3127354_2870459653">
            <w:r>
              <w:rPr>
                <w:webHidden/>
                <w:rStyle w:val="IndexLink"/>
                <w:rtl w:val="true"/>
              </w:rPr>
              <w:t>الرواية الرابعة</w:t>
            </w:r>
            <w:r>
              <w:rPr>
                <w:rStyle w:val="IndexLink"/>
                <w:rtl w:val="true"/>
              </w:rPr>
              <w:tab/>
            </w:r>
            <w:r>
              <w:rPr>
                <w:rStyle w:val="IndexLink"/>
              </w:rPr>
              <w:t>92</w:t>
            </w:r>
          </w:hyperlink>
        </w:p>
        <w:p>
          <w:pPr>
            <w:pStyle w:val="Contents4"/>
            <w:tabs>
              <w:tab w:val="clear" w:pos="8176"/>
              <w:tab w:val="right" w:pos="9026" w:leader="dot"/>
            </w:tabs>
            <w:rPr/>
          </w:pPr>
          <w:hyperlink w:anchor="__RefHeading___Toc3127356_2870459653">
            <w:r>
              <w:rPr>
                <w:webHidden/>
                <w:rStyle w:val="IndexLink"/>
                <w:rtl w:val="true"/>
              </w:rPr>
              <w:t>الرواية الخامسة</w:t>
            </w:r>
            <w:r>
              <w:rPr>
                <w:rStyle w:val="IndexLink"/>
                <w:rtl w:val="true"/>
              </w:rPr>
              <w:tab/>
            </w:r>
            <w:r>
              <w:rPr>
                <w:rStyle w:val="IndexLink"/>
              </w:rPr>
              <w:t>93</w:t>
            </w:r>
          </w:hyperlink>
        </w:p>
        <w:p>
          <w:pPr>
            <w:pStyle w:val="Contents4"/>
            <w:tabs>
              <w:tab w:val="clear" w:pos="8176"/>
              <w:tab w:val="right" w:pos="9026" w:leader="dot"/>
            </w:tabs>
            <w:rPr/>
          </w:pPr>
          <w:hyperlink w:anchor="__RefHeading___Toc3127358_2870459653">
            <w:r>
              <w:rPr>
                <w:webHidden/>
                <w:rStyle w:val="IndexLink"/>
                <w:rtl w:val="true"/>
              </w:rPr>
              <w:t>الرواية السادسة</w:t>
            </w:r>
            <w:r>
              <w:rPr>
                <w:rStyle w:val="IndexLink"/>
                <w:rtl w:val="true"/>
              </w:rPr>
              <w:tab/>
            </w:r>
            <w:r>
              <w:rPr>
                <w:rStyle w:val="IndexLink"/>
              </w:rPr>
              <w:t>93</w:t>
            </w:r>
          </w:hyperlink>
        </w:p>
        <w:p>
          <w:pPr>
            <w:pStyle w:val="Contents4"/>
            <w:tabs>
              <w:tab w:val="clear" w:pos="8176"/>
              <w:tab w:val="right" w:pos="9026" w:leader="dot"/>
            </w:tabs>
            <w:rPr/>
          </w:pPr>
          <w:hyperlink w:anchor="__RefHeading___Toc3127360_2870459653">
            <w:r>
              <w:rPr>
                <w:webHidden/>
                <w:rStyle w:val="IndexLink"/>
                <w:rtl w:val="true"/>
              </w:rPr>
              <w:t>الرواية السابعة</w:t>
            </w:r>
            <w:r>
              <w:rPr>
                <w:rStyle w:val="IndexLink"/>
                <w:rtl w:val="true"/>
              </w:rPr>
              <w:tab/>
            </w:r>
            <w:r>
              <w:rPr>
                <w:rStyle w:val="IndexLink"/>
              </w:rPr>
              <w:t>94</w:t>
            </w:r>
          </w:hyperlink>
        </w:p>
        <w:p>
          <w:pPr>
            <w:pStyle w:val="Contents3"/>
            <w:tabs>
              <w:tab w:val="clear" w:pos="8459"/>
              <w:tab w:val="right" w:pos="9026" w:leader="dot"/>
            </w:tabs>
            <w:rPr/>
          </w:pPr>
          <w:hyperlink w:anchor="__RefHeading___Toc3127362_2870459653">
            <w:r>
              <w:rPr>
                <w:webHidden/>
                <w:rStyle w:val="IndexLink"/>
                <w:rtl w:val="true"/>
              </w:rPr>
              <w:t>مواقف الأعلام من الروايات</w:t>
            </w:r>
            <w:r>
              <w:rPr>
                <w:rStyle w:val="IndexLink"/>
                <w:rtl w:val="true"/>
              </w:rPr>
              <w:tab/>
            </w:r>
            <w:r>
              <w:rPr>
                <w:rStyle w:val="IndexLink"/>
              </w:rPr>
              <w:t>95</w:t>
            </w:r>
          </w:hyperlink>
        </w:p>
        <w:p>
          <w:pPr>
            <w:pStyle w:val="Contents3"/>
            <w:tabs>
              <w:tab w:val="clear" w:pos="8459"/>
              <w:tab w:val="right" w:pos="9026" w:leader="dot"/>
            </w:tabs>
            <w:rPr/>
          </w:pPr>
          <w:hyperlink w:anchor="__RefHeading___Toc3127364_2870459653">
            <w:r>
              <w:rPr>
                <w:webHidden/>
                <w:rStyle w:val="IndexLink"/>
                <w:rtl w:val="true"/>
              </w:rPr>
              <w:t>الجمع بين الروايات</w:t>
            </w:r>
            <w:r>
              <w:rPr>
                <w:rStyle w:val="IndexLink"/>
                <w:rtl w:val="true"/>
              </w:rPr>
              <w:tab/>
            </w:r>
            <w:r>
              <w:rPr>
                <w:rStyle w:val="IndexLink"/>
              </w:rPr>
              <w:t>96</w:t>
            </w:r>
          </w:hyperlink>
        </w:p>
        <w:p>
          <w:pPr>
            <w:pStyle w:val="Contents4"/>
            <w:tabs>
              <w:tab w:val="clear" w:pos="8176"/>
              <w:tab w:val="right" w:pos="9026" w:leader="dot"/>
            </w:tabs>
            <w:rPr/>
          </w:pPr>
          <w:hyperlink w:anchor="__RefHeading___Toc3127366_2870459653">
            <w:r>
              <w:rPr>
                <w:webHidden/>
                <w:rStyle w:val="IndexLink"/>
                <w:rtl w:val="true"/>
              </w:rPr>
              <w:t>المسلك الأوَّل</w:t>
            </w:r>
            <w:r>
              <w:rPr>
                <w:rStyle w:val="IndexLink"/>
                <w:rtl w:val="true"/>
              </w:rPr>
              <w:tab/>
            </w:r>
            <w:r>
              <w:rPr>
                <w:rStyle w:val="IndexLink"/>
              </w:rPr>
              <w:t>96</w:t>
            </w:r>
          </w:hyperlink>
        </w:p>
        <w:p>
          <w:pPr>
            <w:pStyle w:val="Contents5"/>
            <w:tabs>
              <w:tab w:val="clear" w:pos="7892"/>
              <w:tab w:val="right" w:pos="9026" w:leader="dot"/>
            </w:tabs>
            <w:rPr/>
          </w:pPr>
          <w:hyperlink w:anchor="__RefHeading___Toc3127368_287045965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127370_2870459653">
            <w:r>
              <w:rPr>
                <w:webHidden/>
                <w:rStyle w:val="IndexLink"/>
                <w:rtl w:val="true"/>
              </w:rPr>
              <w:t>الخطوة الأولى</w:t>
            </w:r>
            <w:r>
              <w:rPr>
                <w:rStyle w:val="IndexLink"/>
                <w:rtl w:val="true"/>
              </w:rPr>
              <w:tab/>
            </w:r>
            <w:r>
              <w:rPr>
                <w:rStyle w:val="IndexLink"/>
              </w:rPr>
              <w:t>96</w:t>
            </w:r>
          </w:hyperlink>
        </w:p>
        <w:p>
          <w:pPr>
            <w:pStyle w:val="Contents5"/>
            <w:tabs>
              <w:tab w:val="clear" w:pos="7892"/>
              <w:tab w:val="right" w:pos="9026" w:leader="dot"/>
            </w:tabs>
            <w:rPr/>
          </w:pPr>
          <w:hyperlink w:anchor="__RefHeading___Toc3127372_2870459653">
            <w:r>
              <w:rPr>
                <w:webHidden/>
                <w:rStyle w:val="IndexLink"/>
                <w:rtl w:val="true"/>
              </w:rPr>
              <w:t>الخطوة الأخرى</w:t>
            </w:r>
            <w:r>
              <w:rPr>
                <w:rStyle w:val="IndexLink"/>
                <w:rtl w:val="true"/>
              </w:rPr>
              <w:tab/>
            </w:r>
            <w:r>
              <w:rPr>
                <w:rStyle w:val="IndexLink"/>
              </w:rPr>
              <w:t>97</w:t>
            </w:r>
          </w:hyperlink>
        </w:p>
        <w:p>
          <w:pPr>
            <w:pStyle w:val="Contents4"/>
            <w:tabs>
              <w:tab w:val="clear" w:pos="8176"/>
              <w:tab w:val="right" w:pos="9026" w:leader="dot"/>
            </w:tabs>
            <w:rPr/>
          </w:pPr>
          <w:hyperlink w:anchor="__RefHeading___Toc3127374_2870459653">
            <w:r>
              <w:rPr>
                <w:webHidden/>
                <w:rStyle w:val="IndexLink"/>
                <w:rtl w:val="true"/>
              </w:rPr>
              <w:t>المسلك الآخر</w:t>
            </w:r>
            <w:r>
              <w:rPr>
                <w:rStyle w:val="IndexLink"/>
                <w:rtl w:val="true"/>
              </w:rPr>
              <w:tab/>
            </w:r>
            <w:r>
              <w:rPr>
                <w:rStyle w:val="IndexLink"/>
              </w:rPr>
              <w:t>98</w:t>
            </w:r>
          </w:hyperlink>
        </w:p>
        <w:p>
          <w:pPr>
            <w:pStyle w:val="Contents3"/>
            <w:tabs>
              <w:tab w:val="clear" w:pos="8459"/>
              <w:tab w:val="right" w:pos="9026" w:leader="dot"/>
            </w:tabs>
            <w:rPr/>
          </w:pPr>
          <w:hyperlink w:anchor="__RefHeading___Toc3127376_2870459653">
            <w:r>
              <w:rPr>
                <w:webHidden/>
                <w:rStyle w:val="IndexLink"/>
                <w:rtl w:val="true"/>
              </w:rPr>
              <w:t>نتيجة الجمع بين الروايات</w:t>
            </w:r>
            <w:r>
              <w:rPr>
                <w:rStyle w:val="IndexLink"/>
                <w:rtl w:val="true"/>
              </w:rPr>
              <w:tab/>
            </w:r>
            <w:r>
              <w:rPr>
                <w:rStyle w:val="IndexLink"/>
              </w:rPr>
              <w:t>103</w:t>
            </w:r>
          </w:hyperlink>
        </w:p>
        <w:p>
          <w:pPr>
            <w:pStyle w:val="Contents3"/>
            <w:tabs>
              <w:tab w:val="clear" w:pos="8459"/>
              <w:tab w:val="right" w:pos="9026" w:leader="dot"/>
            </w:tabs>
            <w:rPr/>
          </w:pPr>
          <w:hyperlink w:anchor="__RefHeading___Toc3127378_2870459653">
            <w:r>
              <w:rPr>
                <w:webHidden/>
                <w:rStyle w:val="IndexLink"/>
                <w:rtl w:val="true"/>
              </w:rPr>
              <w:t>تأثير العلم بالحكم</w:t>
            </w:r>
            <w:r>
              <w:rPr>
                <w:rStyle w:val="IndexLink"/>
                <w:rtl w:val="true"/>
              </w:rPr>
              <w:tab/>
            </w:r>
            <w:r>
              <w:rPr>
                <w:rStyle w:val="IndexLink"/>
              </w:rPr>
              <w:t>106</w:t>
            </w:r>
          </w:hyperlink>
        </w:p>
        <w:p>
          <w:pPr>
            <w:pStyle w:val="Contents3"/>
            <w:tabs>
              <w:tab w:val="clear" w:pos="8459"/>
              <w:tab w:val="right" w:pos="9026" w:leader="dot"/>
            </w:tabs>
            <w:rPr/>
          </w:pPr>
          <w:hyperlink w:anchor="__RefHeading___Toc3127380_2870459653">
            <w:r>
              <w:rPr>
                <w:webHidden/>
                <w:rStyle w:val="IndexLink"/>
                <w:rtl w:val="true"/>
              </w:rPr>
              <w:t>لا تفصيل بين أقسام الجهل</w:t>
            </w:r>
            <w:r>
              <w:rPr>
                <w:rStyle w:val="IndexLink"/>
                <w:rtl w:val="true"/>
              </w:rPr>
              <w:tab/>
            </w:r>
            <w:r>
              <w:rPr>
                <w:rStyle w:val="IndexLink"/>
              </w:rPr>
              <w:t>113</w:t>
            </w:r>
          </w:hyperlink>
        </w:p>
        <w:p>
          <w:pPr>
            <w:pStyle w:val="Contents3"/>
            <w:tabs>
              <w:tab w:val="clear" w:pos="8459"/>
              <w:tab w:val="right" w:pos="9026" w:leader="dot"/>
            </w:tabs>
            <w:rPr/>
          </w:pPr>
          <w:hyperlink w:anchor="__RefHeading___Toc3127382_2870459653">
            <w:r>
              <w:rPr>
                <w:webHidden/>
                <w:rStyle w:val="IndexLink"/>
                <w:rtl w:val="true"/>
              </w:rPr>
              <w:t>مفاتيح القول بالحلّيّة في الصورة الثالثة</w:t>
            </w:r>
            <w:r>
              <w:rPr>
                <w:rStyle w:val="IndexLink"/>
                <w:rtl w:val="true"/>
              </w:rPr>
              <w:tab/>
            </w:r>
            <w:r>
              <w:rPr>
                <w:rStyle w:val="IndexLink"/>
              </w:rPr>
              <w:t>114</w:t>
            </w:r>
          </w:hyperlink>
        </w:p>
        <w:p>
          <w:pPr>
            <w:pStyle w:val="Contents3"/>
            <w:tabs>
              <w:tab w:val="clear" w:pos="8459"/>
              <w:tab w:val="right" w:pos="9026" w:leader="dot"/>
            </w:tabs>
            <w:rPr/>
          </w:pPr>
          <w:hyperlink w:anchor="__RefHeading___Toc3127384_2870459653">
            <w:r>
              <w:rPr>
                <w:webHidden/>
                <w:rStyle w:val="IndexLink"/>
                <w:rtl w:val="true"/>
              </w:rPr>
              <w:t>الخاتمة</w:t>
            </w:r>
            <w:r>
              <w:rPr>
                <w:rStyle w:val="IndexLink"/>
                <w:rtl w:val="true"/>
              </w:rPr>
              <w:t xml:space="preserve">: </w:t>
            </w:r>
            <w:r>
              <w:rPr>
                <w:rStyle w:val="IndexLink"/>
                <w:rtl w:val="true"/>
              </w:rPr>
              <w:t>فيها حصيلة النتائج وبعض التعميم</w:t>
            </w:r>
            <w:r>
              <w:rPr>
                <w:rStyle w:val="IndexLink"/>
                <w:rtl w:val="true"/>
              </w:rPr>
              <w:tab/>
            </w:r>
            <w:r>
              <w:rPr>
                <w:rStyle w:val="IndexLink"/>
              </w:rPr>
              <w:t>115</w:t>
            </w:r>
          </w:hyperlink>
        </w:p>
        <w:p>
          <w:pPr>
            <w:pStyle w:val="Contents3"/>
            <w:tabs>
              <w:tab w:val="clear" w:pos="8459"/>
              <w:tab w:val="right" w:pos="9026" w:leader="dot"/>
            </w:tabs>
            <w:rPr/>
          </w:pPr>
          <w:hyperlink w:anchor="__RefHeading___Toc3127386_2870459653">
            <w:r>
              <w:rPr>
                <w:webHidden/>
                <w:rStyle w:val="IndexLink"/>
                <w:rtl w:val="true"/>
              </w:rPr>
              <w:t>مصادر البحث</w:t>
            </w:r>
            <w:r>
              <w:rPr>
                <w:rStyle w:val="IndexLink"/>
                <w:rtl w:val="true"/>
              </w:rPr>
              <w:tab/>
            </w:r>
            <w:r>
              <w:rPr>
                <w:rStyle w:val="IndexLink"/>
              </w:rPr>
              <w:t>118</w:t>
            </w:r>
          </w:hyperlink>
        </w:p>
        <w:p>
          <w:pPr>
            <w:pStyle w:val="Contents2"/>
            <w:tabs>
              <w:tab w:val="clear" w:pos="8743"/>
              <w:tab w:val="right" w:pos="9026" w:leader="dot"/>
            </w:tabs>
            <w:rPr/>
          </w:pPr>
          <w:hyperlink w:anchor="__RefHeading___Toc3127388_2870459653">
            <w:r>
              <w:rPr>
                <w:webHidden/>
                <w:rStyle w:val="IndexLink"/>
                <w:rtl w:val="true"/>
              </w:rPr>
              <w:t xml:space="preserve">نَظَريَّةُ الحُكُومَة </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نجم الترابي </w:t>
            </w:r>
            <w:r>
              <w:rPr>
                <w:rStyle w:val="IndexLink"/>
                <w:rtl w:val="true"/>
              </w:rPr>
              <w:t>(</w:t>
            </w:r>
            <w:r>
              <w:rPr>
                <w:rStyle w:val="IndexLink"/>
                <w:rtl w:val="true"/>
              </w:rPr>
              <w:t>دام عزه</w:t>
            </w:r>
            <w:r>
              <w:rPr>
                <w:rStyle w:val="IndexLink"/>
                <w:rtl w:val="true"/>
              </w:rPr>
              <w:t>)</w:t>
              <w:tab/>
            </w:r>
            <w:r>
              <w:rPr>
                <w:rStyle w:val="IndexLink"/>
              </w:rPr>
              <w:t>133</w:t>
            </w:r>
          </w:hyperlink>
        </w:p>
        <w:p>
          <w:pPr>
            <w:pStyle w:val="Contents3"/>
            <w:tabs>
              <w:tab w:val="clear" w:pos="8459"/>
              <w:tab w:val="right" w:pos="9026" w:leader="dot"/>
            </w:tabs>
            <w:rPr/>
          </w:pPr>
          <w:hyperlink w:anchor="__RefHeading___Toc3127390_2870459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3127392_2870459653">
            <w:r>
              <w:rPr>
                <w:webHidden/>
                <w:rStyle w:val="IndexLink"/>
                <w:rtl w:val="true"/>
              </w:rPr>
              <w:t>تمهيد</w:t>
            </w:r>
            <w:r>
              <w:rPr>
                <w:rStyle w:val="IndexLink"/>
                <w:rtl w:val="true"/>
              </w:rPr>
              <w:tab/>
            </w:r>
            <w:r>
              <w:rPr>
                <w:rStyle w:val="IndexLink"/>
              </w:rPr>
              <w:t>135</w:t>
            </w:r>
          </w:hyperlink>
        </w:p>
        <w:p>
          <w:pPr>
            <w:pStyle w:val="Contents3"/>
            <w:tabs>
              <w:tab w:val="clear" w:pos="8459"/>
              <w:tab w:val="right" w:pos="9026" w:leader="dot"/>
            </w:tabs>
            <w:rPr/>
          </w:pPr>
          <w:hyperlink w:anchor="__RefHeading___Toc3127394_2870459653">
            <w:r>
              <w:rPr>
                <w:webHidden/>
                <w:rStyle w:val="IndexLink"/>
                <w:rtl w:val="true"/>
              </w:rPr>
              <w:t>الفصل الأوّل</w:t>
            </w:r>
            <w:r>
              <w:rPr>
                <w:rStyle w:val="IndexLink"/>
                <w:rtl w:val="true"/>
              </w:rPr>
              <w:t xml:space="preserve">: </w:t>
            </w:r>
            <w:r>
              <w:rPr>
                <w:rStyle w:val="IndexLink"/>
                <w:rtl w:val="true"/>
              </w:rPr>
              <w:t>في ضابط الحكومة</w:t>
            </w:r>
            <w:r>
              <w:rPr>
                <w:rStyle w:val="IndexLink"/>
                <w:rtl w:val="true"/>
              </w:rPr>
              <w:tab/>
            </w:r>
            <w:r>
              <w:rPr>
                <w:rStyle w:val="IndexLink"/>
              </w:rPr>
              <w:t>138</w:t>
            </w:r>
          </w:hyperlink>
        </w:p>
        <w:p>
          <w:pPr>
            <w:pStyle w:val="Contents4"/>
            <w:tabs>
              <w:tab w:val="clear" w:pos="8176"/>
              <w:tab w:val="right" w:pos="9026" w:leader="dot"/>
            </w:tabs>
            <w:rPr/>
          </w:pPr>
          <w:hyperlink w:anchor="__RefHeading___Toc3127396_2870459653">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3127398_2870459653">
            <w:r>
              <w:rPr>
                <w:webHidden/>
                <w:rStyle w:val="IndexLink"/>
                <w:rtl w:val="true"/>
              </w:rPr>
              <w:t>الكلمة الأولى</w:t>
            </w:r>
            <w:r>
              <w:rPr>
                <w:rStyle w:val="IndexLink"/>
                <w:rtl w:val="true"/>
              </w:rPr>
              <w:tab/>
            </w:r>
            <w:r>
              <w:rPr>
                <w:rStyle w:val="IndexLink"/>
              </w:rPr>
              <w:t>139</w:t>
            </w:r>
          </w:hyperlink>
        </w:p>
        <w:p>
          <w:pPr>
            <w:pStyle w:val="Contents5"/>
            <w:tabs>
              <w:tab w:val="clear" w:pos="7892"/>
              <w:tab w:val="right" w:pos="9026" w:leader="dot"/>
            </w:tabs>
            <w:rPr/>
          </w:pPr>
          <w:hyperlink w:anchor="__RefHeading___Toc3127400_2870459653">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127402_2870459653">
            <w:r>
              <w:rPr>
                <w:webHidden/>
                <w:rStyle w:val="IndexLink"/>
                <w:rtl w:val="true"/>
              </w:rPr>
              <w:t>الاحتمال الأول</w:t>
            </w:r>
            <w:r>
              <w:rPr>
                <w:rStyle w:val="IndexLink"/>
                <w:rtl w:val="true"/>
              </w:rPr>
              <w:tab/>
            </w:r>
            <w:r>
              <w:rPr>
                <w:rStyle w:val="IndexLink"/>
              </w:rPr>
              <w:t>139</w:t>
            </w:r>
          </w:hyperlink>
        </w:p>
        <w:p>
          <w:pPr>
            <w:pStyle w:val="Contents5"/>
            <w:tabs>
              <w:tab w:val="clear" w:pos="7892"/>
              <w:tab w:val="right" w:pos="9026" w:leader="dot"/>
            </w:tabs>
            <w:rPr/>
          </w:pPr>
          <w:hyperlink w:anchor="__RefHeading___Toc3127404_2870459653">
            <w:r>
              <w:rPr>
                <w:webHidden/>
                <w:rStyle w:val="IndexLink"/>
                <w:rtl w:val="true"/>
              </w:rPr>
              <w:t>الاحتمال الآخر</w:t>
            </w:r>
            <w:r>
              <w:rPr>
                <w:rStyle w:val="IndexLink"/>
                <w:rtl w:val="true"/>
              </w:rPr>
              <w:tab/>
            </w:r>
            <w:r>
              <w:rPr>
                <w:rStyle w:val="IndexLink"/>
              </w:rPr>
              <w:t>140</w:t>
            </w:r>
          </w:hyperlink>
        </w:p>
        <w:p>
          <w:pPr>
            <w:pStyle w:val="Contents4"/>
            <w:tabs>
              <w:tab w:val="clear" w:pos="8176"/>
              <w:tab w:val="right" w:pos="9026" w:leader="dot"/>
            </w:tabs>
            <w:rPr/>
          </w:pPr>
          <w:hyperlink w:anchor="__RefHeading___Toc3127406_2870459653">
            <w:r>
              <w:rPr>
                <w:webHidden/>
                <w:rStyle w:val="IndexLink"/>
                <w:rtl w:val="true"/>
              </w:rPr>
              <w:t>الكلمة الثانية</w:t>
            </w:r>
            <w:r>
              <w:rPr>
                <w:rStyle w:val="IndexLink"/>
                <w:rtl w:val="true"/>
              </w:rPr>
              <w:tab/>
            </w:r>
            <w:r>
              <w:rPr>
                <w:rStyle w:val="IndexLink"/>
              </w:rPr>
              <w:t>144</w:t>
            </w:r>
          </w:hyperlink>
        </w:p>
        <w:p>
          <w:pPr>
            <w:pStyle w:val="Contents5"/>
            <w:tabs>
              <w:tab w:val="clear" w:pos="7892"/>
              <w:tab w:val="right" w:pos="9026" w:leader="dot"/>
            </w:tabs>
            <w:rPr/>
          </w:pPr>
          <w:hyperlink w:anchor="__RefHeading___Toc3127408_2870459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127410_2870459653">
            <w:r>
              <w:rPr>
                <w:webHidden/>
                <w:rStyle w:val="IndexLink"/>
                <w:rtl w:val="true"/>
              </w:rPr>
              <w:t>الأمر الأوّل</w:t>
            </w:r>
            <w:r>
              <w:rPr>
                <w:rStyle w:val="IndexLink"/>
                <w:rtl w:val="true"/>
              </w:rPr>
              <w:tab/>
            </w:r>
            <w:r>
              <w:rPr>
                <w:rStyle w:val="IndexLink"/>
              </w:rPr>
              <w:t>146</w:t>
            </w:r>
          </w:hyperlink>
        </w:p>
        <w:p>
          <w:pPr>
            <w:pStyle w:val="Contents5"/>
            <w:tabs>
              <w:tab w:val="clear" w:pos="7892"/>
              <w:tab w:val="right" w:pos="9026" w:leader="dot"/>
            </w:tabs>
            <w:rPr/>
          </w:pPr>
          <w:hyperlink w:anchor="__RefHeading___Toc3127412_2870459653">
            <w:r>
              <w:rPr>
                <w:webHidden/>
                <w:rStyle w:val="IndexLink"/>
                <w:rtl w:val="true"/>
              </w:rPr>
              <w:t>الأمر الآخر</w:t>
            </w:r>
            <w:r>
              <w:rPr>
                <w:rStyle w:val="IndexLink"/>
                <w:rtl w:val="true"/>
              </w:rPr>
              <w:tab/>
            </w:r>
            <w:r>
              <w:rPr>
                <w:rStyle w:val="IndexLink"/>
              </w:rPr>
              <w:t>147</w:t>
            </w:r>
          </w:hyperlink>
        </w:p>
        <w:p>
          <w:pPr>
            <w:pStyle w:val="Contents3"/>
            <w:tabs>
              <w:tab w:val="clear" w:pos="8459"/>
              <w:tab w:val="right" w:pos="9026" w:leader="dot"/>
            </w:tabs>
            <w:rPr/>
          </w:pPr>
          <w:hyperlink w:anchor="__RefHeading___Toc3127414_2870459653">
            <w:r>
              <w:rPr>
                <w:webHidden/>
                <w:rStyle w:val="IndexLink"/>
                <w:rtl w:val="true"/>
              </w:rPr>
              <w:t>الفصل الثاني</w:t>
            </w:r>
            <w:r>
              <w:rPr>
                <w:rStyle w:val="IndexLink"/>
                <w:rtl w:val="true"/>
              </w:rPr>
              <w:t xml:space="preserve">: </w:t>
            </w:r>
            <w:r>
              <w:rPr>
                <w:rStyle w:val="IndexLink"/>
                <w:rtl w:val="true"/>
              </w:rPr>
              <w:t>في النظر الذي هو ميزان القرينيّة في الحكومة ومُهمّ شؤونه</w:t>
            </w:r>
            <w:r>
              <w:rPr>
                <w:rStyle w:val="IndexLink"/>
                <w:rtl w:val="true"/>
              </w:rPr>
              <w:tab/>
            </w:r>
            <w:r>
              <w:rPr>
                <w:rStyle w:val="IndexLink"/>
              </w:rPr>
              <w:t>152</w:t>
            </w:r>
          </w:hyperlink>
        </w:p>
        <w:p>
          <w:pPr>
            <w:pStyle w:val="Contents4"/>
            <w:tabs>
              <w:tab w:val="clear" w:pos="8176"/>
              <w:tab w:val="right" w:pos="9026" w:leader="dot"/>
            </w:tabs>
            <w:rPr/>
          </w:pPr>
          <w:hyperlink w:anchor="__RefHeading___Toc3127416_2870459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3127418_2870459653">
            <w:r>
              <w:rPr>
                <w:webHidden/>
                <w:rStyle w:val="IndexLink"/>
                <w:rtl w:val="true"/>
              </w:rPr>
              <w:t>الجهة الأولى</w:t>
            </w:r>
            <w:r>
              <w:rPr>
                <w:rStyle w:val="IndexLink"/>
                <w:rtl w:val="true"/>
              </w:rPr>
              <w:t xml:space="preserve">: </w:t>
            </w:r>
            <w:r>
              <w:rPr>
                <w:rStyle w:val="IndexLink"/>
                <w:rtl w:val="true"/>
              </w:rPr>
              <w:t>المقصود من النظر</w:t>
            </w:r>
            <w:r>
              <w:rPr>
                <w:rStyle w:val="IndexLink"/>
                <w:rtl w:val="true"/>
              </w:rPr>
              <w:tab/>
            </w:r>
            <w:r>
              <w:rPr>
                <w:rStyle w:val="IndexLink"/>
              </w:rPr>
              <w:t>152</w:t>
            </w:r>
          </w:hyperlink>
        </w:p>
        <w:p>
          <w:pPr>
            <w:pStyle w:val="Contents5"/>
            <w:tabs>
              <w:tab w:val="clear" w:pos="7892"/>
              <w:tab w:val="right" w:pos="9026" w:leader="dot"/>
            </w:tabs>
            <w:rPr/>
          </w:pPr>
          <w:hyperlink w:anchor="__RefHeading___Toc3127420_287045965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3127422_2870459653">
            <w:r>
              <w:rPr>
                <w:webHidden/>
                <w:rStyle w:val="IndexLink"/>
                <w:rtl w:val="true"/>
              </w:rPr>
              <w:t>المورد الأوّل</w:t>
            </w:r>
            <w:r>
              <w:rPr>
                <w:rStyle w:val="IndexLink"/>
                <w:rtl w:val="true"/>
              </w:rPr>
              <w:tab/>
            </w:r>
            <w:r>
              <w:rPr>
                <w:rStyle w:val="IndexLink"/>
              </w:rPr>
              <w:t>152</w:t>
            </w:r>
          </w:hyperlink>
        </w:p>
        <w:p>
          <w:pPr>
            <w:pStyle w:val="Contents5"/>
            <w:tabs>
              <w:tab w:val="clear" w:pos="7892"/>
              <w:tab w:val="right" w:pos="9026" w:leader="dot"/>
            </w:tabs>
            <w:rPr/>
          </w:pPr>
          <w:hyperlink w:anchor="__RefHeading___Toc3127424_2870459653">
            <w:r>
              <w:rPr>
                <w:webHidden/>
                <w:rStyle w:val="IndexLink"/>
                <w:rtl w:val="true"/>
              </w:rPr>
              <w:t>المورد الثاني</w:t>
            </w:r>
            <w:r>
              <w:rPr>
                <w:rStyle w:val="IndexLink"/>
                <w:rtl w:val="true"/>
              </w:rPr>
              <w:tab/>
            </w:r>
            <w:r>
              <w:rPr>
                <w:rStyle w:val="IndexLink"/>
              </w:rPr>
              <w:t>153</w:t>
            </w:r>
          </w:hyperlink>
        </w:p>
        <w:p>
          <w:pPr>
            <w:pStyle w:val="Contents5"/>
            <w:tabs>
              <w:tab w:val="clear" w:pos="7892"/>
              <w:tab w:val="right" w:pos="9026" w:leader="dot"/>
            </w:tabs>
            <w:rPr/>
          </w:pPr>
          <w:hyperlink w:anchor="__RefHeading___Toc3127426_2870459653">
            <w:r>
              <w:rPr>
                <w:webHidden/>
                <w:rStyle w:val="IndexLink"/>
                <w:rtl w:val="true"/>
              </w:rPr>
              <w:t>المورد الثالث</w:t>
            </w:r>
            <w:r>
              <w:rPr>
                <w:rStyle w:val="IndexLink"/>
                <w:rtl w:val="true"/>
              </w:rPr>
              <w:tab/>
            </w:r>
            <w:r>
              <w:rPr>
                <w:rStyle w:val="IndexLink"/>
              </w:rPr>
              <w:t>153</w:t>
            </w:r>
          </w:hyperlink>
        </w:p>
        <w:p>
          <w:pPr>
            <w:pStyle w:val="Contents4"/>
            <w:tabs>
              <w:tab w:val="clear" w:pos="8176"/>
              <w:tab w:val="right" w:pos="9026" w:leader="dot"/>
            </w:tabs>
            <w:rPr/>
          </w:pPr>
          <w:hyperlink w:anchor="__RefHeading___Toc3127428_2870459653">
            <w:r>
              <w:rPr>
                <w:webHidden/>
                <w:rStyle w:val="IndexLink"/>
                <w:rtl w:val="true"/>
              </w:rPr>
              <w:t>الجهة الثانية</w:t>
            </w:r>
            <w:r>
              <w:rPr>
                <w:rStyle w:val="IndexLink"/>
                <w:rtl w:val="true"/>
              </w:rPr>
              <w:t xml:space="preserve">: </w:t>
            </w:r>
            <w:r>
              <w:rPr>
                <w:rStyle w:val="IndexLink"/>
                <w:rtl w:val="true"/>
              </w:rPr>
              <w:t>في الدوالّ على النظر</w:t>
            </w:r>
            <w:r>
              <w:rPr>
                <w:rStyle w:val="IndexLink"/>
                <w:rtl w:val="true"/>
              </w:rPr>
              <w:tab/>
            </w:r>
            <w:r>
              <w:rPr>
                <w:rStyle w:val="IndexLink"/>
              </w:rPr>
              <w:t>153</w:t>
            </w:r>
          </w:hyperlink>
        </w:p>
        <w:p>
          <w:pPr>
            <w:pStyle w:val="Contents4"/>
            <w:tabs>
              <w:tab w:val="clear" w:pos="8176"/>
              <w:tab w:val="right" w:pos="9026" w:leader="dot"/>
            </w:tabs>
            <w:rPr/>
          </w:pPr>
          <w:hyperlink w:anchor="__RefHeading___Toc3127430_2870459653">
            <w:r>
              <w:rPr>
                <w:webHidden/>
                <w:rStyle w:val="IndexLink"/>
                <w:rtl w:val="true"/>
              </w:rPr>
              <w:t>الجهة الثالثة</w:t>
            </w:r>
            <w:r>
              <w:rPr>
                <w:rStyle w:val="IndexLink"/>
                <w:rtl w:val="true"/>
              </w:rPr>
              <w:t xml:space="preserve">: </w:t>
            </w:r>
            <w:r>
              <w:rPr>
                <w:rStyle w:val="IndexLink"/>
                <w:rtl w:val="true"/>
              </w:rPr>
              <w:t>علائم النظر</w:t>
            </w:r>
            <w:r>
              <w:rPr>
                <w:rStyle w:val="IndexLink"/>
                <w:rtl w:val="true"/>
              </w:rPr>
              <w:tab/>
            </w:r>
            <w:r>
              <w:rPr>
                <w:rStyle w:val="IndexLink"/>
              </w:rPr>
              <w:t>158</w:t>
            </w:r>
          </w:hyperlink>
        </w:p>
        <w:p>
          <w:pPr>
            <w:pStyle w:val="Contents5"/>
            <w:tabs>
              <w:tab w:val="clear" w:pos="7892"/>
              <w:tab w:val="right" w:pos="9026" w:leader="dot"/>
            </w:tabs>
            <w:rPr/>
          </w:pPr>
          <w:hyperlink w:anchor="__RefHeading___Toc3127432_2870459653">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127434_2870459653">
            <w:r>
              <w:rPr>
                <w:webHidden/>
                <w:rStyle w:val="IndexLink"/>
                <w:rtl w:val="true"/>
              </w:rPr>
              <w:t>العلامة الأُولى</w:t>
            </w:r>
            <w:r>
              <w:rPr>
                <w:rStyle w:val="IndexLink"/>
                <w:rtl w:val="true"/>
              </w:rPr>
              <w:t xml:space="preserve">: </w:t>
            </w:r>
            <w:r>
              <w:rPr>
                <w:rStyle w:val="IndexLink"/>
                <w:rtl w:val="true"/>
              </w:rPr>
              <w:t>التفرُّع الثبوتي أو الإثباتي</w:t>
            </w:r>
            <w:r>
              <w:rPr>
                <w:rStyle w:val="IndexLink"/>
                <w:rtl w:val="true"/>
              </w:rPr>
              <w:tab/>
            </w:r>
            <w:r>
              <w:rPr>
                <w:rStyle w:val="IndexLink"/>
              </w:rPr>
              <w:t>159</w:t>
            </w:r>
          </w:hyperlink>
        </w:p>
        <w:p>
          <w:pPr>
            <w:pStyle w:val="Contents6"/>
            <w:tabs>
              <w:tab w:val="clear" w:pos="7609"/>
              <w:tab w:val="right" w:pos="9026" w:leader="dot"/>
            </w:tabs>
            <w:rPr/>
          </w:pPr>
          <w:hyperlink w:anchor="__RefHeading___Toc3127436_2870459653">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3127438_2870459653">
            <w:r>
              <w:rPr>
                <w:webHidden/>
                <w:rStyle w:val="IndexLink"/>
                <w:rtl w:val="true"/>
              </w:rPr>
              <w:t>التفرّع الثبوتي</w:t>
            </w:r>
            <w:r>
              <w:rPr>
                <w:rStyle w:val="IndexLink"/>
                <w:rtl w:val="true"/>
              </w:rPr>
              <w:tab/>
            </w:r>
            <w:r>
              <w:rPr>
                <w:rStyle w:val="IndexLink"/>
              </w:rPr>
              <w:t>161</w:t>
            </w:r>
          </w:hyperlink>
        </w:p>
        <w:p>
          <w:pPr>
            <w:pStyle w:val="Contents6"/>
            <w:tabs>
              <w:tab w:val="clear" w:pos="7609"/>
              <w:tab w:val="right" w:pos="9026" w:leader="dot"/>
            </w:tabs>
            <w:rPr/>
          </w:pPr>
          <w:hyperlink w:anchor="__RefHeading___Toc3127440_2870459653">
            <w:r>
              <w:rPr>
                <w:webHidden/>
                <w:rStyle w:val="IndexLink"/>
                <w:rtl w:val="true"/>
              </w:rPr>
              <w:t>التفرُّع الإثباتيّ</w:t>
            </w:r>
            <w:r>
              <w:rPr>
                <w:rStyle w:val="IndexLink"/>
                <w:rtl w:val="true"/>
              </w:rPr>
              <w:tab/>
            </w:r>
            <w:r>
              <w:rPr>
                <w:rStyle w:val="IndexLink"/>
              </w:rPr>
              <w:t>162</w:t>
            </w:r>
          </w:hyperlink>
        </w:p>
        <w:p>
          <w:pPr>
            <w:pStyle w:val="Contents5"/>
            <w:tabs>
              <w:tab w:val="clear" w:pos="7892"/>
              <w:tab w:val="right" w:pos="9026" w:leader="dot"/>
            </w:tabs>
            <w:rPr/>
          </w:pPr>
          <w:hyperlink w:anchor="__RefHeading___Toc3127442_2870459653">
            <w:r>
              <w:rPr>
                <w:webHidden/>
                <w:rStyle w:val="IndexLink"/>
                <w:rtl w:val="true"/>
              </w:rPr>
              <w:t>العلامة الثانية</w:t>
            </w:r>
            <w:r>
              <w:rPr>
                <w:rStyle w:val="IndexLink"/>
                <w:rtl w:val="true"/>
              </w:rPr>
              <w:t xml:space="preserve">: </w:t>
            </w:r>
            <w:r>
              <w:rPr>
                <w:rStyle w:val="IndexLink"/>
                <w:rtl w:val="true"/>
              </w:rPr>
              <w:t>انحصار الغرض بالتفسير</w:t>
            </w:r>
            <w:r>
              <w:rPr>
                <w:rStyle w:val="IndexLink"/>
                <w:rtl w:val="true"/>
              </w:rPr>
              <w:tab/>
            </w:r>
            <w:r>
              <w:rPr>
                <w:rStyle w:val="IndexLink"/>
              </w:rPr>
              <w:t>163</w:t>
            </w:r>
          </w:hyperlink>
        </w:p>
        <w:p>
          <w:pPr>
            <w:pStyle w:val="Contents4"/>
            <w:tabs>
              <w:tab w:val="clear" w:pos="8176"/>
              <w:tab w:val="right" w:pos="9026" w:leader="dot"/>
            </w:tabs>
            <w:rPr/>
          </w:pPr>
          <w:hyperlink w:anchor="__RefHeading___Toc3127444_2870459653">
            <w:r>
              <w:rPr>
                <w:webHidden/>
                <w:rStyle w:val="IndexLink"/>
                <w:rtl w:val="true"/>
              </w:rPr>
              <w:t>الجهه الرابعة</w:t>
            </w:r>
            <w:r>
              <w:rPr>
                <w:rStyle w:val="IndexLink"/>
                <w:rtl w:val="true"/>
              </w:rPr>
              <w:t xml:space="preserve">: </w:t>
            </w:r>
            <w:r>
              <w:rPr>
                <w:rStyle w:val="IndexLink"/>
                <w:rtl w:val="true"/>
              </w:rPr>
              <w:t>حدود النظر</w:t>
            </w:r>
            <w:r>
              <w:rPr>
                <w:rStyle w:val="IndexLink"/>
                <w:rtl w:val="true"/>
              </w:rPr>
              <w:tab/>
            </w:r>
            <w:r>
              <w:rPr>
                <w:rStyle w:val="IndexLink"/>
              </w:rPr>
              <w:t>164</w:t>
            </w:r>
          </w:hyperlink>
        </w:p>
        <w:p>
          <w:pPr>
            <w:pStyle w:val="Contents4"/>
            <w:tabs>
              <w:tab w:val="clear" w:pos="8176"/>
              <w:tab w:val="right" w:pos="9026" w:leader="dot"/>
            </w:tabs>
            <w:rPr/>
          </w:pPr>
          <w:hyperlink w:anchor="__RefHeading___Toc3127446_2870459653">
            <w:r>
              <w:rPr>
                <w:webHidden/>
                <w:rStyle w:val="IndexLink"/>
                <w:rtl w:val="true"/>
              </w:rPr>
              <w:t>الجهة الخامسة</w:t>
            </w:r>
            <w:r>
              <w:rPr>
                <w:rStyle w:val="IndexLink"/>
                <w:rtl w:val="true"/>
              </w:rPr>
              <w:tab/>
            </w:r>
            <w:r>
              <w:rPr>
                <w:rStyle w:val="IndexLink"/>
              </w:rPr>
              <w:t>167</w:t>
            </w:r>
          </w:hyperlink>
        </w:p>
        <w:p>
          <w:pPr>
            <w:pStyle w:val="Contents5"/>
            <w:tabs>
              <w:tab w:val="clear" w:pos="7892"/>
              <w:tab w:val="right" w:pos="9026" w:leader="dot"/>
            </w:tabs>
            <w:rPr/>
          </w:pPr>
          <w:hyperlink w:anchor="__RefHeading___Toc3127448_2870459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127450_2870459653">
            <w:r>
              <w:rPr>
                <w:webHidden/>
                <w:rStyle w:val="IndexLink"/>
                <w:rtl w:val="true"/>
              </w:rPr>
              <w:t>القول الأول</w:t>
            </w:r>
            <w:r>
              <w:rPr>
                <w:rStyle w:val="IndexLink"/>
                <w:rtl w:val="true"/>
              </w:rPr>
              <w:tab/>
            </w:r>
            <w:r>
              <w:rPr>
                <w:rStyle w:val="IndexLink"/>
              </w:rPr>
              <w:t>168</w:t>
            </w:r>
          </w:hyperlink>
        </w:p>
        <w:p>
          <w:pPr>
            <w:pStyle w:val="Contents5"/>
            <w:tabs>
              <w:tab w:val="clear" w:pos="7892"/>
              <w:tab w:val="right" w:pos="9026" w:leader="dot"/>
            </w:tabs>
            <w:rPr/>
          </w:pPr>
          <w:hyperlink w:anchor="__RefHeading___Toc3127452_2870459653">
            <w:r>
              <w:rPr>
                <w:webHidden/>
                <w:rStyle w:val="IndexLink"/>
                <w:rtl w:val="true"/>
              </w:rPr>
              <w:t>القول الآخر</w:t>
            </w:r>
            <w:r>
              <w:rPr>
                <w:rStyle w:val="IndexLink"/>
                <w:rtl w:val="true"/>
              </w:rPr>
              <w:tab/>
            </w:r>
            <w:r>
              <w:rPr>
                <w:rStyle w:val="IndexLink"/>
              </w:rPr>
              <w:t>168</w:t>
            </w:r>
          </w:hyperlink>
        </w:p>
        <w:p>
          <w:pPr>
            <w:pStyle w:val="Contents3"/>
            <w:tabs>
              <w:tab w:val="clear" w:pos="8459"/>
              <w:tab w:val="right" w:pos="9026" w:leader="dot"/>
            </w:tabs>
            <w:rPr/>
          </w:pPr>
          <w:hyperlink w:anchor="__RefHeading___Toc3127454_2870459653">
            <w:r>
              <w:rPr>
                <w:webHidden/>
                <w:rStyle w:val="IndexLink"/>
                <w:rtl w:val="true"/>
              </w:rPr>
              <w:t>الفصل الثالث</w:t>
            </w:r>
            <w:r>
              <w:rPr>
                <w:rStyle w:val="IndexLink"/>
                <w:rtl w:val="true"/>
              </w:rPr>
              <w:t xml:space="preserve">: </w:t>
            </w:r>
            <w:r>
              <w:rPr>
                <w:rStyle w:val="IndexLink"/>
                <w:rtl w:val="true"/>
              </w:rPr>
              <w:t>في ميزان القرينيّة في الحكومة</w:t>
            </w:r>
            <w:r>
              <w:rPr>
                <w:rStyle w:val="IndexLink"/>
                <w:rtl w:val="true"/>
              </w:rPr>
              <w:tab/>
            </w:r>
            <w:r>
              <w:rPr>
                <w:rStyle w:val="IndexLink"/>
              </w:rPr>
              <w:t>170</w:t>
            </w:r>
          </w:hyperlink>
        </w:p>
        <w:p>
          <w:pPr>
            <w:pStyle w:val="Contents4"/>
            <w:tabs>
              <w:tab w:val="clear" w:pos="8176"/>
              <w:tab w:val="right" w:pos="9026" w:leader="dot"/>
            </w:tabs>
            <w:rPr/>
          </w:pPr>
          <w:hyperlink w:anchor="__RefHeading___Toc3127456_2870459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127458_2870459653">
            <w:r>
              <w:rPr>
                <w:webHidden/>
                <w:rStyle w:val="IndexLink"/>
                <w:rtl w:val="true"/>
              </w:rPr>
              <w:t>الجانب الأوّل</w:t>
            </w:r>
            <w:r>
              <w:rPr>
                <w:rStyle w:val="IndexLink"/>
                <w:rtl w:val="true"/>
              </w:rPr>
              <w:tab/>
            </w:r>
            <w:r>
              <w:rPr>
                <w:rStyle w:val="IndexLink"/>
              </w:rPr>
              <w:t>170</w:t>
            </w:r>
          </w:hyperlink>
        </w:p>
        <w:p>
          <w:pPr>
            <w:pStyle w:val="Contents5"/>
            <w:tabs>
              <w:tab w:val="clear" w:pos="7892"/>
              <w:tab w:val="right" w:pos="9026" w:leader="dot"/>
            </w:tabs>
            <w:rPr/>
          </w:pPr>
          <w:hyperlink w:anchor="__RefHeading___Toc3127460_287045965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127462_2870459653">
            <w:r>
              <w:rPr>
                <w:webHidden/>
                <w:rStyle w:val="IndexLink"/>
                <w:rtl w:val="true"/>
              </w:rPr>
              <w:t>الوجه الأول</w:t>
            </w:r>
            <w:r>
              <w:rPr>
                <w:rStyle w:val="IndexLink"/>
                <w:rtl w:val="true"/>
              </w:rPr>
              <w:tab/>
            </w:r>
            <w:r>
              <w:rPr>
                <w:rStyle w:val="IndexLink"/>
              </w:rPr>
              <w:t>170</w:t>
            </w:r>
          </w:hyperlink>
        </w:p>
        <w:p>
          <w:pPr>
            <w:pStyle w:val="Contents5"/>
            <w:tabs>
              <w:tab w:val="clear" w:pos="7892"/>
              <w:tab w:val="right" w:pos="9026" w:leader="dot"/>
            </w:tabs>
            <w:rPr/>
          </w:pPr>
          <w:hyperlink w:anchor="__RefHeading___Toc3127464_2870459653">
            <w:r>
              <w:rPr>
                <w:webHidden/>
                <w:rStyle w:val="IndexLink"/>
                <w:rtl w:val="true"/>
              </w:rPr>
              <w:t>الوجه الآخر</w:t>
            </w:r>
            <w:r>
              <w:rPr>
                <w:rStyle w:val="IndexLink"/>
                <w:rtl w:val="true"/>
              </w:rPr>
              <w:tab/>
            </w:r>
            <w:r>
              <w:rPr>
                <w:rStyle w:val="IndexLink"/>
              </w:rPr>
              <w:t>171</w:t>
            </w:r>
          </w:hyperlink>
        </w:p>
        <w:p>
          <w:pPr>
            <w:pStyle w:val="Contents4"/>
            <w:tabs>
              <w:tab w:val="clear" w:pos="8176"/>
              <w:tab w:val="right" w:pos="9026" w:leader="dot"/>
            </w:tabs>
            <w:rPr/>
          </w:pPr>
          <w:hyperlink w:anchor="__RefHeading___Toc3127466_2870459653">
            <w:r>
              <w:rPr>
                <w:webHidden/>
                <w:rStyle w:val="IndexLink"/>
                <w:rtl w:val="true"/>
              </w:rPr>
              <w:t>الجانب الثاني</w:t>
            </w:r>
            <w:r>
              <w:rPr>
                <w:rStyle w:val="IndexLink"/>
                <w:rtl w:val="true"/>
              </w:rPr>
              <w:tab/>
            </w:r>
            <w:r>
              <w:rPr>
                <w:rStyle w:val="IndexLink"/>
              </w:rPr>
              <w:t>172</w:t>
            </w:r>
          </w:hyperlink>
        </w:p>
        <w:p>
          <w:pPr>
            <w:pStyle w:val="Contents5"/>
            <w:tabs>
              <w:tab w:val="clear" w:pos="7892"/>
              <w:tab w:val="right" w:pos="9026" w:leader="dot"/>
            </w:tabs>
            <w:rPr/>
          </w:pPr>
          <w:hyperlink w:anchor="__RefHeading___Toc3127468_2870459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3127470_2870459653">
            <w:r>
              <w:rPr>
                <w:webHidden/>
                <w:rStyle w:val="IndexLink"/>
                <w:rtl w:val="true"/>
              </w:rPr>
              <w:t>الاتّجاه الأوّل</w:t>
            </w:r>
            <w:r>
              <w:rPr>
                <w:rStyle w:val="IndexLink"/>
                <w:rtl w:val="true"/>
              </w:rPr>
              <w:tab/>
            </w:r>
            <w:r>
              <w:rPr>
                <w:rStyle w:val="IndexLink"/>
              </w:rPr>
              <w:t>172</w:t>
            </w:r>
          </w:hyperlink>
        </w:p>
        <w:p>
          <w:pPr>
            <w:pStyle w:val="Contents5"/>
            <w:tabs>
              <w:tab w:val="clear" w:pos="7892"/>
              <w:tab w:val="right" w:pos="9026" w:leader="dot"/>
            </w:tabs>
            <w:rPr/>
          </w:pPr>
          <w:hyperlink w:anchor="__RefHeading___Toc3127472_2870459653">
            <w:r>
              <w:rPr>
                <w:webHidden/>
                <w:rStyle w:val="IndexLink"/>
                <w:rtl w:val="true"/>
              </w:rPr>
              <w:t>الاتّجاه الآخر</w:t>
            </w:r>
            <w:r>
              <w:rPr>
                <w:rStyle w:val="IndexLink"/>
                <w:rtl w:val="true"/>
              </w:rPr>
              <w:tab/>
            </w:r>
            <w:r>
              <w:rPr>
                <w:rStyle w:val="IndexLink"/>
              </w:rPr>
              <w:t>174</w:t>
            </w:r>
          </w:hyperlink>
        </w:p>
        <w:p>
          <w:pPr>
            <w:pStyle w:val="Contents2"/>
            <w:tabs>
              <w:tab w:val="clear" w:pos="8743"/>
              <w:tab w:val="right" w:pos="9026" w:leader="dot"/>
            </w:tabs>
            <w:rPr/>
          </w:pPr>
          <w:hyperlink w:anchor="__RefHeading___Toc3127474_2870459653">
            <w:r>
              <w:rPr>
                <w:webHidden/>
                <w:rStyle w:val="IndexLink"/>
                <w:rtl w:val="true"/>
              </w:rPr>
              <w:t xml:space="preserve">قراءة في مبنى الشّيخ النّجاشي </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في التّوثيقات والتّضعيفات </w:t>
            </w:r>
            <w:r>
              <w:rPr>
                <w:rStyle w:val="IndexLink"/>
                <w:rtl w:val="true"/>
              </w:rPr>
              <w:t xml:space="preserve">- </w:t>
            </w:r>
            <w:r>
              <w:rPr>
                <w:rStyle w:val="IndexLink"/>
                <w:rtl w:val="true"/>
              </w:rPr>
              <w:t xml:space="preserve">الشيخ جاسم الفهدي </w:t>
            </w:r>
            <w:r>
              <w:rPr>
                <w:rStyle w:val="IndexLink"/>
                <w:rtl w:val="true"/>
              </w:rPr>
              <w:t>(</w:t>
            </w:r>
            <w:r>
              <w:rPr>
                <w:rStyle w:val="IndexLink"/>
                <w:rtl w:val="true"/>
              </w:rPr>
              <w:t>دام عزه</w:t>
            </w:r>
            <w:r>
              <w:rPr>
                <w:rStyle w:val="IndexLink"/>
                <w:rtl w:val="true"/>
              </w:rPr>
              <w:t>)</w:t>
              <w:tab/>
            </w:r>
            <w:r>
              <w:rPr>
                <w:rStyle w:val="IndexLink"/>
              </w:rPr>
              <w:t>178</w:t>
            </w:r>
          </w:hyperlink>
        </w:p>
        <w:p>
          <w:pPr>
            <w:pStyle w:val="Contents3"/>
            <w:tabs>
              <w:tab w:val="clear" w:pos="8459"/>
              <w:tab w:val="right" w:pos="9026" w:leader="dot"/>
            </w:tabs>
            <w:rPr/>
          </w:pPr>
          <w:hyperlink w:anchor="__RefHeading___Toc3127476_2870459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3127478_2870459653">
            <w:r>
              <w:rPr>
                <w:webHidden/>
                <w:rStyle w:val="IndexLink"/>
                <w:rtl w:val="true"/>
              </w:rPr>
              <w:t>الملاك في توثيقات وتضعيفات النجاشي</w:t>
            </w:r>
            <w:r>
              <w:rPr>
                <w:rStyle w:val="IndexLink"/>
                <w:rtl w:val="true"/>
              </w:rPr>
              <w:tab/>
            </w:r>
            <w:r>
              <w:rPr>
                <w:rStyle w:val="IndexLink"/>
              </w:rPr>
              <w:t>185</w:t>
            </w:r>
          </w:hyperlink>
        </w:p>
        <w:p>
          <w:pPr>
            <w:pStyle w:val="Contents4"/>
            <w:tabs>
              <w:tab w:val="clear" w:pos="8176"/>
              <w:tab w:val="right" w:pos="9026" w:leader="dot"/>
            </w:tabs>
            <w:rPr/>
          </w:pPr>
          <w:hyperlink w:anchor="__RefHeading___Toc3127480_2870459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127482_2870459653">
            <w:r>
              <w:rPr>
                <w:webHidden/>
                <w:rStyle w:val="IndexLink"/>
                <w:rtl w:val="true"/>
              </w:rPr>
              <w:t>القسم الأوّل</w:t>
            </w:r>
            <w:r>
              <w:rPr>
                <w:rStyle w:val="IndexLink"/>
                <w:rtl w:val="true"/>
              </w:rPr>
              <w:tab/>
            </w:r>
            <w:r>
              <w:rPr>
                <w:rStyle w:val="IndexLink"/>
              </w:rPr>
              <w:t>185</w:t>
            </w:r>
          </w:hyperlink>
        </w:p>
        <w:p>
          <w:pPr>
            <w:pStyle w:val="Contents4"/>
            <w:tabs>
              <w:tab w:val="clear" w:pos="8176"/>
              <w:tab w:val="right" w:pos="9026" w:leader="dot"/>
            </w:tabs>
            <w:rPr/>
          </w:pPr>
          <w:hyperlink w:anchor="__RefHeading___Toc3127484_2870459653">
            <w:r>
              <w:rPr>
                <w:webHidden/>
                <w:rStyle w:val="IndexLink"/>
                <w:rtl w:val="true"/>
              </w:rPr>
              <w:t>القسم الثاني</w:t>
            </w:r>
            <w:r>
              <w:rPr>
                <w:rStyle w:val="IndexLink"/>
                <w:rtl w:val="true"/>
              </w:rPr>
              <w:tab/>
            </w:r>
            <w:r>
              <w:rPr>
                <w:rStyle w:val="IndexLink"/>
              </w:rPr>
              <w:t>186</w:t>
            </w:r>
          </w:hyperlink>
        </w:p>
        <w:p>
          <w:pPr>
            <w:pStyle w:val="Contents4"/>
            <w:tabs>
              <w:tab w:val="clear" w:pos="8176"/>
              <w:tab w:val="right" w:pos="9026" w:leader="dot"/>
            </w:tabs>
            <w:rPr/>
          </w:pPr>
          <w:hyperlink w:anchor="__RefHeading___Toc3127486_2870459653">
            <w:r>
              <w:rPr>
                <w:webHidden/>
                <w:rStyle w:val="IndexLink"/>
                <w:rtl w:val="true"/>
              </w:rPr>
              <w:t>القسم الثالث</w:t>
            </w:r>
            <w:r>
              <w:rPr>
                <w:rStyle w:val="IndexLink"/>
                <w:rtl w:val="true"/>
              </w:rPr>
              <w:tab/>
            </w:r>
            <w:r>
              <w:rPr>
                <w:rStyle w:val="IndexLink"/>
              </w:rPr>
              <w:t>186</w:t>
            </w:r>
          </w:hyperlink>
        </w:p>
        <w:p>
          <w:pPr>
            <w:pStyle w:val="Contents5"/>
            <w:tabs>
              <w:tab w:val="clear" w:pos="7892"/>
              <w:tab w:val="right" w:pos="9026" w:leader="dot"/>
            </w:tabs>
            <w:rPr/>
          </w:pPr>
          <w:hyperlink w:anchor="__RefHeading___Toc3127488_2870459653">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127490_2870459653">
            <w:r>
              <w:rPr>
                <w:webHidden/>
                <w:rStyle w:val="IndexLink"/>
                <w:rtl w:val="true"/>
              </w:rPr>
              <w:t>الدليل الأوّل</w:t>
            </w:r>
            <w:r>
              <w:rPr>
                <w:rStyle w:val="IndexLink"/>
                <w:rtl w:val="true"/>
              </w:rPr>
              <w:tab/>
            </w:r>
            <w:r>
              <w:rPr>
                <w:rStyle w:val="IndexLink"/>
              </w:rPr>
              <w:t>188</w:t>
            </w:r>
          </w:hyperlink>
        </w:p>
        <w:p>
          <w:pPr>
            <w:pStyle w:val="Contents6"/>
            <w:tabs>
              <w:tab w:val="clear" w:pos="7609"/>
              <w:tab w:val="right" w:pos="9026" w:leader="dot"/>
            </w:tabs>
            <w:rPr/>
          </w:pPr>
          <w:hyperlink w:anchor="__RefHeading___Toc3127492_2870459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127494_2870459653">
            <w:r>
              <w:rPr>
                <w:webHidden/>
                <w:rStyle w:val="IndexLink"/>
                <w:rtl w:val="true"/>
              </w:rPr>
              <w:t>مناقشة ما استُشهد به على مبنى الحدسيّة</w:t>
            </w:r>
            <w:r>
              <w:rPr>
                <w:rStyle w:val="IndexLink"/>
                <w:rtl w:val="true"/>
              </w:rPr>
              <w:tab/>
            </w:r>
            <w:r>
              <w:rPr>
                <w:rStyle w:val="IndexLink"/>
              </w:rPr>
              <w:t>191</w:t>
            </w:r>
          </w:hyperlink>
        </w:p>
        <w:p>
          <w:pPr>
            <w:pStyle w:val="Contents6"/>
            <w:tabs>
              <w:tab w:val="clear" w:pos="7609"/>
              <w:tab w:val="right" w:pos="9026" w:leader="dot"/>
            </w:tabs>
            <w:rPr/>
          </w:pPr>
          <w:hyperlink w:anchor="__RefHeading___Toc3127496_2870459653">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3127498_2870459653">
            <w:r>
              <w:rPr>
                <w:webHidden/>
                <w:rStyle w:val="IndexLink"/>
                <w:rtl w:val="true"/>
              </w:rPr>
              <w:t>المورد الأوّل</w:t>
            </w:r>
            <w:r>
              <w:rPr>
                <w:rStyle w:val="IndexLink"/>
                <w:rtl w:val="true"/>
              </w:rPr>
              <w:tab/>
            </w:r>
            <w:r>
              <w:rPr>
                <w:rStyle w:val="IndexLink"/>
              </w:rPr>
              <w:t>191</w:t>
            </w:r>
          </w:hyperlink>
        </w:p>
        <w:p>
          <w:pPr>
            <w:pStyle w:val="Contents6"/>
            <w:tabs>
              <w:tab w:val="clear" w:pos="7609"/>
              <w:tab w:val="right" w:pos="9026" w:leader="dot"/>
            </w:tabs>
            <w:rPr/>
          </w:pPr>
          <w:hyperlink w:anchor="__RefHeading___Toc3127500_2870459653">
            <w:r>
              <w:rPr>
                <w:webHidden/>
                <w:rStyle w:val="IndexLink"/>
                <w:rtl w:val="true"/>
              </w:rPr>
              <w:t>المورد الثاني</w:t>
            </w:r>
            <w:r>
              <w:rPr>
                <w:rStyle w:val="IndexLink"/>
                <w:rtl w:val="true"/>
              </w:rPr>
              <w:tab/>
            </w:r>
            <w:r>
              <w:rPr>
                <w:rStyle w:val="IndexLink"/>
              </w:rPr>
              <w:t>192</w:t>
            </w:r>
          </w:hyperlink>
        </w:p>
        <w:p>
          <w:pPr>
            <w:pStyle w:val="Contents6"/>
            <w:tabs>
              <w:tab w:val="clear" w:pos="7609"/>
              <w:tab w:val="right" w:pos="9026" w:leader="dot"/>
            </w:tabs>
            <w:rPr/>
          </w:pPr>
          <w:hyperlink w:anchor="__RefHeading___Toc3127502_2870459653">
            <w:r>
              <w:rPr>
                <w:webHidden/>
                <w:rStyle w:val="IndexLink"/>
                <w:rtl w:val="true"/>
              </w:rPr>
              <w:t>المورد الثالث</w:t>
            </w:r>
            <w:r>
              <w:rPr>
                <w:rStyle w:val="IndexLink"/>
                <w:rtl w:val="true"/>
              </w:rPr>
              <w:tab/>
            </w:r>
            <w:r>
              <w:rPr>
                <w:rStyle w:val="IndexLink"/>
              </w:rPr>
              <w:t>194</w:t>
            </w:r>
          </w:hyperlink>
        </w:p>
        <w:p>
          <w:pPr>
            <w:pStyle w:val="Contents6"/>
            <w:tabs>
              <w:tab w:val="clear" w:pos="7609"/>
              <w:tab w:val="right" w:pos="9026" w:leader="dot"/>
            </w:tabs>
            <w:rPr/>
          </w:pPr>
          <w:hyperlink w:anchor="__RefHeading___Toc3127504_2870459653">
            <w:r>
              <w:rPr>
                <w:webHidden/>
                <w:rStyle w:val="IndexLink"/>
                <w:rtl w:val="true"/>
              </w:rPr>
              <w:t>المورد الرابع</w:t>
            </w:r>
            <w:r>
              <w:rPr>
                <w:rStyle w:val="IndexLink"/>
                <w:rtl w:val="true"/>
              </w:rPr>
              <w:tab/>
            </w:r>
            <w:r>
              <w:rPr>
                <w:rStyle w:val="IndexLink"/>
              </w:rPr>
              <w:t>195</w:t>
            </w:r>
          </w:hyperlink>
        </w:p>
        <w:p>
          <w:pPr>
            <w:pStyle w:val="Contents6"/>
            <w:tabs>
              <w:tab w:val="clear" w:pos="7609"/>
              <w:tab w:val="right" w:pos="9026" w:leader="dot"/>
            </w:tabs>
            <w:rPr/>
          </w:pPr>
          <w:hyperlink w:anchor="__RefHeading___Toc3127506_2870459653">
            <w:r>
              <w:rPr>
                <w:webHidden/>
                <w:rStyle w:val="IndexLink"/>
                <w:rtl w:val="true"/>
              </w:rPr>
              <w:t>ملاكات التضعيف عند القمّيّين</w:t>
            </w:r>
            <w:r>
              <w:rPr>
                <w:rStyle w:val="IndexLink"/>
                <w:rtl w:val="true"/>
              </w:rPr>
              <w:tab/>
            </w:r>
            <w:r>
              <w:rPr>
                <w:rStyle w:val="IndexLink"/>
              </w:rPr>
              <w:t>196</w:t>
            </w:r>
          </w:hyperlink>
        </w:p>
        <w:p>
          <w:pPr>
            <w:pStyle w:val="Contents6"/>
            <w:tabs>
              <w:tab w:val="clear" w:pos="7609"/>
              <w:tab w:val="right" w:pos="9026" w:leader="dot"/>
            </w:tabs>
            <w:rPr/>
          </w:pPr>
          <w:hyperlink w:anchor="__RefHeading___Toc3127508_2870459653">
            <w:r>
              <w:rPr>
                <w:webHidden/>
                <w:rStyle w:val="IndexLink"/>
                <w:rtl w:val="true"/>
              </w:rPr>
              <w:t>إزاحة وهم</w:t>
            </w:r>
            <w:r>
              <w:rPr>
                <w:rStyle w:val="IndexLink"/>
                <w:rtl w:val="true"/>
              </w:rPr>
              <w:tab/>
            </w:r>
            <w:r>
              <w:rPr>
                <w:rStyle w:val="IndexLink"/>
              </w:rPr>
              <w:t>204</w:t>
            </w:r>
          </w:hyperlink>
        </w:p>
        <w:p>
          <w:pPr>
            <w:pStyle w:val="Contents6"/>
            <w:tabs>
              <w:tab w:val="clear" w:pos="7609"/>
              <w:tab w:val="right" w:pos="9026" w:leader="dot"/>
            </w:tabs>
            <w:rPr/>
          </w:pPr>
          <w:hyperlink w:anchor="__RefHeading___Toc3127510_2870459653">
            <w:r>
              <w:rPr>
                <w:webHidden/>
                <w:rStyle w:val="IndexLink"/>
                <w:rtl w:val="true"/>
              </w:rPr>
              <w:t>مناقشة الشواهد</w:t>
            </w:r>
            <w:r>
              <w:rPr>
                <w:rStyle w:val="IndexLink"/>
                <w:rtl w:val="true"/>
              </w:rPr>
              <w:tab/>
            </w:r>
            <w:r>
              <w:rPr>
                <w:rStyle w:val="IndexLink"/>
              </w:rPr>
              <w:t>206</w:t>
            </w:r>
          </w:hyperlink>
        </w:p>
        <w:p>
          <w:pPr>
            <w:pStyle w:val="Contents6"/>
            <w:tabs>
              <w:tab w:val="clear" w:pos="7609"/>
              <w:tab w:val="right" w:pos="9026" w:leader="dot"/>
            </w:tabs>
            <w:rPr/>
          </w:pPr>
          <w:hyperlink w:anchor="__RefHeading___Toc3127512_2870459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127514_2870459653">
            <w:r>
              <w:rPr>
                <w:webHidden/>
                <w:rStyle w:val="IndexLink"/>
                <w:rtl w:val="true"/>
              </w:rPr>
              <w:t>الأمر الأوّل</w:t>
            </w:r>
            <w:r>
              <w:rPr>
                <w:rStyle w:val="IndexLink"/>
                <w:rtl w:val="true"/>
              </w:rPr>
              <w:tab/>
            </w:r>
            <w:r>
              <w:rPr>
                <w:rStyle w:val="IndexLink"/>
              </w:rPr>
              <w:t>208</w:t>
            </w:r>
          </w:hyperlink>
        </w:p>
        <w:p>
          <w:pPr>
            <w:pStyle w:val="Contents6"/>
            <w:tabs>
              <w:tab w:val="clear" w:pos="7609"/>
              <w:tab w:val="right" w:pos="9026" w:leader="dot"/>
            </w:tabs>
            <w:rPr/>
          </w:pPr>
          <w:hyperlink w:anchor="__RefHeading___Toc3127516_2870459653">
            <w:r>
              <w:rPr>
                <w:webHidden/>
                <w:rStyle w:val="IndexLink"/>
                <w:rtl w:val="true"/>
              </w:rPr>
              <w:t>الأمر الثاني</w:t>
            </w:r>
            <w:r>
              <w:rPr>
                <w:rStyle w:val="IndexLink"/>
                <w:rtl w:val="true"/>
              </w:rPr>
              <w:tab/>
            </w:r>
            <w:r>
              <w:rPr>
                <w:rStyle w:val="IndexLink"/>
              </w:rPr>
              <w:t>209</w:t>
            </w:r>
          </w:hyperlink>
        </w:p>
        <w:p>
          <w:pPr>
            <w:pStyle w:val="Contents6"/>
            <w:tabs>
              <w:tab w:val="clear" w:pos="7609"/>
              <w:tab w:val="right" w:pos="9026" w:leader="dot"/>
            </w:tabs>
            <w:rPr/>
          </w:pPr>
          <w:hyperlink w:anchor="__RefHeading___Toc3127518_2870459653">
            <w:r>
              <w:rPr>
                <w:webHidden/>
                <w:rStyle w:val="IndexLink"/>
                <w:rtl w:val="true"/>
              </w:rPr>
              <w:t>الأمر الثالث</w:t>
            </w:r>
            <w:r>
              <w:rPr>
                <w:rStyle w:val="IndexLink"/>
                <w:rtl w:val="true"/>
              </w:rPr>
              <w:tab/>
            </w:r>
            <w:r>
              <w:rPr>
                <w:rStyle w:val="IndexLink"/>
              </w:rPr>
              <w:t>209</w:t>
            </w:r>
          </w:hyperlink>
        </w:p>
        <w:p>
          <w:pPr>
            <w:pStyle w:val="Contents6"/>
            <w:tabs>
              <w:tab w:val="clear" w:pos="7609"/>
              <w:tab w:val="right" w:pos="9026" w:leader="dot"/>
            </w:tabs>
            <w:rPr/>
          </w:pPr>
          <w:hyperlink w:anchor="__RefHeading___Toc3127520_2870459653">
            <w:r>
              <w:rPr>
                <w:webHidden/>
                <w:rStyle w:val="IndexLink"/>
                <w:rtl w:val="true"/>
              </w:rPr>
              <w:t>الأمر الرابع</w:t>
            </w:r>
            <w:r>
              <w:rPr>
                <w:rStyle w:val="IndexLink"/>
                <w:rtl w:val="true"/>
              </w:rPr>
              <w:tab/>
            </w:r>
            <w:r>
              <w:rPr>
                <w:rStyle w:val="IndexLink"/>
              </w:rPr>
              <w:t>210</w:t>
            </w:r>
          </w:hyperlink>
        </w:p>
        <w:p>
          <w:pPr>
            <w:pStyle w:val="Contents5"/>
            <w:tabs>
              <w:tab w:val="clear" w:pos="7892"/>
              <w:tab w:val="right" w:pos="9026" w:leader="dot"/>
            </w:tabs>
            <w:rPr/>
          </w:pPr>
          <w:hyperlink w:anchor="__RefHeading___Toc3127522_2870459653">
            <w:r>
              <w:rPr>
                <w:webHidden/>
                <w:rStyle w:val="IndexLink"/>
                <w:rtl w:val="true"/>
              </w:rPr>
              <w:t>الدليل الثاني</w:t>
            </w:r>
            <w:r>
              <w:rPr>
                <w:rStyle w:val="IndexLink"/>
                <w:rtl w:val="true"/>
              </w:rPr>
              <w:t xml:space="preserve">: </w:t>
            </w:r>
            <w:r>
              <w:rPr>
                <w:rStyle w:val="IndexLink"/>
                <w:rtl w:val="true"/>
              </w:rPr>
              <w:t>موقف النجاشي من البتريّة</w:t>
            </w:r>
            <w:r>
              <w:rPr>
                <w:rStyle w:val="IndexLink"/>
                <w:rtl w:val="true"/>
              </w:rPr>
              <w:tab/>
            </w:r>
            <w:r>
              <w:rPr>
                <w:rStyle w:val="IndexLink"/>
              </w:rPr>
              <w:t>213</w:t>
            </w:r>
          </w:hyperlink>
        </w:p>
        <w:p>
          <w:pPr>
            <w:pStyle w:val="Contents5"/>
            <w:tabs>
              <w:tab w:val="clear" w:pos="7892"/>
              <w:tab w:val="right" w:pos="9026" w:leader="dot"/>
            </w:tabs>
            <w:rPr/>
          </w:pPr>
          <w:hyperlink w:anchor="__RefHeading___Toc3127524_2870459653">
            <w:r>
              <w:rPr>
                <w:webHidden/>
                <w:rStyle w:val="IndexLink"/>
                <w:rtl w:val="true"/>
              </w:rPr>
              <w:t>الدليل الثالث</w:t>
            </w:r>
            <w:r>
              <w:rPr>
                <w:rStyle w:val="IndexLink"/>
                <w:rtl w:val="true"/>
              </w:rPr>
              <w:t xml:space="preserve">: </w:t>
            </w:r>
            <w:r>
              <w:rPr>
                <w:rStyle w:val="IndexLink"/>
                <w:rtl w:val="true"/>
              </w:rPr>
              <w:t>تضعيفات العامّة منشأ لجملة من تضعيفات النجاشي</w:t>
            </w:r>
            <w:r>
              <w:rPr>
                <w:rStyle w:val="IndexLink"/>
                <w:rtl w:val="true"/>
              </w:rPr>
              <w:tab/>
            </w:r>
            <w:r>
              <w:rPr>
                <w:rStyle w:val="IndexLink"/>
              </w:rPr>
              <w:t>215</w:t>
            </w:r>
          </w:hyperlink>
        </w:p>
        <w:p>
          <w:pPr>
            <w:pStyle w:val="Contents5"/>
            <w:tabs>
              <w:tab w:val="clear" w:pos="7892"/>
              <w:tab w:val="right" w:pos="9026" w:leader="dot"/>
            </w:tabs>
            <w:rPr/>
          </w:pPr>
          <w:hyperlink w:anchor="__RefHeading___Toc3127526_2870459653">
            <w:r>
              <w:rPr>
                <w:webHidden/>
                <w:rStyle w:val="IndexLink"/>
                <w:rtl w:val="true"/>
              </w:rPr>
              <w:t>الدليل الرابع</w:t>
            </w:r>
            <w:r>
              <w:rPr>
                <w:rStyle w:val="IndexLink"/>
                <w:rtl w:val="true"/>
              </w:rPr>
              <w:t xml:space="preserve">: </w:t>
            </w:r>
            <w:r>
              <w:rPr>
                <w:rStyle w:val="IndexLink"/>
                <w:rtl w:val="true"/>
              </w:rPr>
              <w:t>تأثّر النجاشي بالعامّة</w:t>
            </w:r>
            <w:r>
              <w:rPr>
                <w:rStyle w:val="IndexLink"/>
                <w:rtl w:val="true"/>
              </w:rPr>
              <w:tab/>
            </w:r>
            <w:r>
              <w:rPr>
                <w:rStyle w:val="IndexLink"/>
              </w:rPr>
              <w:t>218</w:t>
            </w:r>
          </w:hyperlink>
        </w:p>
        <w:p>
          <w:pPr>
            <w:pStyle w:val="Contents3"/>
            <w:tabs>
              <w:tab w:val="clear" w:pos="8459"/>
              <w:tab w:val="right" w:pos="9026" w:leader="dot"/>
            </w:tabs>
            <w:rPr/>
          </w:pPr>
          <w:hyperlink w:anchor="__RefHeading___Toc3127528_2870459653">
            <w:r>
              <w:rPr>
                <w:webHidden/>
                <w:rStyle w:val="IndexLink"/>
                <w:rtl w:val="true"/>
              </w:rPr>
              <w:t>المصادر</w:t>
            </w:r>
            <w:r>
              <w:rPr>
                <w:rStyle w:val="IndexLink"/>
                <w:rtl w:val="true"/>
              </w:rPr>
              <w:tab/>
            </w:r>
            <w:r>
              <w:rPr>
                <w:rStyle w:val="IndexLink"/>
              </w:rPr>
              <w:t>221</w:t>
            </w:r>
          </w:hyperlink>
        </w:p>
        <w:p>
          <w:pPr>
            <w:pStyle w:val="Contents2"/>
            <w:tabs>
              <w:tab w:val="clear" w:pos="8743"/>
              <w:tab w:val="right" w:pos="9026" w:leader="dot"/>
            </w:tabs>
            <w:rPr/>
          </w:pPr>
          <w:hyperlink w:anchor="__RefHeading___Toc3127530_2870459653">
            <w:r>
              <w:rPr>
                <w:webHidden/>
                <w:rStyle w:val="IndexLink"/>
                <w:rtl w:val="true"/>
              </w:rPr>
              <w:t xml:space="preserve">صلاة الجمعة في عصر الغيبة للفقيه الكبير الشيخ حسين الحلي </w:t>
            </w:r>
            <w:r>
              <w:rPr>
                <w:rStyle w:val="IndexLink"/>
                <w:rtl w:val="true"/>
              </w:rPr>
              <w:t>(</w:t>
            </w:r>
            <w:r>
              <w:rPr>
                <w:rStyle w:val="IndexLink"/>
                <w:rtl w:val="true"/>
              </w:rPr>
              <w:t>قدس سره</w:t>
            </w:r>
            <w:r>
              <w:rPr>
                <w:rStyle w:val="IndexLink"/>
                <w:rtl w:val="true"/>
              </w:rPr>
              <w:t xml:space="preserve">) - </w:t>
            </w:r>
            <w:r>
              <w:rPr>
                <w:rStyle w:val="IndexLink"/>
                <w:rtl w:val="true"/>
              </w:rPr>
              <w:t xml:space="preserve">السّيّد مهدي الرّباني </w:t>
            </w:r>
            <w:r>
              <w:rPr>
                <w:rStyle w:val="IndexLink"/>
                <w:rtl w:val="true"/>
              </w:rPr>
              <w:t>(</w:t>
            </w:r>
            <w:r>
              <w:rPr>
                <w:rStyle w:val="IndexLink"/>
                <w:rtl w:val="true"/>
              </w:rPr>
              <w:t>دام عزه</w:t>
            </w:r>
            <w:r>
              <w:rPr>
                <w:rStyle w:val="IndexLink"/>
                <w:rtl w:val="true"/>
              </w:rPr>
              <w:t>)</w:t>
              <w:tab/>
            </w:r>
            <w:r>
              <w:rPr>
                <w:rStyle w:val="IndexLink"/>
              </w:rPr>
              <w:t>226</w:t>
            </w:r>
          </w:hyperlink>
        </w:p>
        <w:p>
          <w:pPr>
            <w:pStyle w:val="Contents3"/>
            <w:tabs>
              <w:tab w:val="clear" w:pos="8459"/>
              <w:tab w:val="right" w:pos="9026" w:leader="dot"/>
            </w:tabs>
            <w:rPr/>
          </w:pPr>
          <w:hyperlink w:anchor="__RefHeading___Toc3127532_2870459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3127534_2870459653">
            <w:r>
              <w:rPr>
                <w:webHidden/>
                <w:rStyle w:val="IndexLink"/>
                <w:rtl w:val="true"/>
              </w:rPr>
              <w:t>المقدمة</w:t>
            </w:r>
            <w:r>
              <w:rPr>
                <w:rStyle w:val="IndexLink"/>
                <w:rtl w:val="true"/>
              </w:rPr>
              <w:tab/>
            </w:r>
            <w:r>
              <w:rPr>
                <w:rStyle w:val="IndexLink"/>
              </w:rPr>
              <w:t>228</w:t>
            </w:r>
          </w:hyperlink>
        </w:p>
        <w:p>
          <w:pPr>
            <w:pStyle w:val="Contents4"/>
            <w:tabs>
              <w:tab w:val="clear" w:pos="8176"/>
              <w:tab w:val="right" w:pos="9026" w:leader="dot"/>
            </w:tabs>
            <w:rPr/>
          </w:pPr>
          <w:hyperlink w:anchor="__RefHeading___Toc3127536_2870459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127538_2870459653">
            <w:r>
              <w:rPr>
                <w:webHidden/>
                <w:rStyle w:val="IndexLink"/>
                <w:rtl w:val="true"/>
              </w:rPr>
              <w:t>وصف النسخة المعتمدة في التحقيق</w:t>
            </w:r>
            <w:r>
              <w:rPr>
                <w:rStyle w:val="IndexLink"/>
                <w:rtl w:val="true"/>
              </w:rPr>
              <w:tab/>
            </w:r>
            <w:r>
              <w:rPr>
                <w:rStyle w:val="IndexLink"/>
              </w:rPr>
              <w:t>229</w:t>
            </w:r>
          </w:hyperlink>
        </w:p>
        <w:p>
          <w:pPr>
            <w:pStyle w:val="Contents4"/>
            <w:tabs>
              <w:tab w:val="clear" w:pos="8176"/>
              <w:tab w:val="right" w:pos="9026" w:leader="dot"/>
            </w:tabs>
            <w:rPr/>
          </w:pPr>
          <w:hyperlink w:anchor="__RefHeading___Toc3127540_2870459653">
            <w:r>
              <w:rPr>
                <w:webHidden/>
                <w:rStyle w:val="IndexLink"/>
                <w:rtl w:val="true"/>
              </w:rPr>
              <w:t>منهج التحقيق</w:t>
            </w:r>
            <w:r>
              <w:rPr>
                <w:rStyle w:val="IndexLink"/>
                <w:rtl w:val="true"/>
              </w:rPr>
              <w:tab/>
            </w:r>
            <w:r>
              <w:rPr>
                <w:rStyle w:val="IndexLink"/>
              </w:rPr>
              <w:t>230</w:t>
            </w:r>
          </w:hyperlink>
        </w:p>
        <w:p>
          <w:pPr>
            <w:pStyle w:val="Contents3"/>
            <w:tabs>
              <w:tab w:val="clear" w:pos="8459"/>
              <w:tab w:val="right" w:pos="9026" w:leader="dot"/>
            </w:tabs>
            <w:rPr/>
          </w:pPr>
          <w:hyperlink w:anchor="__RefHeading___Toc3127542_2870459653">
            <w:r>
              <w:rPr>
                <w:webHidden/>
                <w:rStyle w:val="IndexLink"/>
                <w:rtl w:val="true"/>
              </w:rPr>
              <w:t>صلاة الجمعة في عصر الغيبة</w:t>
            </w:r>
            <w:r>
              <w:rPr>
                <w:rStyle w:val="IndexLink"/>
                <w:rtl w:val="true"/>
              </w:rPr>
              <w:tab/>
            </w:r>
            <w:r>
              <w:rPr>
                <w:rStyle w:val="IndexLink"/>
              </w:rPr>
              <w:t>234</w:t>
            </w:r>
          </w:hyperlink>
        </w:p>
        <w:p>
          <w:pPr>
            <w:pStyle w:val="Contents4"/>
            <w:tabs>
              <w:tab w:val="clear" w:pos="8176"/>
              <w:tab w:val="right" w:pos="9026" w:leader="dot"/>
            </w:tabs>
            <w:rPr/>
          </w:pPr>
          <w:hyperlink w:anchor="__RefHeading___Toc3127544_2870459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3127546_2870459653">
            <w:r>
              <w:rPr>
                <w:webHidden/>
                <w:rStyle w:val="IndexLink"/>
                <w:rtl w:val="true"/>
              </w:rPr>
              <w:t>القول في صلاة الجُمُعة</w:t>
            </w:r>
            <w:r>
              <w:rPr>
                <w:rStyle w:val="IndexLink"/>
                <w:rtl w:val="true"/>
              </w:rPr>
              <w:tab/>
            </w:r>
            <w:r>
              <w:rPr>
                <w:rStyle w:val="IndexLink"/>
              </w:rPr>
              <w:t>236</w:t>
            </w:r>
          </w:hyperlink>
        </w:p>
        <w:p>
          <w:pPr>
            <w:pStyle w:val="Contents4"/>
            <w:tabs>
              <w:tab w:val="clear" w:pos="8176"/>
              <w:tab w:val="right" w:pos="9026" w:leader="dot"/>
            </w:tabs>
            <w:rPr/>
          </w:pPr>
          <w:hyperlink w:anchor="__RefHeading___Toc3127548_2870459653">
            <w:r>
              <w:rPr>
                <w:webHidden/>
                <w:rStyle w:val="IndexLink"/>
                <w:rtl w:val="true"/>
              </w:rPr>
              <w:t>الأقوال في صلاة الجُمُعة</w:t>
            </w:r>
            <w:r>
              <w:rPr>
                <w:rStyle w:val="IndexLink"/>
                <w:rtl w:val="true"/>
              </w:rPr>
              <w:tab/>
            </w:r>
            <w:r>
              <w:rPr>
                <w:rStyle w:val="IndexLink"/>
              </w:rPr>
              <w:t>237</w:t>
            </w:r>
          </w:hyperlink>
        </w:p>
        <w:p>
          <w:pPr>
            <w:pStyle w:val="Contents5"/>
            <w:tabs>
              <w:tab w:val="clear" w:pos="7892"/>
              <w:tab w:val="right" w:pos="9026" w:leader="dot"/>
            </w:tabs>
            <w:rPr/>
          </w:pPr>
          <w:hyperlink w:anchor="__RefHeading___Toc3127550_2870459653">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127552_2870459653">
            <w:r>
              <w:rPr>
                <w:webHidden/>
                <w:rStyle w:val="IndexLink"/>
                <w:rtl w:val="true"/>
              </w:rPr>
              <w:t>مقتضى الأصل العمليّ</w:t>
            </w:r>
            <w:r>
              <w:rPr>
                <w:rStyle w:val="IndexLink"/>
                <w:rtl w:val="true"/>
              </w:rPr>
              <w:tab/>
            </w:r>
            <w:r>
              <w:rPr>
                <w:rStyle w:val="IndexLink"/>
              </w:rPr>
              <w:t>238</w:t>
            </w:r>
          </w:hyperlink>
        </w:p>
        <w:p>
          <w:pPr>
            <w:pStyle w:val="Contents5"/>
            <w:tabs>
              <w:tab w:val="clear" w:pos="7892"/>
              <w:tab w:val="right" w:pos="9026" w:leader="dot"/>
            </w:tabs>
            <w:rPr/>
          </w:pPr>
          <w:hyperlink w:anchor="__RefHeading___Toc3127554_2870459653">
            <w:r>
              <w:rPr>
                <w:webHidden/>
                <w:rStyle w:val="IndexLink"/>
                <w:rtl w:val="true"/>
              </w:rPr>
              <w:t>الإشكال في إمكان الوجوب التَّعيينيّ والتَّخييريّ لصلاة الجُمُعة ومحاولات الجواب عنه</w:t>
            </w:r>
            <w:r>
              <w:rPr>
                <w:rStyle w:val="IndexLink"/>
                <w:rtl w:val="true"/>
              </w:rPr>
              <w:tab/>
            </w:r>
            <w:r>
              <w:rPr>
                <w:rStyle w:val="IndexLink"/>
              </w:rPr>
              <w:t>240</w:t>
            </w:r>
          </w:hyperlink>
        </w:p>
        <w:p>
          <w:pPr>
            <w:pStyle w:val="Contents5"/>
            <w:tabs>
              <w:tab w:val="clear" w:pos="7892"/>
              <w:tab w:val="right" w:pos="9026" w:leader="dot"/>
            </w:tabs>
            <w:rPr/>
          </w:pPr>
          <w:hyperlink w:anchor="__RefHeading___Toc3127556_2870459653">
            <w:r>
              <w:rPr>
                <w:webHidden/>
                <w:rStyle w:val="IndexLink"/>
                <w:rtl w:val="true"/>
              </w:rPr>
              <w:t>أدلَّة الوجوب التَّعيينيّ</w:t>
            </w:r>
            <w:r>
              <w:rPr>
                <w:rStyle w:val="IndexLink"/>
                <w:rtl w:val="true"/>
              </w:rPr>
              <w:tab/>
            </w:r>
            <w:r>
              <w:rPr>
                <w:rStyle w:val="IndexLink"/>
              </w:rPr>
              <w:t>252</w:t>
            </w:r>
          </w:hyperlink>
        </w:p>
        <w:p>
          <w:pPr>
            <w:pStyle w:val="Contents5"/>
            <w:tabs>
              <w:tab w:val="clear" w:pos="7892"/>
              <w:tab w:val="right" w:pos="9026" w:leader="dot"/>
            </w:tabs>
            <w:rPr/>
          </w:pPr>
          <w:hyperlink w:anchor="__RefHeading___Toc3127558_2870459653">
            <w:r>
              <w:rPr>
                <w:webHidden/>
                <w:rStyle w:val="IndexLink"/>
                <w:rtl w:val="true"/>
              </w:rPr>
              <w:t>الآيات الَّتي استُدلَّ بها للوجوب التَّعيينيّ</w:t>
            </w:r>
            <w:r>
              <w:rPr>
                <w:rStyle w:val="IndexLink"/>
                <w:rtl w:val="true"/>
              </w:rPr>
              <w:tab/>
            </w:r>
            <w:r>
              <w:rPr>
                <w:rStyle w:val="IndexLink"/>
              </w:rPr>
              <w:t>252</w:t>
            </w:r>
          </w:hyperlink>
        </w:p>
        <w:p>
          <w:pPr>
            <w:pStyle w:val="Contents5"/>
            <w:tabs>
              <w:tab w:val="clear" w:pos="7892"/>
              <w:tab w:val="right" w:pos="9026" w:leader="dot"/>
            </w:tabs>
            <w:rPr/>
          </w:pPr>
          <w:hyperlink w:anchor="__RefHeading___Toc3127560_2870459653">
            <w:r>
              <w:rPr>
                <w:webHidden/>
                <w:rStyle w:val="IndexLink"/>
                <w:rtl w:val="true"/>
              </w:rPr>
              <w:t>الأخبار الَّتي استُدلَّ بها للوجوب التَّعيينيّ</w:t>
            </w:r>
            <w:r>
              <w:rPr>
                <w:rStyle w:val="IndexLink"/>
                <w:rtl w:val="true"/>
              </w:rPr>
              <w:tab/>
            </w:r>
            <w:r>
              <w:rPr>
                <w:rStyle w:val="IndexLink"/>
              </w:rPr>
              <w:t>255</w:t>
            </w:r>
          </w:hyperlink>
        </w:p>
        <w:p>
          <w:pPr>
            <w:pStyle w:val="Contents5"/>
            <w:tabs>
              <w:tab w:val="clear" w:pos="7892"/>
              <w:tab w:val="right" w:pos="9026" w:leader="dot"/>
            </w:tabs>
            <w:rPr/>
          </w:pPr>
          <w:hyperlink w:anchor="__RefHeading___Toc3127562_2870459653">
            <w:r>
              <w:rPr>
                <w:webHidden/>
                <w:rStyle w:val="IndexLink"/>
                <w:rtl w:val="true"/>
              </w:rPr>
              <w:t>أدلَّة تقييد وجوب صلاة الجُمُعة بإمام الأصل أو نائبه الخاصِّ</w:t>
            </w:r>
            <w:r>
              <w:rPr>
                <w:rStyle w:val="IndexLink"/>
                <w:rtl w:val="true"/>
              </w:rPr>
              <w:tab/>
            </w:r>
            <w:r>
              <w:rPr>
                <w:rStyle w:val="IndexLink"/>
              </w:rPr>
              <w:t>257</w:t>
            </w:r>
          </w:hyperlink>
        </w:p>
        <w:p>
          <w:pPr>
            <w:pStyle w:val="Contents5"/>
            <w:tabs>
              <w:tab w:val="clear" w:pos="7892"/>
              <w:tab w:val="right" w:pos="9026" w:leader="dot"/>
            </w:tabs>
            <w:rPr/>
          </w:pPr>
          <w:hyperlink w:anchor="__RefHeading___Toc3127564_2870459653">
            <w:r>
              <w:rPr>
                <w:webHidden/>
                <w:rStyle w:val="IndexLink"/>
                <w:rtl w:val="true"/>
              </w:rPr>
              <w:t>أدلَّة القول المشهور في نفي الوجوب التَّعييني لصلاة الجُمُعة</w:t>
            </w:r>
            <w:r>
              <w:rPr>
                <w:rStyle w:val="IndexLink"/>
                <w:rtl w:val="true"/>
              </w:rPr>
              <w:tab/>
            </w:r>
            <w:r>
              <w:rPr>
                <w:rStyle w:val="IndexLink"/>
              </w:rPr>
              <w:t>263</w:t>
            </w:r>
          </w:hyperlink>
        </w:p>
        <w:p>
          <w:pPr>
            <w:pStyle w:val="Contents4"/>
            <w:tabs>
              <w:tab w:val="clear" w:pos="8176"/>
              <w:tab w:val="right" w:pos="9026" w:leader="dot"/>
            </w:tabs>
            <w:rPr/>
          </w:pPr>
          <w:hyperlink w:anchor="__RefHeading___Toc3127566_2870459653">
            <w:r>
              <w:rPr>
                <w:webHidden/>
                <w:rStyle w:val="IndexLink"/>
                <w:rtl w:val="true"/>
              </w:rPr>
              <w:t>القول في ولاية الفقيه على إقامة الجُمُعة في عصر الغيبة</w:t>
            </w:r>
            <w:r>
              <w:rPr>
                <w:rStyle w:val="IndexLink"/>
                <w:rtl w:val="true"/>
              </w:rPr>
              <w:tab/>
            </w:r>
            <w:r>
              <w:rPr>
                <w:rStyle w:val="IndexLink"/>
              </w:rPr>
              <w:t>290</w:t>
            </w:r>
          </w:hyperlink>
        </w:p>
        <w:p>
          <w:pPr>
            <w:pStyle w:val="Contents3"/>
            <w:tabs>
              <w:tab w:val="clear" w:pos="8459"/>
              <w:tab w:val="right" w:pos="9026" w:leader="dot"/>
            </w:tabs>
            <w:rPr/>
          </w:pPr>
          <w:hyperlink w:anchor="__RefHeading___Toc3127568_2870459653">
            <w:r>
              <w:rPr>
                <w:webHidden/>
                <w:rStyle w:val="IndexLink"/>
                <w:rtl w:val="true"/>
              </w:rPr>
              <w:t>المصادر</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1_145106"/>
      <w:bookmarkStart w:id="1" w:name="pg10921_145106"/>
      <w:bookmarkEnd w:id="1"/>
    </w:p>
    <w:p>
      <w:pPr>
        <w:pStyle w:val="Heading2"/>
        <w:numPr>
          <w:ilvl w:val="1"/>
          <w:numId w:val="1"/>
        </w:numPr>
        <w:rPr/>
      </w:pPr>
      <w:bookmarkStart w:id="2" w:name="pg10921_145106"/>
      <w:bookmarkStart w:id="3" w:name="__RefHeading___Toc3127248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 xml:space="preserve">مجلَّة نصف سنويَّة 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Amiri" w:hAnsi="Amiri" w:eastAsia="Amiri" w:cs="Amiri"/>
          <w:color w:val="111111"/>
          <w:sz w:val="28"/>
          <w:sz w:val="28"/>
          <w:szCs w:val="28"/>
          <w:rtl w:val="true"/>
          <w:lang w:bidi="ar-SA"/>
        </w:rPr>
        <w:t>تُعنى بالأبحاث التَّخصّصيَّة في الحوزة العلميَّة</w:t>
      </w:r>
    </w:p>
    <w:p>
      <w:pPr>
        <w:pStyle w:val="BookText"/>
        <w:rPr/>
      </w:pPr>
      <w:r>
        <w:rPr>
          <w:rFonts w:ascii="IRNazanin" w:hAnsi="IRNazanin" w:eastAsia="IRNazanin"/>
          <w:color w:val="111111"/>
          <w:sz w:val="28"/>
          <w:sz w:val="28"/>
          <w:szCs w:val="28"/>
          <w:rtl w:val="true"/>
          <w:lang w:bidi="fa-IR"/>
        </w:rPr>
        <w:t>العدد الثّالث عشر</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725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10921_145109"/>
    </w:p>
    <w:p>
      <w:pPr>
        <w:pStyle w:val="Heading2"/>
        <w:numPr>
          <w:ilvl w:val="1"/>
          <w:numId w:val="1"/>
        </w:numPr>
        <w:rPr/>
      </w:pPr>
      <w:bookmarkStart w:id="8" w:name="__RefHeading___Toc3127252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10921_145110"/>
    </w:p>
    <w:p>
      <w:pPr>
        <w:pStyle w:val="Heading2"/>
        <w:numPr>
          <w:ilvl w:val="1"/>
          <w:numId w:val="1"/>
        </w:numPr>
        <w:rPr/>
      </w:pPr>
      <w:bookmarkStart w:id="11" w:name="__RefHeading___Toc3127254_2870459653"/>
      <w:bookmarkStart w:id="12" w:name="_Toc4"/>
      <w:bookmarkEnd w:id="10"/>
      <w:bookmarkEnd w:id="11"/>
      <w:r>
        <w:rPr>
          <w:rtl w:val="true"/>
        </w:rPr>
        <w:t>محتويات العدد</w:t>
      </w:r>
      <w:bookmarkEnd w:id="12"/>
    </w:p>
    <w:p>
      <w:pPr>
        <w:pStyle w:val="BookText"/>
        <w:rPr/>
      </w:pPr>
      <w:r>
        <w:rPr>
          <w:rFonts w:ascii="Amiri" w:hAnsi="Amiri" w:eastAsia="Amiri" w:cs="Amiri"/>
          <w:color w:val="111111"/>
          <w:sz w:val="28"/>
          <w:sz w:val="28"/>
          <w:szCs w:val="28"/>
          <w:rtl w:val="true"/>
          <w:lang w:bidi="ar-SA"/>
        </w:rPr>
        <w:t>الافتتاحيّة</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إبداء المرأة وجهها وكفّيها ونظر الرّجل إليهما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جعفر اليعسوبي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نكاح ذات البعل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علي سالم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نظرية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نجم الترابي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قراءة في مبنى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التّوثيقات والتّضعيفات</w:t>
      </w:r>
    </w:p>
    <w:p>
      <w:pPr>
        <w:pStyle w:val="BookText"/>
        <w:rPr/>
      </w:pPr>
      <w:r>
        <w:rPr>
          <w:rFonts w:ascii="Amiri" w:hAnsi="Amiri" w:eastAsia="Amiri" w:cs="Amiri"/>
          <w:color w:val="111111"/>
          <w:sz w:val="28"/>
          <w:sz w:val="28"/>
          <w:szCs w:val="28"/>
          <w:rtl w:val="true"/>
          <w:lang w:bidi="ar-SA"/>
        </w:rPr>
        <w:t xml:space="preserve">الشّيخ جاسم الفهدي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صلاة الجمعة في عصر الغيبة للفقيه الكبير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21_145112"/>
      <w:bookmarkStart w:id="14" w:name="pg10921_145112"/>
      <w:bookmarkEnd w:id="14"/>
    </w:p>
    <w:p>
      <w:pPr>
        <w:pStyle w:val="Heading2"/>
        <w:numPr>
          <w:ilvl w:val="1"/>
          <w:numId w:val="1"/>
        </w:numPr>
        <w:rPr/>
      </w:pPr>
      <w:bookmarkStart w:id="15" w:name="pg10921_145112"/>
      <w:bookmarkStart w:id="16" w:name="__RefHeading___Toc3127256_2870459653"/>
      <w:bookmarkStart w:id="17" w:name="_Toc5"/>
      <w:bookmarkEnd w:id="15"/>
      <w:bookmarkEnd w:id="16"/>
      <w:r>
        <w:rPr>
          <w:rtl w:val="true"/>
        </w:rPr>
        <w:t>الكلمة الافتتاحيّة</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للعلوم التّدوينيّة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ميادين تجري فيها مسائلُها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النّظر فيها تعتمد على مقدّمات أدبيّة وعلميّة وأحوال تأريخيّة، للبحث والاجتهاد مجال واسع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النّظر في تلك المسائل في كلِّ عصرٍ تتولّد حاجات لبحوث أحدث، وإعادة تتبّع للأدلّة المبنيّة على تلك المقدّمات، طالما أنّ التّدوين المتراكم لتلك المسائل بمقدّماتها المقصورة في كلِّ عصر يفسح المجال أمام إعادة الفحص والمقارنة للوصول إلى نتائج أفضل، عبوراً من قراءات السّابقين وبفضل زيادة تدقيق اللّاحقين نتيجة لتراكم وجهات النّظر المدوّنة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يتناول التّحقيق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تلك المسائل على ضوء معطيات جديدة تفرضها حركةٌ وتطورٌ في علم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عليه مسائل علم الفقه ويقع في طريق استنباطها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وزيادة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تستجدّ ظروف وأحداث زمانيّة ترتبط بظهور مصاديق </w:t>
      </w:r>
    </w:p>
    <w:p>
      <w:pPr>
        <w:pStyle w:val="BookText"/>
        <w:rPr/>
      </w:pPr>
      <w:r>
        <w:rPr>
          <w:rFonts w:ascii="Amiri" w:hAnsi="Amiri" w:eastAsia="Amiri" w:cs="Amiri"/>
          <w:color w:val="111111"/>
          <w:sz w:val="28"/>
          <w:sz w:val="28"/>
          <w:szCs w:val="28"/>
          <w:rtl w:val="true"/>
          <w:lang w:bidi="ar-SA"/>
        </w:rPr>
        <w:t>جديدة لموضوعات المسائل المبحوثة، أو وقوعها في حيِّزٍ متداخلٍ مع مسائل أخرى يجعلها بهذه الصّفات موضوعاً مستحقّاً للبحث والتنقيح، وعنواناً جديداً يمكن أن تتناوله الكتابة في البحوث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جانباً آخر يوفّر ميداناً للكتابة في المعارف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غلبة أُسلوبٍ لغويٍّ معيَّنٍ على الكتابات السّابقة قد يشكّل حاجزاً أمام القارئ والمثقّف العصري الّذي ارتبطت المعاني في ذهنه بأساليب تعبيريّة ومفردات أكثر وصولاً لغرضه، وأوضح في الاتّصال بمدركاته، خصوصاً وأنّ بعض الألفاظ قد تكون متغيّرة المعاني على حسب عصر التّناول، فنرى الإنسان المعاصر يميل لاعتماد طرقٍ في الفهم والتلقّي تتوافق مع ثقافةٍ ووعيٍ فكريٍ خاصٍّ تتطلّب تبنّي المهتمّين الاستمرارَ في تقديم هذه المواد بلغة عصريّةٍ وحججٍ منتخبةٍ قويّةٍ وناجزةٍ، والابتعاد عن أُسلوب الحشو والتّداخل في سرد الأدلّة، وتخليص الاستدلال الفقهيّ وأدواته من الاحتكام إلى التّصوّرات اللّغوية في غير ما يرتبط بالمفهوم، وإعادة ربط الفقه بميزان كلّيّاته وقواعده، بالابتعاد عن الجمود على الألفاظ إلّا في الحدود الّتي يساير فيها ضيقُ الحكم ضيقَ اللّفظ من دون مناسبةٍ تصلح للارتكاز عليها في التّوسعة أو التّضييق، ولو من خارج حدود اللّفظ</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الصّدد يمكننا الإشارة إلى قضيّة أُخرى قد تشكّل محوراً مهمّاً، ألا وهي بناء الفقه على الحديث المرويّ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وكون جملة من ذلك الحديث قد صدر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كردودٍ ومعالجات لبعض أسئلة الرّواة التي تكتنفها خصوصيّات زمانيّة ومكانيّة، وفي بيئة ثقافيّة ودينيّة ينتشر على هامشها فقه وثقافة مدرسة العامّة، ممّا قد يجعل الاحتكام في الاستفادة منها إلى خصوص حدود اللّفظ عمليّة مبتورة في فهم </w:t>
      </w:r>
    </w:p>
    <w:p>
      <w:pPr>
        <w:pStyle w:val="BookText"/>
        <w:rPr/>
      </w:pPr>
      <w:r>
        <w:rPr>
          <w:rFonts w:ascii="Amiri" w:hAnsi="Amiri" w:eastAsia="Amiri" w:cs="Amiri"/>
          <w:color w:val="111111"/>
          <w:sz w:val="28"/>
          <w:sz w:val="28"/>
          <w:szCs w:val="28"/>
          <w:rtl w:val="true"/>
          <w:lang w:bidi="ar-SA"/>
        </w:rPr>
        <w:t>الحكم الشّرعيّ أو حدوده وقيوده، فما زالت الحاجة قائمة إلى بذل الجهود في محاولة فهم العناصر الأُخرى الخارجة عن النّصّ، والّتي يمكن أن تكون خلفيّة صامتة تصلح لتشكيل عمق من صورة المعنى الّتي لا ينطق اللّفظ إلّا عن جزءٍ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سياق الحاجة إلى إعادة النّظر في التّراث المدوّن والعمل على تقديمه بلغةٍ وأُسلوبٍ أكثر فاعليّة في الأذهان تلقّياً وفهماً، تبرز أهميّة الكتابة المعاصرة في مجال العقائد، بعد أن عملت سلسلةٌ من الأحداث الزّمنيّة المرتبطة بالإرهاب والتّطرّف الدّينيّ على عزل عقول قطاعات من الشّباب المسلم عن الاتّصال بعقيدة الإيمان بالله تعالى وتاريخيّة بعث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متأثّرين بموجة الإلحاد التي كانت كردِّ فعلٍ على الممارسات الإجراميّة لبعض مدّعي الانتماء للدّين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أنّه لا يمكن اقتلاع موجة الشّكِّ واللّامبالاةِ تلك بنفس الأجوبة القديمة المصوغة بأدبيّات وأفكارٍ لا تتلاءم مع ذوق الإنسان المعاصر الّذي يحمل في ذهنه صوراً في فهم الخلق والوجود والدّين والحياة مستقاة من العلوم الحديثة التي تختلط فيها الفلسفة الحديثة مع مرتكزات العلوم الطّبيعيّة في الفيزياء، والطبّ، والفسيولوجيا، وكذلك الحفريّات التّاريخيّة، فأصبحت الحاجة ضروريّة في إغناء هذه السّاحة من المعرفة بأُسلوب حديث يمزج الأثر القديم الصّالح بالنّتاج الفكريّ الحديث في توأمة تُبرز فقر دعوى الإلحاد وتعرّيه من أيّ مضمون حقيقيّ يمكن أن يحتجّ عليه بالبراهين العقليّة والمنطقيّة أو منجزات العلوم الطّبيعيّة، وبما لا يدع مجالاً للشّكِّ في متانة الأرضيّة الّتي يقف عليها الدّين الحقّ ومعارفه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فإنّا ندعوا لرفد المجلّةِ بكتاباتٍ مركّزةٍ وواضحة الدّليليّة والحجّة في هذا الشّأن 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 عن المجلّة سعيها الحثيث في شتّى المجالات الّتي تصبُّ في خدمة إحياء وتأهيل عمليّة الكتابة والنّشر، ومن جهودها تنظيم أكثر من دورةٍ تحفيزيّةٍ وتطويريّةٍ للأقلام التّخصّصيّة، وتقريب أدوات الكتابة وعناصرها، وهي مستمرّة في ذلك كلّما سنحت لها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الحرص على بقاء المجلّةِ في دائرة اهتمام القرّاء وفي مقدّمة أولويّاتهم لمسنا الحاجة إلى تقليص مساحة البحوث المنشورة إلى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للحلقة الواحدة كحدٍّ أعلى، على أنْ لا يتجاوز البحث حلقتين، وما زاد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جديراً بالنّشر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باستلال مقدار حلقة منه، وينشر سائر البحث في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نتقدّم بالشّكر لجميع المساهمين في استمرار ودوام ظهور المجلّةِ بإصداراتها البالغة في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حيث تتضافر عليها الجهود من هيئة تحريرٍ، ولجنةٍ علميّةٍ، ورعايةٍ من العلماء والفضلاء الّذين يساهمون في استمرارها وازدهارها بفضل عنايتهم وحسن تقبّلهم، وما توفيقنا إلّا بالله عليه توكّلنا وإليه نُنيب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المجلّة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ﻫ </w:t>
      </w:r>
      <w:bookmarkStart w:id="18" w:name="pg10921_145116"/>
    </w:p>
    <w:p>
      <w:pPr>
        <w:pStyle w:val="Heading2"/>
        <w:numPr>
          <w:ilvl w:val="1"/>
          <w:numId w:val="1"/>
        </w:numPr>
        <w:rPr/>
      </w:pPr>
      <w:bookmarkStart w:id="19" w:name="__RefHeading___Toc3127258_2870459653"/>
      <w:bookmarkStart w:id="20" w:name="_Toc6"/>
      <w:bookmarkEnd w:id="18"/>
      <w:bookmarkEnd w:id="19"/>
      <w:r>
        <w:rPr>
          <w:rtl w:val="true"/>
        </w:rPr>
        <w:t xml:space="preserve">حكم إبداء المرأة وجهها وكفَّيها ونظر الرجل إليهما </w:t>
      </w:r>
      <w:r>
        <w:rPr>
          <w:rtl w:val="true"/>
        </w:rPr>
        <w:t>(</w:t>
      </w:r>
      <w:r>
        <w:rPr>
          <w:rtl w:val="true"/>
        </w:rPr>
        <w:t>الحلقة الأولى</w:t>
      </w:r>
      <w:r>
        <w:rPr>
          <w:rtl w:val="true"/>
        </w:rPr>
        <w:t xml:space="preserve">) - </w:t>
      </w:r>
      <w:r>
        <w:rPr>
          <w:rtl w:val="true"/>
        </w:rPr>
        <w:t xml:space="preserve">الشيخ جعفر اليعسوبي </w:t>
      </w:r>
      <w:r>
        <w:rPr>
          <w:rtl w:val="true"/>
        </w:rPr>
        <w:t>(</w:t>
      </w:r>
      <w:r>
        <w:rPr>
          <w:rtl w:val="true"/>
        </w:rPr>
        <w:t>دام عزه</w:t>
      </w:r>
      <w:r>
        <w:rPr>
          <w:rtl w:val="true"/>
        </w:rPr>
        <w:t>)</w:t>
      </w:r>
      <w:bookmarkEnd w:id="20"/>
    </w:p>
    <w:p>
      <w:pPr>
        <w:pStyle w:val="Heading3"/>
        <w:numPr>
          <w:ilvl w:val="2"/>
          <w:numId w:val="1"/>
        </w:numPr>
        <w:rPr/>
      </w:pPr>
      <w:bookmarkStart w:id="21" w:name="__RefHeading___Toc3127260_2870459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تتميّز الشريعة الإسلاميَّة بمراعاة قوانينها للقيم الأخلاقيَّة في العفة والسَّتر من جهةٍ وعدم التَّضييق على المكلَّف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لاستكشاف رؤية الإسلام في موضوعٍ ملحٍّ لعموم النَّاس ألا وهو كشف المرأة لوجهها وكفيّها أمام الرَّجل الأجنبيّ ونظر الرَّجل إليهما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خلال قراءة النصوص الشرعيّة وعرض آراء مَن يمثّلون الطوائف الإسلاميّة ومناقشتها</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من المسائل الابتلائيّة في المجتمعات الإسلاميّة خروج المرأة أمام الرجل الأجنبيّ كاشفة وجهها وكفَّيها، ونظر الرجل إليها وهي في تلك الحالة، ولم يكن قاصداً للتلذُّذ وبدون دافع الشهوة، فما هو موقف الإسلام تجاه هذه الحالة؟ فهل يمنع الإسلام المرأة من الخروج دون تغطية بدنها من قرنها إلى قدميها، ويحذّر الرجل من أن تقع عيناه على وجهها أو كفَّيها ولو بدون قصد شهوةٍ وتلذُّذ، أو لا يمنع من كذلك؟ وقد اختلفت آراء الفقهاء فيها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محاولة بسيطة في سطور لاستكشاف رؤية الإسلام في هذه القضيّة المهمّة من خلال عرض آراء مَن يمثّلون الطوائف الإسلاميّة ومناقشتها،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حكم نظر الرجل إلى المرأة يمكن أن يقع في صورٍ ثلاثة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إلى امرأةٍ بنظرة شهوةٍ وقصد تلذُّذٍ، وهذا لا إشكال ولا خلاف في حرمته فيما عدا الزوجة بلا استثناء أي جزء من أجزاء بدنها، بلا فرق بين المحارم وغيرها، وبلا فرق بين مَن تلتزم بالحجاب وغيرها، وكذلك بلا فرق بين أن </w:t>
      </w:r>
    </w:p>
    <w:p>
      <w:pPr>
        <w:pStyle w:val="BookText"/>
        <w:rPr/>
      </w:pPr>
      <w:r>
        <w:rPr>
          <w:rFonts w:ascii="Amiri" w:hAnsi="Amiri" w:eastAsia="Amiri" w:cs="Amiri"/>
          <w:color w:val="111111"/>
          <w:sz w:val="28"/>
          <w:sz w:val="28"/>
          <w:szCs w:val="28"/>
          <w:rtl w:val="true"/>
          <w:lang w:bidi="ar-SA"/>
        </w:rPr>
        <w:t>نقول بوجوب ستر جميع البدن على المرأة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إلى جسد امرأةٍ أجنبيّةٍ ملتزمة بالحجاب ما عدا الوجه والكفين وكذلك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أيضاً قد تسالم فقهاء الإسلام على حرمته وإن كان بدون شهوة وقصد تلذُّذ كما تسالموا على حرمة إبداء المرأة جسدها لغير المحارم عدا الوجه والكفّين والرجلين إلّا في حالات خاصّة استثنوها من هذا الحكم، مثل نظر الطبيب لغرض العلاج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النظر إلى وجه وكفَّي المحارم فكاد أن يكون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النساء غير الملتزمات بالحجاب فقد جوّز الكثيرون النظر إلى شعورهن؛ لوجود بعض النصوص الدالّة 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وضوح الأمر في هاتين الصورتين وعدم وجود خلاف معتدٍّ به أعرضت عن التفصيل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استثناء لبعض الأعضاء من جسم المرأة الأجنبيّة أو لا؟ بمعنى هل يوجد لها عضو يجوز لها الكشف عنه أمام الرجل الأجنبيّ بدون ضرورة تقتضيه، ويجوز للرجل أن ينظر إليه إذا لم يكن بقصد التلذُّذ والشهوة، ومع عدم الخوف من الوقوع في الحرام، أو يجب عليها ستر جميع بدنها، ويحرم على الأجنبيّ النظر إلى شيءٍ من جسدها؟</w:t>
      </w:r>
    </w:p>
    <w:p>
      <w:pPr>
        <w:pStyle w:val="BookText"/>
        <w:rPr/>
      </w:pPr>
      <w:r>
        <w:rPr>
          <w:rFonts w:ascii="Amiri" w:hAnsi="Amiri" w:eastAsia="Amiri" w:cs="Amiri"/>
          <w:color w:val="111111"/>
          <w:sz w:val="28"/>
          <w:sz w:val="28"/>
          <w:szCs w:val="28"/>
          <w:rtl w:val="true"/>
          <w:lang w:bidi="ar-SA"/>
        </w:rPr>
        <w:t>فيه أقوالٌ سوف نشير إليها ثُمَّ نتعرّض لأدلّتها للنظر فيها، ونختار ما يبدو صحيحاً منها حسب الظاهر، وبالله التوفيق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 xml:space="preserve">: </w:t>
      </w:r>
      <w:bookmarkStart w:id="23" w:name="pg10921_145120"/>
    </w:p>
    <w:p>
      <w:pPr>
        <w:pStyle w:val="Heading3"/>
        <w:numPr>
          <w:ilvl w:val="2"/>
          <w:numId w:val="1"/>
        </w:numPr>
        <w:rPr/>
      </w:pPr>
      <w:bookmarkStart w:id="24" w:name="__RefHeading___Toc3127262_2870459653"/>
      <w:bookmarkStart w:id="25" w:name="_Toc8"/>
      <w:bookmarkEnd w:id="23"/>
      <w:bookmarkEnd w:id="24"/>
      <w:r>
        <w:rPr>
          <w:rtl w:val="true"/>
        </w:rPr>
        <w:t>المقام الأوَّل</w:t>
      </w:r>
      <w:r>
        <w:rPr>
          <w:rtl w:val="true"/>
        </w:rPr>
        <w:t xml:space="preserve">: </w:t>
      </w:r>
      <w:r>
        <w:rPr>
          <w:rtl w:val="true"/>
        </w:rPr>
        <w:t>الأقوال في المسألة</w:t>
      </w:r>
      <w:bookmarkEnd w:id="25"/>
    </w:p>
    <w:p>
      <w:pPr>
        <w:pStyle w:val="Heading4"/>
        <w:numPr>
          <w:ilvl w:val="3"/>
          <w:numId w:val="1"/>
        </w:numPr>
        <w:rPr/>
      </w:pPr>
      <w:bookmarkStart w:id="26" w:name="__RefHeading___Toc3127264_2870459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127266_2870459653"/>
      <w:bookmarkStart w:id="29" w:name="_Toc10"/>
      <w:bookmarkEnd w:id="28"/>
      <w:r>
        <w:rPr>
          <w:rtl w:val="true"/>
        </w:rPr>
        <w:t>القول الأوَّل</w:t>
      </w:r>
      <w:bookmarkEnd w:id="29"/>
    </w:p>
    <w:p>
      <w:pPr>
        <w:pStyle w:val="BookText"/>
        <w:rPr/>
      </w:pPr>
      <w:r>
        <w:rPr>
          <w:rFonts w:ascii="Amiri" w:hAnsi="Amiri" w:eastAsia="Amiri" w:cs="Amiri"/>
          <w:color w:val="111111"/>
          <w:sz w:val="28"/>
          <w:sz w:val="28"/>
          <w:szCs w:val="28"/>
          <w:rtl w:val="true"/>
          <w:lang w:bidi="ar-SA"/>
        </w:rPr>
        <w:t>لا يجوز للمرأة الكشف عن شيء من جسدها للأجنبيّ، كما لا يجوز للرجل أن ينظر إلى شيء من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هذا القول جمع من علماء الإماميّة فتوى أو احتياطاً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Style w:val="FootnoteAnchor"/>
          <w:rtl w:val="true"/>
        </w:rPr>
        <w:footnoteReference w:id="2"/>
      </w:r>
      <w:r>
        <w:rPr>
          <w:rFonts w:ascii="IRNazanin" w:hAnsi="IRNazanin" w:eastAsia="IRNazanin"/>
          <w:color w:val="111111"/>
          <w:sz w:val="28"/>
          <w:sz w:val="28"/>
          <w:szCs w:val="28"/>
          <w:rtl w:val="true"/>
          <w:lang w:bidi="fa-IR"/>
        </w:rPr>
        <w:t>، وابن البرّاج</w:t>
      </w:r>
      <w:r>
        <w:rPr>
          <w:rStyle w:val="FootnoteAnchor"/>
          <w:rtl w:val="true"/>
        </w:rPr>
        <w:footnoteReference w:id="3"/>
      </w:r>
      <w:r>
        <w:rPr>
          <w:rFonts w:ascii="Amiri" w:hAnsi="Amiri" w:eastAsia="Amiri" w:cs="Amiri"/>
          <w:color w:val="111111"/>
          <w:sz w:val="28"/>
          <w:sz w:val="28"/>
          <w:szCs w:val="28"/>
          <w:rtl w:val="true"/>
          <w:lang w:bidi="ar-SA"/>
        </w:rPr>
        <w:t>، وابن إدريس</w:t>
      </w:r>
      <w:r>
        <w:rPr>
          <w:rStyle w:val="FootnoteAnchor"/>
          <w:rtl w:val="true"/>
        </w:rPr>
        <w:footnoteReference w:id="4"/>
      </w:r>
      <w:r>
        <w:rPr>
          <w:rFonts w:ascii="Amiri" w:hAnsi="Amiri" w:eastAsia="Amiri" w:cs="Amiri"/>
          <w:color w:val="111111"/>
          <w:sz w:val="28"/>
          <w:sz w:val="28"/>
          <w:szCs w:val="28"/>
          <w:rtl w:val="true"/>
          <w:lang w:bidi="ar-SA"/>
        </w:rPr>
        <w:t>، وابن سعيد الحلّيّ</w:t>
      </w:r>
      <w:r>
        <w:rPr>
          <w:rStyle w:val="FootnoteAnchor"/>
          <w:rtl w:val="true"/>
        </w:rPr>
        <w:footnoteReference w:id="5"/>
      </w:r>
      <w:r>
        <w:rPr>
          <w:rFonts w:ascii="Amiri" w:hAnsi="Amiri" w:eastAsia="Amiri" w:cs="Amiri"/>
          <w:color w:val="111111"/>
          <w:sz w:val="28"/>
          <w:sz w:val="28"/>
          <w:szCs w:val="28"/>
          <w:rtl w:val="true"/>
          <w:lang w:bidi="ar-SA"/>
        </w:rPr>
        <w:t>، والعلّامة</w:t>
      </w:r>
      <w:r>
        <w:rPr>
          <w:rStyle w:val="FootnoteAnchor"/>
          <w:rtl w:val="true"/>
        </w:rPr>
        <w:footnoteReference w:id="6"/>
      </w:r>
      <w:r>
        <w:rPr>
          <w:rFonts w:ascii="Amiri" w:hAnsi="Amiri" w:eastAsia="Amiri" w:cs="Amiri"/>
          <w:color w:val="111111"/>
          <w:sz w:val="28"/>
          <w:sz w:val="28"/>
          <w:szCs w:val="28"/>
          <w:rtl w:val="true"/>
          <w:lang w:bidi="ar-SA"/>
        </w:rPr>
        <w:t>، وفخر المحقّقين</w:t>
      </w:r>
      <w:r>
        <w:rPr>
          <w:rStyle w:val="FootnoteAnchor"/>
          <w:rtl w:val="true"/>
        </w:rPr>
        <w:footnoteReference w:id="7"/>
      </w:r>
      <w:r>
        <w:rPr>
          <w:rFonts w:ascii="Amiri" w:hAnsi="Amiri" w:eastAsia="Amiri" w:cs="Amiri"/>
          <w:color w:val="111111"/>
          <w:sz w:val="28"/>
          <w:sz w:val="28"/>
          <w:szCs w:val="28"/>
          <w:rtl w:val="true"/>
          <w:lang w:bidi="ar-SA"/>
        </w:rPr>
        <w:t xml:space="preserve">، والشهيد </w:t>
      </w:r>
      <w:r>
        <w:rPr>
          <w:rStyle w:val="FootnoteAnchor"/>
          <w:rtl w:val="true"/>
        </w:rPr>
        <w:footnoteReference w:id="8"/>
      </w:r>
      <w:r>
        <w:rPr>
          <w:rFonts w:ascii="Amiri" w:hAnsi="Amiri" w:eastAsia="Amiri" w:cs="Amiri"/>
          <w:color w:val="111111"/>
          <w:sz w:val="28"/>
          <w:sz w:val="28"/>
          <w:szCs w:val="28"/>
          <w:rtl w:val="true"/>
          <w:lang w:bidi="ar-SA"/>
        </w:rPr>
        <w:t>، والمحقّق الكركيّ</w:t>
      </w:r>
      <w:r>
        <w:rPr>
          <w:rStyle w:val="FootnoteAnchor"/>
          <w:rtl w:val="true"/>
        </w:rPr>
        <w:footnoteReference w:id="9"/>
      </w:r>
      <w:r>
        <w:rPr>
          <w:rFonts w:ascii="Amiri" w:hAnsi="Amiri" w:eastAsia="Amiri" w:cs="Amiri"/>
          <w:color w:val="111111"/>
          <w:sz w:val="28"/>
          <w:sz w:val="28"/>
          <w:szCs w:val="28"/>
          <w:rtl w:val="true"/>
          <w:lang w:bidi="ar-SA"/>
        </w:rPr>
        <w:t>، والشهيد الثاني</w:t>
      </w:r>
      <w:r>
        <w:rPr>
          <w:rStyle w:val="FootnoteAnchor"/>
          <w:rtl w:val="true"/>
        </w:rPr>
        <w:footnoteReference w:id="10"/>
      </w:r>
      <w:r>
        <w:rPr>
          <w:rFonts w:ascii="Amiri" w:hAnsi="Amiri" w:eastAsia="Amiri" w:cs="Amiri"/>
          <w:color w:val="111111"/>
          <w:sz w:val="28"/>
          <w:sz w:val="28"/>
          <w:szCs w:val="28"/>
          <w:rtl w:val="true"/>
          <w:lang w:bidi="ar-SA"/>
        </w:rPr>
        <w:t>، والفيض الكاشانيّ</w:t>
      </w:r>
      <w:r>
        <w:rPr>
          <w:rStyle w:val="FootnoteAnchor"/>
          <w:rtl w:val="true"/>
        </w:rPr>
        <w:footnoteReference w:id="11"/>
      </w:r>
      <w:r>
        <w:rPr>
          <w:rFonts w:ascii="Amiri" w:hAnsi="Amiri" w:eastAsia="Amiri" w:cs="Amiri"/>
          <w:color w:val="111111"/>
          <w:sz w:val="28"/>
          <w:sz w:val="28"/>
          <w:szCs w:val="28"/>
          <w:rtl w:val="true"/>
          <w:lang w:bidi="ar-SA"/>
        </w:rPr>
        <w:t>، والفاضل الهنديّ</w:t>
      </w:r>
      <w:r>
        <w:rPr>
          <w:rStyle w:val="FootnoteAnchor"/>
          <w:rtl w:val="true"/>
        </w:rPr>
        <w:footnoteReference w:id="12"/>
      </w:r>
      <w:r>
        <w:rPr>
          <w:rFonts w:ascii="Amiri" w:hAnsi="Amiri" w:eastAsia="Amiri" w:cs="Amiri"/>
          <w:color w:val="111111"/>
          <w:sz w:val="28"/>
          <w:sz w:val="28"/>
          <w:szCs w:val="28"/>
          <w:rtl w:val="true"/>
          <w:lang w:bidi="ar-SA"/>
        </w:rPr>
        <w:t>، والشيخ محمّد إسماعيل الخواجوئيّ</w:t>
      </w:r>
      <w:r>
        <w:rPr>
          <w:rStyle w:val="FootnoteAnchor"/>
          <w:rtl w:val="true"/>
        </w:rPr>
        <w:footnoteReference w:id="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والسيّد اليزديّ</w:t>
      </w:r>
      <w:r>
        <w:rPr>
          <w:rStyle w:val="FootnoteAnchor"/>
          <w:rtl w:val="true"/>
        </w:rPr>
        <w:footnoteReference w:id="14"/>
      </w:r>
      <w:r>
        <w:rPr>
          <w:rFonts w:ascii="Amiri" w:hAnsi="Amiri" w:eastAsia="Amiri" w:cs="Amiri"/>
          <w:color w:val="111111"/>
          <w:sz w:val="28"/>
          <w:sz w:val="28"/>
          <w:szCs w:val="28"/>
          <w:rtl w:val="true"/>
          <w:lang w:bidi="ar-SA"/>
        </w:rPr>
        <w:t>، ووافقه بعض مَن علّق على هذه المسألة،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 والمحقّق الحائريّ، والمحقّق النائينيّ</w:t>
      </w:r>
      <w:r>
        <w:rPr>
          <w:rStyle w:val="FootnoteAnchor"/>
          <w:rtl w:val="true"/>
        </w:rPr>
        <w:footnoteReference w:id="15"/>
      </w:r>
      <w:r>
        <w:rPr>
          <w:rFonts w:ascii="Amiri" w:hAnsi="Amiri" w:eastAsia="Amiri" w:cs="Amiri"/>
          <w:color w:val="111111"/>
          <w:sz w:val="28"/>
          <w:sz w:val="28"/>
          <w:szCs w:val="28"/>
          <w:rtl w:val="true"/>
          <w:lang w:bidi="ar-SA"/>
        </w:rPr>
        <w:t>، والسيّد أبو الحسن الأصفهاني</w:t>
      </w:r>
      <w:r>
        <w:rPr>
          <w:rStyle w:val="FootnoteAnchor"/>
          <w:rtl w:val="true"/>
        </w:rPr>
        <w:footnoteReference w:id="16"/>
      </w:r>
      <w:r>
        <w:rPr>
          <w:rFonts w:ascii="Amiri" w:hAnsi="Amiri" w:eastAsia="Amiri" w:cs="Amiri"/>
          <w:color w:val="111111"/>
          <w:sz w:val="28"/>
          <w:sz w:val="28"/>
          <w:szCs w:val="28"/>
          <w:rtl w:val="true"/>
          <w:lang w:bidi="ar-SA"/>
        </w:rPr>
        <w:t>، ومال إلى الحرمة السيّد الحكيم في المستمسك</w:t>
      </w:r>
      <w:r>
        <w:rPr>
          <w:rStyle w:val="FootnoteAnchor"/>
          <w:rtl w:val="true"/>
        </w:rPr>
        <w:footnoteReference w:id="17"/>
      </w:r>
      <w:r>
        <w:rPr>
          <w:rFonts w:ascii="Amiri" w:hAnsi="Amiri" w:eastAsia="Amiri" w:cs="Amiri"/>
          <w:color w:val="111111"/>
          <w:sz w:val="28"/>
          <w:sz w:val="28"/>
          <w:szCs w:val="28"/>
          <w:rtl w:val="true"/>
          <w:lang w:bidi="ar-SA"/>
        </w:rPr>
        <w:t xml:space="preserve">، والسيّد أبو القاسم الخوئي </w:t>
      </w:r>
      <w:r>
        <w:rPr>
          <w:rStyle w:val="FootnoteAnchor"/>
          <w:rtl w:val="true"/>
        </w:rPr>
        <w:footnoteReference w:id="18"/>
      </w:r>
      <w:r>
        <w:rPr>
          <w:rFonts w:ascii="IRNazanin" w:hAnsi="IRNazanin" w:eastAsia="IRNazanin"/>
          <w:color w:val="111111"/>
          <w:sz w:val="28"/>
          <w:sz w:val="28"/>
          <w:szCs w:val="28"/>
          <w:rtl w:val="true"/>
          <w:lang w:bidi="fa-IR"/>
        </w:rPr>
        <w:t>، وبعض الأعلام المتأخّرين عنه،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رضا الگلبايگاني</w:t>
      </w:r>
      <w:r>
        <w:rPr>
          <w:rStyle w:val="FootnoteAnchor"/>
          <w:rtl w:val="true"/>
        </w:rPr>
        <w:footnoteReference w:id="19"/>
      </w:r>
      <w:r>
        <w:rPr>
          <w:rFonts w:ascii="Amiri" w:hAnsi="Amiri" w:eastAsia="Amiri" w:cs="Amiri"/>
          <w:color w:val="111111"/>
          <w:sz w:val="28"/>
          <w:sz w:val="28"/>
          <w:szCs w:val="28"/>
          <w:rtl w:val="true"/>
          <w:lang w:bidi="ar-SA"/>
        </w:rPr>
        <w:t>، والشيخ جواد التبريزي</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محمّد إسحاق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في رسائلهم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عن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علماء العامَّة فقليل منهم مَن أختار هذا القول حسب ما اطّلعنا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قدامة الحنبليّ،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نظر الرجل إلى الأجنبيّة من غير سبب فيحرم عليه النظر إلى جميعها في ظاهر كلام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بعده بأسطر ذكر الأدلّة على هذا الرأي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يختار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منسوب إلى أحمد بن حنبل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عبد الرحمن، حسب نقل محمّد بن أحمد القرطبيّ الأندلسيّ المالكيّ،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أبو بكر بن عبد الرحمن وأحمد إلى أنَّ المرأة كلّها عورة</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الكلام أنَّ أبا بكر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الفقهاء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أحمد في اختيار هذا القول حسب هذا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الشربينيّ</w:t>
      </w:r>
      <w:r>
        <w:rPr>
          <w:rStyle w:val="FootnoteAnchor"/>
          <w:rtl w:val="true"/>
        </w:rPr>
        <w:footnoteReference w:id="23"/>
      </w:r>
      <w:r>
        <w:rPr>
          <w:rFonts w:ascii="Amiri" w:hAnsi="Amiri" w:eastAsia="Amiri" w:cs="Amiri"/>
          <w:color w:val="111111"/>
          <w:sz w:val="28"/>
          <w:sz w:val="28"/>
          <w:szCs w:val="28"/>
          <w:rtl w:val="true"/>
          <w:lang w:bidi="ar-SA"/>
        </w:rPr>
        <w:t>، حيث جعل حرمة النظر حتّى إلى وجه المرأة وكفَّيها ولو بدون خوف الفتنة وقصد التلذُّذ، قولاً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النوويّ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الرجل أن ينظر إلى امرأة أجنبية عنه من غير سبب فلا يجوز له ذلك، لا إلى العورة، ولا إلى غير العورة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سلمان المرداويّ،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المصنِّف وأكثر علماء الحنابلة ذهبوا إلى حرمة النظر إلى الأجنبيَّة مطلقاً، وهذا هو الصحيح، وهو مذهب أحمد</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المصنِّف هو ابن قدامة؛ لأنَّ كتابه هذا بمثابة شرح لكتاب المقنع 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الكلمات أنَّ أحمد وأكثر علماء الحنابلة اختاروا هذا القول مقابل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التشكيك في نسبة هذا القول إلى أحمد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هذه الأقوال وإن لم يصرّح كلُ واحد فيها إلّا بأحد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0" w:name="pg10921_145123"/>
    </w:p>
    <w:p>
      <w:pPr>
        <w:pStyle w:val="BookText"/>
        <w:rPr/>
      </w:pPr>
      <w:bookmarkEnd w:id="30"/>
      <w:r>
        <w:rPr>
          <w:rFonts w:ascii="Amiri" w:hAnsi="Amiri" w:eastAsia="Amiri" w:cs="Amiri"/>
          <w:color w:val="111111"/>
          <w:sz w:val="28"/>
          <w:sz w:val="28"/>
          <w:szCs w:val="28"/>
          <w:rtl w:val="true"/>
          <w:lang w:bidi="ar-SA"/>
        </w:rPr>
        <w:t xml:space="preserve">حرمة نظر الرجل أو وجوب الستر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عامّة 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على الملازمة بين الحكمين ولم ينسب القول بالتفكيك إلّا إلى قليل منهم نسبنا إليهم الحكم الثاني أيضاً، ولا سيّما بالنظر إلى أنّ بعض الأدلّة التي اختاره كلُّ طرف في أحد الحكمين يكفي في إثبات الحكم الآخر كما سوف يأتي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بالنظر إلى دعوى وجود ارتكاز الملازمة بين الحكمين عند المتشرّعة وسوف يأتي تقريبها أيضاً، فكأنّ الأصل هو أنّ من أفتى بوجوب الستر على المرأة لجميع بدنها أفتى بحرمة نظر الرجل إليها مطلقاً،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تعاملنا مع الأقوال التي نذكرها لاحقاً إلّا من وجدنا منه التصريح بالتفكيك بين الحكمين</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127268_2870459653"/>
      <w:bookmarkStart w:id="32" w:name="_Toc11"/>
      <w:bookmarkEnd w:id="31"/>
      <w:r>
        <w:rPr>
          <w:rtl w:val="true"/>
        </w:rPr>
        <w:t>القول الثاني</w:t>
      </w:r>
      <w:bookmarkEnd w:id="32"/>
    </w:p>
    <w:p>
      <w:pPr>
        <w:pStyle w:val="BookText"/>
        <w:rPr/>
      </w:pPr>
      <w:r>
        <w:rPr>
          <w:rFonts w:ascii="Amiri" w:hAnsi="Amiri" w:eastAsia="Amiri" w:cs="Amiri"/>
          <w:color w:val="111111"/>
          <w:sz w:val="28"/>
          <w:sz w:val="28"/>
          <w:szCs w:val="28"/>
          <w:rtl w:val="true"/>
          <w:lang w:bidi="ar-SA"/>
        </w:rPr>
        <w:t>يجوز للمرأة الكشف عن وجهها وكفَّيها أمام الرجال الأجانب، كما يجوز للأجنبيِّ النظر إلى وجه المرأة وكفَّيها إذا كان بدون شهوة وقصد التلذُّذ، ولا خوف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هذا القول كثير من علماء الإماميَّة،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يمكن أن يدّعى أن هذا القول هو ظاهر كلامه، حيث ذكر في كتابه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الصبي إذا احتلم الصيام، وعلى المرأة إذا حاضت الصيام والخمار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يذكر ما يخالف هذه الرواية يظهر اختياره لها والإفتاء بها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الرواية أنَّ المرأة إذا بلغت يجب عليها الخمار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البحث عن معنى الخمار، وأنَّه ثوب يستر الرأس دون الوجه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في الرواية احتمال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وجوب الخمار هو ستر الرأس في الصلاة؛ لأنَّ الصبية لا يجب عليها ستر الرأس،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يبيّن حكم المرأة من حيث الصيام والصلاة، وليس في مقام بيان مقدار ما تستره المرأة من جسمها أمام الأجنبيّ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يصعب الاعتماد على هذا الكلام في نسبة هذا القول إلى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 أن ينظر إلى وجه امرأة ليست له بمحرم ليلتذ بذلك</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هذا الكلام أنَّ النظر إلى وجه المرأة بلا قصد التلذُّذ ليس بحرام عنده، وإلَّا لزم لغوية هذا القيد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ادّعى الإجماع على هذا القول</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ذلك كلٌّ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القرآن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المؤتلف من المختلف</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النكاح</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قلائده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الأعلام المتأخّرين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محمد سعيد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الشبيريّ الزنجانيّ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والفاضل اللنكرانيّ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رسائلهم العمليَّة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علماء العامّة فأكثرهم ذهب إلى هذا القول،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السرخسيّ الحنفيّ،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النظر إلى وجه وكفَّي الأجنبيَّة، وهو قول ابن عباس وعليّ</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 جواز النظر إلى ابن عباس،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القرطبيّ المالكيّ،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مسألة حدّ العورة في المرأة فأكثر العلماء على أنَّ بدنها كلّه عورة ما خلا الوجه والكفَّين</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الجواز إلى الأكثر وإن كان مختاره الحرمة، كما 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الأندلسيّ الظاهريّ في المحلّى،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 جميع جسمها، حاشا الوجه والكفَّين فقط</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سلمان المرداويّ في الإنصاف، نسب القول بالجواز إلى جماعة من الحنابلة والقاضي، وحكى عن الشيخ تقي الدين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يحرم النظر إلى وجه الأجنبيّة لغير حاجة؟ رواية عن الإمام أحمد يكره ولا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ابن عقيل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النظر إلى وجه الأجنبيّة إذا أمن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يسع الناس غيره خصوصاً للجيران والأقارب غير المحارم الذين نشأ بينهم، وهو مذهب الشافعيّ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 الدين الألبانيّ السلفيّ،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تتبُّعنا الآيات القرآنية، والسُنّة المحمَّديَّة، والآثار السلفيَّة في هذا الموضوع الهامّ، قد بيّن لنا أنَّ المرأة إذا خرجت من دارها وجب عليها أن تستر جميع بدنها، وأن لا تظهر شيئاً من زينتها، حاشا وجهها وكفَّيها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شاءت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الشافعيّة القول بالجواز مع الكراهة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هذه العبارات أنَّ أكثر علماء العامّة ذهبوا إلى الجواز، واشتهرت نسبة القول بالحرمة إلى أحمد بن حنبل، وإن كان تقيّ الدين نسب إليه الكراهة نافياً نسبة الحرمة، حسب نقل المرداويّ</w:t>
      </w:r>
      <w:r>
        <w:rPr>
          <w:rFonts w:eastAsia="Amiri" w:cs="Amiri" w:ascii="Amiri" w:hAnsi="Amiri"/>
          <w:color w:val="111111"/>
          <w:sz w:val="28"/>
          <w:szCs w:val="28"/>
          <w:rtl w:val="true"/>
          <w:lang w:bidi="ar-SA"/>
        </w:rPr>
        <w:t xml:space="preserve">. </w:t>
      </w:r>
      <w:bookmarkStart w:id="33" w:name="pg10921_145127"/>
    </w:p>
    <w:p>
      <w:pPr>
        <w:pStyle w:val="Heading4"/>
        <w:numPr>
          <w:ilvl w:val="3"/>
          <w:numId w:val="1"/>
        </w:numPr>
        <w:rPr/>
      </w:pPr>
      <w:bookmarkStart w:id="34" w:name="__RefHeading___Toc3127270_2870459653"/>
      <w:bookmarkStart w:id="35" w:name="_Toc12"/>
      <w:bookmarkEnd w:id="33"/>
      <w:bookmarkEnd w:id="34"/>
      <w:r>
        <w:rPr>
          <w:rtl w:val="true"/>
        </w:rPr>
        <w:t>القول الثالث</w:t>
      </w:r>
      <w:bookmarkEnd w:id="35"/>
    </w:p>
    <w:p>
      <w:pPr>
        <w:pStyle w:val="BookText"/>
        <w:rPr/>
      </w:pPr>
      <w:r>
        <w:rPr>
          <w:rFonts w:ascii="Amiri" w:hAnsi="Amiri" w:eastAsia="Amiri" w:cs="Amiri"/>
          <w:color w:val="111111"/>
          <w:sz w:val="28"/>
          <w:sz w:val="28"/>
          <w:szCs w:val="28"/>
          <w:rtl w:val="true"/>
          <w:lang w:bidi="ar-SA"/>
        </w:rPr>
        <w:t>يجوز للمرأة الكشف عن وجهها وكفَّيها، ولكنّه لا يجوز للرجل الأجنبيّ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هذا الرأي صاحب الجواهر</w:t>
      </w:r>
      <w:r>
        <w:rPr>
          <w:rStyle w:val="FootnoteAnchor"/>
          <w:rtl w:val="true"/>
        </w:rPr>
        <w:footnoteReference w:id="43"/>
      </w:r>
      <w:r>
        <w:rPr>
          <w:rFonts w:ascii="Amiri" w:hAnsi="Amiri" w:eastAsia="Amiri" w:cs="Amiri"/>
          <w:color w:val="111111"/>
          <w:sz w:val="28"/>
          <w:sz w:val="28"/>
          <w:szCs w:val="28"/>
          <w:rtl w:val="true"/>
          <w:lang w:bidi="ar-SA"/>
        </w:rPr>
        <w:t xml:space="preserve">، ومال إليه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127272_2870459653"/>
      <w:bookmarkStart w:id="37" w:name="_Toc13"/>
      <w:bookmarkEnd w:id="36"/>
      <w:r>
        <w:rPr>
          <w:rtl w:val="true"/>
        </w:rPr>
        <w:t>القول الرابع</w:t>
      </w:r>
      <w:bookmarkEnd w:id="37"/>
    </w:p>
    <w:p>
      <w:pPr>
        <w:pStyle w:val="BookText"/>
        <w:rPr/>
      </w:pPr>
      <w:r>
        <w:rPr>
          <w:rFonts w:ascii="Amiri" w:hAnsi="Amiri" w:eastAsia="Amiri" w:cs="Amiri"/>
          <w:color w:val="111111"/>
          <w:sz w:val="28"/>
          <w:sz w:val="28"/>
          <w:szCs w:val="28"/>
          <w:rtl w:val="true"/>
          <w:lang w:bidi="ar-SA"/>
        </w:rPr>
        <w:t>يجوز للرجل أن ينظر إلى وجه المرأة وكفَّيها مرةً واحدةً، ولا يجوز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المحقّق</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w:t>
      </w:r>
      <w:r>
        <w:rPr>
          <w:rStyle w:val="FootnoteAnchor"/>
          <w:rtl w:val="true"/>
        </w:rPr>
        <w:footnoteReference w:id="46"/>
      </w:r>
      <w:r>
        <w:rPr>
          <w:rFonts w:ascii="Amiri" w:hAnsi="Amiri" w:eastAsia="Amiri" w:cs="Amiri"/>
          <w:color w:val="111111"/>
          <w:sz w:val="28"/>
          <w:sz w:val="28"/>
          <w:szCs w:val="28"/>
          <w:rtl w:val="true"/>
          <w:lang w:bidi="ar-SA"/>
        </w:rPr>
        <w:t xml:space="preserve">، والشهيد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مقصود القائل بهذا القول أنَّه لا يجوز للرجل النظر بالتكرار مع حرمة الكشف للمرأة، أو أنَّ مقصوده أنَّ المرأة يجوز لها الكشف؟</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مرادهم هو الثاني، وحينئذٍ فهذا القول يكون قريباً من القول الثالث الذي اختاره صاحب الجواهر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ساترة جميع جسدها ما عدا الوجه والكفَّين وظاهر القدمين، على تردُّد في القدمين</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ينظر إلى وجهها وكفَّيها على كراهية مرّةً، ولا يجوز معاودة النظر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وعبارته ظاهرة في الإطلاق، من جهة أنَّها قامت للصلاة في معرض وقوع نظر الأجانب عليها، أو كانت مأمونة من هذا </w:t>
      </w:r>
      <w:bookmarkStart w:id="38" w:name="pg10921_145128"/>
    </w:p>
    <w:p>
      <w:pPr>
        <w:pStyle w:val="BookText"/>
        <w:rPr/>
      </w:pPr>
      <w:bookmarkEnd w:id="38"/>
      <w:r>
        <w:rPr>
          <w:rFonts w:ascii="Amiri" w:hAnsi="Amiri" w:eastAsia="Amiri" w:cs="Amiri"/>
          <w:color w:val="111111"/>
          <w:sz w:val="28"/>
          <w:sz w:val="28"/>
          <w:szCs w:val="28"/>
          <w:rtl w:val="true"/>
          <w:lang w:bidi="ar-SA"/>
        </w:rPr>
        <w:t>الجانب، ومعه لم يقل بوجوب ستر الوجه والكفَّين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127274_2870459653"/>
      <w:bookmarkStart w:id="40" w:name="_Toc14"/>
      <w:bookmarkEnd w:id="39"/>
      <w:r>
        <w:rPr>
          <w:rtl w:val="true"/>
        </w:rPr>
        <w:t>القول الخامس</w:t>
      </w:r>
      <w:bookmarkEnd w:id="40"/>
    </w:p>
    <w:p>
      <w:pPr>
        <w:pStyle w:val="BookText"/>
        <w:rPr/>
      </w:pPr>
      <w:r>
        <w:rPr>
          <w:rFonts w:ascii="Amiri" w:hAnsi="Amiri" w:eastAsia="Amiri" w:cs="Amiri"/>
          <w:color w:val="111111"/>
          <w:sz w:val="28"/>
          <w:sz w:val="28"/>
          <w:szCs w:val="28"/>
          <w:rtl w:val="true"/>
          <w:lang w:bidi="ar-SA"/>
        </w:rPr>
        <w:t>يجوز للمرأة الكشف عن قدميها مضافاً إلى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من الإماميَّة ابن أبي المجد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أعضاء من جسد المرأة يجوز النظر إليها، ثُمَّ ذكر مرسلة مروك بن عبيد التي دلّت على جواز النظر إلى الوجه والكفَّين والقدمين من المرأة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هذا القول إلى أبي حنيفة من العامّة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1" w:name="pg10921_145129"/>
    </w:p>
    <w:p>
      <w:pPr>
        <w:pStyle w:val="Heading3"/>
        <w:numPr>
          <w:ilvl w:val="2"/>
          <w:numId w:val="1"/>
        </w:numPr>
        <w:rPr/>
      </w:pPr>
      <w:bookmarkStart w:id="42" w:name="__RefHeading___Toc3127276_2870459653"/>
      <w:bookmarkStart w:id="43" w:name="_Toc15"/>
      <w:bookmarkEnd w:id="41"/>
      <w:bookmarkEnd w:id="42"/>
      <w:r>
        <w:rPr>
          <w:rtl w:val="true"/>
        </w:rPr>
        <w:t>المقام الثّاني</w:t>
      </w:r>
      <w:r>
        <w:rPr>
          <w:rtl w:val="true"/>
        </w:rPr>
        <w:t xml:space="preserve">: </w:t>
      </w:r>
      <w:r>
        <w:rPr>
          <w:rtl w:val="true"/>
        </w:rPr>
        <w:t>في ذكر أدلّة الأقوال</w:t>
      </w:r>
      <w:bookmarkEnd w:id="43"/>
    </w:p>
    <w:p>
      <w:pPr>
        <w:pStyle w:val="Heading4"/>
        <w:numPr>
          <w:ilvl w:val="3"/>
          <w:numId w:val="1"/>
        </w:numPr>
        <w:rPr/>
      </w:pPr>
      <w:bookmarkStart w:id="44" w:name="__RefHeading___Toc3127278_2870459653"/>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أدلة القول الأوَّل</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127280_2870459653"/>
      <w:bookmarkStart w:id="47" w:name="_Toc17"/>
      <w:bookmarkEnd w:id="46"/>
      <w:r>
        <w:rPr>
          <w:rtl w:val="true"/>
        </w:rPr>
        <w:t>الدليل الأوَّل</w:t>
      </w:r>
      <w:r>
        <w:rPr>
          <w:rtl w:val="true"/>
        </w:rPr>
        <w:t xml:space="preserve">: </w:t>
      </w:r>
      <w:r>
        <w:rPr>
          <w:rtl w:val="true"/>
        </w:rPr>
        <w:t>الكتاب</w:t>
      </w:r>
      <w:bookmarkEnd w:id="47"/>
    </w:p>
    <w:p>
      <w:pPr>
        <w:pStyle w:val="Heading5"/>
        <w:numPr>
          <w:ilvl w:val="4"/>
          <w:numId w:val="1"/>
        </w:numPr>
        <w:rPr/>
      </w:pPr>
      <w:bookmarkStart w:id="48" w:name="__RefHeading___Toc3127282_2870459653"/>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وهي آيات</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127284_2870459653"/>
      <w:bookmarkStart w:id="51" w:name="_Toc19"/>
      <w:bookmarkEnd w:id="50"/>
      <w:r>
        <w:rPr>
          <w:rtl w:val="true"/>
        </w:rPr>
        <w:t>الآية الأولى</w:t>
      </w:r>
      <w:bookmarkEnd w:id="51"/>
    </w:p>
    <w:p>
      <w:pPr>
        <w:pStyle w:val="Heading6"/>
        <w:numPr>
          <w:ilvl w:val="5"/>
          <w:numId w:val="1"/>
        </w:numPr>
        <w:rPr/>
      </w:pPr>
      <w:bookmarkStart w:id="52" w:name="__RefHeading___Toc3127286_2870459653"/>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قال الله سبحانه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 وَلْيَضْرِبْنَ بِخُمُرِهِنَّ عَلَى جُيُوبِهِنَّ وَلَا يُبْدِينَ زِينَتَهُنَّ إِلَّا لِبُعُولَتِهِنَّ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الآية على حرمة نظر الأجنبيّ إلى الأجنبيّة مطلقاً، وحرمة كشف شيء من بدنها بتقريبات</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3127288_2870459653"/>
      <w:bookmarkStart w:id="55" w:name="_Toc21"/>
      <w:bookmarkEnd w:id="54"/>
      <w:r>
        <w:rPr>
          <w:rtl w:val="true"/>
        </w:rPr>
        <w:t>التقريب الأوَّل</w:t>
      </w:r>
      <w:bookmarkEnd w:id="55"/>
    </w:p>
    <w:p>
      <w:pPr>
        <w:pStyle w:val="BookText"/>
        <w:rPr/>
      </w:pPr>
      <w:r>
        <w:rPr>
          <w:rFonts w:ascii="Amiri" w:hAnsi="Amiri" w:eastAsia="Amiri" w:cs="Amiri"/>
          <w:color w:val="111111"/>
          <w:sz w:val="28"/>
          <w:sz w:val="28"/>
          <w:szCs w:val="28"/>
          <w:rtl w:val="true"/>
          <w:lang w:bidi="ar-SA"/>
        </w:rPr>
        <w:t xml:space="preserve">ما جاء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معناه الظهور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لَهُمَا سَوْآَتُهُمَا، والإبداء معناه الإظهار فإذا كان هذا متعلّقاً بشيء ولم يكن متعدّياً باللام يكون في مقابل الستر، وإذا كان متعلّقاً باللام كان في مقابل الإخفاء بمعنى الإعلام والإراءة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ستر عورته وليس له إظهارها في ما إذا كان يحتمل وجود ناظر محترم، وكذلك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بدن المرأة كلّه عورة فيراد به ذلك، وأمّا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أبديت لزيد رأيي أو مالي،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 وأريته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معنى الآية الكريمة،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يُبْدِينَ زِينَتَهُنَّ إِلَّا مَا ظَهَرَ مِنْهَا إنَّما يفيد وجوب ستر البدن الذي هو موضع الزينة، وحرمة كشفه ما عدا الوجه واليدين؛ لأنَّهما من الزينة الظاهرة، فيستفاد منه أنَّ حال بدن المرأة حال عورة الرجل لا بُدَّ من ستره بحيث لا يطّلع عليه غيرها باستثناء الوجه واليدين فإنّهما لا يجب سترهما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لكنّك عرفت أنَّ ذلك لا يلزم منه جواز نظر الرجل إليهما، في حين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 يفيد حرمة إظهار بدنها وجعل الغير مطّلعاً عليه وإراءته مطلقاً من دون فرق بين الوجه واليدين وغيرهما، إلّا لزوجها والمذكورين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بملاحظة النصوص الواردة في تفسير الزينة تفيد الحكمين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ظهور الزينة في حدّ نفسه، فتفيد ستر غير الظاهرة منها، دون الظاهرة التي هي الوجه واليدان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إظهار الزينة للغير، فتفيد حرمته مطلقاً، من دون فرق بين الظاهرة والباطنة إلّا للمذكورين في الآية الكريمة حيث يجوز لها الإظهار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حرمة الإظهار ووجوب التستّر تلازم حرمة النظر إليها فتكون الآية الكريمة أَوْلى بالاستدلال بها على عدم الجواز من الاستدلال بها على الجواز</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ومقصود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 النصوص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لولا النصوص في المقام لحملنا لفظ الزينة على ما يتزيّن به المرء لا محلّ الزينة، لكنّه بملاحظة النصوص يُفهم أنَّ المراد به هو مواضع الزينة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تفسير هذه الآية الكريمة تؤكِّد ما ذكرناه من التفصيل في الزينة بين ما يجب سترها في نفسه، وما يحرم إبداؤها لغير الزوج، فإنَّ بعضها تسأل عن القسم الأوّل، وبعضها الآخر تسأل عن القسم الثاني في الآية الكريمة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يُبْدِينَ زِينَتَهُنَّ 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صريحة في أنَّ السؤال عن القسم الأوّل من الآية الكريمة دون القسم الثاني فلا تدلّ إلَّا على جواز كشف الوجه واليدين، وعدم وجوب سترهما في نفسه، وقد عرفت أنَّ ذلك لا يلازم جواز النظر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الفضيل، حيث ورد السؤال فيها عن الذراعين من المرأة أهما من الزينة التي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w:t>
      </w:r>
      <w:r>
        <w:rPr>
          <w:rFonts w:ascii="IRNazanin" w:hAnsi="IRNazanin" w:eastAsia="IRNazanin"/>
          <w:color w:val="111111"/>
          <w:sz w:val="28"/>
          <w:sz w:val="28"/>
          <w:szCs w:val="28"/>
          <w:rtl w:val="true"/>
          <w:lang w:bidi="fa-IR"/>
        </w:rPr>
        <w:t xml:space="preserve">؟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على حرمة إبدائهما لغير الزوج ومَن ذُكر في الآية الكريمة، فبملاحظة هذه النصوص يتّضح جلياً أنَّ ما تفسره معتبرة أبي بصير غير ما تفسره صحيحة الفضيل، وأنَّهما منضمّان إنّما يفيدان أنَّ الزينة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يجب ستره في نفسه، وهو ما عدا الوجه والكفَّين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منها لا يجوز إبداؤه لغير المذكورين في الآية الكريمة مطلقاً، وهو تمام البدن من دون استثناء</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ويتفرَّع على كلامه أحكام،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كشف المرأة وجهها وكفَّيها في حدّ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نظر الأجنبيّ إلى بدن الأجنبيّة مطلقاً حتّى الوجه والكفَّين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اطّلاع الرجل الأجنبيّ على شيء من بدنها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سبقه إلى هذا التفسير للآية السيّد باقر الكشميريّ</w:t>
      </w:r>
      <w:r>
        <w:rPr>
          <w:rStyle w:val="FootnoteAnchor"/>
          <w:rtl w:val="true"/>
        </w:rPr>
        <w:footnoteReference w:id="58"/>
      </w:r>
      <w:r>
        <w:rPr>
          <w:rFonts w:ascii="Amiri" w:hAnsi="Amiri" w:eastAsia="Amiri" w:cs="Amiri"/>
          <w:color w:val="111111"/>
          <w:sz w:val="28"/>
          <w:sz w:val="28"/>
          <w:szCs w:val="28"/>
          <w:rtl w:val="true"/>
          <w:lang w:bidi="ar-SA"/>
        </w:rPr>
        <w:t>حسب ما نقل عنه السيّد عليّ نقيّ في كتابه إثبات الحجاب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لفظ الزينة في الآية الكريمة مواضع الزينة ولو بمعونة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الإبداء بدون التعدّي باللام يعطي معنى غير المعنى الذي يعطيه عند التعدّي باللّام، فالأوّل هو الإظهار في نفسه مقابل الستر، والثاني هو جعل الغير مطّلعاً على الشيء الذي أظهره مقابل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جواز الكشف عن الوجه والكفَّين للمرأة وبين جواز نظر الرجل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الزينة في الفقرة الثانية من الآية،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 بدن المرأة كلّه بدون استثناء شيء منه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ملازمة بين حرمة الكشف للغير وبين حرمة نظر الغير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تفسير الآية تؤيِّد التفصيل الذي اختاره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المناقشة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الزينة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قطع النظر عن الروايات الواردة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إرادة ما تتزيّن به المرأة لا مواضعها، ولكن الروايات فسّرت الزينة بمواضعها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النزاع قديماً وحديثاً في المراد من لفظ الزينة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فقد ذهب بعض المفسّرين والفقهاء إلى أنَّ المراد هو مواضع الزينة، والبعض الآخر ذهب إلى أنَّ المراد هو ما تتزيّن به المرأة من الثياب والقلادة والسوار وغير ذلك، وأكثر من قال بالقول الأوَّل اعترف بأنَّ الزينة في نفسها ظاهرة في ما يتزيّن به المرء، ولكن بقرينة المقام أو الروايات يفسّر بمواضعها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إطلاق الحال وإرادة المحل منه، أو بتقدير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ملاحظة القول الأوَّل في الخلاف للشيخ</w:t>
      </w:r>
      <w:r>
        <w:rPr>
          <w:rStyle w:val="FootnoteAnchor"/>
          <w:rtl w:val="true"/>
        </w:rPr>
        <w:footnoteReference w:id="60"/>
      </w:r>
      <w:r>
        <w:rPr>
          <w:rFonts w:ascii="Amiri" w:hAnsi="Amiri" w:eastAsia="Amiri" w:cs="Amiri"/>
          <w:color w:val="111111"/>
          <w:sz w:val="28"/>
          <w:sz w:val="28"/>
          <w:szCs w:val="28"/>
          <w:rtl w:val="true"/>
          <w:lang w:bidi="ar-SA"/>
        </w:rPr>
        <w:t>، وأحكام القرآن للجصّاص</w:t>
      </w:r>
      <w:r>
        <w:rPr>
          <w:rStyle w:val="FootnoteAnchor"/>
          <w:rtl w:val="true"/>
        </w:rPr>
        <w:footnoteReference w:id="61"/>
      </w:r>
      <w:r>
        <w:rPr>
          <w:rFonts w:ascii="IRNazanin" w:hAnsi="IRNazanin" w:eastAsia="IRNazanin"/>
          <w:color w:val="111111"/>
          <w:sz w:val="28"/>
          <w:sz w:val="28"/>
          <w:szCs w:val="28"/>
          <w:rtl w:val="true"/>
          <w:lang w:bidi="fa-IR"/>
        </w:rPr>
        <w:t>، ومتشابه القرآن ومختلفه لابن شهرآشوب</w:t>
      </w:r>
      <w:r>
        <w:rPr>
          <w:rStyle w:val="FootnoteAnchor"/>
          <w:rtl w:val="true"/>
        </w:rPr>
        <w:footnoteReference w:id="62"/>
      </w:r>
      <w:r>
        <w:rPr>
          <w:rFonts w:ascii="Amiri" w:hAnsi="Amiri" w:eastAsia="Amiri" w:cs="Amiri"/>
          <w:color w:val="111111"/>
          <w:sz w:val="28"/>
          <w:sz w:val="28"/>
          <w:szCs w:val="28"/>
          <w:rtl w:val="true"/>
          <w:lang w:bidi="ar-SA"/>
        </w:rPr>
        <w:t>، ومجمع البيان للطبرسيّ</w:t>
      </w:r>
      <w:r>
        <w:rPr>
          <w:rStyle w:val="FootnoteAnchor"/>
          <w:rtl w:val="true"/>
        </w:rPr>
        <w:footnoteReference w:id="63"/>
      </w:r>
      <w:r>
        <w:rPr>
          <w:rFonts w:ascii="Amiri" w:hAnsi="Amiri" w:eastAsia="Amiri" w:cs="Amiri"/>
          <w:color w:val="111111"/>
          <w:sz w:val="28"/>
          <w:sz w:val="28"/>
          <w:szCs w:val="28"/>
          <w:rtl w:val="true"/>
          <w:lang w:bidi="ar-SA"/>
        </w:rPr>
        <w:t>، وزبدة البيان في أحكام القرآن للأردبيليّ</w:t>
      </w:r>
      <w:r>
        <w:rPr>
          <w:rStyle w:val="FootnoteAnchor"/>
          <w:rtl w:val="true"/>
        </w:rPr>
        <w:footnoteReference w:id="64"/>
      </w:r>
      <w:r>
        <w:rPr>
          <w:rFonts w:ascii="Amiri" w:hAnsi="Amiri" w:eastAsia="Amiri" w:cs="Amiri"/>
          <w:color w:val="111111"/>
          <w:sz w:val="28"/>
          <w:sz w:val="28"/>
          <w:szCs w:val="28"/>
          <w:rtl w:val="true"/>
          <w:lang w:bidi="ar-SA"/>
        </w:rPr>
        <w:t xml:space="preserve">، ومسالك الأفهام إلى آيات الأحكام للفاضل الشيخ جواد </w:t>
      </w:r>
    </w:p>
    <w:p>
      <w:pPr>
        <w:pStyle w:val="BookText"/>
        <w:rPr/>
      </w:pPr>
      <w:r>
        <w:rPr>
          <w:rFonts w:ascii="Amiri" w:hAnsi="Amiri" w:eastAsia="Amiri" w:cs="Amiri"/>
          <w:color w:val="111111"/>
          <w:sz w:val="28"/>
          <w:sz w:val="28"/>
          <w:szCs w:val="28"/>
          <w:rtl w:val="true"/>
          <w:lang w:bidi="ar-SA"/>
        </w:rPr>
        <w:t>ابن سعيد الكاظميّ</w:t>
      </w:r>
      <w:r>
        <w:rPr>
          <w:rStyle w:val="FootnoteAnchor"/>
          <w:rtl w:val="true"/>
        </w:rPr>
        <w:footnoteReference w:id="65"/>
      </w:r>
      <w:r>
        <w:rPr>
          <w:rFonts w:ascii="Amiri" w:hAnsi="Amiri" w:eastAsia="Amiri" w:cs="Amiri"/>
          <w:color w:val="111111"/>
          <w:sz w:val="28"/>
          <w:sz w:val="28"/>
          <w:szCs w:val="28"/>
          <w:rtl w:val="true"/>
          <w:lang w:bidi="ar-SA"/>
        </w:rPr>
        <w:t>، وإرشاد الأذهان في تفسير القرآن للشيخ محمّد حبيب الله السبزواريّ</w:t>
      </w:r>
      <w:r>
        <w:rPr>
          <w:rStyle w:val="FootnoteAnchor"/>
          <w:rtl w:val="true"/>
        </w:rPr>
        <w:footnoteReference w:id="66"/>
      </w:r>
      <w:r>
        <w:rPr>
          <w:rFonts w:ascii="Amiri" w:hAnsi="Amiri" w:eastAsia="Amiri" w:cs="Amiri"/>
          <w:color w:val="111111"/>
          <w:sz w:val="28"/>
          <w:sz w:val="28"/>
          <w:szCs w:val="28"/>
          <w:rtl w:val="true"/>
          <w:lang w:bidi="ar-SA"/>
        </w:rPr>
        <w:t>، والميزان في تفسير القرآن للسيد الطباطبائيّ</w:t>
      </w:r>
      <w:r>
        <w:rPr>
          <w:rStyle w:val="FootnoteAnchor"/>
          <w:rtl w:val="true"/>
        </w:rPr>
        <w:footnoteReference w:id="67"/>
      </w:r>
      <w:r>
        <w:rPr>
          <w:rFonts w:ascii="Amiri" w:hAnsi="Amiri" w:eastAsia="Amiri" w:cs="Amiri"/>
          <w:color w:val="111111"/>
          <w:sz w:val="28"/>
          <w:sz w:val="28"/>
          <w:szCs w:val="28"/>
          <w:rtl w:val="true"/>
          <w:lang w:bidi="ar-SA"/>
        </w:rPr>
        <w:t>، والبلاغ في تفسير القرآن بالقرآن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قال بالقول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التبيان</w:t>
      </w:r>
      <w:r>
        <w:rPr>
          <w:rStyle w:val="FootnoteAnchor"/>
          <w:rtl w:val="true"/>
        </w:rPr>
        <w:footnoteReference w:id="69"/>
      </w:r>
      <w:r>
        <w:rPr>
          <w:rFonts w:ascii="Amiri" w:hAnsi="Amiri" w:eastAsia="Amiri" w:cs="Amiri"/>
          <w:color w:val="111111"/>
          <w:sz w:val="28"/>
          <w:sz w:val="28"/>
          <w:szCs w:val="28"/>
          <w:rtl w:val="true"/>
          <w:lang w:bidi="ar-SA"/>
        </w:rPr>
        <w:t>، والزمخشريّ</w:t>
      </w:r>
      <w:r>
        <w:rPr>
          <w:rStyle w:val="FootnoteAnchor"/>
          <w:rtl w:val="true"/>
        </w:rPr>
        <w:footnoteReference w:id="70"/>
      </w:r>
      <w:r>
        <w:rPr>
          <w:rFonts w:ascii="Amiri" w:hAnsi="Amiri" w:eastAsia="Amiri" w:cs="Amiri"/>
          <w:color w:val="111111"/>
          <w:sz w:val="28"/>
          <w:sz w:val="28"/>
          <w:szCs w:val="28"/>
          <w:rtl w:val="true"/>
          <w:lang w:bidi="ar-SA"/>
        </w:rPr>
        <w:t>، والجرجانيّ</w:t>
      </w:r>
      <w:r>
        <w:rPr>
          <w:rStyle w:val="FootnoteAnchor"/>
          <w:rtl w:val="true"/>
        </w:rPr>
        <w:footnoteReference w:id="71"/>
      </w:r>
      <w:r>
        <w:rPr>
          <w:rFonts w:ascii="IRNazanin" w:hAnsi="IRNazanin" w:eastAsia="IRNazanin"/>
          <w:color w:val="111111"/>
          <w:sz w:val="28"/>
          <w:sz w:val="28"/>
          <w:szCs w:val="28"/>
          <w:rtl w:val="true"/>
          <w:lang w:bidi="fa-IR"/>
        </w:rPr>
        <w:t>، والفاضل المقداد</w:t>
      </w:r>
      <w:r>
        <w:rPr>
          <w:rStyle w:val="FootnoteAnchor"/>
          <w:rtl w:val="true"/>
        </w:rPr>
        <w:footnoteReference w:id="72"/>
      </w:r>
      <w:r>
        <w:rPr>
          <w:rFonts w:ascii="Amiri" w:hAnsi="Amiri" w:eastAsia="Amiri" w:cs="Amiri"/>
          <w:color w:val="111111"/>
          <w:sz w:val="28"/>
          <w:sz w:val="28"/>
          <w:szCs w:val="28"/>
          <w:rtl w:val="true"/>
          <w:lang w:bidi="ar-SA"/>
        </w:rPr>
        <w:t>، والآلوسيّ</w:t>
      </w:r>
      <w:r>
        <w:rPr>
          <w:rStyle w:val="FootnoteAnchor"/>
          <w:rtl w:val="true"/>
        </w:rPr>
        <w:footnoteReference w:id="73"/>
      </w:r>
      <w:r>
        <w:rPr>
          <w:rFonts w:ascii="Amiri" w:hAnsi="Amiri" w:eastAsia="Amiri" w:cs="Amiri"/>
          <w:color w:val="111111"/>
          <w:sz w:val="28"/>
          <w:sz w:val="28"/>
          <w:szCs w:val="28"/>
          <w:rtl w:val="true"/>
          <w:lang w:bidi="ar-SA"/>
        </w:rPr>
        <w:t>، والإشتهارديّ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بين العلماء 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إمكان إرادة المعنى العامّ الجامع لكلا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يتزيّن به، ومواضع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يمكن أن يدّعى عدم اختصاص لفظ الزينة بشيء منهما، بل الزينة هو مطلق ما يحسّن به شيء ويجمّل سواء حصل من ذات الشيء، أو بضمّ شيء من خارجه؛ لأنَّ الزينة اسم من الزَيْن وهو يقابل الشَيْن، فتخصيص الزينة بما هو من خارج الشيء هو من تخصيص المعنى العامّ بأحد أفراده لكثرة الاستعمال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يشهد بصحّة هذه الدعوى كلام بعض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يشين الإنسان في شيء من أحواله لا في الدنيا ولا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والزينة بالقول المجمل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نفسيّة كالعلم والاعتقادات الحسنة، وزينة بدنيّة كالقوّة وطول القامة، وزينة خارجية كالمال والجاه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 ويوم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رَبِّ إذ صَيَّرْتَ ليلَى لِيَ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فزِنّي لِعَيْنَيْها كما زِنْتَها لِيَا</w:t>
      </w:r>
    </w:p>
    <w:p>
      <w:pPr>
        <w:pStyle w:val="BookText"/>
        <w:rPr/>
      </w:pPr>
      <w:r>
        <w:rPr>
          <w:rFonts w:ascii="Amiri" w:hAnsi="Amiri" w:eastAsia="Amiri" w:cs="Amiri"/>
          <w:color w:val="111111"/>
          <w:sz w:val="28"/>
          <w:sz w:val="28"/>
          <w:szCs w:val="28"/>
          <w:rtl w:val="true"/>
          <w:lang w:bidi="ar-SA"/>
        </w:rPr>
        <w:t>ورجل مزين، أي مقذذ الشعر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الشين، وسمعت صبيّاً من بني عُقيل يقول لصبي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زين، ووجهك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صبيح الوجه، والآخر قبيحه، والتقدير وجهي ذو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اسم جامع لكلّ شيء يتزيّن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 الحسن يزيّنه زيناً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واضحة الدلالة على أنَّ الزينة تشمل الحسن والجمال من ذات الشيء بدون ضمّ شيء إليه، وعلى هذا لا تختصّ زينة النساء مفهوماً بالقلادة والقرط والخلخال وغيرها، إنّما هي مصاديق للزينة، بل وجههن وشعرهن ومحاسنهن الأخرى أيضاً هي زينتهن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Style w:val="FootnoteAnchor"/>
          <w:rtl w:val="true"/>
        </w:rPr>
        <w:footnoteReference w:id="78"/>
      </w:r>
      <w:r>
        <w:rPr>
          <w:rFonts w:ascii="Amiri" w:hAnsi="Amiri" w:eastAsia="Amiri" w:cs="Amiri"/>
          <w:color w:val="111111"/>
          <w:sz w:val="28"/>
          <w:sz w:val="28"/>
          <w:szCs w:val="28"/>
          <w:rtl w:val="true"/>
          <w:lang w:bidi="ar-SA"/>
        </w:rPr>
        <w:t xml:space="preserve">أنَّ عدداً غير قليل من المفسرين فسّروا الزينة بالمعنى العامّ من الثياب والتمشّط والغسل، على وفق </w:t>
      </w:r>
    </w:p>
    <w:p>
      <w:pPr>
        <w:pStyle w:val="BookText"/>
        <w:rPr/>
      </w:pPr>
      <w:r>
        <w:rPr>
          <w:rFonts w:ascii="Amiri" w:hAnsi="Amiri" w:eastAsia="Amiri" w:cs="Amiri"/>
          <w:color w:val="111111"/>
          <w:sz w:val="28"/>
          <w:sz w:val="28"/>
          <w:szCs w:val="28"/>
          <w:rtl w:val="true"/>
          <w:lang w:bidi="ar-SA"/>
        </w:rPr>
        <w:t>ما جاء في الروايات، وذكر بعضٌ آخر هذا التفسير ناسباً إيّاه إلى غيره بدون الردّ عليه وإن كان الكثير منهم قد فسّروا الزينة بالثياب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في التبيان</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الثياب الجميلة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المرء</w:t>
      </w:r>
      <w:r>
        <w:rPr>
          <w:rStyle w:val="FootnoteAnchor"/>
          <w:rtl w:val="true"/>
        </w:rPr>
        <w:footnoteReference w:id="80"/>
      </w:r>
      <w:r>
        <w:rPr>
          <w:rFonts w:ascii="Amiri" w:hAnsi="Amiri" w:eastAsia="Amiri" w:cs="Amiri"/>
          <w:color w:val="111111"/>
          <w:sz w:val="28"/>
          <w:sz w:val="28"/>
          <w:szCs w:val="28"/>
          <w:rtl w:val="true"/>
          <w:lang w:bidi="ar-SA"/>
        </w:rPr>
        <w:t>أو صفة المرء وصورته وخلقته</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المرء جميلاً كان جماله زينة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هاشم البحرانيّ في البرهان</w:t>
      </w:r>
      <w:r>
        <w:rPr>
          <w:rStyle w:val="FootnoteAnchor"/>
          <w:rtl w:val="true"/>
        </w:rPr>
        <w:footnoteReference w:id="82"/>
      </w:r>
      <w:r>
        <w:rPr>
          <w:rFonts w:ascii="Amiri" w:hAnsi="Amiri" w:eastAsia="Amiri" w:cs="Amiri"/>
          <w:color w:val="111111"/>
          <w:sz w:val="28"/>
          <w:sz w:val="28"/>
          <w:szCs w:val="28"/>
          <w:rtl w:val="true"/>
          <w:lang w:bidi="ar-SA"/>
        </w:rPr>
        <w:t>روايات متعدّدة بعضها تفسّر الزينة بالثياب، وبعضها بالتمشُّط، وبعضها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يشهد بعموم لفظ الزينة للشعر المُسرّح والوجه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كان استعمال الزينة في الآيات القرآنية بما يتزيّن به الشيء من الخارج،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فِي زِينَتِهِ</w:t>
      </w:r>
      <w:r>
        <w:rPr>
          <w:rStyle w:val="FootnoteAnchor"/>
          <w:rtl w:val="true"/>
        </w:rPr>
        <w:footnoteReference w:id="8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قارون، وفي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مَوْعِدَكَ بِمَلْكِنَا وَلَكِنَّا حُمِّلْنَا أَوْزَارًا مِّن زِينَةِ الْقَوْمِ فَقَذَفْنَاهَا فَكَذَٰلِكَ أَلْقَى السَّامِرِيُّ</w:t>
      </w:r>
      <w:r>
        <w:rPr>
          <w:rStyle w:val="FootnoteAnchor"/>
          <w:rtl w:val="true"/>
        </w:rPr>
        <w:footnoteReference w:id="84"/>
      </w:r>
      <w:r>
        <w:rPr>
          <w:rFonts w:ascii="Amiri" w:hAnsi="Amiri" w:eastAsia="Amiri" w:cs="Amiri"/>
          <w:color w:val="111111"/>
          <w:sz w:val="28"/>
          <w:sz w:val="28"/>
          <w:szCs w:val="28"/>
          <w:rtl w:val="true"/>
          <w:lang w:bidi="ar-SA"/>
        </w:rPr>
        <w:t>وغيرها من الآيات من باب استعمال المطلق في بعض أفراده بالقرينة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مانع من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مطلق ما تتزيّن به النساء من أعضاء بدنها، أو الحُلي التي تلبسها، بل يكون هو مقتضى الإطلاق مع عدم القرينة على التقييد، بل نقول توجد في المقام أكثر من قرينة على إرادة مواضع الزينة إمّا بالخصوص، أو بإرادة المعنى العامّ الشامل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تتزيّن به المرأة من الثياب والحلي لا يبقى انسجام بين فقرات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ثلاث فقرات متتالية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مَا ظَهَرَ مِنْهَا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وَلْيَضْرِبْنَ بِخُمُرِهِنَّ عَلَىٰ جُيُوبِهِنَّ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فرضنا أنَّ المراد من الزينة هو الثياب والحُلي فقط تكون الفقرة الأولى دالة على المنع من إظهارها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دالة على وجوب ستر الجيوب،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دالة على المنع من إظهار الثياب والحُلي أيضاً لغير الأزواج ومَن ذُكر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لا يترك انسجاماً بين الفقرات الثلاث؛ لأنَّ الفقرة الثانية أصبحت غريبة عن الأولى والثالثة، وهذا بخلاف ما لو أريد من الزينة المعنى العامّ الشامل لأعضاء جسم المرأة؛ لأنَّه حينئذٍ تكون الفقرة الثانية منسجمة تماماً مع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إلى هذا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زينة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الظاهر في نفسه مخالف لقرينة السياق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وَلْيَضْرِبْنَ بِخُمُرِهِنَّ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البعيد أنَّ الآية تتعرّض لحكمين،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الكشف عمّا تزيّنت به المرأة من الحُلي، ووجوب ستر الجيب بالخمار، ثمّ تجوّز </w:t>
      </w:r>
    </w:p>
    <w:p>
      <w:pPr>
        <w:pStyle w:val="BookText"/>
        <w:rPr/>
      </w:pPr>
      <w:r>
        <w:rPr>
          <w:rFonts w:ascii="Amiri" w:hAnsi="Amiri" w:eastAsia="Amiri" w:cs="Amiri"/>
          <w:color w:val="111111"/>
          <w:sz w:val="28"/>
          <w:sz w:val="28"/>
          <w:szCs w:val="28"/>
          <w:rtl w:val="true"/>
          <w:lang w:bidi="ar-SA"/>
        </w:rPr>
        <w:t>الكشف عن الزينة للأزواج وبعض أصناف أخرى من الرجال، وتسكت عن لزوم ستر الجيوب بالخمار وعدمه أمام الأزواج والمحارم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انتهينا إلى أنَّ الزينة المذكورة في الآية في حدّ نفسها شاملة لمواضع الزينة حتى لو لم نستعن بالروايات الواردة في تفسيرها على هذا المعنى،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الفضيل،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الذراعين من المرأة أهما من الزينة التي 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لِبُعُولَتِهِنَّ؟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الزينة وما دون السوارين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فهي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دلّت على أنَّ المراد هو مواضع الزينة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مؤيّدة لهذا التفسير، ولا تكون هناك منافاة بينها وبين الرواية التي فسرت الزينة بما تتزيّن به المرأة من الحلي كما في خبر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عدم المنافاة هو أنَّ كلّ واحد من القسمين من الروايات تعرّض لمصداق من مصاديق الزينة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إمكان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التي جمعت بين كلا الأمرين، وهي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يُبْدِينَ زِينَتَهُنَّ إِلَّا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الثياب والكحل والخاتم وخضاب الكفَّ والسوار، والزينة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للناس، وزينة للمحرم، وزينة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زينة الناس فقد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زينة المحرم فموضع القلادة فما فوقها والدملج وما دونه والخلخال وما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زينة الزوج </w:t>
      </w:r>
    </w:p>
    <w:p>
      <w:pPr>
        <w:pStyle w:val="BookText"/>
        <w:rPr/>
      </w:pPr>
      <w:r>
        <w:rPr>
          <w:rFonts w:ascii="Amiri" w:hAnsi="Amiri" w:eastAsia="Amiri" w:cs="Amiri"/>
          <w:color w:val="111111"/>
          <w:sz w:val="28"/>
          <w:sz w:val="28"/>
          <w:szCs w:val="28"/>
          <w:rtl w:val="true"/>
          <w:lang w:bidi="ar-SA"/>
        </w:rPr>
        <w:t>فالجسد كلّه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وزينة للمحرم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الزينة التي يجوز إظهارها لهذه الأصناف، فهذه الرواية جمعت بين مواضع الزينة وبين الحلي التي تتزيّن بها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الأمر الأوَّل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 بمعنى،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 بمعنى آخر؛ لأنَّ الإبداء قد يأتي متعدّياً بدون اللّام، فيكون بمعنى إظهار الشيء في نفسه، وقد يأتي متعدّياً باللّام، فيكون بمعنى إظهاره للغير واطلاع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التفصيل لا تساعد عليه استعمالات هذه الكلمة، ولا أقوال أهل اللغة؛ فإنَّه بالنظر إلى استعمالات هذا اللفظ وما ذَكَر له أهل اللغة من المعنى فهو معنى واحد</w:t>
      </w:r>
      <w:r>
        <w:rPr>
          <w:rStyle w:val="FootnoteAnchor"/>
          <w:rtl w:val="true"/>
        </w:rPr>
        <w:footnoteReference w:id="89"/>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وكشف الستر عن الشيء، ويتعدّى إلى المكشوف بدون حرف جر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الملحوظ فيه هو الكشف لناظرٍ معيّن فيذكر ويتعدّى إليه باللّام، وقد لا يكون هذا الأمر منظوراً، بل المقصود هو جعل الشيء مكشوفاً في معرض النظر لأيّ ناظرٍ فلا يذكر، بل يكتفى بالمفعول الأوَّل، وفي الحقيقة يكون المفعول الثاني </w:t>
      </w:r>
    </w:p>
    <w:p>
      <w:pPr>
        <w:pStyle w:val="BookText"/>
        <w:rPr/>
      </w:pPr>
      <w:r>
        <w:rPr>
          <w:rFonts w:ascii="Amiri" w:hAnsi="Amiri" w:eastAsia="Amiri" w:cs="Amiri"/>
          <w:color w:val="111111"/>
          <w:sz w:val="28"/>
          <w:sz w:val="28"/>
          <w:szCs w:val="28"/>
          <w:rtl w:val="true"/>
          <w:lang w:bidi="ar-SA"/>
        </w:rPr>
        <w:t>مقصوداً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خاصّاً فيتعيّن ذكره، أو مطلق مَن يصلح أن يكون ناظراً فيحذف، فلهذا السبب نرى الاختلاف في موارد استعماله، حيث يتعدّى باللّام إلى المفعول الثاني في مورد وبدونه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المقام، ففي الفقرة الأولى الإبداء مطلق من جهة الناظر، لكنّه مقيّد من جهة أعضاء جسم المرأة، وفي الفقرة الأخرى مطلق من جهة الأعضاء، لكنّه مقيّد من جهة الناظر فتعدّى إليه باللام، فكلام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استعمالات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المتفرّعة على هذا التفريق في استعمال لفظ الإبداء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المقطع الأوَّل من الآية جوّز الكشف عن الوجه والكفَّين للمرأة في نفسه، والمقطع الثاني حرّم عليها هذا الأمر للناظر غير الزوج ومَن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هذا الكلام أنَّ الحكم الأوَّل يختصّ بحالة الشكّ في وجود الناظر الأجنبيّ وعدمه، فالإبداء للوجه والكفَّين جائز حينئذٍ، والحكم الثاني يختصّ بحالة العلم بوجود الناظر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الآية على هذا التفريق في الحكم، بل لا إشارة فيها، بل الظاهر أنَّ الحكم منصبّ على موضوعه الواقعي في كلتا الفقرتين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أحد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التفريق في الحكم، وهو أنَّه لا يجوز للمرأة الكشف عن وجهها وكفَّيها إذا علمت بوجود الناظر غير المحرم، ويجوز مع الشكّ والاحتمال في وجوده، على نحو أن يكون هذان حكمين شرعيين لموضوعين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عدم وجوب الستر عند الشكّ في وجود الناظر؛ لعدم تنجّز الحكم الشرعيّ، لعدم العلم بتحقّق الموضوع، وهذا أمر آخر،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 ملازمة بين جواز كشف المرأة لوجهها وكفَّيها في نفسه وبين جواز نظر الأجنبيّ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الكشف جائزاً، ونظر الأجنبيّ إليها حراماً، كما هو كذلك عند جماعة بالنسبة إلى جسم الرجل؛ فإنَّه يجوز له الكشف عمّا عدا العورتين، لكنّه لا يجوز للنساء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أنَّه لا معنى لجواز كشف المرأة وجهها وكفَّيها في نفسه، بل المراد هو جواز جعلهما في معرض نظر الغير، وحينئذٍ فالعرف يرى الملازمة بين هذا الحكم وبين جواز نظر الغير إليها، كما نفهم هذه الملازمة في موارد أخرى مثل جواز كشف المرأة عن بدنها للطبيب، فإنَّه يفهم منه جواز نظر الطبيب إليه، وكذلك جواز الكشف لضرورة إقامة الشهادة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عدم وضوح دعوى الملازمة بين الحكمين في حدّ نفسيهما؛ لأنَّه من الممكن جدّاً أن يكون جواز الكشف للمرأة عن وجهها وكفَّيها لوجود مفسدة في وجوب الستر لهما غالبة على مفسدة جواز الكشف عنهما فجوّز لها الكشف، وهذا لا يستلزم جواز نظر الرجل الأجنبيّ إليها، وحينئذٍ لا مانع ثبوتاً من أن يجوّز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كشف وجهها وكفَّيها حتّى إذا كانت في معرض نظر الرجل الأجنبيّ، ولكنّه لا يجوز للرجل النظر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المقام مع مورد الطبيب والشهادة قياس مع الفارق؛ فإنَّه لا يحصل الغرض من جواز الكشف إلَّا إذا جوّز النظر للطبيب والشاهد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يمكن دعوى الملازمة في هذا المورد بالنظر إلى أمور ثلاثة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الكشف للمرأة مع حرمة نظر الرجل مطلقاً حكم حرجيّ في حقّ الرجل؛ ولذا جوّز النظر إلى شعور مَن لا ينتهين، ولا يصحّ قياسه على جواز كشف </w:t>
      </w:r>
    </w:p>
    <w:p>
      <w:pPr>
        <w:pStyle w:val="BookText"/>
        <w:rPr/>
      </w:pPr>
      <w:r>
        <w:rPr>
          <w:rFonts w:ascii="Amiri" w:hAnsi="Amiri" w:eastAsia="Amiri" w:cs="Amiri"/>
          <w:color w:val="111111"/>
          <w:sz w:val="28"/>
          <w:sz w:val="28"/>
          <w:szCs w:val="28"/>
          <w:rtl w:val="true"/>
          <w:lang w:bidi="ar-SA"/>
        </w:rPr>
        <w:t>الرجل عن بعض جسمه مع حرمة نظر المرأة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بين هذين الحكمين من مرتكزات المتشرّعة؛ ولذا ذهب أكثر العلماء إلى الملازمة واستفادة أحد الحكمين من دليل الحكم الآخر أمر واضح مسلّم، ولم يذهب إلى التفكيك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الوارد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مناسباً لو لم يكن نظر الرجل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لو عبّر عن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المرأة ستر وجهها وكفَّيها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لإنكار الملازمة بين الحكمين مجال، ولكن لما جاء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 إلّا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ظاهره أنّه لا مانع من ابداء الزينة الظاهرة، وفسّرت الزينة الظاهرة بالوجه واليدين، كان هذا الكلام ظاهراً في جواز نظر الرجل إليها؛ لأنَّ الإبداء هو إظهار الشيء للغير، فلا يناسب جواز الإبداء للغير مع حرمة نظر هذا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المراد من الزينة في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مطلق بدن المرأة بدون استثناء شيء منه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وللمناقشة فيه مجال من جهة أنَّ هذا خلاف ظاهر فقرات الآية؛ لأنَّه إذا ضُمّت الفقرة السابقة، وهي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 إلى هذه الفقرة يكون الظاهر منها أنَّ المرأة يجب عليها ستر بدنها ما عدا الوجه والكفَّين عن كلّ ناظر، ولا يجوز لها الكشف عنه، وهذا مفاد الفقرة الأولى ثُمَّ استثنت الفقرة الثانية من هذا الحكم</w:t>
      </w:r>
      <w:r>
        <w:rPr>
          <w:rStyle w:val="FootnoteAnchor"/>
          <w:rtl w:val="true"/>
        </w:rPr>
        <w:footnoteReference w:id="90"/>
      </w:r>
      <w:r>
        <w:rPr>
          <w:rFonts w:ascii="Amiri" w:hAnsi="Amiri" w:eastAsia="Amiri" w:cs="Amiri"/>
          <w:color w:val="111111"/>
          <w:sz w:val="28"/>
          <w:sz w:val="28"/>
          <w:szCs w:val="28"/>
          <w:rtl w:val="true"/>
          <w:lang w:bidi="ar-SA"/>
        </w:rPr>
        <w:t xml:space="preserve">بعض الرجال مثل الأزواج والمحارم، فالزينة في 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حرم الكشف عنها في الفقرة الأولى التي هي بدن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الوجه والكفَّين لا مطلق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تنازلنا عن دعوى الظهور في هذا المعنى فعلى الأقلّ هو احتمال يساوي الاحتمال الذي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حرمة الكشف عن مواضع البدن تستلزم حرمة نظر الأجنبيّ إليه؛ لأنَّ حرمة الكشف لا موضوعيّة لها، وإنَّما هي مقدّمة لعدم نظر الرجل إليها، فتثبت حرمة نظر الرجل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تناقش هذه الدعوى بإمكان الانفكاك بين الحكمين، بأن يحرّم الشارع على المرأة الكشف عن جسدها، ولا يحرّم على الرجل النظر إليه، كما هو معمول بالنسبة إلى النساء اللاتي لا ينتهين عند النهي عن كشف شعورهن؛ فإنَّه يجوز نصّاً وفتوى نظر الرجل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الفهم العرفي للملازمة بين الحكمين هنا وارتكاز المتشرّعة على أنَّ وجوب الستر للبدن وعدم جواز الكشف عنه للمرأة لأجل الاجتناب عن وقوع النظر الحرام أقوى من المورد السابق، فلا يتنازل عنه إلَّا بالنصّ الخاصّ كما في المورد المذكور في الإشكال؛ فإنَّه لولا النصّ الخاصّ على جواز نظر الرجل إلى شعور السافرات لما التزم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المركّب على عدم التفكيك بين حرمة كشف المرأة لبدنها وبين حرمة نظر الرجل إليها؛ لأنَّ العلماء بين قائل بحرمة كشف البدن كلّه للمرأة حتى الوجه والكفَّين مع حرمة نظر الرجل إليها، وبين قائل بحرمة كشف البدن مع استثناء الوجه والكفَّين وحرمة نظر الرجل إليه دونهما، وبين عدم حرمة الكشف لها عن وجهها وكفَّيها مع حرمة النظر إليهما، ولا يوجد من يفتي بحرمة الكشف وجواز نظر الرجل الأجنبيّ إليهما، ومع كلّ هذا فدعوى الملازمة لا تخلو من تأمّل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تأييد الروايات للتفصيل الذي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IRNazanin" w:hAnsi="IRNazanin" w:eastAsia="IRNazanin"/>
          <w:color w:val="111111"/>
          <w:sz w:val="28"/>
          <w:sz w:val="28"/>
          <w:szCs w:val="28"/>
          <w:rtl w:val="true"/>
          <w:lang w:bidi="fa-IR"/>
        </w:rPr>
        <w:t xml:space="preserve">جاء في 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صحيحة الفضيل السؤال عن الذراعين من المرأة هما من الزينة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لِبُعُولَتِهِنَّ</w:t>
      </w:r>
      <w:r>
        <w:rPr>
          <w:rFonts w:ascii="IRNazanin" w:hAnsi="IRNazanin" w:eastAsia="IRNazanin"/>
          <w:color w:val="111111"/>
          <w:sz w:val="28"/>
          <w:sz w:val="28"/>
          <w:szCs w:val="28"/>
          <w:rtl w:val="true"/>
          <w:lang w:bidi="fa-IR"/>
        </w:rPr>
        <w:t xml:space="preserve">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صريحة في أنَّ السؤال عن القسم الأوَّل من الآية الكريمة دون القسم الآخر، مقصود السائل هو السؤال عن تفسير الزينة الظاهرة التي لا يحرم الكشف عنها في نفسها، ودلّت الأخرى على حرمة إبداء الذراعين لغير الزوج ومن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الخدش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في معتبرة أبي بصير يتعلّق بالمستثنى أي ما ظهر منها، فأراد أبو بصير أن يسمع تفسيره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والسؤال الآخر وقع عن حدود المستثنى منه وهل إنَّه شامل للذراعين أو لا؟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بدخولهما فيه، فلا يستفاد من الروايتين أنَّ الأولى تعرضت لبيان حكم جواز الكشف وعدمه في حدّ نفسه، والأخرى الكشف للرجال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صحيحة الفضيل تدلّ على عكس مدعى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السؤال المذكور يكشف عن وجود ارتكازٍ في ذهن السامع على أنَّ هناك قسماً من الزينة لا يحرم على المرأة إبداؤه لغير الزوج والمحارم، وقد علم هذا الأمر في الجملة ويسأل عن تفصيله،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لهذا الارتكاز، وإلّا لزجره،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المرأة كلّه من الزينة التي قال 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يبدين زينتهن إلّا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تكون الصحيحة دالة على أنَّ الزينة المذكورة في جملة الذيل هي ما عدا </w:t>
      </w:r>
      <w:bookmarkStart w:id="56" w:name="pg10921_145145"/>
    </w:p>
    <w:p>
      <w:pPr>
        <w:pStyle w:val="BookText"/>
        <w:rPr/>
      </w:pPr>
      <w:bookmarkEnd w:id="56"/>
      <w:r>
        <w:rPr>
          <w:rFonts w:ascii="Amiri" w:hAnsi="Amiri" w:eastAsia="Amiri" w:cs="Amiri"/>
          <w:color w:val="111111"/>
          <w:sz w:val="28"/>
          <w:sz w:val="28"/>
          <w:szCs w:val="28"/>
          <w:rtl w:val="true"/>
          <w:lang w:bidi="ar-SA"/>
        </w:rPr>
        <w:t xml:space="preserve">المستثنى في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الزينة غير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حرام إبداؤها لغير الزوج والمحارم، فسأل الفضيل عن الذراعين بالخصوص وهل هما من الزينة الظاهرة التي يجوز إبداؤها للأجانب أيضاً، أو من غير الظاهرة التي لا يجوز إبداؤها إلَّا للزوج والمحارم؟</w:t>
      </w:r>
    </w:p>
    <w:p>
      <w:pPr>
        <w:pStyle w:val="BookText"/>
        <w:rPr/>
      </w:pPr>
      <w:r>
        <w:rPr>
          <w:rFonts w:ascii="Amiri" w:hAnsi="Amiri" w:eastAsia="Amiri" w:cs="Amiri"/>
          <w:color w:val="111111"/>
          <w:sz w:val="28"/>
          <w:sz w:val="28"/>
          <w:szCs w:val="28"/>
          <w:rtl w:val="true"/>
          <w:lang w:bidi="ar-SA"/>
        </w:rPr>
        <w:t>هذا هو التقريب الأوَّل لاستنطاق هذه الفقرة من الآية للدلالة على حرمة نظر الأجنبيّ إلى وجه المرأة وكفَّيها، وقد تبيّن من خلال البحث المتقدّم عدم تماميّته</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3127290_2870459653"/>
      <w:bookmarkStart w:id="58" w:name="_Toc22"/>
      <w:bookmarkEnd w:id="57"/>
      <w:r>
        <w:rPr>
          <w:rtl w:val="true"/>
        </w:rPr>
        <w:t>التقريب الثاني</w:t>
      </w:r>
      <w:bookmarkEnd w:id="58"/>
    </w:p>
    <w:p>
      <w:pPr>
        <w:pStyle w:val="BookText"/>
        <w:rPr/>
      </w:pPr>
      <w:r>
        <w:rPr>
          <w:rFonts w:ascii="Amiri" w:hAnsi="Amiri" w:eastAsia="Amiri" w:cs="Amiri"/>
          <w:color w:val="111111"/>
          <w:sz w:val="28"/>
          <w:sz w:val="28"/>
          <w:szCs w:val="28"/>
          <w:rtl w:val="true"/>
          <w:lang w:bidi="ar-SA"/>
        </w:rPr>
        <w:t>أنَّ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 دلّ على حرمة إظهار الزينة، والمراد من الزينة هو معنى عامّ يشمل ما تتزيّن به المرأة، ويشمل مواضع الزينة أيضاً فيحرم على المرأة الكشف عن جسمها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هي الأعضاء التي تظهر بسبب عدم الالتفات بدون قصد، كما يقع عند الركوب والنزول عن المركب وغيره بإطارة الريح مع التحفّظ والأمن من الناظر حيث تظهر بعض الأعضاء خارج الاختيار فيكون الاستثناء منقطعاً؛ لأنَّه استثناء لما هو خارج الاختيار وإن كانت مقدّماته اختياريّة، لكن الشارع تفضّل وسمح بخروج النساء وإن استلزم أحياناً الكشف عن بعض الأعضاء مع التحفُّظ بالستر، فتكون الدلالة على حرمة الإبداء آكد لاستيعاب المستثنى منه، فتكون هذه الآية دالّة على حرمة الكشف عن كلّ جسم المرأة إلَّا إذا ظهر ما يظهر عند الضرورة، أو بدون قصد كما قد يقع هذا في الوجه واليدين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للاستدلال ورد في كتاب إثبات الحجاب للسيّد عليّ نقيّ النقويّ نقلاً عن السيّد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وأيضاً جاء في كلمات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التفسير للاستثناء لا يمكن الالتزام به؛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معنى لأنْ يقال يحرم على النساء الكشف عن جميع بدنهن أمام الناظر الأجنبيّ إلَّا ما ظهر بدون قصد، بل لضرورة، أو قهر، فإنَّ هذا لا يحتاج إلى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خلاف ظاهر لفظ الآية، فإنَّها ظاهرة في الاستثناء عن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من التفسير يرجع إلى أنَّه استثناء عن الحكم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لفظ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النساء الكشف عن زينتهن إلّا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لهذا الاحتمال وجه، ولكن التعبير المذكور في الآية بعيد كلّ البعد عن أداء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فسّر الاستثناء بالزينة الظاهرة مثل الخاتم والكحل على تقدير أن يكون المراد من الزينة ما تتزيّن به المرأة، وهذا يناقض ما اختاره على التقدير الأوَّل في تفسير كلمة الزينة؛ لأنَّه على أيّ تفسير لهذه الكلمة يكون المراد من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ما يظهر بلا قصد واختيار، أو ما هو ظاهر بطبيعته سواء كان المراد هو الأعضاء أم الحلي، فقوله الآخر يؤيّد ما أوردناه على قوله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ينافي الروايات الواردة في تفسير هذه الآية كما سوف نبحث عنها في أدلّة القول الثاني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يبقى وجه مناسب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وَلْيَضْرِبْنَ بِخُمُرِهِنَّ عَلَىٰ جُيُوبِهِنَّ مع الفقرة الأولى على هذا التفسير، فإنَّه على تقدير دلالتها على حرمة الكشف عن أيّ شيء من بدنها لا وجه للأمر بضرب الخمر على الجيوب إلَّا مجرّد التأكيد، وهو خلاف الظاهر</w:t>
      </w:r>
      <w:r>
        <w:rPr>
          <w:rFonts w:eastAsia="Amiri" w:cs="Amiri" w:ascii="Amiri" w:hAnsi="Amiri"/>
          <w:color w:val="111111"/>
          <w:sz w:val="28"/>
          <w:szCs w:val="28"/>
          <w:rtl w:val="true"/>
          <w:lang w:bidi="ar-SA"/>
        </w:rPr>
        <w:t xml:space="preserve">. </w:t>
      </w:r>
      <w:bookmarkStart w:id="59" w:name="pg10921_145147"/>
    </w:p>
    <w:p>
      <w:pPr>
        <w:pStyle w:val="Heading6"/>
        <w:numPr>
          <w:ilvl w:val="5"/>
          <w:numId w:val="1"/>
        </w:numPr>
        <w:rPr/>
      </w:pPr>
      <w:bookmarkStart w:id="60" w:name="__RefHeading___Toc3127292_2870459653"/>
      <w:bookmarkStart w:id="61" w:name="_Toc23"/>
      <w:bookmarkEnd w:id="59"/>
      <w:bookmarkEnd w:id="60"/>
      <w:r>
        <w:rPr>
          <w:rtl w:val="true"/>
        </w:rPr>
        <w:t>التقريب الثالث</w:t>
      </w:r>
      <w:bookmarkEnd w:id="61"/>
    </w:p>
    <w:p>
      <w:pPr>
        <w:pStyle w:val="BookText"/>
        <w:rPr/>
      </w:pPr>
      <w:r>
        <w:rPr>
          <w:rFonts w:ascii="Amiri" w:hAnsi="Amiri" w:eastAsia="Amiri" w:cs="Amiri"/>
          <w:color w:val="111111"/>
          <w:sz w:val="28"/>
          <w:sz w:val="28"/>
          <w:szCs w:val="28"/>
          <w:rtl w:val="true"/>
          <w:lang w:bidi="ar-SA"/>
        </w:rPr>
        <w:t xml:space="preserve">ما نقله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الفقهية</w:t>
      </w:r>
      <w:r>
        <w:rPr>
          <w:rStyle w:val="FootnoteAnchor"/>
          <w:rtl w:val="true"/>
        </w:rPr>
        <w:footnoteReference w:id="93"/>
      </w:r>
      <w:r>
        <w:rPr>
          <w:rFonts w:ascii="Amiri" w:hAnsi="Amiri" w:eastAsia="Amiri" w:cs="Amiri"/>
          <w:color w:val="111111"/>
          <w:sz w:val="28"/>
          <w:sz w:val="28"/>
          <w:szCs w:val="28"/>
          <w:rtl w:val="true"/>
          <w:lang w:bidi="ar-SA"/>
        </w:rPr>
        <w:t>عن تفسير البيضاوي وارتضاه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ببيان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يدلّ على حرمة إظهار الحلي والثياب والأصباغ للأجانب فبالأولويّة يدلّ على حرمة إظهار شيء من جسدها، والمراد من 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هو عدم وجوب ستر ما يظهر منها عند مزاولة الأشياء كالثياب والخاتم فإنَّ في سترها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تفسيره عن البعض بالوجه والكفَّين فهو في الصلاة لا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وجوه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المراد من الزينة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زِينَتَهُنَّ هو الزينة الخارجيّة فقط،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هناك أولويّة قطعيّة لحرمة إظهار الوجه والكفَّين من حرمة الكشف عن الحلي والأصباغ، فإنَّه لا مانع من تحريم الشارع الآخر فقط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الأولويّة القطعيّة تنزّلاً فإنَّما نسلّمها لو كان إظهار مطلق الزينة الخارجيّة محرّماً، لكنّه قد وجد الاستثناء لبعض أقسامها من هذا الحكم، ومعه لا وجه لدعوى الأولويّة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لكون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بالوجه والكفَّين أنَّه تفسير له في مقام الصلاة، فإنَّ الآية تعرّضت لوجوب الستر عن الناظر، لا حكم لباس المرأة في الصلاة، بقرينة صدر الآية وذيلها، فمَن فسّر الاستثناء بهذا التفسير فمقصوده الاستثناء عن حكم الستر أمام الناظر الأجنبيّ</w:t>
      </w:r>
      <w:r>
        <w:rPr>
          <w:rFonts w:eastAsia="Amiri" w:cs="Amiri" w:ascii="Amiri" w:hAnsi="Amiri"/>
          <w:color w:val="111111"/>
          <w:sz w:val="28"/>
          <w:szCs w:val="28"/>
          <w:rtl w:val="true"/>
          <w:lang w:bidi="ar-SA"/>
        </w:rPr>
        <w:t xml:space="preserve">. </w:t>
      </w:r>
      <w:bookmarkStart w:id="62" w:name="pg10921_145148"/>
    </w:p>
    <w:p>
      <w:pPr>
        <w:pStyle w:val="BookText"/>
        <w:rPr/>
      </w:pPr>
      <w:bookmarkEnd w:id="62"/>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هذا التفسير في حدّ نفسه، إلَّا أنَّه ينافي ما جاء في الروايات المفسِّرة لهذه الآية من جواز الكشف عن الوجه واليدين للأجنبيّ، كما سيأتي البحث عن هذه الروايات في أدلّة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الاستدلال بهذه الآية على الحرمة لم يتمّ بجميع تقريباته</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127294_2870459653"/>
      <w:bookmarkStart w:id="64" w:name="_Toc24"/>
      <w:bookmarkEnd w:id="63"/>
      <w:r>
        <w:rPr>
          <w:rtl w:val="true"/>
        </w:rPr>
        <w:t>الآية الثانية</w:t>
      </w:r>
      <w:bookmarkEnd w:id="64"/>
    </w:p>
    <w:p>
      <w:pPr>
        <w:pStyle w:val="Heading6"/>
        <w:numPr>
          <w:ilvl w:val="5"/>
          <w:numId w:val="1"/>
        </w:numPr>
        <w:rPr/>
      </w:pPr>
      <w:bookmarkStart w:id="65" w:name="__RefHeading___Toc3127296_2870459653"/>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استدلّ بهذه الآية المحقّق الداماد</w:t>
      </w:r>
      <w:r>
        <w:rPr>
          <w:rStyle w:val="FootnoteAnchor"/>
          <w:rtl w:val="true"/>
        </w:rPr>
        <w:footnoteReference w:id="95"/>
      </w:r>
      <w:r>
        <w:rPr>
          <w:rFonts w:ascii="Amiri" w:hAnsi="Amiri" w:eastAsia="Amiri" w:cs="Amiri"/>
          <w:color w:val="111111"/>
          <w:sz w:val="28"/>
          <w:sz w:val="28"/>
          <w:szCs w:val="28"/>
          <w:rtl w:val="true"/>
          <w:lang w:bidi="ar-SA"/>
        </w:rPr>
        <w:t>ومحصَّل ما قرّب به الاستدلال بالآية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الغضّ معناه الكسر والإطراق، فيكون التعبير بغضّ البصر مبالغة في عدم جواز النظر إلى ما لا يجوز النظر إليه، وما يجب غضّ النظر عنه هو مطلق غير المماثل، وعورة المماثل، وتعيين متعلق الغضّ بهذا المذكور مع عدم ذكره صراحة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مقابلتها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r>
        <w:rPr>
          <w:rStyle w:val="FootnoteAnchor"/>
          <w:rtl w:val="true"/>
        </w:rPr>
        <w:footnoteReference w:id="96"/>
      </w:r>
      <w:r>
        <w:rPr>
          <w:rFonts w:ascii="Amiri" w:hAnsi="Amiri" w:eastAsia="Amiri" w:cs="Amiri"/>
          <w:color w:val="111111"/>
          <w:sz w:val="28"/>
          <w:sz w:val="28"/>
          <w:szCs w:val="28"/>
          <w:rtl w:val="true"/>
          <w:lang w:bidi="ar-SA"/>
        </w:rPr>
        <w:t>فبإطلاقها تشمل جميع البدن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الروايات الواردة في تفسير هذه الآية، فالآية تأمر بالغضّ عن غير المماثل مطلقاً بدون استثناء شيء من جسده، ولا يشمل النظر إلى كلّ شيء مثل الحيوانات والجمادات؛ لأنَّها خارجة تخصّصاً بمناسبات الحكم والموضوع وبقرينة مقابلة الآيتين،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الإطلاق في الآية تستلزم تخصيص الأكثر، ولا يفرق في الاستدلال بالآية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أو بيانيّة، أو تبعيضيّة</w:t>
      </w:r>
      <w:r>
        <w:rPr>
          <w:rFonts w:eastAsia="Amiri" w:cs="Amiri" w:ascii="Amiri" w:hAnsi="Amiri"/>
          <w:color w:val="111111"/>
          <w:sz w:val="28"/>
          <w:szCs w:val="28"/>
          <w:rtl w:val="true"/>
          <w:lang w:bidi="ar-SA"/>
        </w:rPr>
        <w:t xml:space="preserve">. </w:t>
      </w:r>
      <w:bookmarkStart w:id="67" w:name="pg10921_145149"/>
    </w:p>
    <w:p>
      <w:pPr>
        <w:pStyle w:val="BookText"/>
        <w:rPr/>
      </w:pPr>
      <w:bookmarkEnd w:id="67"/>
      <w:r>
        <w:rPr>
          <w:rFonts w:ascii="Amiri" w:hAnsi="Amiri" w:eastAsia="Amiri" w:cs="Amiri"/>
          <w:color w:val="111111"/>
          <w:sz w:val="28"/>
          <w:sz w:val="28"/>
          <w:szCs w:val="28"/>
          <w:rtl w:val="true"/>
          <w:lang w:bidi="ar-SA"/>
        </w:rPr>
        <w:t>نعم، هذه الآية لمّا دلّت بإطلاقها على حرمة النظر إلى وجه وكفَّي المرأة الأجنبيّة فهي صالحة لأن تقيَّد إذا وجد المقيّد لها من هذه الجهة، كما وجد بعض التقييدات الأخرى</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الاستدلال ضعيف لتوجّه عدّة إيرادات عليه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127298_2870459653"/>
      <w:bookmarkStart w:id="69" w:name="_Toc26"/>
      <w:bookmarkEnd w:id="68"/>
      <w:r>
        <w:rPr>
          <w:rtl w:val="true"/>
        </w:rPr>
        <w:t>الإيراد الأوَّل</w:t>
      </w:r>
      <w:bookmarkEnd w:id="69"/>
    </w:p>
    <w:p>
      <w:pPr>
        <w:pStyle w:val="BookText"/>
        <w:rPr/>
      </w:pPr>
      <w:r>
        <w:rPr>
          <w:rFonts w:ascii="Amiri" w:hAnsi="Amiri" w:eastAsia="Amiri" w:cs="Amiri"/>
          <w:color w:val="111111"/>
          <w:sz w:val="28"/>
          <w:sz w:val="28"/>
          <w:szCs w:val="28"/>
          <w:rtl w:val="true"/>
          <w:lang w:bidi="ar-SA"/>
        </w:rPr>
        <w:t>أنَّ الآية في حدّ نفسها مجملة من جهة ما يجب غضّ النظر عنه، فإنَّ هنا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يغضّوا أبصارهم عن فرج الغير، فيكون مقتضى الآية حرمة النظر إلى فرج الغير، ووجوب حفظ فرجه عن نظر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فالآية لا تصلح للاستدلال على المدّعى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يغضّوا أبصارهم عن كلّ ما حرّم الله النظر إليه، فالآية دلّت على حرمة النظر إلى كلّ ما حرم النظر إليه، وأمّا ما هو الذي حرّم الله النظر إليه فلا دلالة لها عليه، وإنَّما يستفاد من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يغضّوا البصر عن كلّ شيء، فالآية مطلقة من جهة أنَّ حذف المتعلّق دليل العموم، فتكون موارد جواز النظر الثابت بالدليل خارجة عنها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إذا بني عليه يتمّ الاستدلال بالآية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يغضّوا أبصارهم عن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وفروج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الذي اعتُمد عليه في الاستدلال بالآية، وحينئذٍ الآية تدلّ على حرمة النظر إلى النساء مطلقاً فيخرج عنها ما يخرج بالمخصِّص</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يدّعى أنَّ الاحتمال الثاني هو أقرب إلى لفظ الآية، فيكون مفاد الآية هو </w:t>
      </w:r>
    </w:p>
    <w:p>
      <w:pPr>
        <w:pStyle w:val="BookText"/>
        <w:rPr/>
      </w:pPr>
      <w:r>
        <w:rPr>
          <w:rFonts w:ascii="Amiri" w:hAnsi="Amiri" w:eastAsia="Amiri" w:cs="Amiri"/>
          <w:color w:val="111111"/>
          <w:sz w:val="28"/>
          <w:sz w:val="28"/>
          <w:szCs w:val="28"/>
          <w:rtl w:val="true"/>
          <w:lang w:bidi="ar-SA"/>
        </w:rPr>
        <w:t>وجوب غضّ النظر عن كلّ ما حرّم الله النظر إليه، وما ثبتت حرمته هو النظر إلى فروج الرجال وأجسام الأجنبيّات ما عدا الوجه والكفَّين إذا لم يكن بقصد التلذُّذ أو خوف الفتنة، وإلَّا يحرم مطلقاً، فحينئذٍ لا إطلاق للآية حتّى يتمسّك به لإثبات حرمة النظر إلى ما يشكّ في حرمة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له ما يؤيّده من الداخل ومن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المؤيّد الداخلي فهو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تعرّضها لحكم النظر إلى فرج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سياق أحكام الحجاب وتعامل الصنفين فيما بينهما من هذه الجهة، فمن المناسب أن تكون ناظرة إلى حكم النظر إلى غير المماثل، مضافاً إلى النظر إلى فرج المماثل، وهذا الأمر وإن كان يتناسب مع الاحتمال الثالث والرابع أيضاً ولكنّه لمّا لا يصحّ الالتزام بهما لعدم إمكان الالتزام بالإطلاق، كما سيأتي في مناقشة هذين الاحتمالين يكون مؤيّداً للاحتمال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المؤيّد الخارجي فهو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مَن تعرّض لتفسير الآية من المفسّرين سواء من العامّة</w:t>
      </w:r>
      <w:r>
        <w:rPr>
          <w:rStyle w:val="FootnoteAnchor"/>
          <w:rtl w:val="true"/>
        </w:rPr>
        <w:footnoteReference w:id="98"/>
      </w:r>
      <w:r>
        <w:rPr>
          <w:rFonts w:ascii="Amiri" w:hAnsi="Amiri" w:eastAsia="Amiri" w:cs="Amiri"/>
          <w:color w:val="111111"/>
          <w:sz w:val="28"/>
          <w:sz w:val="28"/>
          <w:szCs w:val="28"/>
          <w:rtl w:val="true"/>
          <w:lang w:bidi="ar-SA"/>
        </w:rPr>
        <w:t>أو من الخاصّة</w:t>
      </w:r>
      <w:r>
        <w:rPr>
          <w:rStyle w:val="FootnoteAnchor"/>
          <w:rtl w:val="true"/>
        </w:rPr>
        <w:footnoteReference w:id="99"/>
      </w:r>
      <w:r>
        <w:rPr>
          <w:rFonts w:ascii="IRNazanin" w:hAnsi="IRNazanin" w:eastAsia="IRNazanin"/>
          <w:color w:val="111111"/>
          <w:sz w:val="28"/>
          <w:sz w:val="28"/>
          <w:szCs w:val="28"/>
          <w:rtl w:val="true"/>
          <w:lang w:bidi="fa-IR"/>
        </w:rPr>
        <w:t>اختار هذا الاحتمال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الفقهاء استدلّوا بها على حرمة النظر في موارد ثبتت حرمة النظر فيها بأدلّة أخرى،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المبسوط تمسّك بها لإثبات حرمة النظر إلى ما </w:t>
      </w:r>
    </w:p>
    <w:p>
      <w:pPr>
        <w:pStyle w:val="BookText"/>
        <w:rPr/>
      </w:pPr>
      <w:r>
        <w:rPr>
          <w:rFonts w:ascii="Amiri" w:hAnsi="Amiri" w:eastAsia="Amiri" w:cs="Amiri"/>
          <w:color w:val="111111"/>
          <w:sz w:val="28"/>
          <w:sz w:val="28"/>
          <w:szCs w:val="28"/>
          <w:rtl w:val="true"/>
          <w:lang w:bidi="ar-SA"/>
        </w:rPr>
        <w:t>هو عورة من المرأة، وهو ما عدا الوجه والكفَّين</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التذكرة استدلّ بها على حرمة النظر مع خوف الفتنة، لا مطلقاً</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 المحقّقين في الإيضاح استدلّ بها على الحرمة إذا كان بقصد التلذُّذ وخوف الفتنة</w:t>
      </w:r>
      <w:r>
        <w:rPr>
          <w:rStyle w:val="FootnoteAnchor"/>
          <w:rtl w:val="true"/>
        </w:rPr>
        <w:footnoteReference w:id="102"/>
      </w:r>
      <w:r>
        <w:rPr>
          <w:rFonts w:ascii="Amiri" w:hAnsi="Amiri" w:eastAsia="Amiri" w:cs="Amiri"/>
          <w:color w:val="111111"/>
          <w:sz w:val="28"/>
          <w:sz w:val="28"/>
          <w:szCs w:val="28"/>
          <w:rtl w:val="true"/>
          <w:lang w:bidi="ar-SA"/>
        </w:rPr>
        <w:t>، مع أنَّهما ذهبا إلى حرمة النظر إلى الأجنبيّة مطلقاً، ولكن لم يستفيدا هذا الإطلاق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بعضهم اقتصر في الاستدلال بها على حرمة النظر إلى الفروج فقط، كابن سعيد في الجامع</w:t>
      </w:r>
      <w:r>
        <w:rPr>
          <w:rStyle w:val="FootnoteAnchor"/>
          <w:rtl w:val="true"/>
        </w:rPr>
        <w:footnoteReference w:id="103"/>
      </w:r>
      <w:r>
        <w:rPr>
          <w:rFonts w:ascii="Amiri" w:hAnsi="Amiri" w:eastAsia="Amiri" w:cs="Amiri"/>
          <w:color w:val="111111"/>
          <w:sz w:val="28"/>
          <w:sz w:val="28"/>
          <w:szCs w:val="28"/>
          <w:rtl w:val="true"/>
          <w:lang w:bidi="ar-SA"/>
        </w:rPr>
        <w:t>، والصدوق في الفقيه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من الفقهاء إلى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بإطلاق هذه الآية لإثبات حرمة النظر إلى مطلق بدن المرأة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الواردة في شأن نزول هذه الآية تؤيّد أنَّ الأمر بالغضّ ورد في مورد النظر المحرّم، وهي معتبرة سعد الإسكاف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استقبل شابٌّ من الأنصار امرأة بالمدينة وكان النساء يتقنّعن خلف آذانهن فنظر إليها وهي مقبلة، فلمّا جازت نظر إليها، ودخل في زقاق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سمّاه ببني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ينظر خلفها، واعترض وجهه عظم في الحائط أو زجاجة فشق وجهه، فلمّا مضت المرأة فإذا الدماء تسيل على صدره وثوبه،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لآتينّ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ولأخبرنّه،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فأخبره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ascii="IRNazanin" w:hAnsi="IRNazanin" w:eastAsia="IRNazanin"/>
          <w:color w:val="111111"/>
          <w:sz w:val="28"/>
          <w:sz w:val="28"/>
          <w:szCs w:val="28"/>
          <w:rtl w:val="true"/>
          <w:lang w:bidi="fa-IR"/>
        </w:rPr>
        <w:t xml:space="preserve">، فمورد </w:t>
      </w:r>
    </w:p>
    <w:p>
      <w:pPr>
        <w:pStyle w:val="BookText"/>
        <w:rPr/>
      </w:pPr>
      <w:r>
        <w:rPr>
          <w:rFonts w:ascii="Amiri" w:hAnsi="Amiri" w:eastAsia="Amiri" w:cs="Amiri"/>
          <w:color w:val="111111"/>
          <w:sz w:val="28"/>
          <w:sz w:val="28"/>
          <w:szCs w:val="28"/>
          <w:rtl w:val="true"/>
          <w:lang w:bidi="ar-SA"/>
        </w:rPr>
        <w:t>النزول فيه 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كنّ يتقنعنّ خلف آذانهن، وهذا يوجب كشف بعض الشعر وأطراف الوجه إلى الآذان، والنظر إليهما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من الأنصاري مجرّد نظر، بل غرق في هذا النظر حيث لم يشعر بما أصابه من الجرح الحاصل من الاصطدام بالعظم أو الزجاجة إلَّا بعد غياب المرأة، وهكذا نظر لا يفارق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التلذُّذ فيكون حراماً، فهذا المورد كان مورد النظر الحرام مع قطع النظر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تؤيّد هذا الاحتمال من جهةٍ أنَّ الآية ليست آمرة بغضّ النظر عن الفروج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أنَّ الأمر بالغضّ نزل في مورد النظر الحرام، ولكنّه مجرّد مؤيّد وإلَّا فالمورد لا يخصّص الوارد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المعنى فسّرت الآية في بعض الروايات، كما في خبر أبي عمرو الزبيريّ،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وفرض على البصر أن لا ينظر إلى ما حرّم الله عليه وأن يعرض عمّا نهى الله عنه، ممّا لا يحلّ له وهو عمله، وهو من الإيمان، فقال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لِلْمُؤْمِنِينَ يَغُضُّوا مِنْ أَبْصارِهِمْ ويَحْفَظُوا فُرُوجَهُمْ، فنهاهم أن ينظروا إلى عوراتهم، وأن ينظر المرء إلى فرج أخيه، ويحفظ فرجه أن ينظر إليه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العورات ما يجب ستره عن نظر الغير، وهذا الإطلاق وإن شمل المرأة الأجنبيّة فيجب غضّ النظر عنها، ولكن بمقدار ما يصدق من بدنها أنَّه عورة، والثابت المتيقّن كونه عورةً هو ما عدا الوجه والكفَّين، فمفاد الرواية هو أنَّ الآية أوجبت الغضّ </w:t>
      </w:r>
    </w:p>
    <w:p>
      <w:pPr>
        <w:pStyle w:val="BookText"/>
        <w:rPr/>
      </w:pPr>
      <w:r>
        <w:rPr>
          <w:rFonts w:ascii="IRNazanin" w:hAnsi="IRNazanin" w:eastAsia="IRNazanin"/>
          <w:color w:val="111111"/>
          <w:sz w:val="28"/>
          <w:sz w:val="28"/>
          <w:szCs w:val="28"/>
          <w:rtl w:val="true"/>
          <w:lang w:bidi="fa-IR"/>
        </w:rPr>
        <w:t xml:space="preserve">عن كلّ ما قد ثبت أنَّه عورة، وعن فروج الآخرين، ويحتمل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ينظر المرء إلى فرج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 للجملة الأولى، فتكون الرواية مؤيّدة للاحتمال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المعنى هو ظاهر بعض الروايات الأخرى، مثل مرسلة الصدوق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لابنه محمّد 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وفرض على البصر أن لا ينظر إلى ما حرّم الله عزّ وجلّ عليه، فقال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لِلْمُؤْمِنِينَ يَغُضُّوا مِنْ أَبْصارِهِمْ ويَحْفَظُوا فُرُوجَهُمْ فحرّم أن ينظر أحد في فرج غيره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 على حرمة النظر إلى فروج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أن يدّعى أنَّ الآية ظاهرة في الاحتمال الثاني، وعلى الأقلّ فهي مردّدة بين الأوَّل والثاني، فلا يصحّ الاستدلال بها لإثبات المدّعى، الذي هو الاحتمال الرابع من بين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وجه لحمل الآية على الاحتمال الثالث أي الغضّ عن كلّ شيء لوجود أكثر من قرينة على التقييد، ولزوم التخصيص بالأكثر المستهجن لو حملت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ودون الاحتمال الثاني في القوة الاحتمال الأوَّل، والوجه في قوّته مقابل الاحتمالين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لفظ الآية وإن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ما يغضّ عنه البصر، ولكنّه وجد ما يصلح قرينة على تعيّنه في الفروج، وهي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وَيَحْفَظُوا فُرُوجَهُمْ فمن المحتمل أنَّ المراد من الجملتين هو الأمر بحفظ الفروج عن أبصار الآخرين، والأمر بغضّ النظر عن فروج الآخرين</w:t>
      </w:r>
      <w:r>
        <w:rPr>
          <w:rFonts w:eastAsia="Amiri" w:cs="Amiri" w:ascii="Amiri" w:hAnsi="Amiri"/>
          <w:color w:val="111111"/>
          <w:sz w:val="28"/>
          <w:szCs w:val="28"/>
          <w:rtl w:val="true"/>
          <w:lang w:bidi="ar-SA"/>
        </w:rPr>
        <w:t xml:space="preserve">. </w:t>
      </w:r>
      <w:bookmarkStart w:id="70" w:name="pg10921_145154"/>
    </w:p>
    <w:p>
      <w:pPr>
        <w:pStyle w:val="BookText"/>
        <w:rPr/>
      </w:pPr>
      <w:bookmarkEnd w:id="70"/>
      <w:r>
        <w:rPr>
          <w:rFonts w:ascii="Amiri" w:hAnsi="Amiri" w:eastAsia="Amiri" w:cs="Amiri"/>
          <w:color w:val="111111"/>
          <w:sz w:val="28"/>
          <w:sz w:val="28"/>
          <w:szCs w:val="28"/>
          <w:rtl w:val="true"/>
          <w:lang w:bidi="ar-SA"/>
        </w:rPr>
        <w:t>وأمّا الاحتمال الرابع فهو مجرّد احتمال لا قرينة عليه؛ لأنَّه لا هو تمسّك بإطلاق اللفظ، ولا هو تقييد بمقدار ما قامت عليه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هذا اعترف بعض مَن ذهب إلى هذا القول بعدم إمكان الاستدلال بهذه الآية على حرمة النظر إلى وجه الأجنبيّة وكفَّيها، وعلّل عدم إمكان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بها على هذا المدّعى يتوقّف على أن يكون وجه المرأة وكفَّاها من المبصرات التي وجب غضّ البصر عنها، ويحرم النظر إليها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ناقش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في الاستدلال بهذه الآية من جهة أنَّ غضّ البصر أعمّ من ترك النظر، ومن جهة أنَّ هذا العموم مقيّد بما دلّ على جواز النظر إلى وجه المرأة وكفَّيها،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مال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الاستدلال بهذه الآية على المدّعى مدّعياً أنَّه لا تستفاد الحرمة من الآية، ومع الغضّ عنه لا إطلاق لها يشمل المورد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 w:name="__RefHeading___Toc3127300_2870459653"/>
      <w:bookmarkStart w:id="72" w:name="_Toc27"/>
      <w:bookmarkEnd w:id="71"/>
      <w:r>
        <w:rPr>
          <w:rtl w:val="true"/>
        </w:rPr>
        <w:t>الإيراد الثاني</w:t>
      </w:r>
      <w:bookmarkEnd w:id="72"/>
    </w:p>
    <w:p>
      <w:pPr>
        <w:pStyle w:val="BookText"/>
        <w:rPr/>
      </w:pPr>
      <w:r>
        <w:rPr>
          <w:rFonts w:ascii="Amiri" w:hAnsi="Amiri" w:eastAsia="Amiri" w:cs="Amiri"/>
          <w:color w:val="111111"/>
          <w:sz w:val="28"/>
          <w:sz w:val="28"/>
          <w:szCs w:val="28"/>
          <w:rtl w:val="true"/>
          <w:lang w:bidi="ar-SA"/>
        </w:rPr>
        <w:t>أنَّه ادّعى وجود روايات تدلّ على أنَّ المراد من الآية هو المعنى الذي اختاره، ثُمَّ ذكر روايتين للوصول إلى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الزبيريّ المتقدّم</w:t>
      </w:r>
      <w:r>
        <w:rPr>
          <w:rStyle w:val="FootnoteAnchor"/>
          <w:rtl w:val="true"/>
        </w:rPr>
        <w:footnoteReference w:id="111"/>
      </w:r>
      <w:r>
        <w:rPr>
          <w:rFonts w:ascii="Amiri" w:hAnsi="Amiri" w:eastAsia="Amiri" w:cs="Amiri"/>
          <w:color w:val="111111"/>
          <w:sz w:val="28"/>
          <w:sz w:val="28"/>
          <w:szCs w:val="28"/>
          <w:rtl w:val="true"/>
          <w:lang w:bidi="ar-SA"/>
        </w:rPr>
        <w:t xml:space="preserve">في تأييد الاحتمال الثاني، وفسّر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العورة على المرأة شائع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ضعيف؛ لأنَّه قد تقدّم أنَّ هذه الرواية تؤيّد الاحتمال الأوَّل على تقديرٍ، </w:t>
      </w:r>
    </w:p>
    <w:p>
      <w:pPr>
        <w:pStyle w:val="BookText"/>
        <w:rPr/>
      </w:pPr>
      <w:r>
        <w:rPr>
          <w:rFonts w:ascii="IRNazanin" w:hAnsi="IRNazanin" w:eastAsia="IRNazanin"/>
          <w:color w:val="111111"/>
          <w:sz w:val="28"/>
          <w:sz w:val="28"/>
          <w:szCs w:val="28"/>
          <w:rtl w:val="true"/>
          <w:lang w:bidi="fa-IR"/>
        </w:rPr>
        <w:t xml:space="preserve">والاحتمال الثاني على تقديرٍ آخر؛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الروايات إمّا قصد منها القبل والدبر، كما هو الإطلاق الشائع فيها، وإمّا هو مطلق ما يجب على الإنسان أنْ لا يُطْلِع الغيرَ عليه من عيوبه ونقائصه وحرمته وأسراره، فإنَّه قد ورد إطلاق لفظ العورة على هذا المعنى، كما لعلّه يظهر من صحيحة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عوراتهم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تتبّع عوراتهم تتبّع الله عورته</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الإطلاق الأوَّل تؤيّد الاحتمال الأوَّل، وعلى الإطلاق الثاني تؤيّد الاحتمال الثاني؛ لأنَّ هذا المعنى المطلق يشمل نظر الرجل إلى نساء الآخرين؛ لأنَّها من عوراتهم،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ثبت من بدن المرأة أنَّه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الإطلاق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المراد من العورات هو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ورد في بعض الروايات، كما في معتبرة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في الضعيفين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اليتيم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هنّ عورة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إطلاق قليل مقابل الإطلاق الأوَّل والثاني وليس شائعاً كما ادّعى؛ فإنَّ المتمثّل بكثرة في الروايات هو الإطلاق الأوَّل والثاني لا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يستبعد في المقام إرادته؛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الفرض الذي فرضه الله على البصر، وهو أن لا ينظر إلى ما حرّم الله النظر إليه، فالذي ينسجم مع هذا الكلام هو أن 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فنهاهم عن أن ينظروا إلى 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ما يحب الإنسان عدم إطلاع غيره عليه، أو خصوص الفروج بقرينة ما عطف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هذه الرواية لا تصلح للاعتماد عليها؛ لضعفها سنداً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ضعيف</w:t>
      </w:r>
      <w:r>
        <w:rPr>
          <w:rStyle w:val="FootnoteAnchor"/>
          <w:rtl w:val="true"/>
        </w:rPr>
        <w:footnoteReference w:id="114"/>
      </w:r>
      <w:r>
        <w:rPr>
          <w:rFonts w:ascii="Amiri" w:hAnsi="Amiri" w:eastAsia="Amiri" w:cs="Amiri"/>
          <w:color w:val="111111"/>
          <w:sz w:val="28"/>
          <w:sz w:val="28"/>
          <w:szCs w:val="28"/>
          <w:rtl w:val="true"/>
          <w:lang w:bidi="ar-SA"/>
        </w:rPr>
        <w:t>، ومن جهة الزبيري فإنَّه مجهول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الغريب جداً ما دُفعَ به الإشكال السندي، حيث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الضعف السندي لا يضرّ؛ لأنَّ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فنهاهم أن ينظروا إلى 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فرضناها مجعولة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لكنّها لا تكون خلاف قواعد اللغة العربية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الكلام أنَّ هذا الكلام يثبت مطلقاً حتّى لو فرضنا أنَّه لم يصدر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العورة على المرأة في اللغة العربية، وإلَّا يلزم التكرار في ذكر الفروج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على تقدير الجعل فغاية ما يثبت معه صحّة إطلاق العورة على النساء عند العرب، لكنّه حينئذٍ كيف يثبت أنَّ لفظ الآية شامل لغضّ البصر عن العورات مضافاً إلى الفروج مع احتمال أنَّ هذه إضافة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إثباته هو هذه التوسعة والشمول في لفظ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الرواية الأولى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معتبرة سعد الإسكاف التي تقدّمت</w:t>
      </w:r>
      <w:r>
        <w:rPr>
          <w:rStyle w:val="FootnoteAnchor"/>
          <w:rtl w:val="true"/>
        </w:rPr>
        <w:footnoteReference w:id="117"/>
      </w:r>
      <w:r>
        <w:rPr>
          <w:rFonts w:ascii="Amiri" w:hAnsi="Amiri" w:eastAsia="Amiri" w:cs="Amiri"/>
          <w:color w:val="111111"/>
          <w:sz w:val="28"/>
          <w:sz w:val="28"/>
          <w:szCs w:val="28"/>
          <w:rtl w:val="true"/>
          <w:lang w:bidi="ar-SA"/>
        </w:rPr>
        <w:t>وقلنا أنَّها وردت في شأن نزول هذه الآية، وبعد ما ذكر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ورود الآية في مورد نظره إليها شاهد على أنَّها تنهى عن النظر</w:t>
      </w:r>
      <w:r>
        <w:rPr>
          <w:rFonts w:eastAsia="Amiri" w:cs="Amiri" w:ascii="Amiri" w:hAnsi="Amiri"/>
          <w:color w:val="111111"/>
          <w:sz w:val="28"/>
          <w:szCs w:val="28"/>
          <w:rtl w:val="true"/>
          <w:lang w:bidi="ar-SA"/>
        </w:rPr>
        <w:t xml:space="preserve">. </w:t>
      </w:r>
      <w:bookmarkStart w:id="73" w:name="pg10921_145157"/>
    </w:p>
    <w:p>
      <w:pPr>
        <w:pStyle w:val="BookText"/>
        <w:rPr/>
      </w:pPr>
      <w:bookmarkEnd w:id="73"/>
      <w:r>
        <w:rPr>
          <w:rFonts w:ascii="Amiri" w:hAnsi="Amiri" w:eastAsia="Amiri" w:cs="Amiri"/>
          <w:color w:val="111111"/>
          <w:sz w:val="28"/>
          <w:sz w:val="28"/>
          <w:szCs w:val="28"/>
          <w:rtl w:val="true"/>
          <w:lang w:bidi="ar-SA"/>
        </w:rPr>
        <w:t>لكنّك قد عرفت أنَّ المذكور فيها ليس مطلق النظر، بل النظر الموجب لتركيز الناظر فيما ينظر إليه حيث غفل تماماً عمّا كان في الطريق ممّا يمكن أن يحصل له، وهذا لا يفارق التلذُّذ والريبة عادة، وكذلك لا يعلم أنَّ نظر الشاب كان إلى وجه المرأة فقط، بل كانت النساء آنذاك يتقنعن خلف الآذان، فلعل نظره كان إلى ما يحرم النظر إليه ولو بدون قصد التلذُّذ، وهي مواضع أطراف الوجه القريبة إلى الآذان وشيء من الشعَر والآذان نفسها، فلا يصح الاستدلال بها على وجوب الغضّ عن وجه وكف المرأة الأجنبيّة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127302_2870459653"/>
      <w:bookmarkStart w:id="75" w:name="_Toc28"/>
      <w:bookmarkEnd w:id="74"/>
      <w:r>
        <w:rPr>
          <w:rtl w:val="true"/>
        </w:rPr>
        <w:t>الإيراد الثالث</w:t>
      </w:r>
      <w:bookmarkEnd w:id="75"/>
    </w:p>
    <w:p>
      <w:pPr>
        <w:pStyle w:val="BookText"/>
        <w:rPr/>
      </w:pPr>
      <w:r>
        <w:rPr>
          <w:rFonts w:ascii="Amiri" w:hAnsi="Amiri" w:eastAsia="Amiri" w:cs="Amiri"/>
          <w:color w:val="111111"/>
          <w:sz w:val="28"/>
          <w:sz w:val="28"/>
          <w:szCs w:val="28"/>
          <w:rtl w:val="true"/>
          <w:lang w:bidi="ar-SA"/>
        </w:rPr>
        <w:t>الاستدلال على هذا المدّعى بهذه الآية مبنيٌّ على أنَّ مفاد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يَغُضُّوا مِنْ أَبْصَارِهِمْ هو أن لا تنظروا، وهذا يمكن أن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الغضّ لغة هو النقصان من طرف الشي سواء كان صوتاً أو بصراً أو غير ذلك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 لَهُم مَّغْفِرَةٌ وَأَجْرٌ عَظِيمٌ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غضّضت السقاء أي نقصت ممّا فيه، وفي المثل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فلان ببطنته لم يتغضغض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ينقص</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ذكر في معجم مقاييس اللغة، والمفردات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 والغضاضة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في الطرف</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وفي 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والغضيضة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بذا غضيضة فلان ولا مَغَضَّتَه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نقيصته ومَنْقَصَته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وَاغْضُضْ مِنْ صَوْتِكَ،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الصوت، وغضّ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 النظر</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وهكذا في المحيط</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ليس المعنى المراد من الأمر بغضّ البصر هو عدم النظر، بل المراد هو إيجاد النقص في حدود ما يمكن أن ينظر إليه الإنسان، فهو في قوّة النهي عن إرسال البصر بلا حدود، فالمطلوب هو تضييق دائرة جولان البصر، فهو يشبه أن يكون حكماً أخلاقيّاً؛ لإبعاد المكلف عن الوقوع في الحرام، فإنَّ إرسال النظر يجرّ الإنسان إلى ما لم يكن يريده من الأوَّل من الوقوع في النظر المحرم، فلأجل التجنُّب عنه أمرنا بتحديد جولان النظر، فلا دلالة فيها على حرمة النظر من الأساس على هذا الاحتمال حتّى نبحث عن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اتّضح وجه مجيء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الغضّ والبصر؛ وهو أنَّه لما كان المراد جعل الحدّ من طرف البصر لا مطلق كفّ البصر وغمضه احتيج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حتى تدلّ على أنَّ المطلوب هو النقص عن بعض البصر، والنقص في أطراف البصر لا يتحقق إلَّا بترك النظر إلى بعض المبصرات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الآية هو وجوب ترك النظر إلى ما حُرّم النظر إليه، فلا يتمُّ الاستدلال بها على المدّعى؛ لأنَّ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المرأة وكفَّاها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 ممّا يحرم النظر إليه، أو هو مجرّد حكم أخلاقيّ مقدّميّ للاجتناب عن الوقوع في الحرام</w:t>
      </w:r>
      <w:r>
        <w:rPr>
          <w:rFonts w:eastAsia="Amiri" w:cs="Amiri" w:ascii="Amiri" w:hAnsi="Amiri"/>
          <w:color w:val="111111"/>
          <w:sz w:val="28"/>
          <w:szCs w:val="28"/>
          <w:rtl w:val="true"/>
          <w:lang w:bidi="ar-SA"/>
        </w:rPr>
        <w:t xml:space="preserve">. </w:t>
      </w:r>
      <w:bookmarkStart w:id="76" w:name="pg10921_145159"/>
    </w:p>
    <w:p>
      <w:pPr>
        <w:pStyle w:val="Heading5"/>
        <w:numPr>
          <w:ilvl w:val="4"/>
          <w:numId w:val="1"/>
        </w:numPr>
        <w:rPr/>
      </w:pPr>
      <w:bookmarkStart w:id="77" w:name="__RefHeading___Toc3127304_2870459653"/>
      <w:bookmarkStart w:id="78" w:name="_Toc29"/>
      <w:bookmarkEnd w:id="76"/>
      <w:bookmarkEnd w:id="77"/>
      <w:r>
        <w:rPr>
          <w:rtl w:val="true"/>
        </w:rPr>
        <w:t>الآية الثالثة</w:t>
      </w:r>
      <w:bookmarkEnd w:id="78"/>
    </w:p>
    <w:p>
      <w:pPr>
        <w:pStyle w:val="BookText"/>
        <w:rPr/>
      </w:pPr>
      <w:r>
        <w:rPr>
          <w:rFonts w:ascii="IRNazanin" w:hAnsi="IRNazanin" w:eastAsia="IRNazanin"/>
          <w:color w:val="111111"/>
          <w:sz w:val="28"/>
          <w:sz w:val="28"/>
          <w:szCs w:val="28"/>
          <w:rtl w:val="true"/>
          <w:lang w:bidi="fa-IR"/>
        </w:rPr>
        <w:t>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بها على الحرمة الخواجوئي</w:t>
      </w:r>
      <w:r>
        <w:rPr>
          <w:rStyle w:val="FootnoteAnchor"/>
          <w:rtl w:val="true"/>
        </w:rPr>
        <w:footnoteReference w:id="125"/>
      </w:r>
      <w:r>
        <w:rPr>
          <w:rFonts w:ascii="Amiri" w:hAnsi="Amiri" w:eastAsia="Amiri" w:cs="Amiri"/>
          <w:color w:val="111111"/>
          <w:sz w:val="28"/>
          <w:sz w:val="28"/>
          <w:szCs w:val="28"/>
          <w:rtl w:val="true"/>
          <w:lang w:bidi="ar-SA"/>
        </w:rPr>
        <w:t xml:space="preserve">،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مفسّراً الجلباب بأنَّه ثوب يغطي رأس المرأة ووجهها، وكذلك ما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معناها الإرخاء والإسدال، ولا معنى لإرخاء الجلباب إلَّا ستر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هذا الاستدلال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أنَّ الجلباب هو ثوب يغطّي رأس المرأة ووجهها، وهذا غير ثابت؛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في تفسيرها، لكنّه يبدو بالنظر إلى أقوال أهل اللّغة واستعمال هذه الكلمة في الروايات وكلام العرب أنَّه ثوب أوسع من الخمار يشبه العباءة يغطي جسد الإنسان أو معظمه من فوق الثياب وإن كثر استعماله في حقّ المرأة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أَوسَعُ من الخِمار، دون الرِّداءِ، تُغَطِّي به المرأَةُ رأْسَها وصَدْرَها،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واسِع، دون المِلْحَفةِ، تَلْبَسه المرأَةُ،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المِلْحفةُ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وثوب واسع للمرأة دون الملحفة، أو ما تغطّي به ثيابها من فوق كالملحفة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والرداء،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كالمقنعة تغطّي به المرأة رأسها وظهرها وصدرها، وقيل غير ذلك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أوسع من الخمار دون الرداء، تغطّي به المرأة رأسها وصدرها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تهذيب اللغة خمسة أقوال في الجلباب، وليس فيها القول بأنَّه يغطّي الوجه</w:t>
      </w:r>
      <w:r>
        <w:rPr>
          <w:rStyle w:val="FootnoteAnchor"/>
          <w:rtl w:val="true"/>
        </w:rPr>
        <w:footnoteReference w:id="132"/>
      </w:r>
      <w:r>
        <w:rPr>
          <w:rFonts w:ascii="Amiri" w:hAnsi="Amiri" w:eastAsia="Amiri" w:cs="Amiri"/>
          <w:color w:val="111111"/>
          <w:sz w:val="28"/>
          <w:sz w:val="28"/>
          <w:szCs w:val="28"/>
          <w:rtl w:val="true"/>
          <w:lang w:bidi="ar-SA"/>
        </w:rPr>
        <w:t>، ويمكن مراجعة الصحاح</w:t>
      </w:r>
      <w:r>
        <w:rPr>
          <w:rStyle w:val="FootnoteAnchor"/>
          <w:rtl w:val="true"/>
        </w:rPr>
        <w:footnoteReference w:id="133"/>
      </w:r>
      <w:r>
        <w:rPr>
          <w:rFonts w:ascii="Amiri" w:hAnsi="Amiri" w:eastAsia="Amiri" w:cs="Amiri"/>
          <w:color w:val="111111"/>
          <w:sz w:val="28"/>
          <w:sz w:val="28"/>
          <w:szCs w:val="28"/>
          <w:rtl w:val="true"/>
          <w:lang w:bidi="ar-SA"/>
        </w:rPr>
        <w:t>، ومعجم مقاييس اللّغة</w:t>
      </w:r>
      <w:r>
        <w:rPr>
          <w:rStyle w:val="FootnoteAnchor"/>
          <w:rtl w:val="true"/>
        </w:rPr>
        <w:footnoteReference w:id="134"/>
      </w:r>
      <w:r>
        <w:rPr>
          <w:rFonts w:ascii="IRNazanin" w:hAnsi="IRNazanin" w:eastAsia="IRNazanin"/>
          <w:color w:val="111111"/>
          <w:sz w:val="28"/>
          <w:sz w:val="28"/>
          <w:szCs w:val="28"/>
          <w:rtl w:val="true"/>
          <w:lang w:bidi="fa-IR"/>
        </w:rPr>
        <w:t>، والفائق</w:t>
      </w:r>
      <w:r>
        <w:rPr>
          <w:rStyle w:val="FootnoteAnchor"/>
          <w:rtl w:val="true"/>
        </w:rPr>
        <w:footnoteReference w:id="135"/>
      </w:r>
      <w:r>
        <w:rPr>
          <w:rFonts w:ascii="Amiri" w:hAnsi="Amiri" w:eastAsia="Amiri" w:cs="Amiri"/>
          <w:color w:val="111111"/>
          <w:sz w:val="28"/>
          <w:sz w:val="28"/>
          <w:szCs w:val="28"/>
          <w:rtl w:val="true"/>
          <w:lang w:bidi="ar-SA"/>
        </w:rPr>
        <w:t>وغيرها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علي بن عقبة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ومعلّى بن خنيس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لنا وليس هو في مجلسه، فخرج علينا من جانب البيت من عند نسائه، وليس عليه جلباب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أنَّه ثوب مشترك بين الرجل والمرأة ولا يستر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المأثور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لأحبّك في السرّ كما أحبّك في 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معتبرة الأصبغ في البصائر</w:t>
      </w:r>
      <w:r>
        <w:rPr>
          <w:rStyle w:val="FootnoteAnchor"/>
          <w:rtl w:val="true"/>
        </w:rPr>
        <w:footnoteReference w:id="136"/>
      </w:r>
      <w:r>
        <w:rPr>
          <w:rFonts w:ascii="Amiri" w:hAnsi="Amiri" w:eastAsia="Amiri" w:cs="Amiri"/>
          <w:color w:val="111111"/>
          <w:sz w:val="28"/>
          <w:sz w:val="28"/>
          <w:szCs w:val="28"/>
          <w:rtl w:val="true"/>
          <w:lang w:bidi="ar-SA"/>
        </w:rPr>
        <w:t>، وغيرها من الكتب الحديثيّة، فلو كان هذا الثوب من مختصّات المرأة لما حسن استعماله في مثل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مرسلة محمّد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قصة عابد من بني إسرائيل مع الشيطان،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المدينة بجلابيبه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فسّر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بالملاءة والمقنعة للمرأة، والإدناء بتغطيتهن جباههن ورؤوسهن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فسّره بخمار المرأة، وهي المقنعة تغطّي جيبها ورأسها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فبالنظر إلى هذا كلّه من الصعب جدّاً إثبات أنَّ الجلباب هو ثوب يستر الوجه أيضاً، كما جاء في بعض التفاسير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هذا نوقش في الاستدلال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هذا الحكم إلزاميّاً بدعوى أنَّ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يُعْرَفْنَ، وما ذكر في شأن نزولها يقرّبان كون هذا الحكم أخلاقيّاً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لم يثبت أنَّه دائمي، بل يحتمل أن يكون مؤقّتاً ينتهي بانتهاء </w:t>
      </w:r>
    </w:p>
    <w:p>
      <w:pPr>
        <w:pStyle w:val="BookText"/>
        <w:rPr/>
      </w:pPr>
      <w:r>
        <w:rPr>
          <w:rFonts w:ascii="Amiri" w:hAnsi="Amiri" w:eastAsia="Amiri" w:cs="Amiri"/>
          <w:color w:val="111111"/>
          <w:sz w:val="28"/>
          <w:sz w:val="28"/>
          <w:szCs w:val="28"/>
          <w:rtl w:val="true"/>
          <w:lang w:bidi="ar-SA"/>
        </w:rPr>
        <w:t>علّته المذكورة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بعموم الحكم لجميع النساء، بل كان لطائفة معيّنة، ولمزيد الاطّلاع على هذه الإشكالات يمكن مراجعة كتاب الصلاة للمحقّق الداماد</w:t>
      </w:r>
      <w:r>
        <w:rPr>
          <w:rStyle w:val="FootnoteAnchor"/>
          <w:rtl w:val="true"/>
        </w:rPr>
        <w:footnoteReference w:id="141"/>
      </w:r>
      <w:r>
        <w:rPr>
          <w:rFonts w:ascii="Amiri" w:hAnsi="Amiri" w:eastAsia="Amiri" w:cs="Amiri"/>
          <w:color w:val="111111"/>
          <w:sz w:val="28"/>
          <w:sz w:val="28"/>
          <w:szCs w:val="28"/>
          <w:rtl w:val="true"/>
          <w:lang w:bidi="ar-SA"/>
        </w:rPr>
        <w:t>، وما ذكر في كتاب النكاح للسيّد الشبيريّ الزنجانيّ</w:t>
      </w:r>
      <w:r>
        <w:rPr>
          <w:rStyle w:val="FootnoteAnchor"/>
          <w:rtl w:val="true"/>
        </w:rPr>
        <w:footnoteReference w:id="142"/>
      </w:r>
      <w:r>
        <w:rPr>
          <w:rFonts w:ascii="Amiri" w:hAnsi="Amiri" w:eastAsia="Amiri" w:cs="Amiri"/>
          <w:color w:val="111111"/>
          <w:sz w:val="28"/>
          <w:sz w:val="28"/>
          <w:szCs w:val="28"/>
          <w:rtl w:val="true"/>
          <w:lang w:bidi="ar-SA"/>
        </w:rPr>
        <w:t>، نقلاً عن الشهيد 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لسنا بحاجة إلى الخوض في هذه الإشكالات للغنى عنها بالإشكال الأوَّل فهو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الجلباب وحده لا يستلزم تغطية الوجه، ولكن الآية أمرت بإدنائه متعدياً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 إلَّا تغطية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تفسير إدناء الجلباب على بدن المرأة بإسداله على وجهها، بل هذا مجرّد احتمال مقابل احتمال أن يكون المقصود ستر جميع بدنها ما عدا الوجه والكفَّين، واحتمال أنَّ المراد هو إحكامه وإلصاقه مع الجسم حتّى لا يبتعد عن البدن بالهواء والحركة فينكشف للناظر ما يجب ستره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يقرّبن الجلباب من أبدانهنّ محيطاً على الجسم كلّه الذي يجب ستره عن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هذا التعبير في هذا المعنى في بعض الآيات وكلام العرب،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وَدَانِيَةً عَلَيْهِمْ ظِلَالُهَا</w:t>
      </w:r>
      <w:r>
        <w:rPr>
          <w:rStyle w:val="FootnoteAnchor"/>
          <w:rtl w:val="true"/>
        </w:rPr>
        <w:footnoteReference w:id="143"/>
      </w:r>
      <w:r>
        <w:rPr>
          <w:rFonts w:ascii="Amiri" w:hAnsi="Amiri" w:eastAsia="Amiri" w:cs="Amiri"/>
          <w:color w:val="111111"/>
          <w:sz w:val="28"/>
          <w:sz w:val="28"/>
          <w:szCs w:val="28"/>
          <w:rtl w:val="true"/>
          <w:lang w:bidi="ar-SA"/>
        </w:rPr>
        <w:t>أي قربت منهم الظلال محيطة بهم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دنا عالي ركابك هزّني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اشتياق ضاع في جنبه صبري</w:t>
      </w:r>
      <w:r>
        <w:rPr>
          <w:rStyle w:val="FootnoteAnchor"/>
          <w:rtl w:val="true"/>
        </w:rPr>
        <w:footnoteReference w:id="144"/>
      </w:r>
      <w:r>
        <w:rPr>
          <w:rFonts w:ascii="Amiri" w:hAnsi="Amiri" w:eastAsia="Amiri" w:cs="Amiri"/>
          <w:color w:val="111111"/>
          <w:sz w:val="28"/>
          <w:sz w:val="28"/>
          <w:szCs w:val="28"/>
          <w:rtl w:val="true"/>
          <w:lang w:bidi="ar-SA"/>
        </w:rPr>
        <w:t>مقصوده أنَّه عندما اقترب مجيئك منّي سيطر على مشاعري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ساعدة بن جويّة واصفاً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سَبَلُ العَماء دَنا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بِرَيْدِه ماءٌ زَلولُ</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أي إذا دنا منه مطر السحاب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عليّ نقيّ النقويّ</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المفسّرين من العامّة والخاصّة القائلة بأنَّ إدناء الجلباب على البدن معناه إسداله وستر الوجه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لأنَّه اجتهاد منهم بلا شاهد من اللّغة العربيّة، ولم أجد مثل هذا الاستعمال لأداء هذا المعنى في الروايات ولا في الأدب العربيّ حسب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اسماً لثوب يستر الوجه،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هذا المعنى، فالاستدلال بالآية قاصر عن إثبات المدّعى، بل وجه التعدّي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بدنها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والمؤيّد لما اخترناه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في الآية معلّل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يُعْرَفْنَ، معناه أنَّ الحكمة وراء هذا الحكم هو حصول معرفة الحرائر عن الإماء، وهذا لا يقتضي أكثر من ستر الشعر والرقبة وإسدال الثوب الكبير على البدن، لأنَّه يحصل به التمييز بينهنّ وبين الإماء؛ لأنَّ الإماء لم يكنّ يلبسن الخمار زمان نزول الآية</w:t>
      </w:r>
      <w:r>
        <w:rPr>
          <w:rFonts w:eastAsia="Amiri" w:cs="Amiri" w:ascii="Amiri" w:hAnsi="Amiri"/>
          <w:color w:val="111111"/>
          <w:sz w:val="28"/>
          <w:szCs w:val="28"/>
          <w:rtl w:val="true"/>
          <w:lang w:bidi="ar-SA"/>
        </w:rPr>
        <w:t xml:space="preserve">. </w:t>
      </w:r>
      <w:bookmarkStart w:id="79" w:name="pg10921_145164"/>
    </w:p>
    <w:p>
      <w:pPr>
        <w:pStyle w:val="BookText"/>
        <w:rPr/>
      </w:pPr>
      <w:bookmarkEnd w:id="79"/>
      <w:r>
        <w:rPr>
          <w:rFonts w:ascii="Amiri" w:hAnsi="Amiri" w:eastAsia="Amiri" w:cs="Amiri"/>
          <w:color w:val="111111"/>
          <w:sz w:val="28"/>
          <w:sz w:val="28"/>
          <w:szCs w:val="28"/>
          <w:rtl w:val="true"/>
          <w:lang w:bidi="ar-SA"/>
        </w:rPr>
        <w:t>ثُمَّ إذا سلّمنا دلالة هذا التعبير على إسدال الثوب وإرخائه فمن أين هذا التعيين بأن يكون الإسدال على الوجه بالخصوص؟ لِمَ لا يكون المراد إسدال الجلباب على الصدر والظهر إلى القدمين</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3127306_2870459653"/>
      <w:bookmarkStart w:id="81" w:name="_Toc30"/>
      <w:bookmarkEnd w:id="80"/>
      <w:r>
        <w:rPr>
          <w:rtl w:val="true"/>
        </w:rPr>
        <w:t>الآية الرابعة</w:t>
      </w:r>
      <w:bookmarkEnd w:id="8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 xml:space="preserve">&gt;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الفقرة جزء من الآية الأولى التي ذكرناها أوّلاً 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بها على الحرمة السيّد عليّ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أمرت بضرب الخمار وهو ثوب يستر الوجه كما يظهر من تتبع كلام العرب،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على شغفي بما في خمرها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لأعف عمّا في سراويلاتها</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خمرها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كما ذكر العكبري في شرح هذا البيت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أحنّ إلى ما تضمر الخمر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وأصدف عمّا في ضمان المآزر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تضمّنه الخمر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القاضي أبو علي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للمليحة في الخمار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نسك أخي التقى المترهّب</w:t>
      </w:r>
    </w:p>
    <w:p>
      <w:pPr>
        <w:pStyle w:val="BookText"/>
        <w:rPr/>
      </w:pPr>
      <w:r>
        <w:rPr>
          <w:rFonts w:ascii="Amiri" w:hAnsi="Amiri" w:eastAsia="Amiri" w:cs="Amiri"/>
          <w:color w:val="111111"/>
          <w:sz w:val="28"/>
          <w:sz w:val="28"/>
          <w:szCs w:val="28"/>
          <w:rtl w:val="true"/>
          <w:lang w:bidi="ar-SA"/>
        </w:rPr>
        <w:t xml:space="preserve">نور الخمار ونور خدك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لوجهك كيف لم يتلهّب</w:t>
      </w:r>
    </w:p>
    <w:p>
      <w:pPr>
        <w:pStyle w:val="BookText"/>
        <w:rPr/>
      </w:pPr>
      <w:r>
        <w:rPr>
          <w:rFonts w:ascii="Amiri" w:hAnsi="Amiri" w:eastAsia="Amiri" w:cs="Amiri"/>
          <w:color w:val="111111"/>
          <w:sz w:val="28"/>
          <w:sz w:val="28"/>
          <w:szCs w:val="28"/>
          <w:rtl w:val="true"/>
          <w:lang w:bidi="ar-SA"/>
        </w:rPr>
        <w:t>فجعل الخدّ تحت الخمار معناه أنَّ الخمار يستر الخدّ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المتنبي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سفرت وبرقعها الحياء بصفرة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محاسنها ولم تك برقعا</w:t>
      </w:r>
    </w:p>
    <w:p>
      <w:pPr>
        <w:pStyle w:val="BookText"/>
        <w:rPr/>
      </w:pPr>
      <w:r>
        <w:rPr>
          <w:rFonts w:ascii="Amiri" w:hAnsi="Amiri" w:eastAsia="Amiri" w:cs="Amiri"/>
          <w:color w:val="111111"/>
          <w:sz w:val="28"/>
          <w:sz w:val="28"/>
          <w:szCs w:val="28"/>
          <w:rtl w:val="true"/>
          <w:lang w:bidi="ar-SA"/>
        </w:rPr>
        <w:t>قال العكبريّ في شرح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يقول لمّا ألقت خمارها وأسفرت عن وجهها برقعها الحياء بصفرة، فلمّا يلزم من إلقاء الخمار الإسفار عن الوجه معناه الخمار يستر الوجه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بعض الروايات استظهر منها أنَّها استعملت الخمار في ثوب ساتر للوجه، وأنّ الآية أمرت بضرب الخمار على الصدور حتّى لا يقتصر الخمار على حدود الوجه فيطير ويرتفع عن الوجه بالهواء أو الحركة، وأمّا إذا كان مسدلاً إلى الصدر فيبقى ساتراً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تتمُّ دلالة الآية على وجوب ستر المرأة وجهها عن الأجانب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أمرت النساء بضرب الخمر على جيوبهن واكتفت به، ولم تذكر الوجه، والمراد من الجيب هو النحر وما يليه من الصدر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تغطي به المرأة رأسها، وهذا هو ظاهر قول اللّغويين كما في مجمع البحرين</w:t>
      </w:r>
      <w:r>
        <w:rPr>
          <w:rStyle w:val="FootnoteAnchor"/>
          <w:rtl w:val="true"/>
        </w:rPr>
        <w:footnoteReference w:id="150"/>
      </w:r>
      <w:r>
        <w:rPr>
          <w:rFonts w:ascii="Amiri" w:hAnsi="Amiri" w:eastAsia="Amiri" w:cs="Amiri"/>
          <w:color w:val="111111"/>
          <w:sz w:val="28"/>
          <w:sz w:val="28"/>
          <w:szCs w:val="28"/>
          <w:rtl w:val="true"/>
          <w:lang w:bidi="ar-SA"/>
        </w:rPr>
        <w:t>، وتهذيب اللّغة</w:t>
      </w:r>
      <w:r>
        <w:rPr>
          <w:rStyle w:val="FootnoteAnchor"/>
          <w:rtl w:val="true"/>
        </w:rPr>
        <w:footnoteReference w:id="151"/>
      </w:r>
      <w:r>
        <w:rPr>
          <w:rFonts w:ascii="IRNazanin" w:hAnsi="IRNazanin" w:eastAsia="IRNazanin"/>
          <w:color w:val="111111"/>
          <w:sz w:val="28"/>
          <w:sz w:val="28"/>
          <w:szCs w:val="28"/>
          <w:rtl w:val="true"/>
          <w:lang w:bidi="fa-IR"/>
        </w:rPr>
        <w:t>، ولسان العرب</w:t>
      </w:r>
      <w:r>
        <w:rPr>
          <w:rStyle w:val="FootnoteAnchor"/>
          <w:rtl w:val="true"/>
        </w:rPr>
        <w:footnoteReference w:id="152"/>
      </w:r>
      <w:r>
        <w:rPr>
          <w:rFonts w:ascii="Amiri" w:hAnsi="Amiri" w:eastAsia="Amiri" w:cs="Amiri"/>
          <w:color w:val="111111"/>
          <w:sz w:val="28"/>
          <w:sz w:val="28"/>
          <w:szCs w:val="28"/>
          <w:rtl w:val="true"/>
          <w:lang w:bidi="ar-SA"/>
        </w:rPr>
        <w:t>، والمصباح المنير</w:t>
      </w:r>
      <w:r>
        <w:rPr>
          <w:rStyle w:val="FootnoteAnchor"/>
          <w:rtl w:val="true"/>
        </w:rPr>
        <w:footnoteReference w:id="153"/>
      </w:r>
      <w:r>
        <w:rPr>
          <w:rFonts w:ascii="IRNazanin" w:hAnsi="IRNazanin" w:eastAsia="IRNazanin"/>
          <w:color w:val="111111"/>
          <w:sz w:val="28"/>
          <w:sz w:val="28"/>
          <w:szCs w:val="28"/>
          <w:rtl w:val="true"/>
          <w:lang w:bidi="fa-IR"/>
        </w:rPr>
        <w:t>، وتاج العروس</w:t>
      </w:r>
      <w:r>
        <w:rPr>
          <w:rStyle w:val="FootnoteAnchor"/>
          <w:rtl w:val="true"/>
        </w:rPr>
        <w:footnoteReference w:id="15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والزاهر</w:t>
      </w:r>
      <w:r>
        <w:rPr>
          <w:rStyle w:val="FootnoteAnchor"/>
          <w:rtl w:val="true"/>
        </w:rPr>
        <w:footnoteReference w:id="155"/>
      </w:r>
      <w:r>
        <w:rPr>
          <w:rFonts w:ascii="IRNazanin" w:hAnsi="IRNazanin" w:eastAsia="IRNazanin"/>
          <w:color w:val="111111"/>
          <w:sz w:val="28"/>
          <w:sz w:val="28"/>
          <w:szCs w:val="28"/>
          <w:rtl w:val="true"/>
          <w:lang w:bidi="fa-IR"/>
        </w:rPr>
        <w:t>، ومفردات الراغب</w:t>
      </w:r>
      <w:r>
        <w:rPr>
          <w:rStyle w:val="FootnoteAnchor"/>
          <w:rtl w:val="true"/>
        </w:rPr>
        <w:footnoteReference w:id="156"/>
      </w:r>
      <w:r>
        <w:rPr>
          <w:rFonts w:ascii="IRNazanin" w:hAnsi="IRNazanin" w:eastAsia="IRNazanin"/>
          <w:color w:val="111111"/>
          <w:sz w:val="28"/>
          <w:sz w:val="28"/>
          <w:szCs w:val="28"/>
          <w:rtl w:val="true"/>
          <w:lang w:bidi="fa-IR"/>
        </w:rPr>
        <w:t>، والمغرب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ونحوها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والمقنعة ليست ممّا يستر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الثعلبي الخمار من ملابس ستر الرأس نقلاً عن الفرّاء</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الرأس</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خمار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تغطي به المرأة رأسها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هذا هو ظاهر عبارة الخليل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 أوسع من الخمار دون الرداء تغطي به المرأة رأسها وصدرها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وهذا التعبير يدلّ على أنَّ الخمار أضيق من الجلباب حيث لا يصل إلى الصدر مثل الجلباب، بل يغطي الرأس والرقبة أو الجيب إلى حدّ أقصى، ويفهم منه أنَّه لا يستر الوجه، وإلّا كان ثوباً مغايراً للجلباب في الهيئة والتركيب، ولم يكن من المناسب جعل الجلباب أوسع من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عبارة الزمخشري في الفائق</w:t>
      </w:r>
      <w:r>
        <w:rPr>
          <w:rStyle w:val="FootnoteAnchor"/>
          <w:rtl w:val="true"/>
        </w:rPr>
        <w:footnoteReference w:id="163"/>
      </w:r>
      <w:r>
        <w:rPr>
          <w:rFonts w:ascii="Amiri" w:hAnsi="Amiri" w:eastAsia="Amiri" w:cs="Amiri"/>
          <w:color w:val="111111"/>
          <w:sz w:val="28"/>
          <w:sz w:val="28"/>
          <w:szCs w:val="28"/>
          <w:rtl w:val="true"/>
          <w:lang w:bidi="ar-SA"/>
        </w:rPr>
        <w:t>، وابن سيده في المخصّص</w:t>
      </w:r>
      <w:r>
        <w:rPr>
          <w:rStyle w:val="FootnoteAnchor"/>
          <w:rtl w:val="true"/>
        </w:rPr>
        <w:footnoteReference w:id="164"/>
      </w:r>
      <w:r>
        <w:rPr>
          <w:rFonts w:ascii="Amiri" w:hAnsi="Amiri" w:eastAsia="Amiri" w:cs="Amiri"/>
          <w:color w:val="111111"/>
          <w:sz w:val="28"/>
          <w:sz w:val="28"/>
          <w:szCs w:val="28"/>
          <w:rtl w:val="true"/>
          <w:lang w:bidi="ar-SA"/>
        </w:rPr>
        <w:t xml:space="preserve">، ولم أجد من اللّغويين من فسّر الخمار بثوب يستر </w:t>
      </w:r>
    </w:p>
    <w:p>
      <w:pPr>
        <w:pStyle w:val="BookText"/>
        <w:rPr/>
      </w:pPr>
      <w:r>
        <w:rPr>
          <w:rFonts w:ascii="Amiri" w:hAnsi="Amiri" w:eastAsia="Amiri" w:cs="Amiri"/>
          <w:color w:val="111111"/>
          <w:sz w:val="28"/>
          <w:sz w:val="28"/>
          <w:szCs w:val="28"/>
          <w:rtl w:val="true"/>
          <w:lang w:bidi="ar-SA"/>
        </w:rPr>
        <w:t>الوجه، بل ذُكر في البرقع أنَّه ثوب تغطي به المرأة وجهها</w:t>
      </w:r>
      <w:r>
        <w:rPr>
          <w:rStyle w:val="FootnoteAnchor"/>
          <w:rtl w:val="true"/>
        </w:rPr>
        <w:footnoteReference w:id="165"/>
      </w:r>
      <w:r>
        <w:rPr>
          <w:rFonts w:ascii="Amiri" w:hAnsi="Amiri" w:eastAsia="Amiri" w:cs="Amiri"/>
          <w:color w:val="111111"/>
          <w:sz w:val="28"/>
          <w:sz w:val="28"/>
          <w:szCs w:val="28"/>
          <w:rtl w:val="true"/>
          <w:lang w:bidi="ar-SA"/>
        </w:rPr>
        <w:t xml:space="preserve">، وكذا في النقاب ذكر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سفرت المرأة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النقاب عن وجهها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قباله هناك شواهد كثيرة على استعمال الخمار في ما كان ساتراً للرأس دون الوجه، وتقدّمت بعض الروايات التي استعمل فيها الخمار في هذا المعنى، وبعضها الآخر فيما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خبر جميع بن عمير، سألت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ما كان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يقصد 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خمارها على وجهها وبكت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 جران العود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ما انتضينا فانتزعتُ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كاهلٌ منها ورأسٌ صمحمحُ</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وفي 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الجلع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جلعت المرأة خمارها إذا كشفت عن رأسها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تبدي نقياً زانها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وقسطة ما شانها غفارها</w:t>
      </w:r>
      <w:r>
        <w:rPr>
          <w:rStyle w:val="FootnoteAnchor"/>
          <w:rtl w:val="true"/>
        </w:rPr>
        <w:footnoteReference w:id="1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كاشفة الوجه حيث يرى غفارها، وهو ميسم في الخد، مع أنَّها لابسة خمارها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الشاعر أبو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ليست بحوشبة يبيت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الصباح مثبتاً بغراءِ</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يقصد أنَّه لا شعر على رأسها، فهي لا تضع خمارها طول الليل، فاستعمل الخمار في ما يكون ساتراً للرأس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والحوشب لغةً هو منتفخ الجبين، والشاعر كنّى به عن وجود الشعر على طرفي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تلوث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تلويه على رأسها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قد وجد في كلا المعنيين فلا يصلح شاهداً على شيء، فيسلم تسالم اللّغويين عن أيّ معارض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هو الذي اختاره المفسّرون في تفسير الآية</w:t>
      </w:r>
      <w:r>
        <w:rPr>
          <w:rStyle w:val="FootnoteAnchor"/>
          <w:rtl w:val="true"/>
        </w:rPr>
        <w:footnoteReference w:id="173"/>
      </w:r>
      <w:r>
        <w:rPr>
          <w:rFonts w:ascii="Amiri" w:hAnsi="Amiri" w:eastAsia="Amiri" w:cs="Amiri"/>
          <w:color w:val="111111"/>
          <w:sz w:val="28"/>
          <w:sz w:val="28"/>
          <w:szCs w:val="28"/>
          <w:rtl w:val="true"/>
          <w:lang w:bidi="ar-SA"/>
        </w:rPr>
        <w:t>،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المقانع، جمع خمار، وهو غطاء رأس المرأة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وقال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فالخمار غطاء رأس المرأة المنسبل على 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المقانع</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وفسّر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بالمقانع وليس ممّا يستر به الوجوه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وبهذا المعنى استُعمل لفظ الخمار في الروايات التي أمرت المرأة بلبس الخمار في الصلاة مثل صحيحة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 المرأة 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ودرع، وخمار</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وغيرها من روايات هذا الباب، ومعلوم أنَّه لا يجب على المرأة ستر وجهها في الصلاة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اقتصار الآية على الأمر بضرب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الثوب الساتر للرأس على الصدور دون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عدم لزوم ستر الوجه، وإلَّا كان أولى بالذكر، ولاسيمّا إذا لوحظ ما في صحيحة سعد الإسكاف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النساء يتقنّعن خلف آذانهن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فإنّ تبديل التقنُّع خلف الآذان بالضرب على الجيب يلزمه كشف الوجه بلا إشكال، وقد اعترف بتأييد هذه الآية للقول بالجواز من لا يقول بالجواز</w:t>
      </w:r>
      <w:r>
        <w:rPr>
          <w:rStyle w:val="FootnoteAnchor"/>
          <w:rtl w:val="true"/>
        </w:rPr>
        <w:footnoteReference w:id="179"/>
      </w:r>
      <w:r>
        <w:rPr>
          <w:rFonts w:ascii="IRNazanin" w:hAnsi="IRNazanin" w:eastAsia="IRNazanin"/>
          <w:color w:val="111111"/>
          <w:sz w:val="28"/>
          <w:sz w:val="28"/>
          <w:szCs w:val="28"/>
          <w:rtl w:val="true"/>
          <w:lang w:bidi="fa-IR"/>
        </w:rPr>
        <w:t>، وبإشعارها للجواز بعض آخر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السيّد عليّ نقيّ النقويّ من الشواهد فهي لا تثبت إلّا أنَّ الخمار قد استعمل في هذه الموارد في ما يستر الوجه بالقرينة، مع إمكان الخدش في شهادتها على المدّعى؛ لعدم صراحة استعمال الخمر في ساتر الوجه؛ لاحتمال أنّ مراد المتنبي شغفه بما تحت الخمر، وهو شعرها ورقبتها ونحرها وصدرها، بل إرادة الصدر وهو أولى؛ لأنَّه يقابل ما تستره السراويل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والكلام نفسه في شعر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ذكره للحُلي يقرّب الاحتمال المذكور؛ لأنَّ الحُلي لا تستر الوجه، بل أهمّها هو العقد الذي يمكن أن يستر بعض النحر والصدر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 إلى التنوخي فهو أكثر إشكالاً من هذه الجهة؛ لعدم وجود ما يقتضي تفسير الخمار بساتر الوجه إلَّا 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تأبى إرادة ما هو أسفل من الخمار وهو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غير ظاهرة في أنَّ المراد ممّا تحت الخمار هو المكان المستور به، بل يصح استعماله فيما هو أسفل من الخمار، والوجه أسفل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البيت الثاني للمتنبي فهو شاهد على أنَّ ما يستر الوجه يقال له البرقع ولا اعتداد بقول الشارح، وهذا حال بقية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واستشهاده ببعض الروايات أضعف منه لم نتعرّض لها؛ لضعف الاستشهاد بها، وعلى أفضل التقادير فهو مجرّد استعمال، وهو أعمّ من الحقيقة، فلا تصلح هذه الفقرة من الآية للاستدلال بها على القول الأوّل، بل يمكن جعلها من أدلّة القول الثاني، وعلى أقل التقادير تكون الآية مجملة فلا تصلح للاستدلال للقول الأوّل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يتمّ الكلام في الدليل الأوّل للقول الأوّل، وسنتناول في الحلقة القادمة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كما نتناول بقيّة الأقوال إن شاء الله تعالى</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921_145172"/>
      <w:bookmarkStart w:id="83" w:name="pg10921_145172"/>
      <w:bookmarkEnd w:id="83"/>
    </w:p>
    <w:p>
      <w:pPr>
        <w:pStyle w:val="Heading2"/>
        <w:numPr>
          <w:ilvl w:val="1"/>
          <w:numId w:val="1"/>
        </w:numPr>
        <w:rPr/>
      </w:pPr>
      <w:bookmarkStart w:id="84" w:name="pg10921_145172"/>
      <w:bookmarkStart w:id="85" w:name="__RefHeading___Toc3127308_2870459653"/>
      <w:bookmarkStart w:id="86" w:name="_Toc31"/>
      <w:bookmarkEnd w:id="84"/>
      <w:bookmarkEnd w:id="85"/>
      <w:r>
        <w:rPr>
          <w:rtl w:val="true"/>
        </w:rPr>
        <w:t xml:space="preserve">نكاح ذات البعل </w:t>
      </w:r>
      <w:r>
        <w:rPr>
          <w:rtl w:val="true"/>
        </w:rPr>
        <w:t>(</w:t>
      </w:r>
      <w:r>
        <w:rPr>
          <w:rtl w:val="true"/>
        </w:rPr>
        <w:t>الحلقة الثانية</w:t>
      </w:r>
      <w:r>
        <w:rPr>
          <w:rtl w:val="true"/>
        </w:rPr>
        <w:t xml:space="preserve">) - </w:t>
      </w:r>
      <w:r>
        <w:rPr>
          <w:rtl w:val="true"/>
        </w:rPr>
        <w:t xml:space="preserve">الشيخ علي سالم الناصري </w:t>
      </w:r>
      <w:r>
        <w:rPr>
          <w:rtl w:val="true"/>
        </w:rPr>
        <w:t>(</w:t>
      </w:r>
      <w:r>
        <w:rPr>
          <w:rtl w:val="true"/>
        </w:rPr>
        <w:t>دام عزه</w:t>
      </w:r>
      <w:r>
        <w:rPr>
          <w:rtl w:val="true"/>
        </w:rPr>
        <w:t>)</w:t>
      </w:r>
      <w:bookmarkEnd w:id="86"/>
    </w:p>
    <w:p>
      <w:pPr>
        <w:pStyle w:val="Heading3"/>
        <w:numPr>
          <w:ilvl w:val="2"/>
          <w:numId w:val="1"/>
        </w:numPr>
        <w:rPr/>
      </w:pPr>
      <w:bookmarkStart w:id="87" w:name="__RefHeading___Toc3127310_2870459653"/>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ربَّما غمرت السعادة امرأة تعيش في كنف زوجٍ يرعاها وهي قريرة العين بذرّيّة تحنو عليهم، وتجد في غدوّهم ورواحهم عليها ما ينسيها تبعات ماضٍ طوت صفحاته، لكنّه لم يتركها ليطلّ عليها بشبحه، فالعلاقة بالزوج السابق التي ظنّت أنَّ عراها تقصَّمت وأنَّ أسبابها قد تقطَّعت لم يكن الأمر فيها كما حسبته، وعادت عليها بما لا يرجى، وتسبّبت بحرمتها على الرجل الثاني وإلى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الوصف أثر لمسألة فقهيّة مشهورة، وهي الحرمة المؤبَّدة بين الرجل والمرأة إذا كان زواجهما قد تمّ في حال بقاء زوجيّة المرأة لرجل سابق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أُعد لتلمّس مفاتيح للحلّ من خلال إعادة النظر في أدلّة المسألة</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0921_145174"/>
      <w:bookmarkStart w:id="90" w:name="pg10921_145174"/>
      <w:bookmarkEnd w:id="90"/>
    </w:p>
    <w:p>
      <w:pPr>
        <w:pStyle w:val="Heading3"/>
        <w:numPr>
          <w:ilvl w:val="2"/>
          <w:numId w:val="1"/>
        </w:numPr>
        <w:rPr/>
      </w:pPr>
      <w:bookmarkStart w:id="91" w:name="pg10921_145174"/>
      <w:bookmarkStart w:id="92" w:name="__RefHeading___Toc3127312_2870459653"/>
      <w:bookmarkStart w:id="93" w:name="_Toc33"/>
      <w:bookmarkEnd w:id="91"/>
      <w:bookmarkEnd w:id="92"/>
      <w:r>
        <w:rPr>
          <w:rtl w:val="true"/>
        </w:rPr>
        <w:t>المقدّمة</w:t>
      </w:r>
      <w:bookmarkEnd w:id="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تقدَّمت الإشارة في الحلقة الأولى إلى أنَّ الكلام يقع في المقصد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المؤبَّدة بسبب نكاح ذات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الكلام في نقاط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التعريض بخطبة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التكليفيَّة لإجراء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النتائج هي أنَّه لا دليل مستقل ينهض بإثبات حرمة التعريض بخطبة ذات البعل، والبناء عليها مرهون بحصول الوثوق من أقوال مَن ذهب إليها، ونفي الخلاف، ونقل الاتفاق، وغير ذلك ممَّا ذكر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إجراء العقد عليها فهي متوقِّفة على حرمة التعريض بخطبتها، وإلَّا فالمحاولتان الأخريتان لتقريب الحرمة بالأولويَّة محلّ تأمُّل، كما وأنَّ الإجماع غير ناهض للإثبات، والروايات المثبتة للرجم أو الحدّ على مَن تزوجت وهي ذات بعل محمولة على حالة الدخول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بطلان العقد عليها تامُّ الدليل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تقدَّم في الحلقة الأولى شطرٌ من الحديث عن المقصد الأساس تضمَّن بيان الصور الأربع المنظورة للأعلام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والأقوال الخمسة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وشرعنا بعد ذلك في الاستدلال على حكم المسألة، وكان المقام الأوَّل في الاستدلال بأولويَّة الحرمة المؤبَّدة </w:t>
      </w:r>
    </w:p>
    <w:p>
      <w:pPr>
        <w:pStyle w:val="BookText"/>
        <w:rPr/>
      </w:pPr>
      <w:r>
        <w:rPr>
          <w:rFonts w:ascii="Amiri" w:hAnsi="Amiri" w:eastAsia="Amiri" w:cs="Amiri"/>
          <w:color w:val="111111"/>
          <w:sz w:val="28"/>
          <w:sz w:val="28"/>
          <w:szCs w:val="28"/>
          <w:rtl w:val="true"/>
          <w:lang w:bidi="ar-SA"/>
        </w:rPr>
        <w:t>في ذات البعل من الحرمة المؤبَّدة في ذات العدَّة، والأخيرة ثابتة نصَّاً وفتوى ولكن الأولويَّة لم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المقام الثاني في الاستدلال بالروايات، وقد قسَّمناها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منها الروايات الدالَّة على الحرمة المؤبَّدة، وهي خمس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معتبرة أديم، وهي تامَّة سنداً ودلالةً في الجملة، وقدرها المتيقَّن علم المرأة، وتشمل حالات علم الزوج ودخوله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ومعتبرتا زرارة، وهما تامَّتان سنداً ودلالةً، وموردهما جهل المرأة مع الدخول، وتعمّان حالتي علم الرجل وجهله، ولعلَّ المناسبات تساعد على شمولهما لحالة علم المرأة مع الدخول، وسيأتي حديثٌ حول اتحادهما مع معتبرة أخرى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ومرفوعة أحمد بن محمَّد، وهي دالّة بمنطوقها على الحرمة المؤبَّدة في حالة علم الزوج، ونافية بمفهومها للحرمة المؤبَّدة في حالة جهله، لكنَّها غير تامَّة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علي بن جعفر، ويمكن البناء على تماميَّتها سنداً ودلالةً، وهي تزيد على معتبرتي زرارة بشمولها لفرض عدم الدخول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وصل الكلام إلى القسم الثاني من الروايات، وهي الدالَّة على الحلّيّة</w:t>
      </w:r>
      <w:r>
        <w:rPr>
          <w:rFonts w:eastAsia="Amiri" w:cs="Amiri" w:ascii="Amiri" w:hAnsi="Amiri"/>
          <w:color w:val="111111"/>
          <w:sz w:val="28"/>
          <w:szCs w:val="28"/>
          <w:rtl w:val="true"/>
          <w:lang w:bidi="ar-SA"/>
        </w:rPr>
        <w:t xml:space="preserve">. </w:t>
      </w:r>
      <w:bookmarkStart w:id="94" w:name="pg10921_145176"/>
    </w:p>
    <w:p>
      <w:pPr>
        <w:pStyle w:val="Heading3"/>
        <w:numPr>
          <w:ilvl w:val="2"/>
          <w:numId w:val="1"/>
        </w:numPr>
        <w:rPr/>
      </w:pPr>
      <w:bookmarkStart w:id="95" w:name="__RefHeading___Toc3127314_2870459653"/>
      <w:bookmarkStart w:id="96" w:name="_Toc34"/>
      <w:bookmarkEnd w:id="94"/>
      <w:bookmarkEnd w:id="95"/>
      <w:r>
        <w:rPr>
          <w:rtl w:val="true"/>
        </w:rPr>
        <w:t>القسم الثاني</w:t>
      </w:r>
      <w:r>
        <w:rPr>
          <w:rtl w:val="true"/>
        </w:rPr>
        <w:t xml:space="preserve">: </w:t>
      </w:r>
      <w:r>
        <w:rPr>
          <w:rtl w:val="true"/>
        </w:rPr>
        <w:t>ما يدلُّ على عدم الحرمة المؤبَّدة</w:t>
      </w:r>
      <w:bookmarkEnd w:id="96"/>
    </w:p>
    <w:p>
      <w:pPr>
        <w:pStyle w:val="Heading4"/>
        <w:numPr>
          <w:ilvl w:val="3"/>
          <w:numId w:val="1"/>
        </w:numPr>
        <w:rPr/>
      </w:pPr>
      <w:bookmarkStart w:id="97" w:name="__RefHeading___Toc3127316_2870459653"/>
      <w:bookmarkStart w:id="98" w:name="_Toc35"/>
      <w:bookmarkEnd w:id="97"/>
      <w:r>
        <w:rPr>
          <w:rtl w:val="true"/>
        </w:rPr>
        <w:t>الرواية الأولى</w:t>
      </w:r>
      <w:bookmarkEnd w:id="98"/>
    </w:p>
    <w:p>
      <w:pPr>
        <w:pStyle w:val="BookText"/>
        <w:rPr/>
      </w:pP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ولها زوج، وهو لا يعلم، فطلّقها الأوّل، أو مات عنها، ثُمَّ علم الأخير، أيراجعها؟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تنقضي عدَّتها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وموردها جهل الزوج بأنَّها متزوّجة، وتعمّ جهل المرأة وعلمها، وفرضيّة الدخول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حكمت بالحرمة المغيّاة بانقضاء العدَّة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127318_2870459653"/>
      <w:bookmarkStart w:id="100" w:name="_Toc36"/>
      <w:bookmarkEnd w:id="99"/>
      <w:r>
        <w:rPr>
          <w:rtl w:val="true"/>
        </w:rPr>
        <w:t>الرواية الثانية</w:t>
      </w:r>
      <w:bookmarkEnd w:id="100"/>
    </w:p>
    <w:p>
      <w:pPr>
        <w:pStyle w:val="Heading5"/>
        <w:numPr>
          <w:ilvl w:val="4"/>
          <w:numId w:val="1"/>
        </w:numPr>
        <w:rPr/>
      </w:pPr>
      <w:bookmarkStart w:id="101" w:name="__RefHeading___Toc3127320_2870459653"/>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رواية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ثُمَّ استبان له بعد ما دخل بها أنّ لها زوجاً غائباً فتركها، ثُمَّ إنَّ الزوج قدم فطلّقها، أو مات عنها، أيتزوّجها بعد هذا الذي كان تزوّجها، ولم يعلم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له أن يتزوّجها حتَّى تنكح زوجاً غيره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وتماميَّة الاستدلال بها في المقام تتوقَّف على الكلام في جهتين</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127322_2870459653"/>
      <w:bookmarkStart w:id="104" w:name="_Toc38"/>
      <w:bookmarkEnd w:id="103"/>
      <w:r>
        <w:rPr>
          <w:rtl w:val="true"/>
        </w:rPr>
        <w:t>الجهة الأولى</w:t>
      </w:r>
      <w:r>
        <w:rPr>
          <w:rtl w:val="true"/>
        </w:rPr>
        <w:t xml:space="preserve">: </w:t>
      </w:r>
      <w:r>
        <w:rPr>
          <w:rtl w:val="true"/>
        </w:rPr>
        <w:t>في السَّند</w:t>
      </w:r>
      <w:bookmarkEnd w:id="104"/>
    </w:p>
    <w:p>
      <w:pPr>
        <w:pStyle w:val="Heading6"/>
        <w:numPr>
          <w:ilvl w:val="5"/>
          <w:numId w:val="1"/>
        </w:numPr>
        <w:rPr/>
      </w:pPr>
      <w:bookmarkStart w:id="105" w:name="__RefHeading___Toc3127324_2870459653"/>
      <w:bookmarkStart w:id="106" w:name="_Toc39"/>
      <w:bookmarkEnd w:id="105"/>
      <w:r>
        <w:rPr>
          <w:rtl w:val="true"/>
        </w:rPr>
        <w:t>اشارة</w:t>
      </w:r>
      <w:bookmarkEnd w:id="1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من حيث السَّند معتبرة إلى عبد الرحمن، وأمّا هو فبدءاً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العنوان هنا يحتمل أكثر من شخص؛ فإنَّ ثلاثة ممّن توسَّطوا بين الحسن بن محبوب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الحجَّاج، وابن أبي عبد الله، وابن </w:t>
      </w:r>
      <w:bookmarkStart w:id="107" w:name="pg10921_145177"/>
    </w:p>
    <w:p>
      <w:pPr>
        <w:pStyle w:val="BookText"/>
        <w:rPr/>
      </w:pPr>
      <w:bookmarkEnd w:id="107"/>
      <w:r>
        <w:rPr>
          <w:rFonts w:ascii="Amiri" w:hAnsi="Amiri" w:eastAsia="Amiri" w:cs="Amiri"/>
          <w:color w:val="111111"/>
          <w:sz w:val="28"/>
          <w:sz w:val="28"/>
          <w:szCs w:val="28"/>
          <w:rtl w:val="true"/>
          <w:lang w:bidi="ar-SA"/>
        </w:rPr>
        <w:t>سَيَابة، والأوّلان موثّقان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التغلُّب على هذه المشكلة؟</w:t>
      </w:r>
    </w:p>
    <w:p>
      <w:pPr>
        <w:pStyle w:val="BookText"/>
        <w:rPr/>
      </w:pPr>
      <w:r>
        <w:rPr>
          <w:rFonts w:ascii="Amiri" w:hAnsi="Amiri" w:eastAsia="Amiri" w:cs="Amiri"/>
          <w:color w:val="111111"/>
          <w:sz w:val="28"/>
          <w:sz w:val="28"/>
          <w:szCs w:val="28"/>
          <w:rtl w:val="true"/>
          <w:lang w:bidi="ar-SA"/>
        </w:rPr>
        <w:t>أمامَنا ثلاثُ محاولات للوثوق بكون عبد الرحمن أحد الموثَّقَينِ</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127326_2870459653"/>
      <w:bookmarkStart w:id="109" w:name="_Toc40"/>
      <w:bookmarkEnd w:id="108"/>
      <w:r>
        <w:rPr>
          <w:rtl w:val="true"/>
        </w:rPr>
        <w:t>المحاولة الأولى</w:t>
      </w:r>
      <w:r>
        <w:rPr>
          <w:rtl w:val="true"/>
        </w:rPr>
        <w:t xml:space="preserve">: </w:t>
      </w:r>
      <w:r>
        <w:rPr>
          <w:rtl w:val="true"/>
        </w:rPr>
        <w:t>الاستعانة بنظريّة حساب الاحتمالات</w:t>
      </w:r>
      <w:bookmarkEnd w:id="109"/>
    </w:p>
    <w:p>
      <w:pPr>
        <w:pStyle w:val="Heading6"/>
        <w:numPr>
          <w:ilvl w:val="5"/>
          <w:numId w:val="1"/>
        </w:numPr>
        <w:rPr/>
      </w:pPr>
      <w:bookmarkStart w:id="110" w:name="__RefHeading___Toc3127328_2870459653"/>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وهي بطريقتين</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3127330_2870459653"/>
      <w:bookmarkStart w:id="113" w:name="_Toc42"/>
      <w:bookmarkEnd w:id="112"/>
      <w:r>
        <w:rPr>
          <w:rtl w:val="true"/>
        </w:rPr>
        <w:t>الطريقة الأولى</w:t>
      </w:r>
      <w:r>
        <w:rPr>
          <w:rtl w:val="true"/>
        </w:rPr>
        <w:t xml:space="preserve">: </w:t>
      </w:r>
      <w:r>
        <w:rPr>
          <w:rtl w:val="true"/>
        </w:rPr>
        <w:t>من خلال حساب الاحتمال المجرّد من الخصوصيّات</w:t>
      </w:r>
      <w:bookmarkEnd w:id="113"/>
    </w:p>
    <w:p>
      <w:pPr>
        <w:pStyle w:val="BookText"/>
        <w:rPr/>
      </w:pPr>
      <w:r>
        <w:rPr>
          <w:rFonts w:ascii="Amiri" w:hAnsi="Amiri" w:eastAsia="Amiri" w:cs="Amiri"/>
          <w:color w:val="111111"/>
          <w:sz w:val="28"/>
          <w:sz w:val="28"/>
          <w:szCs w:val="28"/>
          <w:rtl w:val="true"/>
          <w:lang w:bidi="ar-SA"/>
        </w:rPr>
        <w:t>أي بقصر النظر على عدد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عقيمة؛ لأنَّ مجموع الروايات الَّتي توسَّط فيها أحد الثقَتَينِ بين ابن محبوب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وثلاثون رواية، واحدة منهما لابن أبي عبد الله</w:t>
      </w:r>
      <w:r>
        <w:rPr>
          <w:rStyle w:val="FootnoteAnchor"/>
          <w:rtl w:val="true"/>
        </w:rPr>
        <w:footnoteReference w:id="184"/>
      </w:r>
      <w:r>
        <w:rPr>
          <w:rFonts w:ascii="Amiri" w:hAnsi="Amiri" w:eastAsia="Amiri" w:cs="Amiri"/>
          <w:color w:val="111111"/>
          <w:sz w:val="28"/>
          <w:sz w:val="28"/>
          <w:szCs w:val="28"/>
          <w:rtl w:val="true"/>
          <w:lang w:bidi="ar-SA"/>
        </w:rPr>
        <w:t>، والباقي لابن الحجَّاج</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وقد أدخلنا في الحساب ما ورد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وردت في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الرحمن مجرّداً إلّا أنَّه يمكن الوثوق بكون المراد به ابن الحجَّاج بملاحظة ما ورد في الكافي في عقيب الرواية محل البحث، فقد ذكر سنداً ينتهي إلى عبد الرحمن بن الحجَّاج،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إلّا أنَّه قال كذلك وجدناه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المتن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26/307</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الروايات التي توسّط فيها غير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bookmarkStart w:id="114" w:name="pg10921_145178"/>
    </w:p>
    <w:p>
      <w:pPr>
        <w:pStyle w:val="BookText"/>
        <w:rPr/>
      </w:pPr>
      <w:bookmarkEnd w:id="114"/>
      <w:r>
        <w:rPr>
          <w:rFonts w:ascii="Amiri" w:hAnsi="Amiri" w:eastAsia="Amiri" w:cs="Amiri"/>
          <w:color w:val="111111"/>
          <w:sz w:val="28"/>
          <w:sz w:val="28"/>
          <w:szCs w:val="28"/>
          <w:rtl w:val="true"/>
          <w:lang w:bidi="ar-SA"/>
        </w:rPr>
        <w:t xml:space="preserve">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روايات</w:t>
      </w:r>
      <w:r>
        <w:rPr>
          <w:rStyle w:val="FootnoteAnchor"/>
          <w:rtl w:val="true"/>
        </w:rPr>
        <w:footnoteReference w:id="186"/>
      </w:r>
      <w:r>
        <w:rPr>
          <w:rFonts w:ascii="Amiri" w:hAnsi="Amiri" w:eastAsia="Amiri" w:cs="Amiri"/>
          <w:color w:val="111111"/>
          <w:sz w:val="28"/>
          <w:sz w:val="28"/>
          <w:szCs w:val="28"/>
          <w:rtl w:val="true"/>
          <w:lang w:bidi="ar-SA"/>
        </w:rPr>
        <w:t xml:space="preserve">، فالقيمة الاحتماليّة لكون الواسطة هو ابن سيابة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نسبة كبيرة تمنع من الوثوق بكون الواسطة ثقة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127332_2870459653"/>
      <w:bookmarkStart w:id="116" w:name="_Toc43"/>
      <w:bookmarkEnd w:id="115"/>
      <w:r>
        <w:rPr>
          <w:rtl w:val="true"/>
        </w:rPr>
        <w:t>الطريقة الأخرى</w:t>
      </w:r>
      <w:r>
        <w:rPr>
          <w:rtl w:val="true"/>
        </w:rPr>
        <w:t xml:space="preserve">: </w:t>
      </w:r>
      <w:r>
        <w:rPr>
          <w:rtl w:val="true"/>
        </w:rPr>
        <w:t>من خلال حساب الاحتمال مع ضمّ أمر آخر</w:t>
      </w:r>
      <w:bookmarkEnd w:id="116"/>
    </w:p>
    <w:p>
      <w:pPr>
        <w:pStyle w:val="BookText"/>
        <w:rPr/>
      </w:pPr>
      <w:r>
        <w:rPr>
          <w:rFonts w:ascii="Amiri" w:hAnsi="Amiri" w:eastAsia="Amiri" w:cs="Amiri"/>
          <w:color w:val="111111"/>
          <w:sz w:val="28"/>
          <w:sz w:val="28"/>
          <w:szCs w:val="28"/>
          <w:rtl w:val="true"/>
          <w:lang w:bidi="ar-SA"/>
        </w:rPr>
        <w:t>وهو وقوع الحسن ابن محبوب كراوٍ مباشر عن عبد الرحمن بن الحجَّاج في طريق الصدوق إلى عبد الرحمن ابن الحجَّاج في مشيخة الفقيه</w:t>
      </w:r>
      <w:r>
        <w:rPr>
          <w:rStyle w:val="FootnoteAnchor"/>
          <w:rtl w:val="true"/>
        </w:rPr>
        <w:footnoteReference w:id="187"/>
      </w:r>
      <w:r>
        <w:rPr>
          <w:rFonts w:ascii="Amiri" w:hAnsi="Amiri" w:eastAsia="Amiri" w:cs="Amiri"/>
          <w:color w:val="111111"/>
          <w:sz w:val="28"/>
          <w:sz w:val="28"/>
          <w:szCs w:val="28"/>
          <w:rtl w:val="true"/>
          <w:lang w:bidi="ar-SA"/>
        </w:rPr>
        <w:t xml:space="preserve">، وهو ما يقرِّب الوثوق بكون المراد من عبد الرحمن هنا عبد الرحمن بن الحجَّاج ما دام الحسن بن محبوب راوياً لكتابه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مشيخة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الراوي المباشر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تمّ فإنّما يتمّ في مَنْ كان راوياً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الصدوق في المشيخة طرق لروايات الفقيه، ولا وثوق بكونها طرقاً لكتب مَن بدأ به في الأسانيد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3127334_2870459653"/>
      <w:bookmarkStart w:id="118" w:name="_Toc44"/>
      <w:bookmarkEnd w:id="117"/>
      <w:r>
        <w:rPr>
          <w:rtl w:val="true"/>
        </w:rPr>
        <w:t>المحاولة الثانية</w:t>
      </w:r>
      <w:bookmarkEnd w:id="1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دعوى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المتوسّط بين ابن محبوب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مجرّداً هو عبد الرحمن بن الحجَّاج؛ فإنَّه قد ورد في بعض الموارد رواية ابن محبوب عن عبد الرحمن مجرّداً، ووردت في موضع آخر عن عبد الرحمن بن الحجَّاج، كما في ما روي في ميراث الغرقى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القوم يغرقون في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رويت في الفقيه عن ابن محبوب عن عبد الرحمن مجرّداً</w:t>
      </w:r>
      <w:r>
        <w:rPr>
          <w:rStyle w:val="FootnoteAnchor"/>
          <w:rtl w:val="true"/>
        </w:rPr>
        <w:footnoteReference w:id="1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الكافي عنه عن عبد الرحمن بن الحجَّاج</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فيمكن أن يدّعى أنَّه متى أُطلق عبد الرحمن المتوسّط بين ابن محبوب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به 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حدث مثل هذا لبعض روايات عبد الرحمن بن أبي عبد الله؛ فإنَّه قد ورد في الاستبصار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للنساء عفوٌ ولا 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محبوب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رجلين عمداً ولهما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ولكن في الكافي، والتهذيب، والمرآة، والوافي، والوسائل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Style w:val="FootnoteAnchor"/>
          <w:rtl w:val="true"/>
        </w:rPr>
        <w:footnoteReference w:id="192"/>
      </w:r>
      <w:r>
        <w:rPr>
          <w:rFonts w:ascii="Amiri" w:hAnsi="Amiri" w:eastAsia="Amiri" w:cs="Amiri"/>
          <w:color w:val="111111"/>
          <w:sz w:val="28"/>
          <w:sz w:val="28"/>
          <w:szCs w:val="28"/>
          <w:rtl w:val="true"/>
          <w:lang w:bidi="ar-SA"/>
        </w:rPr>
        <w:t xml:space="preserve">، فغاية ما يستنتج من هذا أنَّ المراد من المجرّد في خصوص الموضع المعيّن هو مَنْ بُيِّن في الموضع الآخر، ففي المورد الأوّل يحرز أنَّ الذي في الفقيه هو ابن الحجَّاج بقرينة الكافي، وفي المورد الثاني يحرز أنَّ الذي في المواضع المتعدّدة هو ابن أبي عبد الله بقرينة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لنا وثوق بما فيه</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دلالة على أنّه متى أطلق أريد منه هذا المعيّن؛ فإنَّ مثل هذه الدعوى لا يحصل الوثوق بها بمجرد وجود موردٍ واحدٍ أطلق فيه عبد الرحمن وتبيّن أن المراد به ابن الحجَّاج</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ذكر الوصف المعيّن لعبد الرحمن ناشٍ من عدم الحاجة؛ فإنَّ كلَّاً منهما ثقة</w:t>
      </w:r>
      <w:r>
        <w:rPr>
          <w:rFonts w:eastAsia="Amiri" w:cs="Amiri" w:ascii="Amiri" w:hAnsi="Amiri"/>
          <w:color w:val="111111"/>
          <w:sz w:val="28"/>
          <w:szCs w:val="28"/>
          <w:rtl w:val="true"/>
          <w:lang w:bidi="ar-SA"/>
        </w:rPr>
        <w:t xml:space="preserve">. </w:t>
      </w:r>
      <w:bookmarkStart w:id="119" w:name="pg10921_145180"/>
    </w:p>
    <w:p>
      <w:pPr>
        <w:pStyle w:val="BookText"/>
        <w:rPr/>
      </w:pPr>
      <w:bookmarkEnd w:id="11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غفلة عن وجود احتمال ثالث معتدّ به، وهو 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الحاجة للتعيين إنَّما يتصوَّر في حقِّ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استسيغ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أعلام الرواة من 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عدا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أمكن أن يقع اختلاف الأنظار في حقِّهم من حيث الوثاقة والدقة والفقاهة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يصحُّ بحقِّهم الإطلاق وإرادة أحدهما من غير مثبت أو سبب قاهر</w:t>
      </w:r>
      <w:r>
        <w:rPr>
          <w:rFonts w:eastAsia="IRNazanin" w:cs="IRNazanin"/>
          <w:color w:val="111111"/>
          <w:sz w:val="28"/>
          <w:szCs w:val="28"/>
          <w:rtl w:val="true"/>
          <w:lang w:bidi="fa-IR"/>
        </w:rPr>
        <w:t>.</w:t>
      </w:r>
    </w:p>
    <w:p>
      <w:pPr>
        <w:pStyle w:val="Heading6"/>
        <w:numPr>
          <w:ilvl w:val="5"/>
          <w:numId w:val="1"/>
        </w:numPr>
        <w:rPr/>
      </w:pPr>
      <w:bookmarkStart w:id="120" w:name="__RefHeading___Toc3127336_2870459653"/>
      <w:bookmarkStart w:id="121" w:name="_Toc45"/>
      <w:bookmarkEnd w:id="120"/>
      <w:r>
        <w:rPr>
          <w:rtl w:val="true"/>
        </w:rPr>
        <w:t>المحاولة الثَّالثة</w:t>
      </w:r>
      <w:bookmarkEnd w:id="121"/>
    </w:p>
    <w:p>
      <w:pPr>
        <w:pStyle w:val="BookText"/>
        <w:rPr/>
      </w:pPr>
      <w:r>
        <w:rPr>
          <w:rFonts w:ascii="IRNazanin" w:hAnsi="IRNazanin" w:eastAsia="IRNazanin"/>
          <w:color w:val="111111"/>
          <w:sz w:val="28"/>
          <w:sz w:val="28"/>
          <w:szCs w:val="28"/>
          <w:rtl w:val="true"/>
          <w:lang w:bidi="fa-IR"/>
        </w:rPr>
        <w:t xml:space="preserve">البناء على اتِّحاد الرواية مع سابقتها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البعيد توجّه سؤال واحد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على نفس الفرضيّات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اثنين يُسمّيان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عمدة الفرق بين الروايتين نقطتان، وما عداهما سهل يدخل بيسر في الاختلاف بين الروايتين الناتج عن النقل بالمعنى، والنقطتان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الثانية بالدخول بها، بينما الأولى مطلقة من هذه الجهة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وكلاهما ممّا يمكن أن يقع بحسب طريقة نقل النصوص المتاحة في العصر السابق، وما تسمح به طريقة النقل بالمعنى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فالنقطة الأولى يمكن أن يقال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يشمل العقد على المرأة من دون دخول بها إلَّا أنَّه يستبعد حمله عليه؛ فإن انكشاف حال المرأة وكونها ذات بعلٍ عادةً ما يكون بعد الاختلاط والمعاشرة، وهو ما يكون بعد الدخول بحسب العادة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اهتمام السائل ينصبّ على فرضية الدخول، ومن هنا مَن صرّح </w:t>
      </w:r>
      <w:bookmarkStart w:id="122" w:name="pg10921_145181"/>
    </w:p>
    <w:p>
      <w:pPr>
        <w:pStyle w:val="BookText"/>
        <w:rPr/>
      </w:pPr>
      <w:bookmarkEnd w:id="122"/>
      <w:r>
        <w:rPr>
          <w:rFonts w:ascii="Amiri" w:hAnsi="Amiri" w:eastAsia="Amiri" w:cs="Amiri"/>
          <w:color w:val="111111"/>
          <w:sz w:val="28"/>
          <w:sz w:val="28"/>
          <w:szCs w:val="28"/>
          <w:rtl w:val="true"/>
          <w:lang w:bidi="ar-SA"/>
        </w:rPr>
        <w:t>بالدخول صرّح بالمراد، ومَن لم يذكره يقصده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وأنَّ النقطة الأخرى يمكن توجيهها بأنَّ مَن ذكر الحكم الإلزامي ركّز عليه وأغفل التنزيهي، ومَن نقل التنزيهي افترض الإلزامي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المحاولة عقيمة، فما ذكر لا يمكن الالتزام به، والوثوق بعدمه غير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لا يقبل روايات عبد الرحمن بن سيابة يصعب عليه تجاوز هذه المشكلة صناعياً، وإن كان قد يحصل عنده وثوق شخصيّ بكون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الحجَّاج، ولا أقل من أنَّه أحد الثقتين، ولو بضمّ السعة النسبيّة لروايات الحسن بن محبوب عن عبد الرحمن بن الحجَّاج عن غير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هذه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يقرب من ستّ عشرة رواية</w:t>
      </w:r>
      <w:r>
        <w:rPr>
          <w:rStyle w:val="FootnoteAnchor"/>
          <w:rtl w:val="true"/>
        </w:rPr>
        <w:footnoteReference w:id="194"/>
      </w:r>
      <w:r>
        <w:rPr>
          <w:rFonts w:ascii="Amiri" w:hAnsi="Amiri" w:eastAsia="Amiri" w:cs="Amiri"/>
          <w:color w:val="111111"/>
          <w:sz w:val="28"/>
          <w:sz w:val="28"/>
          <w:szCs w:val="28"/>
          <w:rtl w:val="true"/>
          <w:lang w:bidi="ar-SA"/>
        </w:rPr>
        <w:t xml:space="preserve">، وإن كانت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 لعبد الرحمن بن كثير الهاشمي المضعّف</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3127338_2870459653"/>
      <w:bookmarkStart w:id="124" w:name="_Toc46"/>
      <w:bookmarkEnd w:id="123"/>
      <w:r>
        <w:rPr>
          <w:rtl w:val="true"/>
        </w:rPr>
        <w:t>الجهة الأخرى</w:t>
      </w:r>
      <w:r>
        <w:rPr>
          <w:rtl w:val="true"/>
        </w:rPr>
        <w:t xml:space="preserve">: </w:t>
      </w:r>
      <w:r>
        <w:rPr>
          <w:rtl w:val="true"/>
        </w:rPr>
        <w:t>في الدّلالة</w:t>
      </w:r>
      <w:bookmarkEnd w:id="124"/>
    </w:p>
    <w:p>
      <w:pPr>
        <w:pStyle w:val="Heading6"/>
        <w:numPr>
          <w:ilvl w:val="5"/>
          <w:numId w:val="1"/>
        </w:numPr>
        <w:rPr/>
      </w:pPr>
      <w:bookmarkStart w:id="125" w:name="__RefHeading___Toc3127340_2870459653"/>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مورد ألفاظ الرواية هو فرض جهل الرجل بأنَّها ذات بعل مع الدخول، وتعمّ فرضي جهل المرأة وعلمها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فبيانه يحتاج إلى الكلام في نقطتين</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127342_2870459653"/>
      <w:bookmarkStart w:id="128" w:name="_Toc48"/>
      <w:bookmarkEnd w:id="127"/>
      <w:r>
        <w:rPr>
          <w:rtl w:val="true"/>
        </w:rPr>
        <w:t>النقطة الأولى</w:t>
      </w:r>
      <w:bookmarkEnd w:id="128"/>
    </w:p>
    <w:p>
      <w:pPr>
        <w:pStyle w:val="Heading6"/>
        <w:numPr>
          <w:ilvl w:val="5"/>
          <w:numId w:val="1"/>
        </w:numPr>
        <w:rPr/>
      </w:pPr>
      <w:bookmarkStart w:id="129" w:name="__RefHeading___Toc3127344_2870459653"/>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في ما يستظهر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الأعلام مختلفون في المستفاد من هذا التعبير وأشباهه على قولين</w:t>
      </w:r>
      <w:r>
        <w:rPr>
          <w:rFonts w:eastAsia="IRNazanin" w:cs="IRNazanin"/>
          <w:color w:val="111111"/>
          <w:sz w:val="28"/>
          <w:szCs w:val="28"/>
          <w:rtl w:val="true"/>
          <w:lang w:bidi="fa-IR"/>
        </w:rPr>
        <w:t>:</w:t>
      </w:r>
    </w:p>
    <w:p>
      <w:pPr>
        <w:pStyle w:val="Heading6"/>
        <w:numPr>
          <w:ilvl w:val="5"/>
          <w:numId w:val="1"/>
        </w:numPr>
        <w:rPr/>
      </w:pPr>
      <w:bookmarkStart w:id="131" w:name="__RefHeading___Toc3127346_2870459653"/>
      <w:bookmarkStart w:id="132" w:name="_Toc50"/>
      <w:bookmarkEnd w:id="131"/>
      <w:r>
        <w:rPr>
          <w:rtl w:val="true"/>
        </w:rPr>
        <w:t>القول الأوَّل</w:t>
      </w:r>
      <w:bookmarkEnd w:id="1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ظاهرة في الكراهة الاصطلاحيّة، فقد قال بعد ذكر الخبر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فالوجه في هذا الخبر ضرب من الكراهيّة؛ ولأجل ذلك </w:t>
      </w:r>
      <w:bookmarkStart w:id="133" w:name="pg10921_145182"/>
    </w:p>
    <w:p>
      <w:pPr>
        <w:pStyle w:val="BookText"/>
        <w:rPr/>
      </w:pPr>
      <w:bookmarkEnd w:id="1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أحبُّ له أن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ولا يجوز</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ذلك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3127348_2870459653"/>
      <w:bookmarkStart w:id="135" w:name="_Toc51"/>
      <w:bookmarkEnd w:id="134"/>
      <w:r>
        <w:rPr>
          <w:rtl w:val="true"/>
        </w:rPr>
        <w:t>القول الآخر</w:t>
      </w:r>
      <w:bookmarkEnd w:id="135"/>
    </w:p>
    <w:p>
      <w:pPr>
        <w:pStyle w:val="BookText"/>
        <w:rPr/>
      </w:pPr>
      <w:r>
        <w:rPr>
          <w:rFonts w:ascii="Amiri" w:hAnsi="Amiri" w:eastAsia="Amiri" w:cs="Amiri"/>
          <w:color w:val="111111"/>
          <w:sz w:val="28"/>
          <w:sz w:val="28"/>
          <w:szCs w:val="28"/>
          <w:rtl w:val="true"/>
          <w:lang w:bidi="ar-SA"/>
        </w:rPr>
        <w:t xml:space="preserve">ما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ظهورها في الكراهة الاصطلاحيّة، وأنَّها تستعمل في الحرمة، وفي الأعم من الحرمة والكراهة، قال في كتاب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في الكراهة بالمعنى الأخصّ، بل استعملت في القرآن المجيد في الموارد المبغوضة المحرّمة كثيراً،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الْفَسَادَ</w:t>
      </w:r>
      <w:r>
        <w:rPr>
          <w:rStyle w:val="FootnoteAnchor"/>
          <w:rtl w:val="true"/>
        </w:rPr>
        <w:footnoteReference w:id="198"/>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w:t>
      </w:r>
      <w:r>
        <w:rPr>
          <w:rStyle w:val="FootnoteAnchor"/>
          <w:rtl w:val="true"/>
        </w:rPr>
        <w:footnoteReference w:id="199"/>
      </w:r>
      <w:r>
        <w:rPr>
          <w:rFonts w:ascii="Amiri" w:hAnsi="Amiri" w:eastAsia="Amiri" w:cs="Amiri"/>
          <w:color w:val="111111"/>
          <w:sz w:val="28"/>
          <w:sz w:val="28"/>
          <w:szCs w:val="28"/>
          <w:rtl w:val="true"/>
          <w:lang w:bidi="ar-SA"/>
        </w:rPr>
        <w:t>وهو الغيبة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نسب إلى الذوات كقوله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الْمُعْتَدِينَ</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وَاللَّهُ لَا يُحِبُّ الظَّالِمِينَ</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فَإِنَّ اللَّهَ لَا يُحِبُّ الْكَافِرِينَ</w:t>
      </w:r>
      <w:r>
        <w:rPr>
          <w:rStyle w:val="FootnoteAnchor"/>
          <w:rtl w:val="true"/>
        </w:rPr>
        <w:footnoteReference w:id="202"/>
      </w:r>
      <w:r>
        <w:rPr>
          <w:rFonts w:ascii="Amiri" w:hAnsi="Amiri" w:eastAsia="Amiri" w:cs="Amiri"/>
          <w:color w:val="111111"/>
          <w:sz w:val="28"/>
          <w:sz w:val="28"/>
          <w:szCs w:val="28"/>
          <w:rtl w:val="true"/>
          <w:lang w:bidi="ar-SA"/>
        </w:rPr>
        <w:t>، وغير ذلك من الآيات الكريمة؛ فإنّ الظاهر منها أنّه تعالى لا يحبّهم لأجل إسرافهم واعتدائهم وكفرهم وظلمهم، ولمبغوضيّة هذه الأفعال عنده تعالى، بل تستعمل هذه الجملة في المبغوضية حتَّى في المحاورات فيما بين العقلاء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في الجواز مع الكراهة، بل إمّا تستعمل في </w:t>
      </w:r>
    </w:p>
    <w:p>
      <w:pPr>
        <w:pStyle w:val="BookText"/>
        <w:rPr/>
      </w:pPr>
      <w:r>
        <w:rPr>
          <w:rFonts w:ascii="Amiri" w:hAnsi="Amiri" w:eastAsia="Amiri" w:cs="Amiri"/>
          <w:color w:val="111111"/>
          <w:sz w:val="28"/>
          <w:sz w:val="28"/>
          <w:szCs w:val="28"/>
          <w:rtl w:val="true"/>
          <w:lang w:bidi="ar-SA"/>
        </w:rPr>
        <w:t>المبغوضية المحرّمة، أو الأعمّ منها ومن الكراهة</w:t>
      </w:r>
      <w:r>
        <w:rPr>
          <w:rStyle w:val="FootnoteAnchor"/>
          <w:rtl w:val="true"/>
        </w:rPr>
        <w:footnoteReference w:id="203"/>
      </w:r>
      <w:r>
        <w:rPr>
          <w:rFonts w:ascii="Amiri" w:hAnsi="Amiri" w:eastAsia="Amiri" w:cs="Amiri"/>
          <w:color w:val="111111"/>
          <w:sz w:val="28"/>
          <w:sz w:val="28"/>
          <w:szCs w:val="28"/>
          <w:rtl w:val="true"/>
          <w:lang w:bidi="ar-SA"/>
        </w:rPr>
        <w:t>، فلا تكون هذه الجملة صالحة لرفع اليد عن ظهور تلك الروايات في الحرمة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وأكّد ذلك في المقام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ووافقه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على ما في التقرير الآخر</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تستعمل في مورد الحكم التنزيهي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أحبُّ أن تدع 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لا تجد بُداً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وقد تستعمل في مورد الحكم الإلزامي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أصلّي فيها</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أي جلود الثعالب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استعمالها وإن كانت متنوعة، لكنَّه لا يعدّ دليلاً على عدم دلالتها على الكراهة، فهل يمنع دلالة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استعمالُها في موارد الاستحباب؟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وموارد استعمال هذا التعبير كثيرة في النصوص الشرعيّة، فهناك موارد أخرى غير ما أشير إليها فيما تقدّم، وهي على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لم يتبيّن المراد منه من خارج العبارة؛ ولذا لا فائدة من ذكر أمثلتها، ومنها ما يراد منها غير </w:t>
      </w:r>
    </w:p>
    <w:p>
      <w:pPr>
        <w:pStyle w:val="BookText"/>
        <w:rPr/>
      </w:pPr>
      <w:r>
        <w:rPr>
          <w:rFonts w:ascii="IRNazanin" w:hAnsi="IRNazanin" w:eastAsia="IRNazanin"/>
          <w:color w:val="111111"/>
          <w:sz w:val="28"/>
          <w:sz w:val="28"/>
          <w:szCs w:val="28"/>
          <w:rtl w:val="true"/>
          <w:lang w:bidi="fa-IR"/>
        </w:rPr>
        <w:t>الإلزام،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لأحد أن يدع الغسل يوم الجمعة إلّا من عذر أو لعلّة مانعة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يعلف الشاة والشاتين ليضحّي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تغسل فرج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من سقم؟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للحرّة أن تفعل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يدخل بطني شيء لا أعرف سبيله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قرن عشرة أسابيع أو أكثر أو أقل، أله أن يلتزم في آخرها التزامة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يُحلُّ فرج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يوم الفطر وغسل يوم الأضحى سنّة لا أحبُّ تركها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الرجل مع قوم مياسير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يذلّ نفسه، ليخرج مع </w:t>
      </w:r>
    </w:p>
    <w:p>
      <w:pPr>
        <w:pStyle w:val="BookText"/>
        <w:rPr/>
      </w:pPr>
      <w:r>
        <w:rPr>
          <w:rFonts w:ascii="IRNazanin" w:hAnsi="IRNazanin" w:eastAsia="IRNazanin"/>
          <w:color w:val="111111"/>
          <w:sz w:val="28"/>
          <w:sz w:val="28"/>
          <w:szCs w:val="28"/>
          <w:rtl w:val="true"/>
          <w:lang w:bidi="fa-IR"/>
        </w:rPr>
        <w:t>من هو مثله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من الرجل الدراهم بالدنانير فيزنها وينقدها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يفارقه حتَّى يأخذ الدنانير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أحبُّ المتكلّفين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دواء 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أحبُّ أن أنظر إليه فكيف أتداوى به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أكتفي من الدهن باليسير فأتمسّح به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لك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ويوم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لك ذلك</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أقصّر عن تمام إحدى وخمسين ركعة في كلّ يوم وليلة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زيارة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لك تركه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أن أكون أوّل الشهود الأربعة، أخشى أن ينكل بعضهم فأُجلد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يختضب أو يجنب وهو مختضب،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يراد منه الإلزام،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للرجل أن يقلِّب جارية إلّا جارية يريد شراءها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له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أرزقك وأغنيك، أفلا اقتصدت ولم تسرف؟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المسرفين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خلطاء من النصارى وإنّا نأتيهم فيذبحون لنا الدجاج والفراخ والجداء أفنأكلها؟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ولا تقربوها؛ فإنّهم يقولون على ذبائحهم ما لا أحبُّ لكم أكلها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لي أنَّها بنفسها ظاهرة عرفاً بأنَّه ليس في البين إلزام، وأنَّ الذي للمتكلّم تجاه الفعل ليس إلّا عدم الحبِّ والرغبة لا أكثر، وليس أنَّها غير ظاهرة في الإلزام، بحيث لا يفهم السامع إلّا أنَّ المتعلّق أمر مرجوح من غير تعرّض لمرتبة المرجوحيّة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ظهورها ليس قويّاً، فيمكن رفع اليد عنه بيسر، ولا تكون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رفع اليد عن الحرمة لو كانت مدلولاً عليها بالنهي المساوي لها مورداً</w:t>
      </w:r>
      <w:r>
        <w:rPr>
          <w:rFonts w:eastAsia="Amiri" w:cs="Amiri" w:ascii="Amiri" w:hAnsi="Amiri"/>
          <w:color w:val="111111"/>
          <w:sz w:val="28"/>
          <w:szCs w:val="28"/>
          <w:rtl w:val="true"/>
          <w:lang w:bidi="ar-SA"/>
        </w:rPr>
        <w:t xml:space="preserve">. </w:t>
      </w:r>
      <w:bookmarkStart w:id="136" w:name="pg10921_145187"/>
    </w:p>
    <w:p>
      <w:pPr>
        <w:pStyle w:val="BookText"/>
        <w:rPr/>
      </w:pPr>
      <w:bookmarkEnd w:id="136"/>
      <w:r>
        <w:rPr>
          <w:rFonts w:ascii="Amiri" w:hAnsi="Amiri" w:eastAsia="Amiri" w:cs="Amiri"/>
          <w:color w:val="111111"/>
          <w:sz w:val="28"/>
          <w:sz w:val="28"/>
          <w:szCs w:val="28"/>
          <w:rtl w:val="true"/>
          <w:lang w:bidi="ar-SA"/>
        </w:rPr>
        <w:t>نعم، قرينيّتها على رفع اليد عن الإطلاق ليست عصيّة على القبول،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آخر ربّما لا يتنافى مع ما نقلناه عنه سابقاً، ويمكن عدّه تعميقاً له،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لا تدلُّ إلّا على نفي محبوبيّة الفعل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أعم من أن يكون ممنوعاً في الشرع الشريف، ولكن الملاحظ استعمالها عند وجود المصلحة في كتمان الحكم الواقعي، كأن يكون الحكم الواقعي هو الحرمة،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تقية من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القائلين 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يستخدم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يكون الحكم الواقعي هو الجواز ولكن لسوق السائل إلى ما هو الأفضل يستخدم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تدلُّ على نفي المحبوبيّة الأعم من كون المورد ممنوعاً شرعاً خلاف ما نستظهره منها من كونها دالّة على مرتبة مخفضة من المرجوحيّة، وأمَّا كون المتعارف استعمالها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الحاجة لإخفاء الحكم الواقعي فهو ممّا يحتاج إلى شواهد، ومجرّد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التعبير في مورد اتّفاق العامّة على الجواز لا يعني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اتّقى، فلعلّ الحكم الواقعيّ هو الكراهة، واستكشافه من مورد السوق إلى الكمال غير يسير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المحبوبيّة بنفسه وظهور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كونه يتكلّم بما هو مشرِّع أو مبلِّغ للشريعة ومبيِّن للحكم الواقعي لا يَسهُل رفع اليد عنهما</w:t>
      </w:r>
      <w:r>
        <w:rPr>
          <w:rFonts w:eastAsia="IRNazanin" w:cs="IRNazanin"/>
          <w:color w:val="111111"/>
          <w:sz w:val="28"/>
          <w:szCs w:val="28"/>
          <w:rtl w:val="true"/>
          <w:lang w:bidi="fa-IR"/>
        </w:rPr>
        <w:t>.</w:t>
      </w:r>
    </w:p>
    <w:p>
      <w:pPr>
        <w:pStyle w:val="Heading6"/>
        <w:numPr>
          <w:ilvl w:val="5"/>
          <w:numId w:val="1"/>
        </w:numPr>
        <w:rPr/>
      </w:pPr>
      <w:bookmarkStart w:id="137" w:name="__RefHeading___Toc3127350_2870459653"/>
      <w:bookmarkStart w:id="138" w:name="_Toc52"/>
      <w:bookmarkEnd w:id="137"/>
      <w:r>
        <w:rPr>
          <w:rtl w:val="true"/>
        </w:rPr>
        <w:t>النقطة الأخرى</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يستظهر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تنكح زوجاً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ليست للتحديد جزماً؛ إذ كيف يمكن أن يكون تزوّجها من الغير مجوزاً لتزوّجه منها، بل ذلك إنّما يوجب عظم حالها، وشدّة أمرها به، حيث تصبح به ذات بعل؛ إذ لم يذكر فيها كون تزوّجه منها ثانياً بعد طلاق الزوج الجديد لها، وانقضاء عدّتها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مستعملة للغاية، وبذلك فيكون معنى الرواية أنَّه لا يتزوّجها كي يتزوّجها غيره، فتكون الغاية من ترك تزوّجه منها هي عدم جعلها معطّلة، بل فتح الباب لغيره كي يتزوّج منها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أنَّه إنّما يسوغ له تزوّجها فيما إذا تزوّجها الآخر ثمّ افترقت عنه، لا أنَّ المراد أنَّه يراجعها وهي في ذمّة الآخر، والتعبير عن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دارج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ترك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يفارقها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آنفاً بعض الروايات التي تبيّن أنّه ما من مسلمة في دار الهجرة لا تعلم أنّه ليس لها أن تجمع بين 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التعبير وأريد منه ما بعد خلوّها من الآخر في عدّة روايات، بعضها على لسان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الطلاق الذي لا يحلُّ له حتَّى تنكح زوجاً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وبعضها على لسان الراوي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معتبرته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لا تحلُّ لزوجها حتَّى تنكح زوجاً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تطلّق، ثُمّ تراجع، ثُمّ تطلّق، ثُمّ تراجع، </w:t>
      </w:r>
      <w:bookmarkStart w:id="139" w:name="pg10921_145189"/>
    </w:p>
    <w:p>
      <w:pPr>
        <w:pStyle w:val="BookText"/>
        <w:rPr/>
      </w:pPr>
      <w:bookmarkEnd w:id="139"/>
      <w:r>
        <w:rPr>
          <w:rFonts w:ascii="Amiri" w:hAnsi="Amiri" w:eastAsia="Amiri" w:cs="Amiri"/>
          <w:color w:val="111111"/>
          <w:sz w:val="28"/>
          <w:sz w:val="28"/>
          <w:szCs w:val="28"/>
          <w:rtl w:val="true"/>
          <w:lang w:bidi="ar-SA"/>
        </w:rPr>
        <w:t>ثُمّ تطلّق، فهي التي لا تحلُّ له حتَّى تنكح زوجاً 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تتزوّج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الزواج بالأوّل تعطيل حتَّى يكون الغرض من تحريمه عدم جعلها معطّلة بزواجها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بنفسها على الكراهة يمكن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مغيّى بالتزويج من الآخر والافتراق عنه لا يتنازل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ثبتت الحلّيّة مع فرض الدخول يأتي حديث المناسبات، لشمول فرض عدم الدخول بالحلّيّة؛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الالتزام بالحلّيّة في فرض الدخول، وبالحرمة في فرض عدم الدخول، فهل يحتمل أن يكون الدخول مقتضياً للحلّيّة، أو مانعاً من الحرمة، أم المحتمل فيه أنّه مانعاً من الحلّيّة أو مقتضياً للحرمة؟ فتأمّل</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127352_2870459653"/>
      <w:bookmarkStart w:id="141" w:name="_Toc53"/>
      <w:bookmarkEnd w:id="140"/>
      <w:r>
        <w:rPr>
          <w:rtl w:val="true"/>
        </w:rPr>
        <w:t>الرواية الثالثة</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نُعِي إليها زوجها فاعتدّت وتزوّجت، فجاء 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ففارقها وفارقها الآخر، كم تعتد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قروء، وإنّما يستبرأ رحمها بثلاثة قروء تحلّها للناس كلّهم،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أناساً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عدّتين من كلّ واحد عدّة، فأبى ذلك أبو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ثلاثة قروء فتحلّ للرجال</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يقال بدلالتها على حلّيّة المرأة للثاني بالعموم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تحلّها للناس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قد يناقش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المقابلة بينه وبين الزوجين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يلقي بظلاله على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العموم غير شامل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تأكيد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له وجه واضح لو لم يرد إدخالهما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وكيفما كان، فإنَّ موردها خصوص جهل الزوجة مع الدخول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يستبرأ رحمها بثلاثة قروء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ويجدر التعرُّض لاحتمال اتِّحاد روايات زرارة الثلاث</w:t>
      </w:r>
      <w:r>
        <w:rPr>
          <w:rStyle w:val="FootnoteAnchor"/>
          <w:rtl w:val="true"/>
        </w:rPr>
        <w:footnoteReference w:id="235"/>
      </w:r>
      <w:r>
        <w:rPr>
          <w:rFonts w:ascii="Amiri" w:hAnsi="Amiri" w:eastAsia="Amiri" w:cs="Amiri"/>
          <w:color w:val="111111"/>
          <w:sz w:val="28"/>
          <w:sz w:val="28"/>
          <w:szCs w:val="28"/>
          <w:rtl w:val="true"/>
          <w:lang w:bidi="ar-SA"/>
        </w:rPr>
        <w:t>أو أيِّ اثنين منها، فإنَّه قد يؤدي إلى سقوطها عن الحجّيّة جميعاً فيما هو المهمّ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باتِّحاد الأولى مع الثانية؛ لأنَّ الأولى لا ظهور فيها بأنَّها على نحو السؤال والجواب، فالتعبير الوارد فيها يتلاءم مع كون الكلام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سؤال فلا تكون هذه النقطة موضع خلاف بينهما، هذا من جهة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الأحكام المنقولة لا يوجب تعدُّد الواقعة؛ فإنَّه في </w:t>
      </w:r>
      <w:bookmarkStart w:id="142" w:name="pg10921_145191"/>
    </w:p>
    <w:p>
      <w:pPr>
        <w:pStyle w:val="BookText"/>
        <w:rPr/>
      </w:pPr>
      <w:bookmarkEnd w:id="142"/>
      <w:r>
        <w:rPr>
          <w:rFonts w:ascii="Amiri" w:hAnsi="Amiri" w:eastAsia="Amiri" w:cs="Amiri"/>
          <w:color w:val="111111"/>
          <w:sz w:val="28"/>
          <w:sz w:val="28"/>
          <w:szCs w:val="28"/>
          <w:rtl w:val="true"/>
          <w:lang w:bidi="ar-SA"/>
        </w:rPr>
        <w:t>الرواية الأولى تمَّ التعرُّض للعدَّة والحرمة المؤبَّدة، وفي الثانية تمَّ التعرُّض لأحقيَّة الأوَّل، واستحقاق المرأة للمهر، والحرمة المؤبَّدة، فيمكن أن يكون هناك إغفال، أو اشتباه، أو نسيان بلحاظ بعض الأحكام من الراوي المباشر أو من غيره، وممّا يؤكِّد ذلك أنَّه لم يشكِّك أحد باتِّحاد ما رواه موسى بن بكر عن زرارة مع ما رواه عبد الكريم عن زرارة، وعدُّ ما روياه روايةً واحدةً مع عدم نقل أحدهما للحرمة المؤبَّدة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في الأولى ظاهر بوجود سؤال، والتعرُّض لحكم العدَّة فيها مطلب رئيسيّ، فلا يسع مَن نقلَها عدم التعرُّض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باتِّحادهما مع الثالثة من القسم الثاني، أو على الأقل اتِّحاد خصوص الثانية من القسم الأوَّل مع الثالثة من القسم الثاني، فكلٌّ منهما فيه سؤال، وتعرّض لحكم العدَّة كمطلب أساس، واختلاف الحكم ناشئ من الاشتباه، ومن هنا لا يكون الحكم في أيِّ واحدة منها موثوقاً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سُلِّم الاتِّحاد فلا موجب للالتزام باشتباه الحكم؛ فإنَّه يمكن الالتزام بأنَّ حكم الحرمة المؤبَّدة كان موجوداً، وإن لم ينقل في أحد الطرق، ولو كان موجوداً لا يتنافى مع الحكم في الثالثة؛ لأنَّه يكون قرينة على تخصيص العام بغير الرجل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الحال في اتِّحاد الأولى مع الثالثة ممّا تقدَّم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127354_2870459653"/>
      <w:bookmarkStart w:id="144" w:name="_Toc54"/>
      <w:bookmarkEnd w:id="143"/>
      <w:r>
        <w:rPr>
          <w:rtl w:val="true"/>
        </w:rPr>
        <w:t>الرواية الرابعة</w:t>
      </w:r>
      <w:bookmarkEnd w:id="1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شعيب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ماله يضرب؟</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45" w:name="pg10921_145192"/>
    </w:p>
    <w:p>
      <w:pPr>
        <w:pStyle w:val="BookText"/>
        <w:rPr/>
      </w:pPr>
      <w:bookmarkEnd w:id="145"/>
      <w:r>
        <w:rPr>
          <w:rFonts w:ascii="Amiri" w:hAnsi="Amiri" w:eastAsia="Amiri" w:cs="Amiri"/>
          <w:color w:val="111111"/>
          <w:sz w:val="28"/>
          <w:sz w:val="28"/>
          <w:szCs w:val="28"/>
          <w:rtl w:val="true"/>
          <w:lang w:bidi="ar-SA"/>
        </w:rPr>
        <w:t>هكذا وردت في هذا الموضع من التهذيب، وهي رواية ابن أبي عمير عن شعيب، ولكنها وردت في موضع آخر منه برواية صفوان عن شعيب</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ومَن يلاحظ تمام الروايتين يطمئن بوحدة الواقعة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القيود والألفاظ، أهمّها تقييد السؤال بفرض عدم علم الرجل، وهذا الاختلاف يجعلها خاصّة بفرض جهل الرجل، ويجعل السؤال عن عقوبتهما فقط، فلا تنفع في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الظاهر أنَّ رواية صفوان تعرّضت للسؤال الثاني فقط، وهذا لا يمنع من التمسّك بجواب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للسؤال الأوَّل؛ فإنَّه ليس من موارد تعارض أصالة عدم الغفلة في جانب الزيادة مع أصالة عدم الغفلة في جانب النقيصة، حتَّى يُعترض ويُقال الأولى لا تقدَّم على الثانية</w:t>
      </w:r>
      <w:r>
        <w:rPr>
          <w:rFonts w:eastAsia="IRNazanin" w:cs="IRNazanin"/>
          <w:color w:val="111111"/>
          <w:sz w:val="28"/>
          <w:szCs w:val="28"/>
          <w:rtl w:val="true"/>
          <w:lang w:bidi="fa-IR"/>
        </w:rPr>
        <w:t>.</w:t>
      </w:r>
    </w:p>
    <w:p>
      <w:pPr>
        <w:pStyle w:val="Heading4"/>
        <w:numPr>
          <w:ilvl w:val="3"/>
          <w:numId w:val="1"/>
        </w:numPr>
        <w:rPr/>
      </w:pPr>
      <w:bookmarkStart w:id="146" w:name="__RefHeading___Toc3127356_2870459653"/>
      <w:bookmarkStart w:id="147" w:name="_Toc55"/>
      <w:bookmarkEnd w:id="146"/>
      <w:r>
        <w:rPr>
          <w:rtl w:val="true"/>
        </w:rPr>
        <w:t>الرواية الخامسة</w:t>
      </w:r>
      <w:bookmarkEnd w:id="147"/>
    </w:p>
    <w:p>
      <w:pPr>
        <w:pStyle w:val="BookText"/>
        <w:rPr/>
      </w:pPr>
      <w:r>
        <w:rPr>
          <w:rFonts w:ascii="IRNazanin" w:hAnsi="IRNazanin" w:eastAsia="IRNazanin"/>
          <w:color w:val="111111"/>
          <w:sz w:val="28"/>
          <w:sz w:val="28"/>
          <w:szCs w:val="28"/>
          <w:rtl w:val="true"/>
          <w:lang w:bidi="fa-IR"/>
        </w:rPr>
        <w:t xml:space="preserve">معتبرة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كان لها زوج غائب عنها فتزوّجت زوجاً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رفعت إلى الإمام ثُمَّ شهد عليها شهود أنَّ لها زوجاً غائباً</w:t>
      </w:r>
      <w:r>
        <w:rPr>
          <w:rStyle w:val="FootnoteAnchor"/>
          <w:rtl w:val="true"/>
        </w:rPr>
        <w:footnoteReference w:id="239"/>
      </w:r>
      <w:r>
        <w:rPr>
          <w:rFonts w:ascii="Amiri" w:hAnsi="Amiri" w:eastAsia="Amiri" w:cs="Amiri"/>
          <w:color w:val="111111"/>
          <w:sz w:val="28"/>
          <w:sz w:val="28"/>
          <w:szCs w:val="28"/>
          <w:rtl w:val="true"/>
          <w:lang w:bidi="ar-SA"/>
        </w:rPr>
        <w:t>وأنَّ مادته وخبره يأتيها منه، وأنَّها تزوّجت زوجاً آخر، كان على الإمام أن يحدّها ويفرّق بينها وبين الذي تزوّجها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127358_2870459653"/>
      <w:bookmarkStart w:id="149" w:name="_Toc56"/>
      <w:bookmarkEnd w:id="148"/>
      <w:r>
        <w:rPr>
          <w:rtl w:val="true"/>
        </w:rPr>
        <w:t>الرواية السادسة</w:t>
      </w:r>
      <w:bookmarkEnd w:id="1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الدعائم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امرأة تزوّجت </w:t>
      </w:r>
      <w:bookmarkStart w:id="150" w:name="pg10921_145193"/>
    </w:p>
    <w:p>
      <w:pPr>
        <w:pStyle w:val="BookText"/>
        <w:rPr/>
      </w:pPr>
      <w:bookmarkEnd w:id="150"/>
      <w:r>
        <w:rPr>
          <w:rFonts w:ascii="Amiri" w:hAnsi="Amiri" w:eastAsia="Amiri" w:cs="Amiri"/>
          <w:color w:val="111111"/>
          <w:sz w:val="28"/>
          <w:sz w:val="28"/>
          <w:szCs w:val="28"/>
          <w:rtl w:val="true"/>
          <w:lang w:bidi="ar-SA"/>
        </w:rPr>
        <w:t>ولها زوج 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وبين الزوج الذي تزوّجته، وتحدّ حدّ الزاني</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بالثلاثة الأخيرة على عدم الحرمة بالإطلاق المقامي؛ فإنَّه من المناسب أن يتعرّض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لحكم تحريمها عليه مؤبَّداً لو كان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يمكن التشكيك بالمناسبة؛ فإنَّها ليست واضحة بقدرٍ يجعل للرواية إطلاقاً مقاميّاً، فلعلّ توجهه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محل ابتلائهما ممّا له أثر عملي حال السؤال، فتأمّل</w:t>
      </w:r>
      <w:r>
        <w:rPr>
          <w:rFonts w:eastAsia="IRNazanin" w:cs="IRNazanin"/>
          <w:color w:val="111111"/>
          <w:sz w:val="28"/>
          <w:szCs w:val="28"/>
          <w:rtl w:val="true"/>
          <w:lang w:bidi="fa-IR"/>
        </w:rPr>
        <w:t>!</w:t>
      </w:r>
    </w:p>
    <w:p>
      <w:pPr>
        <w:pStyle w:val="Heading4"/>
        <w:numPr>
          <w:ilvl w:val="3"/>
          <w:numId w:val="1"/>
        </w:numPr>
        <w:rPr/>
      </w:pPr>
      <w:bookmarkStart w:id="151" w:name="__RefHeading___Toc3127360_2870459653"/>
      <w:bookmarkStart w:id="152" w:name="_Toc57"/>
      <w:bookmarkEnd w:id="151"/>
      <w:r>
        <w:rPr>
          <w:rtl w:val="true"/>
        </w:rPr>
        <w:t>الرواية السابعة</w:t>
      </w:r>
      <w:bookmarkEnd w:id="152"/>
    </w:p>
    <w:p>
      <w:pPr>
        <w:pStyle w:val="BookText"/>
        <w:rPr/>
      </w:pPr>
      <w:r>
        <w:rPr>
          <w:rFonts w:ascii="IRNazanin" w:hAnsi="IRNazanin" w:eastAsia="IRNazanin"/>
          <w:color w:val="111111"/>
          <w:sz w:val="28"/>
          <w:sz w:val="28"/>
          <w:szCs w:val="28"/>
          <w:rtl w:val="true"/>
          <w:lang w:bidi="fa-IR"/>
        </w:rPr>
        <w:t xml:space="preserve">معتبرة زرارة بن أعين، وداود بن سرحان، وأُديم بيّاع الهرويّ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إذا لاعنها زوجها لم تحلّ له أبداً، والذي يتزوّج المرأة في عدّتها وهو يعلم لا تحلّ له أبداً، والذي يطلق الطلاق الذي لا تحلّ له حتَّى تنكح زوجاً غيره ثلاث مرّات وتزوّج ثلاث مرّات لا تحلّ له أبداً، والمحرم إذا تزوج وهو يعلم أنَّه حرام عليه لم تحلّ له أبداً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 بالإطلاق المقامي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w:t>
      </w:r>
      <w:r>
        <w:rPr>
          <w:rFonts w:eastAsia="Amiri" w:cs="Amiri" w:ascii="Amiri" w:hAnsi="Amiri"/>
          <w:color w:val="111111"/>
          <w:sz w:val="28"/>
          <w:szCs w:val="28"/>
          <w:rtl w:val="true"/>
          <w:lang w:bidi="ar-SA"/>
        </w:rPr>
        <w:t xml:space="preserve">. </w:t>
      </w:r>
      <w:bookmarkStart w:id="153" w:name="pg10921_145194"/>
    </w:p>
    <w:p>
      <w:pPr>
        <w:pStyle w:val="Heading3"/>
        <w:numPr>
          <w:ilvl w:val="2"/>
          <w:numId w:val="1"/>
        </w:numPr>
        <w:rPr/>
      </w:pPr>
      <w:bookmarkStart w:id="154" w:name="__RefHeading___Toc3127362_2870459653"/>
      <w:bookmarkStart w:id="155" w:name="_Toc58"/>
      <w:bookmarkEnd w:id="153"/>
      <w:bookmarkEnd w:id="154"/>
      <w:r>
        <w:rPr>
          <w:rtl w:val="true"/>
        </w:rPr>
        <w:t>مواقف الأعلام من الروايات</w:t>
      </w:r>
      <w:bookmarkEnd w:id="155"/>
    </w:p>
    <w:p>
      <w:pPr>
        <w:pStyle w:val="BookText"/>
        <w:rPr/>
      </w:pPr>
      <w:r>
        <w:rPr>
          <w:rFonts w:ascii="IRNazanin" w:hAnsi="IRNazanin" w:eastAsia="IRNazanin"/>
          <w:color w:val="111111"/>
          <w:sz w:val="28"/>
          <w:sz w:val="28"/>
          <w:szCs w:val="28"/>
          <w:rtl w:val="true"/>
          <w:lang w:bidi="fa-IR"/>
        </w:rPr>
        <w:t xml:space="preserve">ثُمَّ إنَّه اختلف التعاطي مع هذه الروايات من قبل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تعرّضوا للمسألة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أنكر وجودها كالعلّامة في القواعد</w:t>
      </w:r>
      <w:r>
        <w:rPr>
          <w:rStyle w:val="FootnoteAnchor"/>
          <w:rtl w:val="true"/>
        </w:rPr>
        <w:footnoteReference w:id="243"/>
      </w:r>
      <w:r>
        <w:rPr>
          <w:rFonts w:ascii="Amiri" w:hAnsi="Amiri" w:eastAsia="Amiri" w:cs="Amiri"/>
          <w:color w:val="111111"/>
          <w:sz w:val="28"/>
          <w:sz w:val="28"/>
          <w:szCs w:val="28"/>
          <w:rtl w:val="true"/>
          <w:lang w:bidi="ar-SA"/>
        </w:rPr>
        <w:t>والشهيد الثاني في الروضة</w:t>
      </w:r>
      <w:r>
        <w:rPr>
          <w:rStyle w:val="FootnoteAnchor"/>
          <w:rtl w:val="true"/>
        </w:rPr>
        <w:footnoteReference w:id="244"/>
      </w:r>
      <w:r>
        <w:rPr>
          <w:rFonts w:ascii="Amiri" w:hAnsi="Amiri" w:eastAsia="Amiri" w:cs="Amiri"/>
          <w:color w:val="111111"/>
          <w:sz w:val="28"/>
          <w:sz w:val="28"/>
          <w:szCs w:val="28"/>
          <w:rtl w:val="true"/>
          <w:lang w:bidi="ar-SA"/>
        </w:rPr>
        <w:t>، وإنْ احتمل إغفالهم لها؛ لعدم الاعتداد بها كما تقدَّم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اقتصر على بعض ما يدلّ على الحرمة المؤبّدة، ولم يتعرّض للأخرى، كالشهيد الثاني في المسالك</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تعرّض لأغلب روايات الحرمة دون التعرّض للأخرى، كصاحب الحدائق</w:t>
      </w:r>
      <w:r>
        <w:rPr>
          <w:rStyle w:val="FootnoteAnchor"/>
          <w:rtl w:val="true"/>
        </w:rPr>
        <w:footnoteReference w:id="247"/>
      </w:r>
      <w:r>
        <w:rPr>
          <w:rFonts w:ascii="Amiri" w:hAnsi="Amiri" w:eastAsia="Amiri" w:cs="Amiri"/>
          <w:color w:val="111111"/>
          <w:sz w:val="28"/>
          <w:sz w:val="28"/>
          <w:szCs w:val="28"/>
          <w:rtl w:val="true"/>
          <w:lang w:bidi="ar-SA"/>
        </w:rPr>
        <w:t>، مع أنَّه ذكر صحيحة ابن الحجَّاج في الزنا بذات البعل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تعرّض لبعضٍ من كلِّ قسمٍ مومئاً إلى القدح في رواية التحريم كالعلّامة في التحرير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تعرّض للقسمين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 الجمع بينهما كما سيتبيّن إن شاء الله تعالى، ونحو هذه التعاطيات</w:t>
      </w:r>
      <w:r>
        <w:rPr>
          <w:rFonts w:eastAsia="Amiri" w:cs="Amiri" w:ascii="Amiri" w:hAnsi="Amiri"/>
          <w:color w:val="111111"/>
          <w:sz w:val="28"/>
          <w:szCs w:val="28"/>
          <w:rtl w:val="true"/>
          <w:lang w:bidi="ar-SA"/>
        </w:rPr>
        <w:t xml:space="preserve">. </w:t>
      </w:r>
      <w:bookmarkStart w:id="156" w:name="pg10921_145195"/>
    </w:p>
    <w:p>
      <w:pPr>
        <w:pStyle w:val="BookText"/>
        <w:rPr/>
      </w:pPr>
      <w:bookmarkEnd w:id="156"/>
      <w:r>
        <w:rPr>
          <w:rFonts w:ascii="Amiri" w:hAnsi="Amiri" w:eastAsia="Amiri" w:cs="Amiri"/>
          <w:color w:val="111111"/>
          <w:sz w:val="28"/>
          <w:sz w:val="28"/>
          <w:szCs w:val="28"/>
          <w:rtl w:val="true"/>
          <w:lang w:bidi="ar-SA"/>
        </w:rPr>
        <w:t>والمهمّ التعرّض لكلام المجموعة الأخيرة، وهم مَن تعرّضوا للقسمين مع محاولة الجمع؛ فإنَّه لا بُدَّ من ملاحظة روايات القسمين، ولا وجه لإغفال أيِّ قسمٍ منهما، ويمكن إجمال ذلك بمسلكين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127364_2870459653"/>
      <w:bookmarkStart w:id="158" w:name="_Toc59"/>
      <w:bookmarkEnd w:id="157"/>
      <w:r>
        <w:rPr>
          <w:rtl w:val="true"/>
        </w:rPr>
        <w:t>الجمع بين الروايات</w:t>
      </w:r>
      <w:bookmarkEnd w:id="158"/>
    </w:p>
    <w:p>
      <w:pPr>
        <w:pStyle w:val="Heading4"/>
        <w:numPr>
          <w:ilvl w:val="3"/>
          <w:numId w:val="1"/>
        </w:numPr>
        <w:rPr/>
      </w:pPr>
      <w:bookmarkStart w:id="159" w:name="__RefHeading___Toc3127366_2870459653"/>
      <w:bookmarkStart w:id="160" w:name="_Toc60"/>
      <w:bookmarkEnd w:id="159"/>
      <w:r>
        <w:rPr>
          <w:rtl w:val="true"/>
        </w:rPr>
        <w:t>المسلك الأوَّل</w:t>
      </w:r>
      <w:bookmarkEnd w:id="160"/>
    </w:p>
    <w:p>
      <w:pPr>
        <w:pStyle w:val="Heading5"/>
        <w:numPr>
          <w:ilvl w:val="4"/>
          <w:numId w:val="1"/>
        </w:numPr>
        <w:rPr/>
      </w:pPr>
      <w:bookmarkStart w:id="161" w:name="__RefHeading___Toc3127368_2870459653"/>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ما ذكره الشيخ الطوسي</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خطوتين</w:t>
      </w:r>
      <w:r>
        <w:rPr>
          <w:rFonts w:eastAsia="IRNazanin" w:cs="IRNazanin"/>
          <w:color w:val="111111"/>
          <w:sz w:val="28"/>
          <w:szCs w:val="28"/>
          <w:rtl w:val="true"/>
          <w:lang w:bidi="fa-IR"/>
        </w:rPr>
        <w:t>:</w:t>
      </w:r>
    </w:p>
    <w:p>
      <w:pPr>
        <w:pStyle w:val="Heading5"/>
        <w:numPr>
          <w:ilvl w:val="4"/>
          <w:numId w:val="1"/>
        </w:numPr>
        <w:rPr/>
      </w:pPr>
      <w:bookmarkStart w:id="163" w:name="__RefHeading___Toc3127370_2870459653"/>
      <w:bookmarkStart w:id="164" w:name="_Toc62"/>
      <w:bookmarkEnd w:id="163"/>
      <w:r>
        <w:rPr>
          <w:rtl w:val="true"/>
        </w:rPr>
        <w:t>الخطوة الأولى</w:t>
      </w:r>
      <w:bookmarkEnd w:id="1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رواية عبد الرحمن على ضربٍ من الكراهة، وحملها مع صحيحة عبد الرحمن بن الحجَّاج على فرض جهل المرأة؛ لأنَّ فرض العلم يدخلها بذات البعل الزانية، التي ذكر أنَّها محرّمة مؤبَّداً بما بيّنه هو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إلى معتبرة أديم بن الحر، ومرفوعة أحمد بن محمد؛ فإنَّهما اللتان ذكرهما هناك مبيّناً فيهما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سافح امرأة وهي ذات بعل لم يحلّ له العقد عليها أبداً</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الروايات على أنَّ مَن تعمّدت الزواج بالثاني تكون زانية</w:t>
      </w:r>
      <w:r>
        <w:rPr>
          <w:rStyle w:val="FootnoteAnchor"/>
          <w:rtl w:val="true"/>
        </w:rPr>
        <w:footnoteReference w:id="252"/>
      </w:r>
      <w:r>
        <w:rPr>
          <w:rFonts w:ascii="Amiri" w:hAnsi="Amiri" w:eastAsia="Amiri" w:cs="Amiri"/>
          <w:color w:val="111111"/>
          <w:sz w:val="28"/>
          <w:sz w:val="28"/>
          <w:szCs w:val="28"/>
          <w:rtl w:val="true"/>
          <w:lang w:bidi="ar-SA"/>
        </w:rPr>
        <w:t>، فتكون نتيجة ذلك أنَّهما خاصّتان بحالة جهلهما مع الدخول</w:t>
      </w:r>
      <w:r>
        <w:rPr>
          <w:rFonts w:eastAsia="Amiri" w:cs="Amiri" w:ascii="Amiri" w:hAnsi="Amiri"/>
          <w:color w:val="111111"/>
          <w:sz w:val="28"/>
          <w:szCs w:val="28"/>
          <w:rtl w:val="true"/>
          <w:lang w:bidi="ar-SA"/>
        </w:rPr>
        <w:t xml:space="preserve">. </w:t>
      </w:r>
      <w:bookmarkStart w:id="165" w:name="pg10921_145196"/>
    </w:p>
    <w:p>
      <w:pPr>
        <w:pStyle w:val="Heading5"/>
        <w:numPr>
          <w:ilvl w:val="4"/>
          <w:numId w:val="1"/>
        </w:numPr>
        <w:rPr/>
      </w:pPr>
      <w:bookmarkStart w:id="166" w:name="__RefHeading___Toc3127372_2870459653"/>
      <w:bookmarkStart w:id="167" w:name="_Toc63"/>
      <w:bookmarkEnd w:id="165"/>
      <w:bookmarkEnd w:id="166"/>
      <w:r>
        <w:rPr>
          <w:rtl w:val="true"/>
        </w:rPr>
        <w:t>الخطوة الأخرى</w:t>
      </w:r>
      <w:bookmarkEnd w:id="167"/>
    </w:p>
    <w:p>
      <w:pPr>
        <w:pStyle w:val="BookText"/>
        <w:rPr/>
      </w:pPr>
      <w:r>
        <w:rPr>
          <w:rFonts w:ascii="Amiri" w:hAnsi="Amiri" w:eastAsia="Amiri" w:cs="Amiri"/>
          <w:color w:val="111111"/>
          <w:sz w:val="28"/>
          <w:sz w:val="28"/>
          <w:szCs w:val="28"/>
          <w:rtl w:val="true"/>
          <w:lang w:bidi="ar-SA"/>
        </w:rPr>
        <w:t xml:space="preserve">حمل معتبرة زرارة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أورده هو عن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العالم، ثُمّ أرجع ذلك إلى الزنا بذات البعل، وظاهر الإرجاع ومورد الروايتين اختصاصها بالعالم مع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النتيجة أنَّه في فرض الدخول يحكم بالحرمة المؤبَّدة إذا كان أحدهما عالماً، وبالحلّيّة إذا كانا 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فرض عدم الدخول فلم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الخطوة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يفرض في صحيحة عبد الرحمن بن الحجَّاج حصول دخول فما الموجب لتخصيصها بالجاهلة، ومساواتها برواية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 فيه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زنا من غير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أن تشمل الحلّيّة فرض علم المرأة مع جهل الزوج وعدم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ما ذكره في التهذيب دليلاً على نشر الزنا للحرمة المؤبَّدة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كمعتبرة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صالح لإثبات الحرمة مع علم المرأة؛ فإنَّ موضوعها المتزوّجة، وقدرها المتيقَّن فرض علم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لتوسيط كونها زانية، ثمّ القول بأنَّ الأدلة أثبتت الحرمة المؤبّدة مع الزنا؛ فإنَّه تطويل للمسافة، مع ما عرفت من قصور دلالة الأدلّة المزعومة عن إثبات ذلك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أراد إثبات الحكم في حالة علم المرأة وحسب، إلّا أنَّ ظاهر عبارته أنَّه يريد </w:t>
      </w:r>
      <w:bookmarkStart w:id="168" w:name="pg10921_145197"/>
    </w:p>
    <w:p>
      <w:pPr>
        <w:pStyle w:val="BookText"/>
        <w:rPr/>
      </w:pPr>
      <w:bookmarkEnd w:id="168"/>
      <w:r>
        <w:rPr>
          <w:rFonts w:ascii="Amiri" w:hAnsi="Amiri" w:eastAsia="Amiri" w:cs="Amiri"/>
          <w:color w:val="111111"/>
          <w:sz w:val="28"/>
          <w:sz w:val="28"/>
          <w:szCs w:val="28"/>
          <w:rtl w:val="true"/>
          <w:lang w:bidi="ar-SA"/>
        </w:rPr>
        <w:t>أن يخصّص الروايتين الدالّتين على الحلّيّة بما دلَّ على ثبوت الحرمة المؤبَّدة بالزنا، وهو لا يتمّ؛ فإنَّ الروايتين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المرفوعة فهي 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فرض جهل الزوج سواء علمت المرأة أو جهلت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الخطوة الأخرى فيلاحظ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لتخصيص معتبرة زرارة وأختها بالعالم تعويلاً على ملاك الزنا،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العالم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الدخول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للزنا بذلك؛ فإنَّه لا زنا بلا دخول، مع حديث التطويل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خصوص فرض الدخول فأدلّة سببيّة الزنا لتأبيد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لها يمنع من ثبوت الحرمة في فرض عدم الدخول، والمفروض شمول معتبرة زرارة وأختها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مراده أنّ روايتي الحلّيّة هما المخصِّصتان للمعتبرة وأختها فإنّه غير تامّ؛ فإنَّ روايات الحلّيّة لا تكون أخصّ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127374_2870459653"/>
      <w:bookmarkStart w:id="170" w:name="_Toc64"/>
      <w:bookmarkEnd w:id="169"/>
      <w:r>
        <w:rPr>
          <w:rtl w:val="true"/>
        </w:rPr>
        <w:t>المسلك الآخر</w:t>
      </w:r>
      <w:bookmarkEnd w:id="170"/>
    </w:p>
    <w:p>
      <w:pPr>
        <w:pStyle w:val="BookText"/>
        <w:rPr/>
      </w:pPr>
      <w:r>
        <w:rPr>
          <w:rFonts w:ascii="IRNazanin" w:hAnsi="IRNazanin" w:eastAsia="IRNazanin"/>
          <w:color w:val="111111"/>
          <w:sz w:val="28"/>
          <w:sz w:val="28"/>
          <w:szCs w:val="28"/>
          <w:rtl w:val="true"/>
          <w:lang w:bidi="fa-IR"/>
        </w:rPr>
        <w:t>ما تبنّاه مجموعة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السَّيّد صاحب الرياض، وصاحب الجواهر، والشيخ الأنصاري، والسَّيّدين الحكيم والخوئي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تلخيصه بالآتي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تصنيف الروايات إلى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تشمل علم الرجل وجهله، وحالتي الدخول وعدمه، وقد حكمت بالحرمة المؤبّدة، وهي معتبرة 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الأولى؛ فقد اختصّت بحالة جهل الرجل، مع شمولها لحالتي الدخول وعدمها، وقد حكمت بالحلّيّة بعد فراق الأوَّل والاعتداد منه، ومنها صحيح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الجميع؛ لاختصاصها بفرضيّة جهل الرجل مع الدخول، وقد حكمت بالحرمة المؤبَّدة، وهما روايتا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هي تخصيص روايات 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للحرمة المؤبَّدة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الجهل وعدم الدخول، بواسطة روايات الصنف الثالث كمرحلةٍ أولى، ثُمّ تخصيص الأولى بالثانية، فتكون النتيجة الحرمة المؤبّدة فيما عدا فرض الجهل وعدم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اختلافهم بين مَنْ قَبِلَ منهم اختصاص الأخيرة بالجاهل، كالسَّيّد صاحب الرياض، وصاحب الجواهر، والشَّيخ الأنصاري، والسَّيّد الحكيم، وبين مَنْ توقّف كالسَّيّد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كون العموم من وجه هو النسبة بين الصنفين الأخيرين، فأدخلوا محلّ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جهل الرجل مع الدخول بعد التعارض والتساقط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مرجعيّة معتبرة أديم، فكانت النتيجة نفسها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المساوية مورداً لمعتبرتي زرارة، حسب نظر السَّيّدين الحكيم والخوئي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لم يتعرّض لها، وهم كلٌّ من السَّيّد صاحب الرياض، والشَّيخ صاحب الجواهر، والشَّيخ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تعرّض لها، وهما السَّيّدان الحكيم والخوئي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رجّح ما ذكره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من حمل الدخول فيها على الخلوة رغم بعده عنده على ترك العمل بالأخبار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حقّها في الاستدلال، إلّا أنَّه في الفتوى لم يعتنِ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منع من معارضتها للبقيَّة؛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ظاهرة في الترخيص،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للتحديد، كما تقدّم في بيان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الوجه هي الحكم بالحرمة المؤبّدة في حالة العلم مطلقاً، وكذا في حالة الجهل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وبالحلّيّة مع الجهل وعدم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التعليق على ما أفادوه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يعترض عليهم بأنَّهم أهملوا حال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العلم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تعاملهم مع الصنفين الأخيرين من الروايات في مقام تحديد النسبة بينهما، وتعاملوا مع علم الرجل وجهله، والدخول وعدمه فقط، والحال اختصاص معتبرتي زرارة بحالة جهل المرأة، وشمول صحيح عبد الرحمن بن الحجَّاج لحالة علمها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غير عبارة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لقصر النظر عن حال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ثمرة في لحاظ حال المرأة من حيث العلم والجهل؛ فهو لا يؤثّر على النسبة، فالمعتبرتان أضيق من الصحيحة؛ لأنَّهما خاصّتان بحالة الدخول، ولا يعمّان غيرها، وإضافة عنصر تضييق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كونهما خاصّتين بجهل المرأة، ولا يعمّان حالة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 النسبة، فإنَّه على كلِّ حالٍ الصحيحة أعمّ؛ إذ إنَّها انفردت بمورد </w:t>
      </w:r>
    </w:p>
    <w:p>
      <w:pPr>
        <w:pStyle w:val="BookText"/>
        <w:rPr/>
      </w:pPr>
      <w:r>
        <w:rPr>
          <w:rFonts w:ascii="Amiri" w:hAnsi="Amiri" w:eastAsia="Amiri" w:cs="Amiri"/>
          <w:color w:val="111111"/>
          <w:sz w:val="28"/>
          <w:sz w:val="28"/>
          <w:szCs w:val="28"/>
          <w:rtl w:val="true"/>
          <w:lang w:bidi="ar-SA"/>
        </w:rPr>
        <w:t>عنهما، وهو عدم الدخول، فإضافة علم المرأة كمورد آخر لا أثر له في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فرض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العموم من وجه فمورد تفرّد المعتبرتين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الزوج؛ لأنَّ الصحيحة خاصّة بحالة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معتبرة أديم مرجعاً لمحلِّ الاجتماع بعد التساقط لو قبلنا إطلاقها لحالة جهل المرأة، وإلّا كانت نسبتها مع صحيحة عبد الرحمن بن الحجَّاج العموم من وجه؛ لتفرّدها بفرض علمهما، وتفرّد الصحيحة بفرض جهلهما، ويجتمعان في حالة علم الزوجة وجهل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إغفال السَّيّد صاحب الرياض والشَّيخ صاحب الجواهر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الرحمن في غير محلّه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أخرجت به من الحساب من قبل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 ما ذكره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إذ أيّ موجب للتعبير عن الخلوة بالدخول بها؟ وما هو المصحّح لذلك؟ وكون الدخول إنّما يكون في الخلوة يناسب التعبير عن الدخول بالخلوة؛ لأنَّها أبعد عن الإيحاء الجنسي واستثارة المخيّلة، وهذا أمر مقبول، وأمّا العكس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ترجيحه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الوجه مع اعترافه ببعده، لأجل عدم التنازل عن الروايات الأخرى غير ظاهر الوجه، فلا الروايات من الكثرة بمكانٍ بحيث لا يمكن التنازل عنها، ولا هي مدعومة بشهرة قدمائيّة إذا لم يكن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المناقشة فيما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أقلَّ من دلالتها على الحرمة المغيّاة بالتزويج من الغير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إغماض النظر عن حالة المرأة من حيث العلم والجهل في </w:t>
      </w:r>
    </w:p>
    <w:p>
      <w:pPr>
        <w:pStyle w:val="BookText"/>
        <w:rPr/>
      </w:pPr>
      <w:r>
        <w:rPr>
          <w:rFonts w:ascii="Amiri" w:hAnsi="Amiri" w:eastAsia="Amiri" w:cs="Amiri"/>
          <w:color w:val="111111"/>
          <w:sz w:val="28"/>
          <w:sz w:val="28"/>
          <w:szCs w:val="28"/>
          <w:rtl w:val="true"/>
          <w:lang w:bidi="ar-SA"/>
        </w:rPr>
        <w:t>التعامل مع معتبرتي زرارة؛ إذ إنَّهم لم يناقشوا في رواية عبد الرحمن في أنَّ نسبتها مع المعتبرتين أيضاً عموم وخصوص من وجه وإنَّما لجأوا إلى منع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عمَّموا المعتبرتين لفرض علمها لمكان المناسبات،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وكيفما كان لو أغمض النظر عن حالة المرأة في معتبرتي زرارة فالمفروض أن تكون نتيجة الصورة الثالثة وفق تعاطيهم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الروايات 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اختصاص معتبرتي زرارة بالجاهل فسوف تعارضان رواية عبد الرحمن ويكون المرجع صحيحة عبد الرحمن؛ لأنَّها تعمُّ حالة عدم الدخول ويمكن أن تُحمل عليها، هذا لو قلنا بكونها أخصُّ من معتبرة أديم، من خلال الالتزام بشمول معتبرة أديم لحالة جهل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نلتزم بذلك فتكون النسبة بينهما العموم من وجه فتدخل الصورة تحت مطلقات الحلّ في المورد</w:t>
      </w:r>
      <w:r>
        <w:rPr>
          <w:rStyle w:val="FootnoteAnchor"/>
          <w:rtl w:val="true"/>
        </w:rPr>
        <w:footnoteReference w:id="257"/>
      </w:r>
      <w:r>
        <w:rPr>
          <w:rFonts w:ascii="IRNazanin" w:hAnsi="IRNazanin" w:eastAsia="IRNazanin"/>
          <w:color w:val="111111"/>
          <w:sz w:val="28"/>
          <w:sz w:val="28"/>
          <w:szCs w:val="28"/>
          <w:rtl w:val="true"/>
          <w:lang w:bidi="fa-IR"/>
        </w:rPr>
        <w:t>لو تمّت دلالتها وإلّا فتدخل تحت المطلقات الأوسع</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اختصاص معتبرتي زرارة بالجاهل، وتعميمها لحالة علم الرجل فسوف تكون النسبة بينهما وبين صحيحة عبد الرحمن بن الحجَّاج العموم من وجه، لكن لمّا كانت رواية عبد الرحمن ناظرةً لحالة الدخول مع الجهل، وهي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النظر عن عمومها لعدم الدخول لمكان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الحلّيّة المغيّاة</w:t>
      </w:r>
      <w:r>
        <w:rPr>
          <w:rFonts w:eastAsia="Amiri" w:cs="Amiri" w:ascii="Amiri" w:hAnsi="Amiri"/>
          <w:color w:val="111111"/>
          <w:sz w:val="28"/>
          <w:szCs w:val="28"/>
          <w:rtl w:val="true"/>
          <w:lang w:bidi="ar-SA"/>
        </w:rPr>
        <w:t xml:space="preserve">. </w:t>
      </w:r>
      <w:bookmarkStart w:id="171" w:name="pg10921_145202"/>
    </w:p>
    <w:p>
      <w:pPr>
        <w:pStyle w:val="Heading3"/>
        <w:numPr>
          <w:ilvl w:val="2"/>
          <w:numId w:val="1"/>
        </w:numPr>
        <w:rPr/>
      </w:pPr>
      <w:bookmarkStart w:id="172" w:name="__RefHeading___Toc3127376_2870459653"/>
      <w:bookmarkStart w:id="173" w:name="_Toc65"/>
      <w:bookmarkEnd w:id="171"/>
      <w:bookmarkEnd w:id="172"/>
      <w:r>
        <w:rPr>
          <w:rtl w:val="true"/>
        </w:rPr>
        <w:t>نتيجة الجمع بين الروايات</w:t>
      </w:r>
      <w:bookmarkEnd w:id="173"/>
    </w:p>
    <w:p>
      <w:pPr>
        <w:pStyle w:val="BookText"/>
        <w:rPr/>
      </w:pPr>
      <w:r>
        <w:rPr>
          <w:rFonts w:ascii="Amiri" w:hAnsi="Amiri" w:eastAsia="Amiri" w:cs="Amiri"/>
          <w:color w:val="111111"/>
          <w:sz w:val="28"/>
          <w:sz w:val="28"/>
          <w:szCs w:val="28"/>
          <w:rtl w:val="true"/>
          <w:lang w:bidi="ar-SA"/>
        </w:rPr>
        <w:t xml:space="preserve">وبهذا يتّضح 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الالتزام بدلالة رواية عبد الرحمن على الحلّيّة المعلّقة على أقلِّ تقدير، وعموم معتبرتي زرارة للعالم، ومغايرتها مع معتبرته الثالثة، وعدم الالتزام بتماميَّة رواية علي بن جعفر سنداً ودلالةً</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تقبل فكرة المناسبات أو غضّ النظر عنها فسوف يحكم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المؤبّدة في فرض علم الرجل، دخل أو لم يدخل؛ فإنَّه داخل تحت معتبرة أديم ومعتبرتي زرارة، ولا تشمله صحيحة عبد الرحمن بن الحجَّاج، ولا رواية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جهل المرأة وإن خرج من معتبرة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باختصاصها بالعالمة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داخل تحت معتبرتي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في فرض جهل الرجل إذا كان قد دخل بها وهي جاهلة؛ وذلك عند البناء على عموم معتبرة أديم لحالة جهل المرأة؛ لدخولها تحتها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ينفع دخولها تحت صحيحة عبد الرحمن بن الحجَّاج ورواية عبد الرحمن في إخراجها منها؛ لتعارض صحيحة عبد الرحمن بن الحجَّاج مع معتبرتي زرارة، لكون النسبة بينهما العموم من وجه؛ لانفراد الصحيحة بحالتي عدم الدخول وعلم المرأة، والمعتبرتان بحال علم الرجل، وكذلك الحال في رواية عبد الرحمن مع معتبرتي زرارة؛ لانفراد رواية عبد الرحمن في صورة علم المرأة، اللهم إلَّا أن يبنى على قبول عموم معتبرة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من القسم الثاني التي </w:t>
      </w:r>
    </w:p>
    <w:p>
      <w:pPr>
        <w:pStyle w:val="BookText"/>
        <w:rPr/>
      </w:pPr>
      <w:r>
        <w:rPr>
          <w:rFonts w:ascii="Amiri" w:hAnsi="Amiri" w:eastAsia="Amiri" w:cs="Amiri"/>
          <w:color w:val="111111"/>
          <w:sz w:val="28"/>
          <w:sz w:val="28"/>
          <w:szCs w:val="28"/>
          <w:rtl w:val="true"/>
          <w:lang w:bidi="ar-SA"/>
        </w:rPr>
        <w:t xml:space="preserve">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للناس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تعارض معتبرة أديم ويكون المرجع حينئذٍ 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الحلّيّة في الفرض السابق مع منع عموم معتبرة أديم؛ لعمومات الحلّيّة بعد تعارض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المعتبرتين والصحيحة ورواية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وخروجها عن معتبرة أديم، سواء قبلنا عموم معتبرة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نقبله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 في فرض جهل الرجل ودخوله وعلم المرأة، مع قبول إطلاق معتبرة</w:t>
      </w:r>
    </w:p>
    <w:p>
      <w:pPr>
        <w:pStyle w:val="BookText"/>
        <w:rPr/>
      </w:pPr>
      <w:r>
        <w:rPr>
          <w:rFonts w:ascii="Amiri" w:hAnsi="Amiri" w:eastAsia="Amiri" w:cs="Amiri"/>
          <w:color w:val="111111"/>
          <w:sz w:val="28"/>
          <w:sz w:val="28"/>
          <w:szCs w:val="28"/>
          <w:rtl w:val="true"/>
          <w:lang w:bidi="ar-SA"/>
        </w:rPr>
        <w:t>أُديم لخروجها عن معتبرتي زرارة، وشمول صحيحة عبد الرحمن بن الحجَّاج ورواية عبد الرحمن لها مع أخصّيتهما من معتبرة أديم، ومع عدم قبول إطلاق معتبرة أديم كذلك؛ لعمومات الحلّيّة بعد معارضتها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يعتنى بكون نتيجة ذلك الحكم بالحلّيّة مع علمها، وبالحرمة مع جهلها؛ لأنَّ المفروض عدم قبول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في فرض جهل الرجل إن لم يكن قد دخل، لصحيحة عبد الرحمن ابن الحجَّاج، إن التزمنا بعموم معتبرة أديم للجاهلة؛ لأخصّية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فعمومات الحلّيّة بعد تعارضهما؛ لأنَّ النسبة عموم من وجه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أدخلنا المناسبات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المعتبرتين وفي رواية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الحساب فسوف تكون رواية عبد الرحمن مساوية لصحيحة عبد الرحمن بن الحجَّاج؛ لأنَّ الحلّيّة مع عدم الدخول أَوْلى، وتكون المعتبرتان شاملتين لفرض علم الرجل وفرض علم الزوجة، فتكون النسبة بين الطائفتين العموم من وجه، لتتفرّد المعتبرتان بحالة علم الزوج مع الدخول، وصحيحة ابن الحجَّاج وأختها بحالة جهله مع عدم الدخول، </w:t>
      </w:r>
    </w:p>
    <w:p>
      <w:pPr>
        <w:pStyle w:val="BookText"/>
        <w:rPr/>
      </w:pPr>
      <w:r>
        <w:rPr>
          <w:rFonts w:ascii="Amiri" w:hAnsi="Amiri" w:eastAsia="Amiri" w:cs="Amiri"/>
          <w:color w:val="111111"/>
          <w:sz w:val="28"/>
          <w:sz w:val="28"/>
          <w:szCs w:val="28"/>
          <w:rtl w:val="true"/>
          <w:lang w:bidi="ar-SA"/>
        </w:rPr>
        <w:t>ويجتمعان في فرضية جهل الرجل مع الدخول،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التزم بإطلاق معتبرة أديم دخلت تحتها وحكم بالحرمة، اللهم إلّا أن يقبل عموم معتبرة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من القسم الثاني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تحلّها للناس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فتكون النسبة بينهما العموم من وجه، لتتفرّد معتبرة أديم بحالة علم المرأة، ومعتبرة زرارة بحالة كون الزوج غيرهما، ويجتمعان في صور جهل المرأة مع الدخول، سواء علم الرجل أم لا، والمرجع في غير صور علم الرجل إلى إطلاقات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التزم بعدم إطلاقها فلا تشمل الجاهلة، وكانت نسبتها مع صحيحة ابن الحجَّاج ورواية عبد الرحمن العموم من وجه، فالمرجع إطلاقات الحلّيّة في المورد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التزم بتساقط روايات زرارة الثلاثة؛ للاتِّحاد وعدم الوثوق بالمتون، فإن قلنا بعموم معتبرة أديم للجاهلة حكم بالحلّيّة في جميع الصور؛ لصحيحة عبد الرحمن ابن الحجَّاج، ورواية عبد الرحمن المشاركة لها في بعض الصور إلّا صور علم الزوج، فإنَّها خارجة عنها، وباقية تحت معتبرة أديم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باختصاصها بالعالمة صارت النسبة بينهما وبينها عموماً من وجه، ومورد التعارض والموارد الخارجة عنها يرجع فيها لعمومات الحلِّ، وتكون النتيجة الحلّيّة إلَّا في صور علمها</w:t>
      </w:r>
      <w:r>
        <w:rPr>
          <w:rFonts w:eastAsia="Amiri" w:cs="Amiri" w:ascii="Amiri" w:hAnsi="Amiri"/>
          <w:color w:val="111111"/>
          <w:sz w:val="28"/>
          <w:szCs w:val="28"/>
          <w:rtl w:val="true"/>
          <w:lang w:bidi="ar-SA"/>
        </w:rPr>
        <w:t xml:space="preserve">. </w:t>
      </w:r>
      <w:bookmarkStart w:id="174" w:name="pg10921_145205"/>
    </w:p>
    <w:p>
      <w:pPr>
        <w:pStyle w:val="Heading3"/>
        <w:numPr>
          <w:ilvl w:val="2"/>
          <w:numId w:val="1"/>
        </w:numPr>
        <w:rPr/>
      </w:pPr>
      <w:bookmarkStart w:id="175" w:name="__RefHeading___Toc3127378_2870459653"/>
      <w:bookmarkStart w:id="176" w:name="_Toc66"/>
      <w:bookmarkEnd w:id="174"/>
      <w:bookmarkEnd w:id="175"/>
      <w:r>
        <w:rPr>
          <w:rtl w:val="true"/>
        </w:rPr>
        <w:t>تأثير العلم بالحكم</w:t>
      </w:r>
      <w:bookmarkEnd w:id="176"/>
    </w:p>
    <w:p>
      <w:pPr>
        <w:pStyle w:val="BookText"/>
        <w:rPr/>
      </w:pPr>
      <w:r>
        <w:rPr>
          <w:rFonts w:ascii="IRNazanin" w:hAnsi="IRNazanin" w:eastAsia="IRNazanin"/>
          <w:color w:val="111111"/>
          <w:sz w:val="28"/>
          <w:sz w:val="28"/>
          <w:szCs w:val="28"/>
          <w:rtl w:val="true"/>
          <w:lang w:bidi="fa-IR"/>
        </w:rPr>
        <w:t xml:space="preserve">تقدَّم أنَّ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عنصرين في العلم، وهما العلم بالحكم والعلم بالموضوع، وبعضهم اقتصر على العلم بالموضوع</w:t>
      </w:r>
      <w:r>
        <w:rPr>
          <w:rStyle w:val="FootnoteAnchor"/>
          <w:rtl w:val="true"/>
        </w:rPr>
        <w:footnoteReference w:id="260"/>
      </w:r>
      <w:r>
        <w:rPr>
          <w:rFonts w:ascii="Amiri" w:hAnsi="Amiri" w:eastAsia="Amiri" w:cs="Amiri"/>
          <w:color w:val="111111"/>
          <w:sz w:val="28"/>
          <w:sz w:val="28"/>
          <w:szCs w:val="28"/>
          <w:rtl w:val="true"/>
          <w:lang w:bidi="ar-SA"/>
        </w:rPr>
        <w:t xml:space="preserve">، والظاهر أنَّه لعدم تعرّض الروايات للعلم بالحكم، وتقدّم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للعلم بالحكم في تعليقته على العروة كما في متنها</w:t>
      </w:r>
      <w:r>
        <w:rPr>
          <w:rStyle w:val="FootnoteAnchor"/>
          <w:rtl w:val="true"/>
        </w:rPr>
        <w:footnoteReference w:id="261"/>
      </w:r>
      <w:r>
        <w:rPr>
          <w:rFonts w:ascii="Amiri" w:hAnsi="Amiri" w:eastAsia="Amiri" w:cs="Amiri"/>
          <w:color w:val="111111"/>
          <w:sz w:val="28"/>
          <w:sz w:val="28"/>
          <w:szCs w:val="28"/>
          <w:rtl w:val="true"/>
          <w:lang w:bidi="ar-SA"/>
        </w:rPr>
        <w:t>، ولكنَّه في رسالته العمليَّة صرّح باعتبار العلم بالحكم</w:t>
      </w:r>
      <w:r>
        <w:rPr>
          <w:rStyle w:val="FootnoteAnchor"/>
          <w:rtl w:val="true"/>
        </w:rPr>
        <w:footnoteReference w:id="262"/>
      </w:r>
      <w:r>
        <w:rPr>
          <w:rFonts w:ascii="Amiri" w:hAnsi="Amiri" w:eastAsia="Amiri" w:cs="Amiri"/>
          <w:color w:val="111111"/>
          <w:sz w:val="28"/>
          <w:sz w:val="28"/>
          <w:szCs w:val="28"/>
          <w:rtl w:val="true"/>
          <w:lang w:bidi="ar-SA"/>
        </w:rPr>
        <w:t>، وبيّن في شرح المسألة من العروة أنَّ العلم بالحكم له دخالة وإن لم تتعرّض له الروايات، وإنّما تركه لتحقّقه خارجاً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لاعتبار العلم بالحكم، وهو صحيحة عبد الرحمن بن الحجَّاج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يتزوّج المرأة في عدّتها بجهالة، أهي ممّن لا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إذا كان بجهالة فليتزوّجها بعدما تنقضي عدتها، وقد يعذر الناس في الجهالة بما هو أعظم من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الجهالتين يعذر؟ بجهالته أن يعلم أنّ ذلك محرّم عليه، أم بجهالته أنّها في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الجهالتين أهون من الأخرى، الجهالة بأنَّ الله حرّم ذلك عليه، وذلك بأنّه لا يقدر على الاحتياط معها،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الأخرى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انقضت عدّتها فهو معذور في أن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أحدهما متعمّداً والآخر يجهل،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تعمّد لا يحلّ له </w:t>
      </w:r>
    </w:p>
    <w:p>
      <w:pPr>
        <w:pStyle w:val="BookText"/>
        <w:rPr/>
      </w:pPr>
      <w:r>
        <w:rPr>
          <w:rFonts w:ascii="Amiri" w:hAnsi="Amiri" w:eastAsia="Amiri" w:cs="Amiri"/>
          <w:color w:val="111111"/>
          <w:sz w:val="28"/>
          <w:sz w:val="28"/>
          <w:szCs w:val="28"/>
          <w:rtl w:val="true"/>
          <w:lang w:bidi="ar-SA"/>
        </w:rPr>
        <w:t>أن يرجع إلى صاحبه أبداً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دالّة بوضوح على أنّ الجهل بالموضوع وإنْ كان عذراً إلّا أنَّ الجهل بالحكم أعظم؛ وذلك لعدم إمكان الاحتياط معه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ولكن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 دلالة الصّحيحة على هذا المعنى، وناقشها بالتَّالي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هذا الكلام ليس بتام؛ لأنَّه ورد في ذيل الصَّحيحة التَّعليل بأنَّه لا يقدر على الاحتياط معها، أي أنَّه مع الجهل بالحكم لا يقدر على الاحتياط، ومعنى هذا الكلام وروحه هو التَّفصيل بين الجاهل القاطع بالخلاف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الجاهل 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الجاهل البسيط بسبب عدم قدرة الأوَّل على الاحتياط وقدرة الثَّاني عليه، فإنَّه من الواضح أنَّه لا فرق في القدرة على الاحتياط بين الشُّبهة الحكميَّة والشُّبهة الموضوعيَّة، فكما يمكن أن يكون في الشُّبهة الحكميَّة بالنِّسبة إلى الحكم جاهلاً مركّباً لا يسعه الاحتياط كذلك يمكن أن يكون جاهلاً بسيطاً متمكِّناً من الاحتياط، وكذلك بالنِّسبة إلى الموضوع، فواقع الحال المستفاد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التَّفصيل بين الجاهل المركَّب والجاهل البسيط بأنَّ الجاهل المركَّب أقوى عذراً من حيث إنَّه ليس قادراً على الاحتياط، فهو لا يحتمل الخلاف حتَّى يحتاط، وإنَّما الاحتياط يقوم به مَن يحتمل الخلاف الذي ليس هو قاطعاً بالأمر وهو الجاهل البسيط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إشكالٍ على الرِّواية، ودفع ذلك الإشكال قائلاً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هنا إشكال ورد على هذه الرِّواية أشار له الشَّيخ الأعظم في الرَّسائل ولم </w:t>
      </w:r>
    </w:p>
    <w:p>
      <w:pPr>
        <w:pStyle w:val="BookText"/>
        <w:rPr/>
      </w:pPr>
      <w:r>
        <w:rPr>
          <w:rFonts w:ascii="IRNazanin" w:hAnsi="IRNazanin" w:eastAsia="IRNazanin"/>
          <w:color w:val="111111"/>
          <w:sz w:val="28"/>
          <w:sz w:val="28"/>
          <w:szCs w:val="28"/>
          <w:rtl w:val="true"/>
          <w:lang w:bidi="fa-IR"/>
        </w:rPr>
        <w:t xml:space="preserve">يذكره بتفصيل، وتعرَّض له مَن تأخَّر عنه من الأعلام في الأصول، وفي كتاب النِّكاح في الفقه، وهو أنَّه كيف 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بالحكم بالجهل المركّب، والجهل بالموضوع بالجهل البسيط مع أنَّه في كليهما يُتصوَّر كلا القسمين؟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الأعلام للجواب عن هذا الإشكال بوجوهٍ، وممَّا يمكن أن يقال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مذكور في كلماتهم بصورة أو بأخرى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مورد الحكم يكون الجهل عذراً فيما إذا كان قاطعاً بالخلاف، وأمَّا إذا كان جاهلاً بسيطاً فلا يكون معذوراً، بل هو ملزم بأن يسأل، وأن يحتاط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ذُكر في محلِّه، وحيث فُرض في المقام أنَّ الجاهل هذا معذور حيث يستفاد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معذور في كلا الجهلين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الجهل بالحكم والجهل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فرض في مورد الجهل بالحكم أن يكون قاطعاً بالخلاف حتَّى يكون عذراً، وإلَّا فلا يكون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إلى الجهل بالحكم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مورد الجهل بالموضوع فكلاهما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الجهل المركّب والجهل 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يجب عليه أن يفحص، ويسأل عن المرأة الّتي يَحتمل أن تكون في عدَّتها،هل هي في عدَّة أو لا؟ على كلام في المتهمة ذُكر في محلِّه، فكلاهما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المركّب والجهل البسيط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ولكنَّ الغالب هو الجهل البسيط في مورد الموضوع، فإنَّ هذا الذي يعلم بأنَّ هذه امرأة قد تزوّجت من قبلُ بطبيعة الحال يشكّ في أنَّه هل انتهت عدَّتها أو لا؟ ومع ذلك لا يجب عليه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فالجهل في مورد الموضوع في الأعم الأغلب يكون من قبيل الجهل البسيط؛ ولذلك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الجهل بالحكم من قبيل الجهل المركّب، ومورد الجهل بالموضوع من قبيل الجهل البسيط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هذه الرِّواية على كلِّ تقدير لا يستفاد منها التَّفصيل، والقول بأنَّ الجهل </w:t>
      </w:r>
    </w:p>
    <w:p>
      <w:pPr>
        <w:pStyle w:val="BookText"/>
        <w:rPr/>
      </w:pPr>
      <w:r>
        <w:rPr>
          <w:rFonts w:ascii="Amiri" w:hAnsi="Amiri" w:eastAsia="Amiri" w:cs="Amiri"/>
          <w:color w:val="111111"/>
          <w:sz w:val="28"/>
          <w:sz w:val="28"/>
          <w:szCs w:val="28"/>
          <w:rtl w:val="true"/>
          <w:lang w:bidi="ar-SA"/>
        </w:rPr>
        <w:t>بالموضوع ليس أهون من الجهل بالحكم ليس كذلك، وإنَّما الذي يستفاد من الرِّواية أنَّ الجهل المركّب أهون من الجهل البسيط من حيث إنَّ الجاهل المركّب لا يتمكَّن من الاحتياط</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فقه الصَّحيحة والإشكال عليها ودفعه يتلاءم فيما هو المهمّ في المقام من كون روح التَّفصيل بين الجهل المركَّب والجهل البسيط مع ما ذكره جماعة من الأعلام كالسّيّد المجدِّد الشِّيرازيّ</w:t>
      </w:r>
      <w:r>
        <w:rPr>
          <w:rStyle w:val="FootnoteAnchor"/>
          <w:rtl w:val="true"/>
        </w:rPr>
        <w:footnoteReference w:id="267"/>
      </w:r>
      <w:r>
        <w:rPr>
          <w:rFonts w:ascii="Amiri" w:hAnsi="Amiri" w:eastAsia="Amiri" w:cs="Amiri"/>
          <w:color w:val="111111"/>
          <w:sz w:val="28"/>
          <w:sz w:val="28"/>
          <w:szCs w:val="28"/>
          <w:rtl w:val="true"/>
          <w:lang w:bidi="ar-SA"/>
        </w:rPr>
        <w:t>، والسّيِّد الفشاركيّ</w:t>
      </w:r>
      <w:r>
        <w:rPr>
          <w:rStyle w:val="FootnoteAnchor"/>
          <w:rtl w:val="true"/>
        </w:rPr>
        <w:footnoteReference w:id="268"/>
      </w:r>
      <w:r>
        <w:rPr>
          <w:rFonts w:ascii="Amiri" w:hAnsi="Amiri" w:eastAsia="Amiri" w:cs="Amiri"/>
          <w:color w:val="111111"/>
          <w:sz w:val="28"/>
          <w:sz w:val="28"/>
          <w:szCs w:val="28"/>
          <w:rtl w:val="true"/>
          <w:lang w:bidi="ar-SA"/>
        </w:rPr>
        <w:t>، والأشتيانيّ</w:t>
      </w:r>
      <w:r>
        <w:rPr>
          <w:rStyle w:val="FootnoteAnchor"/>
          <w:rtl w:val="true"/>
        </w:rPr>
        <w:footnoteReference w:id="269"/>
      </w:r>
      <w:r>
        <w:rPr>
          <w:rFonts w:ascii="Amiri" w:hAnsi="Amiri" w:eastAsia="Amiri" w:cs="Amiri"/>
          <w:color w:val="111111"/>
          <w:sz w:val="28"/>
          <w:sz w:val="28"/>
          <w:szCs w:val="28"/>
          <w:rtl w:val="true"/>
          <w:lang w:bidi="ar-SA"/>
        </w:rPr>
        <w:t>، والمحقِّق الخراسانيّ</w:t>
      </w:r>
      <w:r>
        <w:rPr>
          <w:rStyle w:val="FootnoteAnchor"/>
          <w:rtl w:val="true"/>
        </w:rPr>
        <w:footnoteReference w:id="270"/>
      </w:r>
      <w:r>
        <w:rPr>
          <w:rFonts w:ascii="Amiri" w:hAnsi="Amiri" w:eastAsia="Amiri" w:cs="Amiri"/>
          <w:color w:val="111111"/>
          <w:sz w:val="28"/>
          <w:sz w:val="28"/>
          <w:szCs w:val="28"/>
          <w:rtl w:val="true"/>
          <w:lang w:bidi="ar-SA"/>
        </w:rPr>
        <w:t>، والمحقِّق النّائينيّ</w:t>
      </w:r>
      <w:r>
        <w:rPr>
          <w:rStyle w:val="FootnoteAnchor"/>
          <w:rtl w:val="true"/>
        </w:rPr>
        <w:footnoteReference w:id="271"/>
      </w:r>
      <w:r>
        <w:rPr>
          <w:rFonts w:ascii="Amiri" w:hAnsi="Amiri" w:eastAsia="Amiri" w:cs="Amiri"/>
          <w:color w:val="111111"/>
          <w:sz w:val="28"/>
          <w:sz w:val="28"/>
          <w:szCs w:val="28"/>
          <w:rtl w:val="true"/>
          <w:lang w:bidi="ar-SA"/>
        </w:rPr>
        <w:t>، والمحقِّق العراقيّ</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غير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فكرة الحمل على المثاليَّة وتوسيط المعذِّر، وهم اعتمدوا فكرة المفهوم العامّ، و اختلاف الموردين من حيث الفرد الغالب والنَّادر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عبد الكريم الحائريّ ناقش جواب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بالتَّسوية بين وضوح الحكم بين المسلمين و غلبة التَّفتيش عن حال المرأة من حيث اقتضائهما العلم بالحكم، والتَّعرف على حال المرأة عند الالتفات، فعدم معرفة حال </w:t>
      </w:r>
    </w:p>
    <w:p>
      <w:pPr>
        <w:pStyle w:val="BookText"/>
        <w:rPr/>
      </w:pPr>
      <w:r>
        <w:rPr>
          <w:rFonts w:ascii="Amiri" w:hAnsi="Amiri" w:eastAsia="Amiri" w:cs="Amiri"/>
          <w:color w:val="111111"/>
          <w:sz w:val="28"/>
          <w:sz w:val="28"/>
          <w:szCs w:val="28"/>
          <w:rtl w:val="true"/>
          <w:lang w:bidi="ar-SA"/>
        </w:rPr>
        <w:t xml:space="preserve">المرأة بعد الالتفات نادر كعدم العلم بالحكم بعد الالتفات إليه، وبعد تأمّله في مناقشته أجاب هو عن الإشكال بما أمر بعده بالفهم، من حمل الجهالة على الغفلة في كلتا الصُّورتين، وحمل قول السَّائل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الجهالة في الحكم التّكليفيّ،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العادة على جهالته بأنَّ العدَّة موضوعة للأمر الوضعيّ أعني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وجه قدرته على الاحتياط في الثَّاني أنَّه بعد الالتفات يتمكَّن من رفع اليد عن الزّوجة بخلاف الأوَّل فإنَّه عمل بالفعل المحرَّم شرعاً ولا يتمكَّن من تداركه بعد الالتفات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فإنَّما يتمّ بناءً على اتّحاد العذر في الحكمين الوضعيّ والتَّكليفيّ فإنَّه اعتمد في دفع الإشكال على المعذِّرات التَّكليفيَّة في حين أنَّ المراد في الصَّحيحة المعذِّرات الوضعيَّة كما هو واضح، وبذلك نوقشت دلالتها على البراءة في كلمات غير واحد</w:t>
      </w:r>
      <w:r>
        <w:rPr>
          <w:rStyle w:val="FootnoteAnchor"/>
          <w:rtl w:val="true"/>
        </w:rPr>
        <w:footnoteReference w:id="274"/>
      </w:r>
      <w:r>
        <w:rPr>
          <w:rFonts w:ascii="Amiri" w:hAnsi="Amiri" w:eastAsia="Amiri" w:cs="Amiri"/>
          <w:color w:val="111111"/>
          <w:sz w:val="28"/>
          <w:sz w:val="28"/>
          <w:szCs w:val="28"/>
          <w:rtl w:val="true"/>
          <w:lang w:bidi="ar-SA"/>
        </w:rPr>
        <w:t>، والاتِّحاد في المعذِّرات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لعلَّ الوجه في ما سلكه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توسيط التَّعذير هو إشكال الشّيخ الحائريّ على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وفق ما تقدَّم من وجوه لا تصلح الصَّحيحة دليلاً على أهونيّة الجهل بالحكم من الجهل بالموضوع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وجه آخر يحافظ على موضوعيَّة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مراد </w:t>
      </w:r>
    </w:p>
    <w:p>
      <w:pPr>
        <w:pStyle w:val="BookText"/>
        <w:rPr/>
      </w:pPr>
      <w:r>
        <w:rPr>
          <w:rFonts w:ascii="Amiri" w:hAnsi="Amiri" w:eastAsia="Amiri" w:cs="Amiri"/>
          <w:color w:val="111111"/>
          <w:sz w:val="28"/>
          <w:sz w:val="28"/>
          <w:szCs w:val="28"/>
          <w:rtl w:val="true"/>
          <w:lang w:bidi="ar-SA"/>
        </w:rPr>
        <w:t>المحدّث البحرانيّ</w:t>
      </w:r>
      <w:r>
        <w:rPr>
          <w:rStyle w:val="FootnoteAnchor"/>
          <w:rtl w:val="true"/>
        </w:rPr>
        <w:footnoteReference w:id="275"/>
      </w:r>
      <w:r>
        <w:rPr>
          <w:rFonts w:ascii="Amiri" w:hAnsi="Amiri" w:eastAsia="Amiri" w:cs="Amiri"/>
          <w:color w:val="111111"/>
          <w:sz w:val="28"/>
          <w:sz w:val="28"/>
          <w:szCs w:val="28"/>
          <w:rtl w:val="true"/>
          <w:lang w:bidi="ar-SA"/>
        </w:rPr>
        <w:t>والنراقيّ</w:t>
      </w:r>
      <w:r>
        <w:rPr>
          <w:rStyle w:val="FootnoteAnchor"/>
          <w:rtl w:val="true"/>
        </w:rPr>
        <w:footnoteReference w:id="27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أنَّ المراد بالجهالة في الموضعين الغفلة وعدم الالتفات، ومعه لا يتيسَّر الاحتياط ممّن لم يطرق ذهنه الحكم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ملتفتاً إلى الحكم عالماً به فسوف يلتفت إلى تحقُّق الموضوع وعدمه، وبالتالي يمكنه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المراد في الموضعين هو الغفلة يمكن أن يكون الوجه في التَّفريق هو أنَّ العالم بالحكم يتوفَّر على منشأ للاحتياط في موضوعات الأحكام بعد علمه بنفس الأحكام، فيلاحظ ويوجّه نظره الى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متحقِّق بحقِّ مَن لم يطرق ذهنه وجود هكذا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الوجه أوْلى ممَّا أفاده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مستغنٍِ عن مؤنة الحمل على المثاليّة، وهي أكثر من مؤنة حمل الجهالة على خصوص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هذا الى التردُّد في الموضوع، غايته من جهة علمه بالحكم، والمفروض أن نفرّق بينهما مع افتراض بقاء الغفلة عن تحقُّق الموضوع، والغافل عن الموضوع حين هو غافل لا يمكن أن يحتاط،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 دلالة الرِّواية يتمّ 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العلم بالحكم مع العلم بالموضوع في الحرمة في بعض الصور، وإلَّا فالمدار على العلم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برکاته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ولم يحتج إلى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الحلق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المسألة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مجلس البحث الشريف ليوم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على عكس ما</w:t>
      </w:r>
    </w:p>
    <w:p>
      <w:pPr>
        <w:pStyle w:val="BookText"/>
        <w:rPr/>
      </w:pPr>
      <w:r>
        <w:rPr>
          <w:rFonts w:ascii="Amiri" w:hAnsi="Amiri" w:eastAsia="Amiri" w:cs="Amiri"/>
          <w:color w:val="111111"/>
          <w:sz w:val="28"/>
          <w:sz w:val="28"/>
          <w:szCs w:val="28"/>
          <w:rtl w:val="true"/>
          <w:lang w:bidi="ar-SA"/>
        </w:rPr>
        <w:t>أُريد الاستدلال عليه بالصّحيحة فإنَّ الارتكاز على أهونيّة الجهل بالموضوع من الجهل بالحكم وليس العكس، وذلك للزوم الفحص في الشُّبهة الحكميَّة دون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ارتكاز التَّفريق بين الشُّبهتين ليس ناشئاً من حاقّ الموضوعيَّة والحكميَّة، وإنَّما من تراكمات خارجيَّة، فإنَّه في الموضوعيَّة لعدم الدَّليل أو الدَّليل على العدم، وفي الحكميَّة إنَّما التزم بلزوم الفحص لخصوصية في طريقة تبليغ الأحكام الشَّرعيَّة، فإنَّها مبنيّة على القرائن المنفصلة أو نتيجة لظروف اعتورت تبليغها ممَّا وفّر دواعي إبراز غير الأحكام الواقعيَّة مكانها، أو إبرازها بغير حدودها من تقيَّة ونحوها، أو لكبرى عقلائيَّة في الاستنباط من المدوّنات القانونيَّة خاصَّة أو مطلق المدونات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 العلم الإجمالي يغطّي مساحة وافرة، على ما هو مذكور في أدلّة لزوم الفحص؛ ولذا لم يكن العمل على الفحص عند أغلب مَن يسمع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ولم يتَّضح قيام سيرة عقلائيَّة من قبل غير المتخصّصين على الفحص في الشُّبهة الحكميَّة، وهذا جارٍ بلحاظ محدّدات الحكم ومعارضاته، وهو جارٍ أيضاً بلحاظ أصل الحكم، فتأمَّل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يمكن أن يقرَّب ما وجّه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الروايات لاعتبار العلم بالحكم من تحقّق العلم بالحكم خارجاً ما تقدّمت الإشارة إليه في تقريب دلالة رواية علي بن جعفر</w:t>
      </w:r>
      <w:r>
        <w:rPr>
          <w:rStyle w:val="FootnoteAnchor"/>
          <w:rtl w:val="true"/>
        </w:rPr>
        <w:footnoteReference w:id="278"/>
      </w:r>
      <w:r>
        <w:rPr>
          <w:rFonts w:ascii="IRNazanin" w:hAnsi="IRNazanin" w:eastAsia="IRNazanin"/>
          <w:color w:val="111111"/>
          <w:sz w:val="28"/>
          <w:sz w:val="28"/>
          <w:szCs w:val="28"/>
          <w:rtl w:val="true"/>
          <w:lang w:bidi="fa-IR"/>
        </w:rPr>
        <w:t xml:space="preserve">، فقد ورد في معتبرة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جاهلةً بما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هي في دار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bookmarkStart w:id="177" w:name="pg10921_145212"/>
    </w:p>
    <w:p>
      <w:pPr>
        <w:pStyle w:val="BookText"/>
        <w:rPr/>
      </w:pPr>
      <w:bookmarkEnd w:id="177"/>
      <w:r>
        <w:rPr>
          <w:rFonts w:ascii="Amiri" w:hAnsi="Amiri" w:eastAsia="Amiri" w:cs="Amiri"/>
          <w:color w:val="111111"/>
          <w:sz w:val="28"/>
          <w:sz w:val="28"/>
          <w:szCs w:val="28"/>
          <w:rtl w:val="true"/>
          <w:lang w:bidi="ar-SA"/>
        </w:rPr>
        <w:t>من امرأةٍ اليوم من نساء المسلمين إلّا وهي تعلم أنّ المرأة المسلمة لا يحلّ لها أنْ تتزوّج زوجين</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يزيد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ذلك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اليوم من نساء المسلمين إلّا وهي تعلم أنّ عليها عدّة في طلاق أو موت، ولقد كنّ نساء الجاهليّة يعرفن ذلك</w:t>
      </w:r>
      <w:r>
        <w:rPr>
          <w:rFonts w:eastAsia="IRNazanin" w:cs="IRNazanin"/>
          <w:color w:val="111111"/>
          <w:sz w:val="28"/>
          <w:szCs w:val="28"/>
          <w:rtl w:val="true"/>
          <w:lang w:bidi="fa-IR"/>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تعلم أنّ عليها عدّة من زوجها لا تقرب فيها الرجال فكيف تجهل أن يحلّ لها الزواج، وهي في ذمّة رجل آخر؟</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127380_2870459653"/>
      <w:bookmarkStart w:id="179" w:name="_Toc67"/>
      <w:bookmarkEnd w:id="178"/>
      <w:r>
        <w:rPr>
          <w:rtl w:val="true"/>
        </w:rPr>
        <w:t>لا تفصيل بين أقسام الجهل</w:t>
      </w:r>
      <w:bookmarkEnd w:id="179"/>
    </w:p>
    <w:p>
      <w:pPr>
        <w:pStyle w:val="BookText"/>
        <w:rPr/>
      </w:pPr>
      <w:r>
        <w:rPr>
          <w:rFonts w:ascii="Amiri" w:hAnsi="Amiri" w:eastAsia="Amiri" w:cs="Amiri"/>
          <w:color w:val="111111"/>
          <w:sz w:val="28"/>
          <w:sz w:val="28"/>
          <w:szCs w:val="28"/>
          <w:rtl w:val="true"/>
          <w:lang w:bidi="ar-SA"/>
        </w:rPr>
        <w:t xml:space="preserve">ثمَّ إنّه لا فرق بين أقسام الجهل من حيث البساطة والتركيب، ولا من حيث التقصير وعدمه، فإنّه بالنسبة إلى الرجل يدور أمر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عدم التعرّض لحاله من حيث العلم والجهل أصلاً، والتعرّض له على نحو كلّيّ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المرأة فالأمر يدور بين ما لم تتعرّض لحالها، وبين ما ذكر فيها عناوين لا يمكن حملها على خصوص حالات التردّد وعدم العذر،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زوجها، خبروها، بلغها، ولمّا كانت هذه الروايات دالة على الحرمة فهي تشمل كلّ حالات عدم العلم بما فيها حالات التردّد وعدم العذر، فلا يحتمل اختصاص الحرمة بحالات العذر وعدم التردّد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مثل هذه 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روايات الحلّيّة، وهي معتبرة زرارة، فيمكن أن يقال بأنّها لا تشمل حالات التردّد وعدم العذر</w:t>
      </w:r>
      <w:r>
        <w:rPr>
          <w:rFonts w:eastAsia="Amiri" w:cs="Amiri" w:ascii="Amiri" w:hAnsi="Amiri"/>
          <w:color w:val="111111"/>
          <w:sz w:val="28"/>
          <w:szCs w:val="28"/>
          <w:rtl w:val="true"/>
          <w:lang w:bidi="ar-SA"/>
        </w:rPr>
        <w:t xml:space="preserve">. </w:t>
      </w:r>
      <w:bookmarkStart w:id="180" w:name="pg10921_145213"/>
    </w:p>
    <w:p>
      <w:pPr>
        <w:pStyle w:val="Heading3"/>
        <w:numPr>
          <w:ilvl w:val="2"/>
          <w:numId w:val="1"/>
        </w:numPr>
        <w:rPr/>
      </w:pPr>
      <w:bookmarkStart w:id="181" w:name="__RefHeading___Toc3127382_2870459653"/>
      <w:bookmarkStart w:id="182" w:name="_Toc68"/>
      <w:bookmarkEnd w:id="180"/>
      <w:bookmarkEnd w:id="181"/>
      <w:r>
        <w:rPr>
          <w:rtl w:val="true"/>
        </w:rPr>
        <w:t>مفاتيح القول بالحلّيّة في الصورة الثالثة</w:t>
      </w:r>
      <w:bookmarkEnd w:id="182"/>
    </w:p>
    <w:p>
      <w:pPr>
        <w:pStyle w:val="BookText"/>
        <w:rPr/>
      </w:pPr>
      <w:r>
        <w:rPr>
          <w:rFonts w:ascii="Amiri" w:hAnsi="Amiri" w:eastAsia="Amiri" w:cs="Amiri"/>
          <w:color w:val="111111"/>
          <w:sz w:val="28"/>
          <w:sz w:val="28"/>
          <w:szCs w:val="28"/>
          <w:rtl w:val="true"/>
          <w:lang w:bidi="ar-SA"/>
        </w:rPr>
        <w:t>من خلال ما تقدّم يمكن تعيين بعض المطالب كنقاط مفصليَّة في القول بالحلّيّة أو القول بالحرمة في المقام، فمَّما يدفع باتّجاه القول بالحلّيّة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 السندي في معتبرة أديم، أو منع إطلاقها للجاهلة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سند معتبرة زرارة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القسم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متن معتبرة زرارة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من 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معتبرتي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الروايتين الثانية والثالثة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الاعتداد والاستحلال في معتبرتي زرارة على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سند رواية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المناسبات في حقّ معتبرتي زرارة، ومنعها في حق رواية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دلالة معتبرة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من القسم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الدخول من لفظ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بتساقط روايات زرارة الثلاث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موقفنا منها فيما تقدّم</w:t>
      </w:r>
      <w:r>
        <w:rPr>
          <w:rFonts w:eastAsia="Amiri" w:cs="Amiri" w:ascii="Amiri" w:hAnsi="Amiri"/>
          <w:color w:val="111111"/>
          <w:sz w:val="28"/>
          <w:szCs w:val="28"/>
          <w:rtl w:val="true"/>
          <w:lang w:bidi="ar-SA"/>
        </w:rPr>
        <w:t xml:space="preserve">. </w:t>
      </w:r>
      <w:bookmarkStart w:id="183" w:name="pg10921_145214"/>
    </w:p>
    <w:p>
      <w:pPr>
        <w:pStyle w:val="Heading3"/>
        <w:numPr>
          <w:ilvl w:val="2"/>
          <w:numId w:val="1"/>
        </w:numPr>
        <w:rPr/>
      </w:pPr>
      <w:bookmarkStart w:id="184" w:name="__RefHeading___Toc3127384_2870459653"/>
      <w:bookmarkStart w:id="185" w:name="_Toc69"/>
      <w:bookmarkEnd w:id="183"/>
      <w:bookmarkEnd w:id="184"/>
      <w:r>
        <w:rPr>
          <w:rtl w:val="true"/>
        </w:rPr>
        <w:t>الخاتمة</w:t>
      </w:r>
      <w:r>
        <w:rPr>
          <w:rtl w:val="true"/>
        </w:rPr>
        <w:t xml:space="preserve">: </w:t>
      </w:r>
      <w:r>
        <w:rPr>
          <w:rtl w:val="true"/>
        </w:rPr>
        <w:t>فيها حصيلة النتائج وبعض التعميم</w:t>
      </w:r>
      <w:bookmarkEnd w:id="185"/>
    </w:p>
    <w:p>
      <w:pPr>
        <w:pStyle w:val="BookText"/>
        <w:rPr/>
      </w:pPr>
      <w:r>
        <w:rPr>
          <w:rFonts w:ascii="Amiri" w:hAnsi="Amiri" w:eastAsia="Amiri" w:cs="Amiri"/>
          <w:color w:val="111111"/>
          <w:sz w:val="28"/>
          <w:sz w:val="28"/>
          <w:szCs w:val="28"/>
          <w:rtl w:val="true"/>
          <w:lang w:bidi="ar-SA"/>
        </w:rPr>
        <w:t>وممّا تقدّم يظهر أنَّ حاصل الروايات أنّ الحكم في الصور الأربع المتقدّمة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الصورتان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الزوج مع الدخول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فيهما هو الحرمة المؤبّدة، سواء علمت المرأة أم لم تعلم؛ لأنّها في صورة العلم داخلة تحت معتبرة أديم، وأيضاً تحت معتبرتي زرارة إن تمّت المناسبات، وفي صورة الجهل تحت معتبرتي زرارة، وأيضاً تحت معتبرة أديم لو لم يتأمّل في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الرجل مع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على فرض المنع من المناسبات في رواية عبد الرحمن، وقبولها في المعتبرتين مع قبول إطلاق معتبرة أديم؛ لأخصّيّة رواية عبد الرحمن منها ومن المعتبرتين، وكذلك يحكم بالحلّيّة لو لم نقبل إطلاق معتبرة أديم؛ وذلك للتعارض، والرجوع إلى عمومات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على فرض قبول إطلاق معتبرة أديم وقبول المناسبات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معتبرتي زرارة وفي رواية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رواية عبد الرحمن دون المعتبرتين، أو منعنا منها مطلقاً مع الاعتناء بمعتبرة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الحلِّ بعد التعارض بينها وبين معتبرة أديم، فالنسبة هي العموم من وجه كما تقدّم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على الفرض السابق مع عدم الاعتناء بمعتبرة زرارة من القسم الثاني؛ وذلك لدخولها تحت معتبرة أديم بعد تعارض المعتبرتين من جهة، وصحيحة ابن الحجَّاج ورواية عبد الرحمن من جهة أخرى، فالنسبة هي العموم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الزوج مع 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فيها هو الحلّيّة سواء قبلنا إطلاق معتبرة أديم؛ لأخصّيّة صحيحة ابن الحجَّاج عنها، بعد خروجها عن مورد معتبرتي زرارة أو لم نقبل الإطلاق؛ لعمومات الحلِّ بعد تعارضها مع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عدم تساقط روايات زرارة الثلاث، وإلّا فالحرمة مختصّة بصورة علمهما لو منع شمول معتبرة أديم للجاهلة، ومع التسليم بشمولها للجاهلة تتوسّع الحرمة لتشمل كلّ صور علم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ادّعى السَّيّد صاحب الرياض الإجماع على الحلّيّة في الصورة الأخيرة</w:t>
      </w:r>
      <w:r>
        <w:rPr>
          <w:rStyle w:val="FootnoteAnchor"/>
          <w:rtl w:val="true"/>
        </w:rPr>
        <w:footnoteReference w:id="281"/>
      </w:r>
      <w:r>
        <w:rPr>
          <w:rFonts w:ascii="Amiri" w:hAnsi="Amiri" w:eastAsia="Amiri" w:cs="Amiri"/>
          <w:color w:val="111111"/>
          <w:sz w:val="28"/>
          <w:sz w:val="28"/>
          <w:szCs w:val="28"/>
          <w:rtl w:val="true"/>
          <w:lang w:bidi="ar-SA"/>
        </w:rPr>
        <w:t>، ونفى عنها الخلاف المحقّق البحراني</w:t>
      </w:r>
      <w:r>
        <w:rPr>
          <w:rStyle w:val="FootnoteAnchor"/>
          <w:rtl w:val="true"/>
        </w:rPr>
        <w:footnoteReference w:id="282"/>
      </w:r>
      <w:r>
        <w:rPr>
          <w:rFonts w:ascii="Amiri" w:hAnsi="Amiri" w:eastAsia="Amiri" w:cs="Amiri"/>
          <w:color w:val="111111"/>
          <w:sz w:val="28"/>
          <w:sz w:val="28"/>
          <w:szCs w:val="28"/>
          <w:rtl w:val="true"/>
          <w:lang w:bidi="ar-SA"/>
        </w:rPr>
        <w:t>، والشَّيخ الأنصاري</w:t>
      </w:r>
      <w:r>
        <w:rPr>
          <w:rStyle w:val="FootnoteAnchor"/>
          <w:rtl w:val="true"/>
        </w:rPr>
        <w:footnoteReference w:id="283"/>
      </w:r>
      <w:r>
        <w:rPr>
          <w:rFonts w:ascii="Amiri" w:hAnsi="Amiri" w:eastAsia="Amiri" w:cs="Amiri"/>
          <w:color w:val="111111"/>
          <w:sz w:val="28"/>
          <w:sz w:val="28"/>
          <w:szCs w:val="28"/>
          <w:rtl w:val="true"/>
          <w:lang w:bidi="ar-SA"/>
        </w:rPr>
        <w:t>، وقد اتّضح من نقل الأقوال أنّه لم يظهر مخالف فيها إلّا صاحب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لإطلاق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الصورتين الثانية والثالثة يظهر ممّا تقدّم في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الأولى وإنْ استشكل جماعة في مسألة الحرمة بعنوان نكاح ذات البعل، إلّا أنّها داخلة ضمن مسألة الزنا بذات البعل، والمعروف فيها الحرمة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لم يفرّق في كلمات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كون الزوجة حرّة أو أمة مزوّجة، ولا بين الزواج بالعقد الدائم أو المنقطع في العقدين السَّابق واللاحق، وصرَّح في العروة بعدم الفرق، وتبعه مَنْ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 ذلك إطلاق الأدلّة، مع عدم ظهور خلاف كما عن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وأكد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الإطلاق متحقِّق في أغلب الروايات كما أنَّه في معتبرة زرارة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الثالثة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ابن الحجَّاج ورواية عبد الرحمن يحمل موت الزوج وطلاقه على المثاليَّة، فلا تختص بالدائميَّة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معتبرة زرارة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الاختصاص بكون الزواج الأوَّل دائميّاً؛ لمكان الطلاق، كما يمكن أنْ يدَّعى في الزواج الثاني فيها، بل في الزواجين في بقية الروايات الانصراف إلى الزواج الدائمي، فتأمَّل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bookmarkStart w:id="186" w:name="pg10921_145217"/>
    </w:p>
    <w:p>
      <w:pPr>
        <w:pStyle w:val="Heading3"/>
        <w:numPr>
          <w:ilvl w:val="2"/>
          <w:numId w:val="1"/>
        </w:numPr>
        <w:rPr/>
      </w:pPr>
      <w:bookmarkStart w:id="187" w:name="__RefHeading___Toc3127386_2870459653"/>
      <w:bookmarkStart w:id="188" w:name="_Toc70"/>
      <w:bookmarkEnd w:id="186"/>
      <w:bookmarkEnd w:id="187"/>
      <w:r>
        <w:rPr>
          <w:rtl w:val="true"/>
        </w:rPr>
        <w:t>مصادر البحث</w:t>
      </w:r>
      <w:bookmarkEnd w:id="188"/>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النائيني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العرفان، صيدا سنة الطبع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الثالث مير داماد الاسترباديّ،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منصور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بازار سلطانيّ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أبو الحسن عليّ بن أبي الكرم محمّد الشيباني، </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الشيخ عليّ محمّد معوّض،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إصباح الشيعة بمصباح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البيهقي الكيدريّ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مهديّة، سنة الطبع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مركز الطباعة والنشر في 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أبي الحسن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الخدمات والأبحاث الثقافيّة، ملتزم الطبع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الفوائد في شرح إشكالات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الشيخ أبو طالب محمّد ابن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الإشتهارديّ والشيخ عبد الرحيم البروجرديّ، المطبعة العلميّة بقم،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الفوائد في شرح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حسن الآشتياني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قديمة موجودة ضمن قرص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في شرح المناسك، تقرير أبحاث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الشيخ أمجد رياض والشيخ نزار يوسف،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المؤرِّخ العربي،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الكبرى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محسن، 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اليوسفيّ،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السَّنيّة في شرح النخبة المحسنيّة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الله بن نعمة الله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رقمية في برنامج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جمال الدين أبو منصور الحسن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الشيخ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 بحث المجدّد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للروزدري المتوفّى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قسم إحياء التراث الإسلاميّ،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القبيسيّ،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انتشارات دفتر تبليغات 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ﻫ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في شرح المقنعة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ﻫ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الخلاف والوفاق بين الإماميّة وبين أئمّة الحجاز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ابن القمي السبزواريّ،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الحسنيّ البيرجنديّ،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زمينه سازان ظهور إمام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المدارك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الحسين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يحيى بن سعيد الحلّيّ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المولى مهدي النراقي،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بمشروعه الشيخ عليّ الآخوندي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 في الحاشية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كاظم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الطبع والنشر التابعة لوزارة الثقافة والإرشاد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الحائري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تعليقاته، وتعليقات نافعة ورسالة في الاجتهاد والتقليد للشيخ محمّد علي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بقم المشرفة،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وذكر الحلال والحرام والقضايا والأحكام عن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أبي حنيفة النعمان بن محمّد بن منصور بن أحمد بن حيون التميميّ المغربي،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عليّ أصغر فيضيّ،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بمصر،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أبو جعفر أحمد بن أبي عبد الله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الفشاركية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النجف الدينية،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الصّغير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سيّد عليّ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 طبعة بالأوفست عن طبعة دار الطباعة العامرة بإستانبول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 عدة من الفقهاء العظام، تحقيق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ومطبعتها في 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المفلح الصُميري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ق </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الكوثرانيّ العامليّ، دار الهادي للطباعة والنشر والتوزيع،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حمزة بن عليّ 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وتحقيق لجنة تحقيق تراث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واستدلال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جواد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أنصاريان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أسماء مصنّفي الشيعة،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قبسات من علم الرجال، أبحاث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جمعها ونظّمها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البكّاء،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أبو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الدين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أستادي،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علي الأراكيّ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نگار،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سنة الطبع</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لجنة تحقيق تراث الشيخ الأعظم،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أبو عليّ الحسن بن أبي طالب بن أبي المجد اليوسفيّ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الآبي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الشيخ عليّ پناه الإشتهارديّ، الحاج آغا حسين اليزديّ،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الواعظيّ الأراكيّ،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 في تحرير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عبد الرحمن الأسيوطيّ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إحسان عباس،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المباني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الخوئي،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الإسلامية في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في النجف،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المراسم العلويّة في الأحكام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يعلى حمزة بن عبد العزيز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الحسينيّ الأمينيّ،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المعاونيّة الثقافيّة للمجمع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شريف زاده،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كمبيوترية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عليّ بن جعفر ومستدركاتها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 النجفيّ،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الناسك في شرح المناسك 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المعتمد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ملاذ الأخيار في 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الصالحين للسَّيّد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تعليقة الشيخ الوحيد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رقمية في برنامج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ط</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وبهامشه التعليق عليه من قبل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لفتاوى السَّيّد شهاب الدين الحسينيّ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عادل العلويّ،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الموسويّ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آية الله العظمى السَّيّد السبزواريّ، مؤسّسة المنار،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رجب المرجّب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النجعة في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فروشى صدوق،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 في الجمع بين 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الواعظيّ،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منصور الحسن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آقا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تقي البروجردي،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سنة الطبع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المرام في شرح مختصر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السَّيّد محمّد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مجتبى العراقيّ، الشيخ على پناه الإشتهارديّ، آقا حسين اليزديّ،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من أحاديث سيّد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منتقى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سنة الطبع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الحسينيّ،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الإنجاب الصناعية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المؤرّخ العربيّ،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أبو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189" w:name="pg10921_145232"/>
    </w:p>
    <w:p>
      <w:pPr>
        <w:pStyle w:val="Heading2"/>
        <w:numPr>
          <w:ilvl w:val="1"/>
          <w:numId w:val="1"/>
        </w:numPr>
        <w:rPr/>
      </w:pPr>
      <w:bookmarkStart w:id="190" w:name="__RefHeading___Toc3127388_2870459653"/>
      <w:bookmarkStart w:id="191" w:name="_Toc71"/>
      <w:bookmarkEnd w:id="189"/>
      <w:bookmarkEnd w:id="190"/>
      <w:r>
        <w:rPr>
          <w:rtl w:val="true"/>
        </w:rPr>
        <w:t xml:space="preserve">نَظَريَّةُ الحُكُومَة </w:t>
      </w:r>
      <w:r>
        <w:rPr>
          <w:rtl w:val="true"/>
        </w:rPr>
        <w:t>(</w:t>
      </w:r>
      <w:r>
        <w:rPr>
          <w:rtl w:val="true"/>
        </w:rPr>
        <w:t>الحلقة الأولى</w:t>
      </w:r>
      <w:r>
        <w:rPr>
          <w:rtl w:val="true"/>
        </w:rPr>
        <w:t xml:space="preserve">) - </w:t>
      </w:r>
      <w:r>
        <w:rPr>
          <w:rtl w:val="true"/>
        </w:rPr>
        <w:t xml:space="preserve">الشيخ نجم الترابي </w:t>
      </w:r>
      <w:r>
        <w:rPr>
          <w:rtl w:val="true"/>
        </w:rPr>
        <w:t>(</w:t>
      </w:r>
      <w:r>
        <w:rPr>
          <w:rtl w:val="true"/>
        </w:rPr>
        <w:t>دام عزه</w:t>
      </w:r>
      <w:r>
        <w:rPr>
          <w:rtl w:val="true"/>
        </w:rPr>
        <w:t>)</w:t>
      </w:r>
      <w:bookmarkEnd w:id="191"/>
    </w:p>
    <w:p>
      <w:pPr>
        <w:pStyle w:val="Heading3"/>
        <w:numPr>
          <w:ilvl w:val="2"/>
          <w:numId w:val="1"/>
        </w:numPr>
        <w:rPr/>
      </w:pPr>
      <w:bookmarkStart w:id="192" w:name="__RefHeading___Toc3127390_2870459653"/>
      <w:bookmarkStart w:id="193" w:name="_Toc72"/>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إنّ من الأهمّيّة بمكان معرفة مقاصد المتكلّم من خلال كلامه، إذ قد يعتريه شيء من الإجمال، أو ما قد يبدو أنه تنافٍ في الكلام، وإنّ لرفع هذا الإجمال أو التنافي طرقاً عقلائيّة تُنتج الكشف عن المراد النهائي من مجموع كلمات المتكلّم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الضوء على إحداها، وهي نظريّة الحكومة، حيث يتناول أركانها وميزان قرينيّتها وأهمّ شؤونها في عدّة فصول، مستنيراً بكلمات الأعلام وتحقيقاتهم مع الإشارة إلى موارد التأمّل</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0921_145234"/>
      <w:bookmarkStart w:id="195" w:name="pg10921_145234"/>
      <w:bookmarkEnd w:id="195"/>
    </w:p>
    <w:p>
      <w:pPr>
        <w:pStyle w:val="BookText"/>
        <w:rPr/>
      </w:pPr>
      <w:bookmarkStart w:id="196" w:name="pg10921_145234"/>
      <w:bookmarkEnd w:id="196"/>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رسوله محمّد وآله الميامين</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3127392_2870459653"/>
      <w:bookmarkStart w:id="198" w:name="_Toc73"/>
      <w:bookmarkEnd w:id="197"/>
      <w:r>
        <w:rPr>
          <w:rtl w:val="true"/>
        </w:rPr>
        <w:t>تمهيد</w:t>
      </w:r>
      <w:bookmarkEnd w:id="198"/>
    </w:p>
    <w:p>
      <w:pPr>
        <w:pStyle w:val="BookText"/>
        <w:rPr/>
      </w:pPr>
      <w:r>
        <w:rPr>
          <w:rFonts w:ascii="Amiri" w:hAnsi="Amiri" w:eastAsia="Amiri" w:cs="Amiri"/>
          <w:color w:val="111111"/>
          <w:sz w:val="28"/>
          <w:sz w:val="28"/>
          <w:szCs w:val="28"/>
          <w:rtl w:val="true"/>
          <w:lang w:bidi="ar-SA"/>
        </w:rPr>
        <w:t>إنّ أوّل من اكتشف وأقام مُهمَّ أركان الظاهرة الدلاليّة المصطلح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في تقرير بحثه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أنّه استعار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للتعبير عن هذه الظاهرة من كلمات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ورد في اعتقاداته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اعتقادنا في الحديث المفسِّر أن يحكم على المجمل كما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والمتقدِّمون على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المنكرون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أمكن أوْلى من الطرح</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كانوا يتعاملون مع موارد الحكومة على أنّها من موارد الجمع العرفي</w:t>
      </w:r>
      <w:r>
        <w:rPr>
          <w:rStyle w:val="FootnoteAnchor"/>
          <w:rtl w:val="true"/>
        </w:rPr>
        <w:footnoteReference w:id="289"/>
      </w:r>
      <w:r>
        <w:rPr>
          <w:rFonts w:ascii="Amiri" w:hAnsi="Amiri" w:eastAsia="Amiri" w:cs="Amiri"/>
          <w:color w:val="111111"/>
          <w:sz w:val="28"/>
          <w:sz w:val="28"/>
          <w:szCs w:val="28"/>
          <w:rtl w:val="true"/>
          <w:lang w:bidi="ar-SA"/>
        </w:rPr>
        <w:t xml:space="preserve">، فلا يصيرون فيها إلى أحكام التعارض المستقرّ، قال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ردَّ </w:t>
      </w:r>
    </w:p>
    <w:p>
      <w:pPr>
        <w:pStyle w:val="BookText"/>
        <w:rPr/>
      </w:pPr>
      <w:r>
        <w:rPr>
          <w:rFonts w:ascii="IRNazanin" w:hAnsi="IRNazanin" w:eastAsia="IRNazanin"/>
          <w:color w:val="111111"/>
          <w:sz w:val="28"/>
          <w:sz w:val="28"/>
          <w:szCs w:val="28"/>
          <w:rtl w:val="true"/>
          <w:lang w:bidi="fa-IR"/>
        </w:rPr>
        <w:t xml:space="preserve">القاعدة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الذي له شاهد ظنيّ يكون حجّة، نظير ذلك ما رواه الصَّدوق عن عبد السلام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عن آبائك فيمَنْ جَامَعَ في شهر رمضان أو أفطر فيه ثلاث كفّارات، وروي عنهم أيضاً عليهم السلام كفّارة واحدة، فبأيّ الحديثين نأخذ؟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بهما جميعاً، فمتى جَامَعَ حراماً أو أفطر على حرام في شهر رمضان فعليه ثلاث كفارات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نكح حلالاً أو أفطر على حلال فعليه كفّارة واحدة</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 ويمكن تخريج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تلك الموارد على أنَّها من قبيل الحكومة كما صرّح بذلك بعض الأعلام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والاعتبار يساعد على التعامل المذكور، فإنّ موارد الحكومة يكون التوفيق فيها أوضح من موارد الجمع العرفي؛ لمكان أنّ النظر والتفسير يفضي إلى القرينيّة بنحو أوضح من القرينيّة في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يُخرَّج ذلك على أساس أنّ النظر يؤدّي إلى الأقوائيّة في الظهور الذي هو ميزان القرينيّة في الجمع العرفي</w:t>
      </w:r>
      <w:r>
        <w:rPr>
          <w:rStyle w:val="FootnoteAnchor"/>
          <w:rtl w:val="true"/>
        </w:rPr>
        <w:footnoteReference w:id="292"/>
      </w:r>
      <w:r>
        <w:rPr>
          <w:rFonts w:ascii="Amiri" w:hAnsi="Amiri" w:eastAsia="Amiri" w:cs="Amiri"/>
          <w:color w:val="111111"/>
          <w:sz w:val="28"/>
          <w:sz w:val="28"/>
          <w:szCs w:val="28"/>
          <w:rtl w:val="true"/>
          <w:lang w:bidi="ar-SA"/>
        </w:rPr>
        <w:t xml:space="preserve">، وإن كان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لتوسيط الأقوائيّة في الظهور في موارد الحكومة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صحّ أن تُعرّف الحكومة على الإجمال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أحد طريقين للجمع بين الأدلّة المتنافية</w:t>
      </w:r>
      <w:r>
        <w:rPr>
          <w:rStyle w:val="FootnoteAnchor"/>
          <w:rtl w:val="true"/>
        </w:rPr>
        <w:footnoteReference w:id="293"/>
      </w:r>
      <w:r>
        <w:rPr>
          <w:rFonts w:ascii="Amiri" w:hAnsi="Amiri" w:eastAsia="Amiri" w:cs="Amiri"/>
          <w:color w:val="111111"/>
          <w:sz w:val="28"/>
          <w:sz w:val="28"/>
          <w:szCs w:val="28"/>
          <w:rtl w:val="true"/>
          <w:lang w:bidi="ar-SA"/>
        </w:rPr>
        <w:t xml:space="preserve">ذلك أنّ المتكلّم الواجد للحكمة العقلائيّة لا يناقض نفسه، فإذا </w:t>
      </w:r>
    </w:p>
    <w:p>
      <w:pPr>
        <w:pStyle w:val="BookText"/>
        <w:rPr/>
      </w:pPr>
      <w:r>
        <w:rPr>
          <w:rFonts w:ascii="Amiri" w:hAnsi="Amiri" w:eastAsia="Amiri" w:cs="Amiri"/>
          <w:color w:val="111111"/>
          <w:sz w:val="28"/>
          <w:sz w:val="28"/>
          <w:szCs w:val="28"/>
          <w:rtl w:val="true"/>
          <w:lang w:bidi="ar-SA"/>
        </w:rPr>
        <w:t>صدرت منه كلمات يبدو منها التنافي فإنّه لا بدّ من البناء على أنّ التنافي ليس مراداً له، فينبغي الفحص في كلماته عمّا يرفعه، ورفعه إنّما يكون في حال توفّر كلماته تلك على أحد ميزانين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جريان أحد أنحاء الجمع العرفي، بأن تكون إحدى كلماته أقوى ظهوراً من الأُخرى، كما عليه 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جريان الحكومة، وسيأتي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يجرِ أيٌّ من الميزانين فإنّه يُصار إلى استقرار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سنوقع البحث في خمسة 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ومُهمّ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القرينيّة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الحكومة بالنسبة إلى باقي أبواب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الحكومة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الحكومة مع الجمع العرفي والورود</w:t>
      </w:r>
      <w:r>
        <w:rPr>
          <w:rFonts w:eastAsia="Amiri" w:cs="Amiri" w:ascii="Amiri" w:hAnsi="Amiri"/>
          <w:color w:val="111111"/>
          <w:sz w:val="28"/>
          <w:szCs w:val="28"/>
          <w:rtl w:val="true"/>
          <w:lang w:bidi="ar-SA"/>
        </w:rPr>
        <w:t xml:space="preserve">. </w:t>
      </w:r>
      <w:bookmarkStart w:id="199" w:name="pg10921_145237"/>
    </w:p>
    <w:p>
      <w:pPr>
        <w:pStyle w:val="Heading3"/>
        <w:numPr>
          <w:ilvl w:val="2"/>
          <w:numId w:val="1"/>
        </w:numPr>
        <w:rPr/>
      </w:pPr>
      <w:bookmarkStart w:id="200" w:name="__RefHeading___Toc3127394_2870459653"/>
      <w:bookmarkStart w:id="201" w:name="_Toc74"/>
      <w:bookmarkEnd w:id="199"/>
      <w:bookmarkEnd w:id="200"/>
      <w:r>
        <w:rPr>
          <w:rtl w:val="true"/>
        </w:rPr>
        <w:t>الفصل الأوّل</w:t>
      </w:r>
      <w:r>
        <w:rPr>
          <w:rtl w:val="true"/>
        </w:rPr>
        <w:t xml:space="preserve">: </w:t>
      </w:r>
      <w:r>
        <w:rPr>
          <w:rtl w:val="true"/>
        </w:rPr>
        <w:t>في ضابط الحكومة</w:t>
      </w:r>
      <w:bookmarkEnd w:id="201"/>
    </w:p>
    <w:p>
      <w:pPr>
        <w:pStyle w:val="Heading4"/>
        <w:numPr>
          <w:ilvl w:val="3"/>
          <w:numId w:val="1"/>
        </w:numPr>
        <w:rPr/>
      </w:pPr>
      <w:bookmarkStart w:id="202" w:name="__RefHeading___Toc3127396_2870459653"/>
      <w:bookmarkStart w:id="203" w:name="_Toc75"/>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تعرّض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ضابط الحكومة في أكثر من موردٍ في فرائده</w:t>
      </w:r>
      <w:r>
        <w:rPr>
          <w:rStyle w:val="FootnoteAnchor"/>
          <w:rtl w:val="true"/>
        </w:rPr>
        <w:footnoteReference w:id="294"/>
      </w:r>
      <w:r>
        <w:rPr>
          <w:rFonts w:ascii="Amiri" w:hAnsi="Amiri" w:eastAsia="Amiri" w:cs="Amiri"/>
          <w:color w:val="111111"/>
          <w:sz w:val="28"/>
          <w:sz w:val="28"/>
          <w:szCs w:val="28"/>
          <w:rtl w:val="true"/>
          <w:lang w:bidi="ar-SA"/>
        </w:rPr>
        <w:t>، ولمّا كان كلامه غير خالٍ عن الإجمال سعى المتأخّرون عنه لتوجيهه أو المناقشة في ما فهموه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وبوضوح ضابط الحكومة، ومختلف شؤونها التي سنتعرض لها في محالّها، وقد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ضابط الحكومة</w:t>
      </w:r>
      <w:r>
        <w:rPr>
          <w:rStyle w:val="FootnoteAnchor"/>
          <w:rtl w:val="true"/>
        </w:rPr>
        <w:footnoteReference w:id="295"/>
      </w:r>
      <w:r>
        <w:rPr>
          <w:rFonts w:ascii="Amiri" w:hAnsi="Amiri" w:eastAsia="Amiri" w:cs="Amiri"/>
          <w:color w:val="111111"/>
          <w:sz w:val="28"/>
          <w:sz w:val="28"/>
          <w:szCs w:val="28"/>
          <w:rtl w:val="true"/>
          <w:lang w:bidi="ar-SA"/>
        </w:rPr>
        <w:t>بأنّه نظر أحد الدليلين بمدلوله اللفظي إلى الدليل الآخر، بأن يكون مبيّناً ومفسّراً له وكاشفاً للمراد منه</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النظر هو ميزان القرينيّة في الحكومة، وهي تدور مداره وجوداً وعدماً؛ ولذا كان هو الخصوصيّة الجديرة بتحديد الحكومة 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وافقه على الضابط المذكور معظم مَن تأخّر عنه، في حين خالف بعضُ الأعلام في مساوقة الحكومة للنظر، وكونه المحدِّد والضابط لها، فمنهم من اعتبر الحكومة أعمّ </w:t>
      </w:r>
      <w:bookmarkStart w:id="204" w:name="pg10921_145238"/>
    </w:p>
    <w:p>
      <w:pPr>
        <w:pStyle w:val="BookText"/>
        <w:rPr/>
      </w:pPr>
      <w:bookmarkEnd w:id="204"/>
      <w:r>
        <w:rPr>
          <w:rFonts w:ascii="Amiri" w:hAnsi="Amiri" w:eastAsia="Amiri" w:cs="Amiri"/>
          <w:color w:val="111111"/>
          <w:sz w:val="28"/>
          <w:sz w:val="28"/>
          <w:szCs w:val="28"/>
          <w:rtl w:val="true"/>
          <w:lang w:bidi="ar-SA"/>
        </w:rPr>
        <w:t xml:space="preserve">من النظر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 ومنهم من اعتبرها أخصّ منه كبعض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لم يذكر النظر في تحديده لضابط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كلمتان</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127398_2870459653"/>
      <w:bookmarkStart w:id="206" w:name="_Toc76"/>
      <w:bookmarkEnd w:id="205"/>
      <w:r>
        <w:rPr>
          <w:rtl w:val="true"/>
        </w:rPr>
        <w:t>الكلمة الأولى</w:t>
      </w:r>
      <w:bookmarkEnd w:id="206"/>
    </w:p>
    <w:p>
      <w:pPr>
        <w:pStyle w:val="Heading5"/>
        <w:numPr>
          <w:ilvl w:val="4"/>
          <w:numId w:val="1"/>
        </w:numPr>
        <w:rPr/>
      </w:pPr>
      <w:bookmarkStart w:id="207" w:name="__RefHeading___Toc3127400_2870459653"/>
      <w:bookmarkStart w:id="208" w:name="_Toc77"/>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حدّد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ضابط الحكومة بأنّه تصرّف أحد الدليلين بمدلوله المطابقي في عقد وضع الدليل الآخر أو عقد حمله، ولم يذكر النظر في مقام التحديد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مراده احتمالان</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127402_2870459653"/>
      <w:bookmarkStart w:id="210" w:name="_Toc78"/>
      <w:bookmarkEnd w:id="209"/>
      <w:r>
        <w:rPr>
          <w:rtl w:val="true"/>
        </w:rPr>
        <w:t>الاحتمال الأول</w:t>
      </w:r>
      <w:bookmarkEnd w:id="2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الحكومة تدور مدار النظر وجوداً وعدماً، وأنّه هو الميزان لقرينيّتها، ولكنّه ليس اللائق بتحديدها، وهذا يناسب تعليقات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فوائد الأُصول</w:t>
      </w:r>
      <w:r>
        <w:rPr>
          <w:rStyle w:val="FootnoteAnchor"/>
          <w:rtl w:val="true"/>
        </w:rPr>
        <w:footnoteReference w:id="300"/>
      </w:r>
      <w:r>
        <w:rPr>
          <w:rFonts w:ascii="Amiri" w:hAnsi="Amiri" w:eastAsia="Amiri" w:cs="Amiri"/>
          <w:color w:val="111111"/>
          <w:sz w:val="28"/>
          <w:sz w:val="28"/>
          <w:szCs w:val="28"/>
          <w:rtl w:val="true"/>
          <w:lang w:bidi="ar-SA"/>
        </w:rPr>
        <w:t>حيث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يغلّطه، وكذلك يناسب فهم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الحكومة من أنّها عبارة عن تصرّف الدليل في عقد وضع الدليل الآخر أو عقد حمله فهو لا يصلح للضابطيّة؛ لأنّه ليس تفسيراً لها، بل بياناً لموردها ومحقّقها وواقعها، فإنّها كون الدليل ناظراً إلى الدليل الآخر بمدلوله اللفظي </w:t>
      </w:r>
      <w:bookmarkStart w:id="211" w:name="pg10921_145239"/>
    </w:p>
    <w:p>
      <w:pPr>
        <w:pStyle w:val="BookText"/>
        <w:rPr/>
      </w:pPr>
      <w:bookmarkEnd w:id="211"/>
      <w:r>
        <w:rPr>
          <w:rFonts w:ascii="IRNazanin" w:hAnsi="IRNazanin" w:eastAsia="IRNazanin"/>
          <w:color w:val="111111"/>
          <w:sz w:val="28"/>
          <w:sz w:val="28"/>
          <w:szCs w:val="28"/>
          <w:rtl w:val="true"/>
          <w:lang w:bidi="fa-IR"/>
        </w:rPr>
        <w:t>والتصرّف من موجباته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3127404_2870459653"/>
      <w:bookmarkStart w:id="213" w:name="_Toc79"/>
      <w:bookmarkEnd w:id="212"/>
      <w:r>
        <w:rPr>
          <w:rtl w:val="true"/>
        </w:rPr>
        <w:t>الاحتمال الآخر</w:t>
      </w:r>
      <w:bookmarkEnd w:id="213"/>
    </w:p>
    <w:p>
      <w:pPr>
        <w:pStyle w:val="BookText"/>
        <w:rPr/>
      </w:pPr>
      <w:r>
        <w:rPr>
          <w:rFonts w:ascii="Amiri" w:hAnsi="Amiri" w:eastAsia="Amiri" w:cs="Amiri"/>
          <w:color w:val="111111"/>
          <w:sz w:val="28"/>
          <w:sz w:val="28"/>
          <w:szCs w:val="28"/>
          <w:rtl w:val="true"/>
          <w:lang w:bidi="ar-SA"/>
        </w:rPr>
        <w:t xml:space="preserve">أنّ التصرّف المذكور هو ضابط الحكومة وإن لم يكن نظر، وهذا يناسب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حيث قسّم الحكومة إلى ما يكون بملاك النظر، وإلى ما يكون بملاك التصرّف في عقد الوضع، كحكومة الأمارات على الأُصول العمليّة الشرعيّة، وقد صرّح بأنّ القسم الثاني هذا لا نظر فيه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كلا الاحتمالين، حيث يظهر من بعضها إرادة الاحتمال الأوّل، وأنّ السرَّ في عدوله عن اعتماد النظر كضابطة للحكومة إلى التصرّف المذكور ما ذكره في غير موضع</w:t>
      </w:r>
      <w:r>
        <w:rPr>
          <w:rStyle w:val="FootnoteAnchor"/>
          <w:rtl w:val="true"/>
        </w:rPr>
        <w:footnoteReference w:id="304"/>
      </w:r>
      <w:r>
        <w:rPr>
          <w:rFonts w:ascii="Amiri" w:hAnsi="Amiri" w:eastAsia="Amiri" w:cs="Amiri"/>
          <w:color w:val="111111"/>
          <w:sz w:val="28"/>
          <w:sz w:val="28"/>
          <w:szCs w:val="28"/>
          <w:rtl w:val="true"/>
          <w:lang w:bidi="ar-SA"/>
        </w:rPr>
        <w:t xml:space="preserve">من أنّ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يعني التفسير والشرح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انحصار الحكومة بما إذا كان الحاكم مفسِّراً للمحكوم بواحدة من أدوات التفسير الصريحة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وبمثل قرائن المجاز، حيث إنّ القرينة تفسّر المراد من لفظ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يوهم انحصار الحكومة بما إذا كان الحاكم ناظراً لدلالة الدليل المحكوم، دونما إذا كان ناظراً إلى الحكم الواقعي بما هو واقع وبقطع النظر عن كونه مدلولاً للدليل المحكوم كما هو الحال في التخصيص، وسيأتي بيانه في الفصل المعقود لبحث شؤون النظر، هذا ما يناسب الاحتمال الأول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يناسب الاحتمال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 على حكومة الأمارت على الأُصول </w:t>
      </w:r>
    </w:p>
    <w:p>
      <w:pPr>
        <w:pStyle w:val="BookText"/>
        <w:rPr/>
      </w:pPr>
      <w:r>
        <w:rPr>
          <w:rFonts w:ascii="Amiri" w:hAnsi="Amiri" w:eastAsia="Amiri" w:cs="Amiri"/>
          <w:color w:val="111111"/>
          <w:sz w:val="28"/>
          <w:sz w:val="28"/>
          <w:szCs w:val="28"/>
          <w:rtl w:val="true"/>
          <w:lang w:bidi="ar-SA"/>
        </w:rPr>
        <w:t>العمليّة الشرعيّة من جهة، وبناؤه من جهة أُخرى على أنّ المجعول في باب الأمارات ومفاد أدلّة حجيّتها هو الطريقيّة والكاشفيّة بلا أيّ تنزيلٍ</w:t>
      </w:r>
      <w:r>
        <w:rPr>
          <w:rStyle w:val="FootnoteAnchor"/>
          <w:rtl w:val="true"/>
        </w:rPr>
        <w:footnoteReference w:id="305"/>
      </w:r>
      <w:r>
        <w:rPr>
          <w:rFonts w:ascii="Amiri" w:hAnsi="Amiri" w:eastAsia="Amiri" w:cs="Amiri"/>
          <w:color w:val="111111"/>
          <w:sz w:val="28"/>
          <w:sz w:val="28"/>
          <w:szCs w:val="28"/>
          <w:rtl w:val="true"/>
          <w:lang w:bidi="ar-SA"/>
        </w:rPr>
        <w:t>، فهو يرى أنّ اعتبار الأمارة علماً من قبيل الاعتبار المتأصّل لا الاعتبار التنزيليّ</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لا نكتة في الأمارات تفيد نظراً إلى عقد وضع أدلة الأُصول العمليّة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تأمّل جملة من الأعلام</w:t>
      </w:r>
      <w:r>
        <w:rPr>
          <w:rStyle w:val="FootnoteAnchor"/>
          <w:rtl w:val="true"/>
        </w:rPr>
        <w:footnoteReference w:id="307"/>
      </w:r>
      <w:r>
        <w:rPr>
          <w:rFonts w:ascii="Amiri" w:hAnsi="Amiri" w:eastAsia="Amiri" w:cs="Amiri"/>
          <w:color w:val="111111"/>
          <w:sz w:val="28"/>
          <w:sz w:val="28"/>
          <w:szCs w:val="28"/>
          <w:rtl w:val="true"/>
          <w:lang w:bidi="ar-SA"/>
        </w:rPr>
        <w:t>في ثبوت الحكومة على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المهمّ في المقام هو أنّه على الاحتمال الثاني يكون عندنا ميزان ثالث للقرينيّة يوفَّق على أساسه بين الأدلّة المتنافية، وهو التصرّف التعبّديّ لأحد الدليلين في عقد وضع الدليل الآخر وإن لم يكن نظرٌ ولا أقوائيّة في الظهور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يُناقش في زيادة التصرّف التعبّدي كميزان برأسه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المذكور مستفاد إمّا من نفس الدليل المتصرّف أو من غيره، وهذا الغير ليس إلّا العقل</w:t>
      </w:r>
      <w:r>
        <w:rPr>
          <w:rStyle w:val="FootnoteAnchor"/>
          <w:rtl w:val="true"/>
        </w:rPr>
        <w:footnoteReference w:id="308"/>
      </w:r>
      <w:r>
        <w:rPr>
          <w:rFonts w:ascii="Amiri" w:hAnsi="Amiri" w:eastAsia="Amiri" w:cs="Amiri"/>
          <w:color w:val="111111"/>
          <w:sz w:val="28"/>
          <w:sz w:val="28"/>
          <w:szCs w:val="28"/>
          <w:rtl w:val="true"/>
          <w:lang w:bidi="ar-SA"/>
        </w:rPr>
        <w:t>، والثاني يمثّل الجمع العرفي، والأوّل ينبغي أن يكون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ما ذُكِر لا يُبيِّن المساوقة بين كون التصرّف التعبّديّ مستفاداً من نفس الدليل المتصرِّف وبين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اعتباريّاً بلا نظر أو أقوائيّة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حكيناه قريباً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تصرّف اعتباريّ بلا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كتصرّف أدلّة الأمارات في أدلّة الأُصول العمليّة الشرعيّة والذي يُناسب بعض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يُناقش فيه بما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العلم المأخوذ عدمه في موضوع الأصل الأعم من العلم التكويني والعلم التعبّدي، فالدليل الذي جعل الأمارة علماً يكون وارداً على دليل الأصل لا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أنّه خصوص العلم الوجداني الذي هو المعنى الحقيقي للعلم، فإن كان دليل جعل الأمارة علماً تعبّداً إنّما يجعل ذلك استطراقاً إلى ترتيب ما رُتِّب في دليل الأصل على العلم من الأثر العلميّ، أصبح ناظراً إلى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وإنّما دلّ على مجرّد فرض غير العلم واعتباره علماً، فهذا لا أثر له، ولا تثبت به آثار العلم لا بالدليل المحكوم؛ لأنّ المفروض فيه العلم الوجدانيّ لا التعبّديّ، ولا بالدليل الحاكم؛ لأنّه لم يدلّ على ترتيب أثر شرعيّ، وإنّما غايته أنّه اعتبر ما ليس بعلمٍ علماً، ولا قيمة لهذا الاعتبار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فرضاً آخر</w:t>
      </w:r>
      <w:r>
        <w:rPr>
          <w:rStyle w:val="FootnoteAnchor"/>
          <w:rtl w:val="true"/>
        </w:rPr>
        <w:footnoteReference w:id="310"/>
      </w:r>
      <w:r>
        <w:rPr>
          <w:rFonts w:ascii="Amiri" w:hAnsi="Amiri" w:eastAsia="Amiri" w:cs="Amiri"/>
          <w:color w:val="111111"/>
          <w:sz w:val="28"/>
          <w:sz w:val="28"/>
          <w:szCs w:val="28"/>
          <w:rtl w:val="true"/>
          <w:lang w:bidi="ar-SA"/>
        </w:rPr>
        <w:t>ليس واضحاً إرادته ممّا ذُكر،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جعل الأمارة علماً على سبيل الاعتبار المتأصّل لا الاعتبار التنزيليّ، وذلك بملاحظة أنّ للعلم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تكوينيّ، والآخر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أمضى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رئيس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الاعتباريّ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فسّرنا عدم العلم المأخوذ في موضوع الأصل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ما </w:t>
      </w:r>
    </w:p>
    <w:p>
      <w:pPr>
        <w:pStyle w:val="BookText"/>
        <w:rPr/>
      </w:pP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العلم التكوينيّ، وقامت أمارة على الحرمة، فإنّ هذه الحالة تخرج عن حدود الأصل بنحو الحكومة؛ لأنّ العقلاء يرون أنفسهم عالمين علماً قانونيّاً، فلا يجدون أنفسهم مشمولين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تفسير العلم بالعلم التكوينيّ، ولا يمكن اعتبار ذلك من قبيل الورود على انتفاء الموضوع في الدليل المورود وجداناً بمؤونة التعبّد، وعدم العلم التكوينيّ الموضوع في دليل الأصل حسب الفرض لا ينتفي وجداناً بوجود علم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موضوع الأصل الأعم من العلم التكوينيّ والعلم الاعتباريّ لكان تقدّم الأمارة بنحو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ما أُفيد مبنيٌّ على انحصار الخروج في المثال بين الحكومة أو الورود، ولمّا لم يكن على نحو الورود كان على سبيل 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قد لا يكون ورودٌ ولا حكومةٌ؛ إذ لم يقم دليل على أنّ الرفع الاعتباريّ إذا لم يكن من قبيل الجمع العرفي كان على نحو الحكومة، بل حتّى على رأي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كانت أدلة حجّيّة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كونها على نحو الاعتبار المتأصّل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مسالمة لأدلّة الأُصول العمليّة إلّا أنّه لا نظر فيها إليها، فكيف كان التقديم على نحو 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إنّما هو لأجل وجود العناية في الاعتبار الأدبيّ التي هي مقارنة للتنزيل ونحوه، فإذا زالت العناية في الاعتبار المتأصّل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يزول النظر إلى دليلٍ أو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المتأصّل أيضاً يتوفّر على النظر من جهة أنّه اعتبار، ولكي لا يكون مجرّد فرض لا تترتّب عليه الآثار التي كانت ببركة العناية فلا بدّ من وجود تلك الآثار بنحو أو بآخر، وقد ذُكرت لذلك فرضيّتان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تلك الآثار مندمجة في مضمون المعنى المعتبر على سبيل الاعتبار </w:t>
      </w:r>
      <w:bookmarkStart w:id="214" w:name="pg10921_145243"/>
    </w:p>
    <w:p>
      <w:pPr>
        <w:pStyle w:val="BookText"/>
        <w:rPr/>
      </w:pPr>
      <w:bookmarkEnd w:id="214"/>
      <w:r>
        <w:rPr>
          <w:rFonts w:ascii="Amiri" w:hAnsi="Amiri" w:eastAsia="Amiri" w:cs="Amiri"/>
          <w:color w:val="111111"/>
          <w:sz w:val="28"/>
          <w:sz w:val="28"/>
          <w:szCs w:val="28"/>
          <w:rtl w:val="true"/>
          <w:lang w:bidi="ar-SA"/>
        </w:rPr>
        <w:t>المتأصّل، فإذا كانت الآثار مندمجة في المعنى المعتبر فهو ناظرٌ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بالاعتبار المتأصّل يتوفّر المعنى المعتبر على شأنيّة الاتّصاف بتلك الآثار، بحيث تكون نسبة المعنى المعتبر إلى تلك الآثار نسبة الموضوع إلى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الفرضيّة أيضاً يكون النظر حاصلاً ببركة الشأنيّة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يحتاج إلى مزيد بحث ونظر؛ من جهة التأمّل في أنّ النظر المذكور إنّما هو من قبيل النظر الحكومي</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127406_2870459653"/>
      <w:bookmarkStart w:id="216" w:name="_Toc80"/>
      <w:bookmarkEnd w:id="215"/>
      <w:r>
        <w:rPr>
          <w:rtl w:val="true"/>
        </w:rPr>
        <w:t>الكلمة الثانية</w:t>
      </w:r>
      <w:bookmarkEnd w:id="216"/>
    </w:p>
    <w:p>
      <w:pPr>
        <w:pStyle w:val="Heading5"/>
        <w:numPr>
          <w:ilvl w:val="4"/>
          <w:numId w:val="1"/>
        </w:numPr>
        <w:rPr/>
      </w:pPr>
      <w:bookmarkStart w:id="217" w:name="__RefHeading___Toc3127408_2870459653"/>
      <w:bookmarkStart w:id="218" w:name="_Toc81"/>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 xml:space="preserve">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من أنّ ميزان القرينيّة في الحكومة وإن كان هو النظر إلّا أنّه لا يعكس هويّتها، فإنّ الحكومة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لسان الدليل الحاكم لسان المسالمة والملاءمة مع الدليل المحكوم وليس لسان المعارضة معه، ففي الحكومة على نحو التضييق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الدليل الحاكم على أنّه بيان لحدود موضوع الدليل المحكوم، وأنّ مورده ليس من أفراد موضوع المحكوم، فيكون انتفاء الحكم في مورده انتفاءً طبيعيّاً باعتبار عدم تحقّق موضوعه، فهذا اللسان يتضمّن نحواً من الالتواء وعدم الصراحة في أداء المعنى، بخلاف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الخاصّ إنّما ينفي ما يثبته العامّ أو يثبت ما ينفيه العامّ بلسانٍ معارض معه؛ لأنّه لا يكون عن طريق الموضوع وإنّما مباشرةً باتجاه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هذه حقيقة الحكومة فإنّها لا تتحقّق فيما لو كان الدليل ناظراً إلى عقد حمل الدليل الآخر؛ لوضوح أنّ هذا النحو من النظر إنّما يكون بلسان المعارضة لا 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الحكومة أخصّ من النظر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أنّ حقيقة الحكومة ليس إلّا لسان المسالمة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النظر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يفضي إلى عدم عدّ ما يعرف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بملاك النظر إلى عقد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أقسامها، وهذا يستدعي إثبات أنّ حقيقة الحكومة هي اللسان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إثبات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لكلّ بابٍ في أيِّ علمٍ مورداً متيقّناً له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أساساً في تحليل ذلك الباب ومأخذاً لملاكه وتحديده، ومن ثَمَّ أيُّ فرضيّة تُطرح لتحليل أيِّ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تماميّتها 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شملت المورد المتيقّن للباب فلا ضير بعد ذلك في شمولها لموارد أُخرى وعدم شمولها، وإلّا لم يكن تحليلاً لذلك الباب، وإنّما يكون تحليلاً لظاهرة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باب الحكومة هو التنزيل فلا يصحّ أيُّ تحليل للحكومة إلّا إذا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والمدّعى في المقام أنّ التحديد المشهور للحكومة بأنّها نظرُ أحد الدليلين إلى الدليل الآخر لا يمكنه أن يشمل التنزيل؛ وذلك لأنّ التنزيل كناية واعتبار أدبيّ يختلف فيه العنصر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العنصر الشكليّ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الاستعماليّ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تتوقّف صحّته على وجدانه لمصحّح لغويّ وآخر بلاغيّ، وكلاهما لا يقتضيان نظر التنزيل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المصحّح اللغويّ للسان التنزيل فليس هو إلّا التناسب بين العنصرين المعنوي والشكلي، وهو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العلائق المصحّحة للتجوّز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كلّما عُبّر عن معنى خاصّ بعنصر شكليّ يختلف عنه، فإنّه لا بدّ من تسانخ وتناسب بين الأمرين ليصحّ بذلك التعبير عن المعنى المراد بالشكل الخاصّ، وإلّا لا يصحّ استعمال اللفظ في التعبير عن المراد لغةً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هذا المصحّح لا يقتضي النظر إلى دليل آخر، وإنّما أقصى ما يقتضيه </w:t>
      </w:r>
      <w:bookmarkStart w:id="219" w:name="pg10921_145245"/>
    </w:p>
    <w:p>
      <w:pPr>
        <w:pStyle w:val="BookText"/>
        <w:rPr/>
      </w:pPr>
      <w:bookmarkEnd w:id="219"/>
      <w:r>
        <w:rPr>
          <w:rFonts w:ascii="Amiri" w:hAnsi="Amiri" w:eastAsia="Amiri" w:cs="Amiri"/>
          <w:color w:val="111111"/>
          <w:sz w:val="28"/>
          <w:sz w:val="28"/>
          <w:szCs w:val="28"/>
          <w:rtl w:val="true"/>
          <w:lang w:bidi="ar-SA"/>
        </w:rPr>
        <w:t>أنّه يحقّق التسانخ بين المرادين الجديّ والاستعماليّ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المصحّح البلاغيّ للّسان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بوجه العدول عن التعبير الصريح إلى التنزيل والاعتبار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اقتضى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 يكون ميزان القرينيّة في الحكومة هو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إلى دليل آخر، وتوضيح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البلاغة تقتضي اختيار المتكلّم للأُسلوب الصريح في مرحلة أداء المعنى؛ لأنّه أُسلوب طبيعيّ وواضح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فالعدول عنه إلى أُسلوب الكناية والتنزيل لا بدّ أن يكون مبنيّاً على مصحّح بلاغيّ من مراعاة جهةٍ تتوفّر في هذا الأُسلوب دون الأُسلوب المباشر الصريح، وبما أنّ أُسلوب التنزيل أُسلوب أدبيّ فهو يخضع للنكتة العامّة في الاعتبارات الأدبيّة، والتي هي التصرّف بمشاعر المخاطبين وعواطفهم وأحاسيسهم، من خلال اختيار أسهل طرق التعبير وأحسنها وأوفاها؛ ليصل المتكلّم إلى مقاصده بصورة لا تجرح ولا تمسّ تلك العواطف والأحاسيس، بل ليستفيد منها في الوصول إلى مقاصده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النكتة العامّة والمصحّح البلاغيّ في اختيار التجوّز والاعتبار الأدبيّ على الأُسلوب الصريح، وبدونها لا يصحّ بلاغةً وإن صحّ لغةً بعد توفّره على المصحّح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العموم، وأمّا النكتة الموجبة لاختيار أُسلوب التنزيل من قبل الشارع في مقام بيان تحديد الحكم فهي ترتكز على أمرين</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127410_2870459653"/>
      <w:bookmarkStart w:id="221" w:name="_Toc82"/>
      <w:bookmarkEnd w:id="220"/>
      <w:r>
        <w:rPr>
          <w:rtl w:val="true"/>
        </w:rPr>
        <w:t>الأمر الأوّل</w:t>
      </w:r>
      <w:bookmarkEnd w:id="22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هذا الأُسلوب عن الأُسلوب الصريح في نوع إثارة المعنى، ويظهر ذلك فيما لو استخدمنا هذين الأُسلوبين في مقابل فكرة عامّة مخالفة لمحتواهما، فالأُسلوب الصريح يكون جارحاً لتلك الفكرة معارضاً لها؛ لأنّه يعرّض المعنى </w:t>
      </w:r>
      <w:bookmarkStart w:id="222" w:name="pg10921_145246"/>
    </w:p>
    <w:p>
      <w:pPr>
        <w:pStyle w:val="BookText"/>
        <w:rPr/>
      </w:pPr>
      <w:bookmarkEnd w:id="222"/>
      <w:r>
        <w:rPr>
          <w:rFonts w:ascii="Amiri" w:hAnsi="Amiri" w:eastAsia="Amiri" w:cs="Amiri"/>
          <w:color w:val="111111"/>
          <w:sz w:val="28"/>
          <w:sz w:val="28"/>
          <w:szCs w:val="28"/>
          <w:rtl w:val="true"/>
          <w:lang w:bidi="ar-SA"/>
        </w:rPr>
        <w:t xml:space="preserve">المخالف لها على ما هو عليه، وإذا كان المخاطب مقتنعاً بتلك الفكرة المخالفة وكان الترابط بين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المعبِّرين عن تلك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وثيقاً في ذهنه فإنّ مواجهته بهذا الأُسلوب يثير إحساسه ضدّ مؤدّى الكلام، فيوجب إنكاره أو استنكاره له، من جهة كون ذلك مجابهةً واضحةً مع ما ارتكز في ذهنه من الارتباط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أُسلوب الكناية والتنزيل فهو يثير المعنى بنحو لا يمسّ اعتقاد المخاطب ومشاعره؛ لأنّ مظهره مظهر المسالمة والاعتراف بتلك الفكرة؛ حيث إنّه ينفيها بنفي موضوعها، فيكون انتفاءً طبيعيّاً، فيخيّل للمخاطب أنّه لا يعارض اعتقاده بثبوت الحكم للموضوع بنحو عامّ، بل يُقرّه عليه ويعترف له به، حتى كأنّه لو كان الموضوع متحقّقاً في المورد لثبت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المعنى أوقع في نفس المخاطب، وأقرب إلى إذعانه وقبوله بخلاف الأُسلوب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اختلاف هذين الأُسلوبين في نوع التأثير الإحساسيّ</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127412_2870459653"/>
      <w:bookmarkStart w:id="224" w:name="_Toc83"/>
      <w:bookmarkEnd w:id="223"/>
      <w:r>
        <w:rPr>
          <w:rtl w:val="true"/>
        </w:rPr>
        <w:t>الأمر الآخر</w:t>
      </w:r>
      <w:bookmarkEnd w:id="224"/>
    </w:p>
    <w:p>
      <w:pPr>
        <w:pStyle w:val="BookText"/>
        <w:rPr/>
      </w:pPr>
      <w:r>
        <w:rPr>
          <w:rFonts w:ascii="Amiri" w:hAnsi="Amiri" w:eastAsia="Amiri" w:cs="Amiri"/>
          <w:color w:val="111111"/>
          <w:sz w:val="28"/>
          <w:sz w:val="28"/>
          <w:szCs w:val="28"/>
          <w:rtl w:val="true"/>
          <w:lang w:bidi="ar-SA"/>
        </w:rPr>
        <w:t>اختلاف المواضيع التشريعيّة التي يتعرّض لها الدليل الحاكم أو المخصّص في ارتكاز فكرةٍ مخالفة لمؤدّاه في ذهن المخاطب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المخاطب بالدليل خالي الذهن عن أيّ فكرة عامّة مقابلة، أو يكون له فكرة مقابلة إلّا أنّها غير مرتكزة في ذهنه، فتزول بمجرّد اطّلاعه عليها، ففي هذه الحالة لا مصحّح بلاغيّ للتعبير بلسان المسالمة حتى وإن كان هناك عموم أو إطلاق على خلاف مؤدّى الدليل، بل المناسب التعبير الصريح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المخاطب بالدليل ذا ارتكازٍ</w:t>
      </w:r>
      <w:r>
        <w:rPr>
          <w:rStyle w:val="FootnoteAnchor"/>
          <w:rtl w:val="true"/>
        </w:rPr>
        <w:footnoteReference w:id="312"/>
      </w:r>
      <w:r>
        <w:rPr>
          <w:rFonts w:ascii="Amiri" w:hAnsi="Amiri" w:eastAsia="Amiri" w:cs="Amiri"/>
          <w:color w:val="111111"/>
          <w:sz w:val="28"/>
          <w:sz w:val="28"/>
          <w:szCs w:val="28"/>
          <w:rtl w:val="true"/>
          <w:lang w:bidi="ar-SA"/>
        </w:rPr>
        <w:t xml:space="preserve">ذهني في الموضوع على خلاف مؤدّى </w:t>
      </w:r>
    </w:p>
    <w:p>
      <w:pPr>
        <w:pStyle w:val="BookText"/>
        <w:rPr/>
      </w:pPr>
      <w:r>
        <w:rPr>
          <w:rFonts w:ascii="Amiri" w:hAnsi="Amiri" w:eastAsia="Amiri" w:cs="Amiri"/>
          <w:color w:val="111111"/>
          <w:sz w:val="28"/>
          <w:sz w:val="28"/>
          <w:szCs w:val="28"/>
          <w:rtl w:val="true"/>
          <w:lang w:bidi="ar-SA"/>
        </w:rPr>
        <w:t>الدليل، وفي هذه الحالة يعدل المتكلّم البليغ عن النفي الصريح للحكم إلى لسان النفي غير المباشر تجنّباً عن إثارة مشاعر المخاطب وأحاسيسه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أنّ للتنزيل خصوصيّتين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التنزيل يمثّل أُسلوباً وطريقة مسالمة في أداء المعنى، ولمّا كانت الحكومة والتخصيص بمعنى واحد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الحاكم مخصّص للمحكوم ومبيّن أنّ المراد الاستعماليّ أوسع من المراد الجديّ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التوجّه في مقام تحديد الحكومة إلى الخصوصيّة الإثباتيّة التي تمتاز بها الحكومة عن التخصيص، ولحسن الحظ كان التنزيل متوفّراً على خاصيّتين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كونه أُسلوباً مسالماً، وخاصّيّة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التحديد المشهور للحكومة كانت الخاصّيّة المرشّحة للتمييز والتفريق هي خاصّيّة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يرى أنّ الخاصّيّة الجديرة بتحديد الحكومة هي طريقة أداء المعنى، بمعنى كونه أُسلوباً مسالماً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ويترتب على تحديد الحكومة بكونها أُسلوباً مسالماً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صحّة التحديد المذكور حيث يشمل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يعرف بالحكومة بملاك النظر إلى عقد الحمل منها، فتكون الحكومة أخصّ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يقتضي النظر، ولكن إلى ارتكازٍ ذهنيٍّ على خلافه، لا إلى دليل آخر من عموم أو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ردّ الارتكاز يستبطن نفي ما يكون حجّة عليه بما في ذلك العموم والإطلاق فيما إذا كان المتكلّم مطّلعاً عليه، فيكون تحديد ذلك ملحوظاً بنحو غير مباشرٍ في لسان التنزيل، إلّا أنّ هذا اللّحاظ غير المباشر ليس هو المصحّح لأُسلوب التنزيل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الخصوصيّة يتّضح أنّ التحديد المعروف للحكومة ليس بتامّ؛ إذ لا يوجد في </w:t>
      </w:r>
    </w:p>
    <w:p>
      <w:pPr>
        <w:pStyle w:val="BookText"/>
        <w:rPr/>
      </w:pPr>
      <w:r>
        <w:rPr>
          <w:rFonts w:ascii="Amiri" w:hAnsi="Amiri" w:eastAsia="Amiri" w:cs="Amiri"/>
          <w:color w:val="111111"/>
          <w:sz w:val="28"/>
          <w:sz w:val="28"/>
          <w:szCs w:val="28"/>
          <w:rtl w:val="true"/>
          <w:lang w:bidi="ar-SA"/>
        </w:rPr>
        <w:t>التنزيل الممثِّل للحكومة ما يقتضي النظر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ويتراءى في نظري القاصر تجاه ما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المأخوذ في التحديد المعروف للحكومة لم يعتبر على سبيل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المسالمة وعدم وجود ارتكازٍ مخالفٍ،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تجاههما، فما أُفيد من أنّ التحديد المعروف للحكومة لا يشمل التنزيل لا يمكن المساعدة عليه؛ إذ إنّه أعمّ من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تكون النسبة بين التحديد المشهور للحكومة والارتكاز هي العموم من وجه فيما إذا كان ارتكازاً لا يعلم المتكلّم دليله، أو لا دليل عليه أصلاً، فهنا يصحّ التنزيل ولا تصحّ الحكومة على التحديد المعروف لها؛ إذ سيكون النظر إلى ارتكازٍ لا إلى دليلٍ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مثله نادر التحقّق فلا يضرّ في التحديد، وقد 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حيث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تقدّم منّا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النكتة العامّة لأُسلوب الحكومة، ولكن هذه النكتة إنّما هي فيما كان مصبُّ النفي أو الإثبات فيها نفس الحكم أو ما يرتبط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حيث يكون مصبُّ ذلك أمراً خارجيّاً مسبّباً عن الحكم كالحرج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تتأتّى فيه هذه النكتة كما هو واضح</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موارد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خلاف بين الأعلام، بل لعلّ البعض توهّم حصر الحكومة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الحاكم مشتملاً على واحدة من أدوات التفسير صراحةً أو إشارةً، ولا يخفى أنّ اندراجها في الحكومة وصحّتها غير متوقّفة على وجود ارتكازٍ مخالفٍ، فعلى ما ذكر لا تكون من موارد الحكومة أصلاً، وكذلك يتأتّى فيها النظر إلى عقد الحمل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الحكومة بملاك النظر إلى عقد الحمل بحسب التحديد المعروف تكون تخصيصاً بحسب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وعندئذٍ ينبغي أن يكون ميزان التقديم فيه هو الأقوائيّة في الظهور، والحال أنّ المفسِّر يُقدّم على المفسَّر وإن كان أضعف ظهوراً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حيثيّة التفسير تعطيه أقوائيّة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نجده في أنفسنا وبحسب مرتكزاتنا العرفيّة أنّه يقدّم المفسِّر والمحدِّد من دون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الأقوائيّة في الظهور، ومن دون التشكيك في التقديم، كما قد يحصل في بعض موارد الجمع العرفي حتّى الواضحة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على ما أُفيد يكون التقديم في ما يعرف بالحكومة بملاك النظر إلى عقد الحمل بميزان ثالث كما ذكرنا مثله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الدليل الآخر يساوق النظر إلى الارتكاز المذكور، وذلك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إلى الدليل الآخر على التحديد المعروف للحكومة يراد به النظر إلى الأحكام المعبِّر عنها الدليل، فهو وصف بحال المتعلّق، لا أنّ النظر إلى ذات الدليل الآخر، ويشهد على ذلك أنّ من أقسام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الدليل الحاكم ناظراً إلى الحكم الواقعي بما هو واقع وبقطع النظر عن كونه مدلولاً للدليل كما هو الحال في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مقصود الأعلام في التحديد المعروف إنّما هو نظر أحد الدليلين إلى الحكم المُفاد بالدليل الآخر من جهة كونه مُفاداً به، أو بقطع النظر عن ذلك، ويراد بالحكم ما يعمّ مُفاد الهيئة والمادة والموضوع لا ما يختصّ بأوّلها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 يمثّل كيفيّة العلاقة بين أجزاء الحكم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ذلك يكون النظر إلى الدليل الآخر نظراً إلى الحكم المُفاد بالدليل وكيفيّته، والذي هو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وإن كان كما أُفيد إلّا أنّه أصبح تدريجاً من الأساليب المعبِّرة عن القانون والتشريع، ويستفاد منه في أغراض متعدّدة قد يكون بعضها غير متوفّر على الارتكاز المصحّح للتنزيل الأدبيّ أصلاً، فمثلاً إذا كان لموضوعٍ عدّة أحكامٍ، ويريد المشرّع نفيها عن أحد أفراد ذلك الموضوع فإنّه يمكن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الثابتة لذلك الموضوع غير ثابتة لذاك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يمكن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ذاك الفرد في نظري ليس من أفراد ذلك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مع أنّه أليق بصياغة القانون كذلك يدفع استغراباً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كيف أنّ ذاك الفرد من أفراد الموضوع ومع ذلك لا تثبت له أحكامه؟ وذلك باعتبار أنّه ليس من أفراده بنظره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تكون جميعها تامّة، بل بعضها يمكن المناقشة فيه بطريقةٍ أو بأُخرى، ولكن لا يبعد أنّها بمجموعها تفيد الاطمئنان بأنّ التحديد المعروف للحكومة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مناطها النظر في أحد الدليلين إلى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الراجح، ومنه تعالى الهداية والصواب</w:t>
      </w:r>
      <w:r>
        <w:rPr>
          <w:rFonts w:eastAsia="Amiri" w:cs="Amiri" w:ascii="Amiri" w:hAnsi="Amiri"/>
          <w:color w:val="111111"/>
          <w:sz w:val="28"/>
          <w:szCs w:val="28"/>
          <w:rtl w:val="true"/>
          <w:lang w:bidi="ar-SA"/>
        </w:rPr>
        <w:t xml:space="preserve">. </w:t>
      </w:r>
      <w:bookmarkStart w:id="225" w:name="pg10921_145251"/>
    </w:p>
    <w:p>
      <w:pPr>
        <w:pStyle w:val="Heading3"/>
        <w:numPr>
          <w:ilvl w:val="2"/>
          <w:numId w:val="1"/>
        </w:numPr>
        <w:rPr/>
      </w:pPr>
      <w:bookmarkStart w:id="226" w:name="__RefHeading___Toc3127414_2870459653"/>
      <w:bookmarkStart w:id="227" w:name="_Toc84"/>
      <w:bookmarkEnd w:id="225"/>
      <w:bookmarkEnd w:id="226"/>
      <w:r>
        <w:rPr>
          <w:rtl w:val="true"/>
        </w:rPr>
        <w:t>الفصل الثاني</w:t>
      </w:r>
      <w:r>
        <w:rPr>
          <w:rtl w:val="true"/>
        </w:rPr>
        <w:t xml:space="preserve">: </w:t>
      </w:r>
      <w:r>
        <w:rPr>
          <w:rtl w:val="true"/>
        </w:rPr>
        <w:t>في النظر الذي هو ميزان القرينيّة في الحكومة ومُهمّ شؤونه</w:t>
      </w:r>
      <w:bookmarkEnd w:id="227"/>
    </w:p>
    <w:p>
      <w:pPr>
        <w:pStyle w:val="Heading4"/>
        <w:numPr>
          <w:ilvl w:val="3"/>
          <w:numId w:val="1"/>
        </w:numPr>
        <w:rPr/>
      </w:pPr>
      <w:bookmarkStart w:id="228" w:name="__RefHeading___Toc3127416_2870459653"/>
      <w:bookmarkStart w:id="229" w:name="_Toc85"/>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ويقع الحديث في جهات خمس</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127418_2870459653"/>
      <w:bookmarkStart w:id="231" w:name="_Toc86"/>
      <w:bookmarkEnd w:id="230"/>
      <w:r>
        <w:rPr>
          <w:rtl w:val="true"/>
        </w:rPr>
        <w:t>الجهة الأولى</w:t>
      </w:r>
      <w:r>
        <w:rPr>
          <w:rtl w:val="true"/>
        </w:rPr>
        <w:t xml:space="preserve">: </w:t>
      </w:r>
      <w:r>
        <w:rPr>
          <w:rtl w:val="true"/>
        </w:rPr>
        <w:t>المقصود من النظر</w:t>
      </w:r>
      <w:bookmarkEnd w:id="231"/>
    </w:p>
    <w:p>
      <w:pPr>
        <w:pStyle w:val="Heading5"/>
        <w:numPr>
          <w:ilvl w:val="4"/>
          <w:numId w:val="1"/>
        </w:numPr>
        <w:rPr/>
      </w:pPr>
      <w:bookmarkStart w:id="232" w:name="__RefHeading___Toc3127420_2870459653"/>
      <w:bookmarkStart w:id="233" w:name="_Toc87"/>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يحدّد النظر في كلمات الأعلام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لفظي تضمّني</w:t>
      </w:r>
      <w:r>
        <w:rPr>
          <w:rStyle w:val="FootnoteAnchor"/>
          <w:rtl w:val="true"/>
        </w:rPr>
        <w:footnoteReference w:id="314"/>
      </w:r>
      <w:r>
        <w:rPr>
          <w:rFonts w:ascii="Amiri" w:hAnsi="Amiri" w:eastAsia="Amiri" w:cs="Amiri"/>
          <w:color w:val="111111"/>
          <w:sz w:val="28"/>
          <w:sz w:val="28"/>
          <w:szCs w:val="28"/>
          <w:rtl w:val="true"/>
          <w:lang w:bidi="ar-SA"/>
        </w:rPr>
        <w:t>أو التزاميّ، ولذا يمثل ظهوراً ثانياً للدليل الحاكم وراء مفاده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النظر هذا ومحتواه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الواجد له إنّما جيء به وسيق لشرح حال الدليل المنظور إليه</w:t>
      </w:r>
      <w:r>
        <w:rPr>
          <w:rStyle w:val="FootnoteAnchor"/>
          <w:rtl w:val="true"/>
        </w:rPr>
        <w:footnoteReference w:id="315"/>
      </w:r>
      <w:r>
        <w:rPr>
          <w:rFonts w:ascii="Amiri" w:hAnsi="Amiri" w:eastAsia="Amiri" w:cs="Amiri"/>
          <w:color w:val="111111"/>
          <w:sz w:val="28"/>
          <w:sz w:val="28"/>
          <w:szCs w:val="28"/>
          <w:rtl w:val="true"/>
          <w:lang w:bidi="ar-SA"/>
        </w:rPr>
        <w:t>، وتفسيره وبيان كمّيّة مدلوله والتصرّف فيه، والمفسِّر والمبيِّن والمتصرِّف هو المدلول المطابقي للدليل، وأمّا النظر فهو حيثيّة مصحّحة لاتصاف المدلول المطابقي بأنّه ناظر ومفسِّر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التحديد المذكور للنظر إنّما هو لأكمل أفراده وأغلبها وجوداً، والمتّفق عليه بين الأعلام، وإلّا فالمناسب أن يُحدّد النظر بحيث يشمل ثلاثة موارد أُخرى</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127422_2870459653"/>
      <w:bookmarkStart w:id="235" w:name="_Toc88"/>
      <w:bookmarkEnd w:id="234"/>
      <w:r>
        <w:rPr>
          <w:rtl w:val="true"/>
        </w:rPr>
        <w:t>المورد الأوّل</w:t>
      </w:r>
      <w:bookmarkEnd w:id="2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توصيف النظر بأنّه مدلول لفظيّ يعني اختصاصه بالأدلّة اللفظيّة، ولذا ذكروا أنّه لا حكومة في اللبيّات</w:t>
      </w:r>
      <w:r>
        <w:rPr>
          <w:rFonts w:eastAsia="Amiri" w:cs="Amiri" w:ascii="Amiri" w:hAnsi="Amiri"/>
          <w:color w:val="111111"/>
          <w:sz w:val="28"/>
          <w:szCs w:val="28"/>
          <w:rtl w:val="true"/>
          <w:lang w:bidi="ar-SA"/>
        </w:rPr>
        <w:t xml:space="preserve">. </w:t>
      </w:r>
      <w:bookmarkStart w:id="236" w:name="pg10921_145252"/>
    </w:p>
    <w:p>
      <w:pPr>
        <w:pStyle w:val="BookText"/>
        <w:rPr/>
      </w:pPr>
      <w:bookmarkEnd w:id="236"/>
      <w:r>
        <w:rPr>
          <w:rFonts w:ascii="Amiri" w:hAnsi="Amiri" w:eastAsia="Amiri" w:cs="Amiri"/>
          <w:color w:val="111111"/>
          <w:sz w:val="28"/>
          <w:sz w:val="28"/>
          <w:szCs w:val="28"/>
          <w:rtl w:val="true"/>
          <w:lang w:bidi="ar-SA"/>
        </w:rPr>
        <w:t xml:space="preserve">وفي المقابل ذهب بعض الأعلام إلى أنّه لا مانع من تحقّق الحكومة في اللبيّات كالمحقّق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 وبعض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3127424_2870459653"/>
      <w:bookmarkStart w:id="238" w:name="_Toc89"/>
      <w:bookmarkEnd w:id="237"/>
      <w:r>
        <w:rPr>
          <w:rtl w:val="true"/>
        </w:rPr>
        <w:t>المورد الثاني</w:t>
      </w:r>
      <w:bookmarkEnd w:id="238"/>
    </w:p>
    <w:p>
      <w:pPr>
        <w:pStyle w:val="BookText"/>
        <w:rPr/>
      </w:pPr>
      <w:r>
        <w:rPr>
          <w:rFonts w:ascii="Amiri" w:hAnsi="Amiri" w:eastAsia="Amiri" w:cs="Amiri"/>
          <w:color w:val="111111"/>
          <w:sz w:val="28"/>
          <w:sz w:val="28"/>
          <w:szCs w:val="28"/>
          <w:rtl w:val="true"/>
          <w:lang w:bidi="ar-SA"/>
        </w:rPr>
        <w:t>أنّ توصيف النظر بأنّه مدلول تضمّنيّ أو التزاميّ يعني عدم شموله للنظر الحاصل بتوسّط القرائن المنفصلة، كما لو كان عندنا دليلان متنافيان، ثمّ جاء دليل ثالث مفاده أنّ أحدهما إنّما سيق لتفسير الآخر، فهنا نسبة الدليل الذي أُفيد أنّه مفسِّر للآخر ببركة الدليل الثالث تكون هي الحكومة، وكذلك نسبة الدليل الثالث إليهما أيضاً هي الحكومة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3127426_2870459653"/>
      <w:bookmarkStart w:id="240" w:name="_Toc90"/>
      <w:bookmarkEnd w:id="239"/>
      <w:r>
        <w:rPr>
          <w:rtl w:val="true"/>
        </w:rPr>
        <w:t>المورد الثالث</w:t>
      </w:r>
      <w:bookmarkEnd w:id="240"/>
    </w:p>
    <w:p>
      <w:pPr>
        <w:pStyle w:val="BookText"/>
        <w:rPr/>
      </w:pPr>
      <w:r>
        <w:rPr>
          <w:rFonts w:ascii="Amiri" w:hAnsi="Amiri" w:eastAsia="Amiri" w:cs="Amiri"/>
          <w:color w:val="111111"/>
          <w:sz w:val="28"/>
          <w:sz w:val="28"/>
          <w:szCs w:val="28"/>
          <w:rtl w:val="true"/>
          <w:lang w:bidi="ar-SA"/>
        </w:rPr>
        <w:t xml:space="preserve">أنّ النظر على مراتب من حيث الخفاء والوضوح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بعض مراتب النظر تحتاج إلى فكر وتدبّر، والمدلول الالتزاميّ لازم بيِّن بالمعنى الأخصّ</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127428_2870459653"/>
      <w:bookmarkStart w:id="242" w:name="_Toc91"/>
      <w:bookmarkEnd w:id="241"/>
      <w:r>
        <w:rPr>
          <w:rtl w:val="true"/>
        </w:rPr>
        <w:t>الجهة الثانية</w:t>
      </w:r>
      <w:r>
        <w:rPr>
          <w:rtl w:val="true"/>
        </w:rPr>
        <w:t xml:space="preserve">: </w:t>
      </w:r>
      <w:r>
        <w:rPr>
          <w:rtl w:val="true"/>
        </w:rPr>
        <w:t>في الدوالّ على النظر</w:t>
      </w:r>
      <w:bookmarkEnd w:id="242"/>
    </w:p>
    <w:p>
      <w:pPr>
        <w:pStyle w:val="BookText"/>
        <w:rPr/>
      </w:pPr>
      <w:r>
        <w:rPr>
          <w:rFonts w:ascii="Amiri" w:hAnsi="Amiri" w:eastAsia="Amiri" w:cs="Amiri"/>
          <w:color w:val="111111"/>
          <w:sz w:val="28"/>
          <w:sz w:val="28"/>
          <w:szCs w:val="28"/>
          <w:rtl w:val="true"/>
          <w:lang w:bidi="ar-SA"/>
        </w:rPr>
        <w:t xml:space="preserve">إنّ ما يمكن أن يدلّ على النظر من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تتبّع كلمات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حصر عقليّ له، وأنّه مختصّ بالأدلّة اللفظيّة، ومقتصر على النظر المستفاد من القرائن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ولنتعرّض لبعض الدوالّ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يُنتظر منه أن يكون حاكماً وناظراً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متوفّراً على واحدة من أدوات التفسير الصريحة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قد ذُكر في مقام الإجابة عن سؤال حول كلمات أُخرى ظاهرها التنافي لهذا المتكلّم أو مَن بمنزلته، أو يكون في مقام بيان المراد منه، وقد ورد </w:t>
      </w:r>
    </w:p>
    <w:p>
      <w:pPr>
        <w:pStyle w:val="BookText"/>
        <w:rPr/>
      </w:pPr>
      <w:r>
        <w:rPr>
          <w:rFonts w:ascii="Amiri" w:hAnsi="Amiri" w:eastAsia="Amiri" w:cs="Amiri"/>
          <w:color w:val="111111"/>
          <w:sz w:val="28"/>
          <w:sz w:val="28"/>
          <w:szCs w:val="28"/>
          <w:rtl w:val="true"/>
          <w:lang w:bidi="ar-SA"/>
        </w:rPr>
        <w:t>مثل هذا مكرّراً في الأخبار الشريفة، منها على سبيل المثال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خلّاد بيّاع القلانس،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أتى أهله وعليه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آخر فسأله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آخر فسأله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بعدما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قلت عليه بدنة؟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موسر وعليك بدنة، وعلى الوسط بقرة، وعلى الفقير شاة</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الميتة ينتفع بشيء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بشاة 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أهل هذه الشَّاة إذ لم ينتفعوا بلحمها أن ينتفعوا بإهابها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شاة لسودة بنت زمعة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شاة مهزولة لا ينتفع بلحمها فتركوها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على أهلها إذ لم ينتفعوا بلحمها أن ينتفعوا بإهابها أن تُذكّى</w:t>
      </w:r>
      <w:r>
        <w:rPr>
          <w:rFonts w:eastAsia="IRNazanin" w:cs="IRNazanin"/>
          <w:color w:val="111111"/>
          <w:sz w:val="28"/>
          <w:szCs w:val="28"/>
          <w:rtl w:val="true"/>
          <w:lang w:bidi="fa-IR"/>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شارحاً لحال الدليل المحكوم من خلال ذكره في متن الدليل الحاكم، وذلك قد يكون صريحاً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إكرام العالم غير ثابت للفاسق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لا على هذا السبيل كما في حكومة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Style w:val="FootnoteAnchor"/>
          <w:rtl w:val="true"/>
        </w:rPr>
        <w:footnoteReference w:id="320"/>
      </w:r>
      <w:r>
        <w:rPr>
          <w:rFonts w:ascii="Amiri" w:hAnsi="Amiri" w:eastAsia="Amiri" w:cs="Amiri"/>
          <w:color w:val="111111"/>
          <w:sz w:val="28"/>
          <w:sz w:val="28"/>
          <w:szCs w:val="28"/>
          <w:rtl w:val="true"/>
          <w:lang w:bidi="ar-SA"/>
        </w:rPr>
        <w:t xml:space="preserve">على أدلّة الأحكام الأوّليّة، فإنّ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هو الكناية عن الأحكام والتشريعات الإلهية، وكذلك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ورودها في مستند قاعدة لا ضرر، فإنّ النفي في مثل هكذا أدلّة ظاهر في النفي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النفي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الفراغ عن ثبوت تشريعات في الرتبة السابقة، وأنّه في مقام نفي ما توجبه هذه التشريعات من الحرج والضرر، فبذكر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أنّه ناظر إلى أحكامهما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التنزيل، وقد اتّضح إفادة التنزيل للنظر ممّا أفاده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والبيان المعروف عند الأعلام في كيفيّة إفادة التنزيل للنظر هو أنّه لما كان التنزيل إعطاء حدّ شيء لشيء آخر أو سلب حدّه عنه ولكن ادعاءً لا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بدلالة الاقتضاء لا مناص من أن يتوجّه الإعطاء والسلب إلى شيء آخر غير ذات المنزّل عليه؛ صيانةً لكلام المتكلم عن الكذب واللغويّة، وهذا الشي الآخر لا بدّ أن يكون ذا علاقة بالمنزّل عليه تمثّل مصحّحاً لغويّاً للتنزيل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في التنزيل الأدبيّ تمثّل أحكام وآثار المنزّل عليه التي ينالها الاعتبار دون غيرها، وبمقتضى إطلاق التنزيل تثبت جميع تلك الآثار للمنزّل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التنزيل القانونيّ بناءً على ثبوته كما ذهب إليه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يثبت للمنزّل شأنيّة الاتّصاف بأحكام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w:t>
      </w:r>
      <w:r>
        <w:rPr>
          <w:rStyle w:val="FootnoteAnchor"/>
          <w:rtl w:val="true"/>
        </w:rPr>
        <w:footnoteReference w:id="32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أبحاث وفروع الارتكاز حيث إنّه في هذا النحو يمثّل علاقة راسخة بين موضوعٍ وآثاره، وهذا الرسوخ والارتكاز هو المقصود بمناسبات الحكم والموضوع، فليس كلّ مناسبة بين موضوعٍ وحكمٍ تنفع فيما نريده في المقام وإنّما المناسبة الراسخة؛ وذلك لأنّ لرسوخ المناسبة وارتكازها آثاراً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يجعل المناسبة حاضرة في الذهن عند حضور الموضوع والحكم، فتكون بذلك قرينة متّصلة لا منفصلة، ولذا يُعبّر عنها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مكتنفة بالكلام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حركة الذهن تلقائيّاً إلى فهمها من الكلام المناسب لها على أساس قاعدة انتخاب الأسهل، والتي هي وراء حمل الذهن لبعض التشريعات على الإرشاد إلى أفكار جاهزة عنده في مقابل تجشّم العناء لفهم آخر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يعطي المناسبة قوّة في الظهور فيقدّم على الدليل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بالأقوائيّة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 المقصود من قرينة مناسبات الحكم والموضوع، والآثار الثلاثة لارتكاز ورسوخ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مناشئ هذه المناسبات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الشيء كما يقال في الماء فإنّ من طبيعته التنظيف، ولذا نحمل بموجب هذه المناسبة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إرشاد إلى مطهريّته دون الوجوب التعبديّ للاغتسال، كذلك مناسبة كثرة الماء للاعتصام لمكان أنّ كثرته لا تتأثّر تكويناً بالقذارة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العقل العملي بشقّيه الأخلاقي والنفعي، ومن ثَمّ تندرج فيه جميع الجوانب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العواطف والأحاسيس والميولات التي تمثّل جوانب ذاتيّة في مقابل الجوانب الموضوعيّة التي تندرج في 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والدعاية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والعقائد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هذه المناسبات من باب حجّيّة الظهور، ولذا لا بدّ أنّ تكون معاصرةً للمعصوم ومناسبة مع الفهم العرفيّ النوعيّ المتخصّص؛ لأنّ هذا هو الموضوع لحجّيّة الظهور في مقابل المناسبات العقليّة الدقيقة، كما أنّه مقابل الفهم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له أماريّة على الفهم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والفهم النوعي العامّ غير المتخصّص؛ ولذا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مناسبات عرفيّة أو عقلائيّة وإن كانت مناشؤها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هذه القرينة عادة في التشريعات المناسبة للأحكام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وآليّة إجرائها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الدليل على تشريع جديد لموضوعٍ ما فإنّ الذهن يصنّف التشريع الجديد هذا على أنّه من قبيل الأحكام الموجودة عنده والمناسبة لذاك الموضوع، وعندئذٍ يعتبر فيه ما هو معتبر في تلك الأحكام من حيث ثبوتها لذاك الموضوع، فقد يلغي دخالة ما يرد في دليل التشريع أو يكون ظاهراً فيه ولكنه غير معتبر في الأحكام المناسبة تلك، أو يضيف ما هو معتبر فيها مع أنّه غير مذكور في دليل التشريع الجديد، إلى غير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المكتنفة بالدليل الحاكم والتي هي أحد الوجوه لإثبات أنّ أدلّة لا ضرر ناظرة إلى أدلة الأحكام الأوّليّة،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يكن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0921_145256"/>
      <w:bookmarkStart w:id="244" w:name="pg10921_145256"/>
      <w:bookmarkEnd w:id="244"/>
    </w:p>
    <w:p>
      <w:pPr>
        <w:pStyle w:val="BookText"/>
        <w:rPr/>
      </w:pPr>
      <w:bookmarkStart w:id="245" w:name="pg10921_145256"/>
      <w:bookmarkEnd w:id="245"/>
      <w:r>
        <w:rPr>
          <w:rFonts w:ascii="Amiri" w:hAnsi="Amiri" w:eastAsia="Amiri" w:cs="Amiri"/>
          <w:color w:val="111111"/>
          <w:sz w:val="28"/>
          <w:sz w:val="28"/>
          <w:szCs w:val="28"/>
          <w:rtl w:val="true"/>
          <w:lang w:bidi="ar-SA"/>
        </w:rPr>
        <w:t xml:space="preserve">من المترقّب في الشريعة جعل أحكام ضرريّة بطبيعتها، وإنّما تجعل أحكاماً قد تصبح ضرريّة في بعض الأحيان، فإنّه ستكون أدلّة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إطلاقات أدلّة الأحكام الأوليّة ومحدِّدةً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الامتنان</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عامّ، بحيث يشمل العناوين الثانويّة والحيثيّات المنضمّة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يعمّ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فليس بين الموضوع والحكم مناسبة لولا ذلك العنوان وتلك الحيثيّة كعنوان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خاصّ لا يشمل العناوين الثانويّة المُشار إليها، وعلى هذا الإطلاق تكون قرينة الامتنان مستقلةً عن 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هو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حيث إنّ الامتنان بنفي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كنفي 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تشريع حكم محدِّد لحكم آخر كأدلة مطهّريّة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أدلّة النجاسات يقتضي بطبعه النظر إلى أحكام ثابتة في الرتبة السابقة فيكون محدِّداً لها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127430_2870459653"/>
      <w:bookmarkStart w:id="247" w:name="_Toc92"/>
      <w:bookmarkEnd w:id="246"/>
      <w:r>
        <w:rPr>
          <w:rtl w:val="true"/>
        </w:rPr>
        <w:t>الجهة الثالثة</w:t>
      </w:r>
      <w:r>
        <w:rPr>
          <w:rtl w:val="true"/>
        </w:rPr>
        <w:t xml:space="preserve">: </w:t>
      </w:r>
      <w:r>
        <w:rPr>
          <w:rtl w:val="true"/>
        </w:rPr>
        <w:t>علائم النظر</w:t>
      </w:r>
      <w:bookmarkEnd w:id="247"/>
    </w:p>
    <w:p>
      <w:pPr>
        <w:pStyle w:val="Heading5"/>
        <w:numPr>
          <w:ilvl w:val="4"/>
          <w:numId w:val="1"/>
        </w:numPr>
        <w:rPr/>
      </w:pPr>
      <w:bookmarkStart w:id="248" w:name="__RefHeading___Toc3127432_2870459653"/>
      <w:bookmarkStart w:id="249" w:name="_Toc93"/>
      <w:bookmarkEnd w:id="248"/>
      <w:r>
        <w:rPr>
          <w:rtl w:val="true"/>
        </w:rPr>
        <w:t>اشارة</w:t>
      </w:r>
      <w:bookmarkEnd w:id="2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يحتاج لعلائم النظر هذه فيما إذا لم نحرز تحقّقه من غير طريقها، وإلّا لا تكون هناك حاجةٌ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في تقريرات بحثه الموسوم بمطارح الأنظار</w:t>
      </w:r>
      <w:r>
        <w:rPr>
          <w:rStyle w:val="FootnoteAnchor"/>
          <w:rtl w:val="true"/>
        </w:rPr>
        <w:footnoteReference w:id="323"/>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ذكر في فرائد الأُصول</w:t>
      </w:r>
      <w:r>
        <w:rPr>
          <w:rStyle w:val="FootnoteAnchor"/>
          <w:rtl w:val="true"/>
        </w:rPr>
        <w:footnoteReference w:id="324"/>
      </w:r>
      <w:r>
        <w:rPr>
          <w:rFonts w:ascii="Amiri" w:hAnsi="Amiri" w:eastAsia="Amiri" w:cs="Amiri"/>
          <w:color w:val="111111"/>
          <w:sz w:val="28"/>
          <w:sz w:val="28"/>
          <w:szCs w:val="28"/>
          <w:rtl w:val="true"/>
          <w:lang w:bidi="ar-SA"/>
        </w:rPr>
        <w:t xml:space="preserve">ما يدور مرجع الميزان والعلامة فيه بين التفرّع والحكومة، وبالالتفات إلى ما ذكرناه في الجهة الأولى يتّضح أنّ </w:t>
      </w:r>
      <w:bookmarkStart w:id="250" w:name="pg10921_145257"/>
    </w:p>
    <w:p>
      <w:pPr>
        <w:pStyle w:val="BookText"/>
        <w:rPr/>
      </w:pPr>
      <w:bookmarkEnd w:id="250"/>
      <w:r>
        <w:rPr>
          <w:rFonts w:ascii="Amiri" w:hAnsi="Amiri" w:eastAsia="Amiri" w:cs="Amiri"/>
          <w:color w:val="111111"/>
          <w:sz w:val="28"/>
          <w:sz w:val="28"/>
          <w:szCs w:val="28"/>
          <w:rtl w:val="true"/>
          <w:lang w:bidi="ar-SA"/>
        </w:rPr>
        <w:t>هذه العلائم أولاً وبالذات للنظر، وثانياً وبالتبع للدليل الحاكم؛ لأنّ الدليل الحاكم في حدّ نفسه لا يتّصف بأنّه ناظر ومفسِّر ومبيِّن، وإنّما اتّصافه بتلك الأوصاف لمكان النظر، ولذا صحّ أن تكون علائم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أنظار الأعلام في القسم الثاني من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لخصوص فرائد الأُصول كانت متابعتهم للعلامة الأولى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علامتين</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127434_2870459653"/>
      <w:bookmarkStart w:id="252" w:name="_Toc94"/>
      <w:bookmarkEnd w:id="251"/>
      <w:r>
        <w:rPr>
          <w:rtl w:val="true"/>
        </w:rPr>
        <w:t>العلامة الأُولى</w:t>
      </w:r>
      <w:r>
        <w:rPr>
          <w:rtl w:val="true"/>
        </w:rPr>
        <w:t xml:space="preserve">: </w:t>
      </w:r>
      <w:r>
        <w:rPr>
          <w:rtl w:val="true"/>
        </w:rPr>
        <w:t>التفرُّع الثبوتي أو الإثباتي</w:t>
      </w:r>
      <w:bookmarkEnd w:id="252"/>
    </w:p>
    <w:p>
      <w:pPr>
        <w:pStyle w:val="Heading6"/>
        <w:numPr>
          <w:ilvl w:val="5"/>
          <w:numId w:val="1"/>
        </w:numPr>
        <w:rPr/>
      </w:pPr>
      <w:bookmarkStart w:id="253" w:name="__RefHeading___Toc3127436_2870459653"/>
      <w:bookmarkStart w:id="254" w:name="_Toc95"/>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وحاصل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الحاكم متفرّع على الدليل المحكوم بحيث لو فرض عدم الدليل المحكوم يكون صدور الدليل الحاكم لغواً؛ لأنّه سيكون بلا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والتفرّع المذكور قد يكون ثبوتيّاً، وقد يكون إثباتيّاً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التفرّع الثبوتي فيراد به ما يكون في مقام التشريع والجعل والتعبّد، بمعنى أنّه لا يصحّ تشريع الحاكم إلّا بعد تشريع المحكوم، فمثلاً لا معنى 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لم يشرّع اشتراط الصلاة بالطهارة، أو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التفرع الإثباتي فهو تفرّع في مقام صدور الدليل من المشرِّع، فلا يصحّ أن يصدر الدليل الحاكم قبل صدور الدليل المحكوم، فهو تفرّع في زمان الصدور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 الأعلام هو الوجود التفصيليّ للدليل المحكوم في مقابل عدم وجوده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فرض آخر في المسألة وهو الوجود الإجماليّ للدليل المحكوم، ويكفي في الوجود الإجمالي للدليل المحكوم التنبيه على أنّه سيأتي المحكوم، وإنّما أخّره لغرضٍ ما، كأنْ يكون الحكم لم تتضح معالمه بعدُ، فمثلاً لم يحدّد بعدُ أنّ الربا حرام أو مكروه، ولكن </w:t>
      </w:r>
    </w:p>
    <w:p>
      <w:pPr>
        <w:pStyle w:val="BookText"/>
        <w:rPr/>
      </w:pPr>
      <w:r>
        <w:rPr>
          <w:rFonts w:ascii="Amiri" w:hAnsi="Amiri" w:eastAsia="Amiri" w:cs="Amiri"/>
          <w:color w:val="111111"/>
          <w:sz w:val="28"/>
          <w:sz w:val="28"/>
          <w:szCs w:val="28"/>
          <w:rtl w:val="true"/>
          <w:lang w:bidi="ar-SA"/>
        </w:rPr>
        <w:t>على كلا الحالين يكون الربا بين الوالد والولد مستثنىً من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هكذا ينبغي أن يُحرَّر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المحذور المنظور في المقام ثبوتاً ونفياً ليس من الجهة العقليّة، وإنّما من الجهة العقلائيّة والقانونيّة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فقد بنى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التفرّع الإثباتي‌من علائم النظر، حيث أفاد في مطارح الأنظار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علامات البيان أنّه لو قطع النظر عن ورود المبيَّن كان البيان لغواً صرفاً كما يظهر ذلك من ملاحظة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كلاماً برأسه، أو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الأسد الحقيقي بل أردت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يكونا مسبوقين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فرائد الأُصول</w:t>
      </w:r>
      <w:r>
        <w:rPr>
          <w:rStyle w:val="FootnoteAnchor"/>
          <w:rtl w:val="true"/>
        </w:rPr>
        <w:footnoteReference w:id="326"/>
      </w:r>
      <w:r>
        <w:rPr>
          <w:rFonts w:ascii="Amiri" w:hAnsi="Amiri" w:eastAsia="Amiri" w:cs="Amiri"/>
          <w:color w:val="111111"/>
          <w:sz w:val="28"/>
          <w:sz w:val="28"/>
          <w:szCs w:val="28"/>
          <w:rtl w:val="true"/>
          <w:lang w:bidi="ar-SA"/>
        </w:rPr>
        <w:t xml:space="preserve">من أنّ الدليل الحاكم سيكون عندئذٍ خالياً عن المورد، ومثّل له 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للشكّ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للشكّ مع كثرة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للشكّ مع حفظ الإمام أو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للشكّ بعد الفراغ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لم ترد من الشارع أحكام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عموماً ولا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مورد للأدلّة النافية لحكم الشكّ في الصور المذكورة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بأدلّة ينحصر الغرض من تشريعها وإيرادها في كونها مبيِّنة وشارحة للدليل المحكوم، وكأنّه لوضوح التفرّع فيها بالقياس إلى الأدلّة التي لها أغراض أُخرى بالإضافة إلى البيان والتفسير، كالأمارات بالإضافة إلى الأُصول العمليّة الشرعيّة حيث إنّ لها أغراضاً أخرى وراء تحديد الأُصول المذكورة، وهي أنّها كاشفة </w:t>
      </w:r>
      <w:bookmarkStart w:id="255" w:name="pg10921_145259"/>
    </w:p>
    <w:p>
      <w:pPr>
        <w:pStyle w:val="BookText"/>
        <w:rPr/>
      </w:pPr>
      <w:bookmarkEnd w:id="255"/>
      <w:r>
        <w:rPr>
          <w:rFonts w:ascii="Amiri" w:hAnsi="Amiri" w:eastAsia="Amiri" w:cs="Amiri"/>
          <w:color w:val="111111"/>
          <w:sz w:val="28"/>
          <w:sz w:val="28"/>
          <w:szCs w:val="28"/>
          <w:rtl w:val="true"/>
          <w:lang w:bidi="ar-SA"/>
        </w:rPr>
        <w:t>عن الأحكام الواقعيّة وواردة على الأُصول العمليّة العقليّة، ولذا ينبغي التفريق بين هذين النحوين من الأدلّة في مقام تحرير محلّ البحث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إلى أنّ التفرّع في كلا المقامين غير معتبر العلاميّة على النظر، ونقض على مَن يرى علاميّة التفرّع بعدم اللغويّة في مورد حكومة الأمارات على الأُصول العمليّة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كلا المقامين</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127438_2870459653"/>
      <w:bookmarkStart w:id="257" w:name="_Toc96"/>
      <w:bookmarkEnd w:id="256"/>
      <w:r>
        <w:rPr>
          <w:rtl w:val="true"/>
        </w:rPr>
        <w:t>التفرّع الثبوتي</w:t>
      </w:r>
      <w:bookmarkEnd w:id="257"/>
    </w:p>
    <w:p>
      <w:pPr>
        <w:pStyle w:val="BookText"/>
        <w:rPr/>
      </w:pPr>
      <w:r>
        <w:rPr>
          <w:rFonts w:ascii="Amiri" w:hAnsi="Amiri" w:eastAsia="Amiri" w:cs="Amiri"/>
          <w:color w:val="111111"/>
          <w:sz w:val="28"/>
          <w:sz w:val="28"/>
          <w:szCs w:val="28"/>
          <w:rtl w:val="true"/>
          <w:lang w:bidi="ar-SA"/>
        </w:rPr>
        <w:t xml:space="preserve">بمعنى ما يجري في نفس المقنِّن عند الجعل والتشريع،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مقام الجعل بين الحكومة والتخصيص، وليس النظر جزءاً من الجعل، وإنّما هو من شؤون البيان فيكون محلّه مقام الإثبات، ومن الواضح في هذا الحال أنّه لا ملزم للتفرّع المذكور وإن كان عادةً يُشرّع التأصيل والعام أوّلاً، ثمّ تُشرّع الحدود والاستثناءات التي تمثّل الحاكم والخاصّ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أنّ للنظر مكاناً في مقام الجعل والتشريع، وعندئذٍ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النظر من قبيل الصفات ذات الإضافة كان مقتضياً لوجود المنظور إليه في نفس المقنِّن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يصححّ النظر، وهذا يعني أنّ نفس صفة النظر تكشف عن وجود المنظور إليه في نفس المشرّع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يلاحظ على هذا البيان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يمثّل تحليلاً عقليّاً، والذي يناسب الجعل والتشريع هو أن يكون التحليل عقلائيّاً كما ذُكر من قبل</w:t>
      </w:r>
      <w:r>
        <w:rPr>
          <w:rFonts w:eastAsia="Amiri" w:cs="Amiri" w:ascii="Amiri" w:hAnsi="Amiri"/>
          <w:color w:val="111111"/>
          <w:sz w:val="28"/>
          <w:szCs w:val="28"/>
          <w:rtl w:val="true"/>
          <w:lang w:bidi="ar-SA"/>
        </w:rPr>
        <w:t xml:space="preserve">. </w:t>
      </w:r>
      <w:bookmarkStart w:id="258" w:name="pg10921_145260"/>
    </w:p>
    <w:p>
      <w:pPr>
        <w:pStyle w:val="BookText"/>
        <w:rPr/>
      </w:pPr>
      <w:bookmarkEnd w:id="258"/>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قد اعتمد على نفس النظر في إثبات علاميّته، وهذا قد لا يكون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على الملحظ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هذا في أصل وجود التشريع وما تقتضيه مفرداته لا في مصحّحاته حتى يصار إلى العقلائيّة فحسب، فإنّها تأتي في رتبة متأخّرة عن أصل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على الملحظ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البيان المذكور من قبيل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نظرٌ لكانت هناك حاجة إلى وجود المنظور إليه، فإذا تحقّقت الحاجة المزبورة كشفت عن وجود النظر كشف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ينبّه على ذلك ما يمكن أن يجري في المجالس التشريعيّة فيما إذا اعتبرناه من قبيل مقام الثبوت، وأنّ ما يجري بين أعضائه بمثابة عقل واحد يفكّر بصوت عالٍ، فإنّه لو أقدم أحدهم على تشريع الحاكم قبل تشريع المحكوم لاستغربوا من صنيعه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نبّه على أنّه سيأتي المحكوم وإنّما أخّره لغرضٍ لقبلوا صنيعه هذا</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127440_2870459653"/>
      <w:bookmarkStart w:id="260" w:name="_Toc97"/>
      <w:bookmarkEnd w:id="259"/>
      <w:r>
        <w:rPr>
          <w:rtl w:val="true"/>
        </w:rPr>
        <w:t>التفرُّع الإثباتيّ</w:t>
      </w:r>
      <w:bookmarkEnd w:id="260"/>
    </w:p>
    <w:p>
      <w:pPr>
        <w:pStyle w:val="BookText"/>
        <w:rPr/>
      </w:pPr>
      <w:r>
        <w:rPr>
          <w:rFonts w:ascii="Amiri" w:hAnsi="Amiri" w:eastAsia="Amiri" w:cs="Amiri"/>
          <w:color w:val="111111"/>
          <w:sz w:val="28"/>
          <w:sz w:val="28"/>
          <w:szCs w:val="28"/>
          <w:rtl w:val="true"/>
          <w:lang w:bidi="ar-SA"/>
        </w:rPr>
        <w:t>وقد انقدح ممّا ذكرناه في التفرّع الثبوتيّ ما يحصل في ذهن المتلقّي للدليل الحاكم من جهة اشتماله على النظر، ومن ثَمّ إذا لم يُنبِّه المشرّع على أنّ الدليل المحكوم سيصدر فيما بعد فإنّه يلزم أن يكون نظر ولا منظور إليه، وهو كما ترى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أنّ الدليل المحكوم يمثّل جزءاً من المراد الجدّيّ للدليل الحاكم كما يتّضح بملاحظة الدوالّ على النظر، فإذا لم يكن الدليل المحكوم صادراً أوّلاً فإنّ مفاد </w:t>
      </w:r>
      <w:bookmarkStart w:id="261" w:name="pg10921_145261"/>
    </w:p>
    <w:p>
      <w:pPr>
        <w:pStyle w:val="BookText"/>
        <w:rPr/>
      </w:pPr>
      <w:bookmarkEnd w:id="261"/>
      <w:r>
        <w:rPr>
          <w:rFonts w:ascii="Amiri" w:hAnsi="Amiri" w:eastAsia="Amiri" w:cs="Amiri"/>
          <w:color w:val="111111"/>
          <w:sz w:val="28"/>
          <w:sz w:val="28"/>
          <w:szCs w:val="28"/>
          <w:rtl w:val="true"/>
          <w:lang w:bidi="ar-SA"/>
        </w:rPr>
        <w:t>الدليل الحاكم يكون مجملاً، وهذا يكفي في تحقّق العلاميّة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والعلاميّة المذكورة تتحقّق أيضاً في مثل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بنفس الوضوح الحاصل في الدليل الذي سيق لغرض التفسير فحسب</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127442_2870459653"/>
      <w:bookmarkStart w:id="263" w:name="_Toc98"/>
      <w:bookmarkEnd w:id="262"/>
      <w:r>
        <w:rPr>
          <w:rtl w:val="true"/>
        </w:rPr>
        <w:t>العلامة الثانية</w:t>
      </w:r>
      <w:r>
        <w:rPr>
          <w:rtl w:val="true"/>
        </w:rPr>
        <w:t xml:space="preserve">: </w:t>
      </w:r>
      <w:r>
        <w:rPr>
          <w:rtl w:val="true"/>
        </w:rPr>
        <w:t>انحصار الغرض بالتفسير</w:t>
      </w:r>
      <w:bookmarkEnd w:id="263"/>
    </w:p>
    <w:p>
      <w:pPr>
        <w:pStyle w:val="BookText"/>
        <w:rPr/>
      </w:pPr>
      <w:r>
        <w:rPr>
          <w:rFonts w:ascii="Amiri" w:hAnsi="Amiri" w:eastAsia="Amiri" w:cs="Amiri"/>
          <w:color w:val="111111"/>
          <w:sz w:val="28"/>
          <w:sz w:val="28"/>
          <w:szCs w:val="28"/>
          <w:rtl w:val="true"/>
          <w:lang w:bidi="ar-SA"/>
        </w:rPr>
        <w:t xml:space="preserve">وقد أفادها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 بحثه قائلاً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كواشفه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البيان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حمل البيان على وجه لا يكون بياناً ممّا يعدّ في العرف من إخراج الكلام عمّا سيق إليه بالمرّة، بخلاف التخصيص فإنّ حمل الأمر فيه على الاستحباب أو تصرّف آخر فيه على وجه لا ينافي عموم العامّ ليس بهذه المثابة من القبح كما لا يخفى على من ألقى السمع وهو سديد السليقة ومستقيم الطبيعة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ما كان الغرض من سوقه منحصراً في كونه مفسِّراً لدليل آخر دون ما إذا كان له غرض آخر بالإضافة إلى التفسير كما هو الحال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 هو إحدى النُّكات وراء البناء على أنّ الدليل الحاكم يتقدّم مطلقاً وبلا استثناء على الدليل المحكوم، فإنّ النظر لمكان إفضائه إلى النكتة المذكورة يقتضي تقديم الحاكم مطلقاً، وسيأتي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يمكن عدّ الكثير من الخصوصيّات التي تمتاز بها الحكومة عن باقي أبواب التعارض من علامات النظر والحكومة، وهو كما ترى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المنظورة لنا إنّما هي خصوصيّات النظر والتفسير، لا أيّة خصوصيّة تمتاز بها الحكومة عن باقي أبواب التعارض</w:t>
      </w:r>
      <w:r>
        <w:rPr>
          <w:rFonts w:eastAsia="Amiri" w:cs="Amiri" w:ascii="Amiri" w:hAnsi="Amiri"/>
          <w:color w:val="111111"/>
          <w:sz w:val="28"/>
          <w:szCs w:val="28"/>
          <w:rtl w:val="true"/>
          <w:lang w:bidi="ar-SA"/>
        </w:rPr>
        <w:t xml:space="preserve">. </w:t>
      </w:r>
      <w:bookmarkStart w:id="264" w:name="pg10921_145262"/>
    </w:p>
    <w:p>
      <w:pPr>
        <w:pStyle w:val="Heading4"/>
        <w:numPr>
          <w:ilvl w:val="3"/>
          <w:numId w:val="1"/>
        </w:numPr>
        <w:rPr/>
      </w:pPr>
      <w:bookmarkStart w:id="265" w:name="__RefHeading___Toc3127444_2870459653"/>
      <w:bookmarkStart w:id="266" w:name="_Toc99"/>
      <w:bookmarkEnd w:id="264"/>
      <w:bookmarkEnd w:id="265"/>
      <w:r>
        <w:rPr>
          <w:rtl w:val="true"/>
        </w:rPr>
        <w:t>الجهه الرابعة</w:t>
      </w:r>
      <w:r>
        <w:rPr>
          <w:rtl w:val="true"/>
        </w:rPr>
        <w:t xml:space="preserve">: </w:t>
      </w:r>
      <w:r>
        <w:rPr>
          <w:rtl w:val="true"/>
        </w:rPr>
        <w:t>حدود النظر</w:t>
      </w:r>
      <w:bookmarkEnd w:id="266"/>
    </w:p>
    <w:p>
      <w:pPr>
        <w:pStyle w:val="BookText"/>
        <w:rPr/>
      </w:pPr>
      <w:r>
        <w:rPr>
          <w:rFonts w:ascii="Amiri" w:hAnsi="Amiri" w:eastAsia="Amiri" w:cs="Amiri"/>
          <w:color w:val="111111"/>
          <w:sz w:val="28"/>
          <w:sz w:val="28"/>
          <w:szCs w:val="28"/>
          <w:rtl w:val="true"/>
          <w:lang w:bidi="ar-SA"/>
        </w:rPr>
        <w:t xml:space="preserve">لمّا كان ضابط الحكومة وميزان القرينيّة والتقديم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انقدح آنفا وسيأتي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فلا بدّ من إحرازه في الرتبة السابقة حتّى يصحّ إجراء أحكام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الآثار والأحكام التي يراد إثباتها بالدليل الحاكم أو نفيها يتحدّد مقدارها وكمّها بمقدار النظر، وذلك عادةً ما يكون من خلال إطلاق نظر الدليل الحاكم الذي يتوقّف على تماميّة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مشكلة تبرز فيما لو كان الدالّ على النظر هو التنزيل؛ وذلك لأنّه قد ذكرنا في مباحث الإطلاق</w:t>
      </w:r>
      <w:r>
        <w:rPr>
          <w:rStyle w:val="FootnoteAnchor"/>
          <w:rtl w:val="true"/>
        </w:rPr>
        <w:footnoteReference w:id="329"/>
      </w:r>
      <w:r>
        <w:rPr>
          <w:rFonts w:ascii="IRNazanin" w:hAnsi="IRNazanin" w:eastAsia="IRNazanin"/>
          <w:color w:val="111111"/>
          <w:sz w:val="28"/>
          <w:sz w:val="28"/>
          <w:szCs w:val="28"/>
          <w:rtl w:val="true"/>
          <w:lang w:bidi="fa-IR"/>
        </w:rPr>
        <w:t xml:space="preserve">أنّ الرابعة من مقدّمات الحكمة ما حُكي إضافته عن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ضرورة التطابق بين المرادين الاستعماليّ والجدّيّ في ذاتهما، ووافقه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أفاد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مرجع الأخذ</w:t>
      </w:r>
    </w:p>
    <w:p>
      <w:pPr>
        <w:pStyle w:val="BookText"/>
        <w:rPr/>
      </w:pPr>
      <w:r>
        <w:rPr>
          <w:rFonts w:ascii="Amiri" w:hAnsi="Amiri" w:eastAsia="Amiri" w:cs="Amiri"/>
          <w:color w:val="111111"/>
          <w:sz w:val="28"/>
          <w:sz w:val="28"/>
          <w:szCs w:val="28"/>
          <w:rtl w:val="true"/>
          <w:lang w:bidi="ar-SA"/>
        </w:rPr>
        <w:t>بالإطلاق اللفظي هو أصالة التطابق بين المراد الجدّيّ والمراد الاستعماليّ أي التطابق بين القضيّة اللفظيّة والقضيّة اللبيّة، بمعنى أنّه ما لم يذكر في القضيّة اللفظيّة ليس له دخل في القضيّة اللبيّة، هذا فيما إذا كان التطابق بين المراد الاستعماليّ والمراد الجدّيّ في الذات متحقّقاً ونشكّ في الحدود، فلو قال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في أنّ للعدالة دخلاً في ثبوت هذا الحكم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أصالة التطابق بين المراد الجدّيّ والاستعماليّ هو أن لا يكون للعدالة أيّ دخل في ثبوت هذا الحكم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افترضنا أنّ المراد الجدّيّ مغاير في الذات للمراد الاستعماليّ بأن ذكر شيئاً وأراد شيئاً آخر لأيّ مبرر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باب الكنايات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تطابق أصلاً بين المرادين حتى يكون مجرى لأصالة التطابق والأخذ </w:t>
      </w:r>
    </w:p>
    <w:p>
      <w:pPr>
        <w:pStyle w:val="BookText"/>
        <w:rPr/>
      </w:pPr>
      <w:r>
        <w:rPr>
          <w:rFonts w:ascii="Amiri" w:hAnsi="Amiri" w:eastAsia="Amiri" w:cs="Amiri"/>
          <w:color w:val="111111"/>
          <w:sz w:val="28"/>
          <w:sz w:val="28"/>
          <w:szCs w:val="28"/>
          <w:rtl w:val="true"/>
          <w:lang w:bidi="ar-SA"/>
        </w:rPr>
        <w:t xml:space="preserve">بالإطلاق اللفظي، ففي جميع الموارد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كانت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سعة المراد الجدّيّ وضيقه فلا بدّ من اللجوء إلى القرائن والمناسبات،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 المراد الجديّ هو مطلق من يُعدّ كريماً في العرف أو خصوص من يتّسم به كرم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الأخذ بالإطلاق، ومقتضاه كفاية الإتيان بأيّ رجل‌كريم سواء أكان كرمه في الضيافة أم في غيرها من المجالات؛ وذلك لأنّ التطابق بين المرادين الجدّيّ والاستعماليّ في الذات معلوم، وحيث لم يقيّد بخصوصيّة معيّنة، فمقتضى أصالة التطابق هو أن لا تكون أيّ خصوصيّة غير مذكورة معتبرة في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 المراد خصوص الكريم في مجال الضيافة أو أعمّ من ذلك، فلا يؤخذ بالإطلاق؛ لأنّ المراد الجدّيّ هو الرجل الكريم وليس كثير الرماد، فلا توافق بين المرادين الاستعماليّ والجدّيّ في الذات ليُبنى على تطابقهما في الحدود، فلا محيص من الرجوع في مثل ذلك إلى الشواهد والمناسبات، ولعلّ مقتضاهما في المورد إرادة خصوص كرم الضيافة، فلا بدّ من الاقتصار عليه، ولا مجال للأخذ بالإطلاق على كلِّ حال</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فرّعنا على هذه المقدّمة في البحث المشار إليه بظهور التأمّل في ما يعبّر عنه في كلماتهم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لا إطلاق فيه أصلاً، ومن ثَمّ حمله على أبرز الجهات دون جميعها لأجل عدم الإطلاق من رأس، لا لأجل انعقاد الإطلاق ولكن عدم إحراز أن يكون من جميع الجهات</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لا يطابق المراد الجديّ، وقد استفهمت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ولكن لم يتّضح لي وجه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ذكرنا هذا التعبير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أنّ التقريب المحكي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المقدّمة الرابعة يحتاج إلى مزيد تمحيص وتوضيح،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المراد الجديّ المغاير للمراد الاستعماليّ لو لم يكن قد أُفيد بالكلام ربّما جرى البيان المذكور وفق ما يتراءى منه، ولكن المفروض فيما نحن فيه إفادته بالكلام من خلال المراد الاستعماليّ،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مراداً 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تفهيمي أيضاً يكون للكلام ظهور فيه، 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هذا المراد التفهيميّ وإن لم يذكر في الكلام استعمالاً كي يتأتّى تقييده بنحو مباشر إلّا أنّه يتأتّى تقييده من خلال تقييد المعنى الاستعماليّ كما أُفيد أصله بتوسّط المعنى الاستعماليّ، مثلاً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الذي يكون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قوّة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ينعقد للثاني إطلاق فيما إذا شُكّ في اختصاص المراد بالرجل الكريم الذي يكون حسن الأخلاق مع من يكرمه، فكذلك ينعقد للأوّل في حال طروّ هذا الشكّ؛ إذ كان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الذي يكون كثير الرماد إذا كان خلقه حسناً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انعقاد الإطلاق في المراد الجدّيّ حيث يختلف عن المراد الاستعماليّ إن كان عدم إفادته بالكلام فهو لا يتوجّه بالنظر إلى أنّ المفروض إفادته من خلال المراد الاستعماليّ فهو مراد تفهيمي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جهة عدم إفادته بنحو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خلال المراد الاستعماليّ المفاد بالكلام مطابقته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يمنع أيضاً من إمكان تقييد المراد الاستعماليّ</w:t>
      </w:r>
      <w:r>
        <w:rPr>
          <w:rFonts w:eastAsia="Amiri" w:cs="Amiri" w:ascii="Amiri" w:hAnsi="Amiri"/>
          <w:color w:val="111111"/>
          <w:sz w:val="28"/>
          <w:szCs w:val="28"/>
          <w:rtl w:val="true"/>
          <w:lang w:bidi="ar-SA"/>
        </w:rPr>
        <w:t xml:space="preserve">. </w:t>
      </w:r>
      <w:bookmarkStart w:id="267" w:name="pg10921_145265"/>
    </w:p>
    <w:p>
      <w:pPr>
        <w:pStyle w:val="BookText"/>
        <w:rPr/>
      </w:pPr>
      <w:bookmarkEnd w:id="267"/>
      <w:r>
        <w:rPr>
          <w:rFonts w:ascii="Amiri" w:hAnsi="Amiri" w:eastAsia="Amiri" w:cs="Amiri"/>
          <w:color w:val="111111"/>
          <w:sz w:val="28"/>
          <w:sz w:val="28"/>
          <w:szCs w:val="28"/>
          <w:rtl w:val="true"/>
          <w:lang w:bidi="ar-SA"/>
        </w:rPr>
        <w:t>ولا يبعد أن يكون المراد بما ذُكر في هذه المقدّمة هو أنّه فيما لو دار المعنى الجدّيّ المراد بين المطلق والمقيّد لمناسبة منعقدة بين المراد الاستعماليّ بدرجةٍ مع المطلق، وبدرجةٍ آكد مع المقيّد، فيُشكّ في نظر المتكلّم إلى الدرجة الأدنى فيفيد الإطلاق أو الأعلى فيفيد التقييد، فيكون الكلام مجملاً ما لم يتعيّن أحدهما بالنظر إلى ما يتعارف إرادته من مثله عرفاً؛ لأنّ تأكّد المناسبة في التقييد توجب صلاحيّة المجاز لإفادته، كما لو فرض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الرجل الشجاع، وشككنا في أنّ المراد هل هو مطلق الرجل الشجاع أو الشجاع شجاعة بالغةً؟ فحيث إنّ المراد الجدّيّ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بلفظه، وما ذكر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كلّا ً منهما بدرجةٍ، فلا سبيل إلى استظهار مطلق الشجاع تمسّكاً بإطلاق الكلام؛ لأنّ تأكّد المناسبة على الشجاع جدّاً كالصالح للقرينيّة على إرادته 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المتعارف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شجاع كان ذلك محدّداً للمراد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127446_2870459653"/>
      <w:bookmarkStart w:id="269" w:name="_Toc100"/>
      <w:bookmarkEnd w:id="268"/>
      <w:r>
        <w:rPr>
          <w:rtl w:val="true"/>
        </w:rPr>
        <w:t>الجهة الخامسة</w:t>
      </w:r>
      <w:bookmarkEnd w:id="269"/>
    </w:p>
    <w:p>
      <w:pPr>
        <w:pStyle w:val="Heading5"/>
        <w:numPr>
          <w:ilvl w:val="4"/>
          <w:numId w:val="1"/>
        </w:numPr>
        <w:rPr/>
      </w:pPr>
      <w:bookmarkStart w:id="270" w:name="__RefHeading___Toc3127448_2870459653"/>
      <w:bookmarkStart w:id="271" w:name="_Toc101"/>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في أنّ المنظور إليه في الدليل الحاكم هل يشترط أن يكون خصوص دلالة الدليل المحكوم أم يعمّ الحكم الواقعي بما هو واقع وبقطع النظر عن كونه مدلولاً للدليل؟ توضيح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قرينة المجاز</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تشرح المراد من لفظ ذي القرينة وتحدّده بما هو مدلول للدليل، ولا تتعدّى لتبيّن الواقع الذي يكشف عنه ذو القرينة وبقطع النظر عن كونه مدلولاً له،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المراد التفهيميّ من الأسد بما هو مدلول لكلمة الأسد هو الرجل الشجاع</w:t>
      </w:r>
      <w:r>
        <w:rPr>
          <w:rFonts w:eastAsia="Amiri" w:cs="Amiri" w:ascii="Amiri" w:hAnsi="Amiri"/>
          <w:color w:val="111111"/>
          <w:sz w:val="28"/>
          <w:szCs w:val="28"/>
          <w:rtl w:val="true"/>
          <w:lang w:bidi="ar-SA"/>
        </w:rPr>
        <w:t xml:space="preserve">. </w:t>
      </w:r>
      <w:bookmarkStart w:id="272" w:name="pg10921_145266"/>
    </w:p>
    <w:p>
      <w:pPr>
        <w:pStyle w:val="BookText"/>
        <w:rPr/>
      </w:pPr>
      <w:bookmarkEnd w:id="272"/>
      <w:r>
        <w:rPr>
          <w:rFonts w:ascii="Amiri" w:hAnsi="Amiri" w:eastAsia="Amiri" w:cs="Amiri"/>
          <w:color w:val="111111"/>
          <w:sz w:val="28"/>
          <w:sz w:val="28"/>
          <w:szCs w:val="28"/>
          <w:rtl w:val="true"/>
          <w:lang w:bidi="ar-SA"/>
        </w:rPr>
        <w:t xml:space="preserve">وهذا بخلاف قرينة التخصيص والتقييد فإنّ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يشرح المراد من لفظ الشعراء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يبيّن الموضوع النفس أمري للحكم المذكور في الدليل العامّ، وما تعلّقت به إرادة المشرّع واقعاً من دون أن يتصرّف في لفظ العامّ، وإنّما يبيّن أنّ العامّ جزء من موضوع الحكم لا تمامه، وإلّا لو كان يريد بيان أنّ مدلول العامّ والمراد منه هو ما عدا الخاصّ لكان تجوّزاً واستعمالاً للعامّ في المخصّص بما هو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لا ريب في عدم التجوّز في التخصيص ونحوه؛ لأنّ الدلالة فيه على سبيل تعدّد الدالّ والمدلول، بمعنى أنّه بمجيء الخاصّ ينكشف أنّ العام كان جزءاً من موضوع الحكم و الجزء الآخر هو عدم الخاص، ومن ثَمّ كلٌّ من العامّ والخاصّ يدلّ على الجزء المُناط كشفه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لمحلّ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قولان</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127450_2870459653"/>
      <w:bookmarkStart w:id="274" w:name="_Toc102"/>
      <w:bookmarkEnd w:id="273"/>
      <w:r>
        <w:rPr>
          <w:rtl w:val="true"/>
        </w:rPr>
        <w:t>القول الأول</w:t>
      </w:r>
      <w:bookmarkEnd w:id="274"/>
    </w:p>
    <w:p>
      <w:pPr>
        <w:pStyle w:val="BookText"/>
        <w:rPr/>
      </w:pPr>
      <w:r>
        <w:rPr>
          <w:rFonts w:ascii="Amiri" w:hAnsi="Amiri" w:eastAsia="Amiri" w:cs="Amiri"/>
          <w:color w:val="111111"/>
          <w:sz w:val="28"/>
          <w:sz w:val="28"/>
          <w:szCs w:val="28"/>
          <w:rtl w:val="true"/>
          <w:lang w:bidi="ar-SA"/>
        </w:rPr>
        <w:t>الاختصاص بدلالة الدليل؛ إذ التحديد المعروف للحكومة يوهم بظاهره الاختصاص بأن يكون المنظور إليه دلالة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فهمه صاحب الكفاية</w:t>
      </w:r>
      <w:r>
        <w:rPr>
          <w:rStyle w:val="FootnoteAnchor"/>
          <w:rtl w:val="true"/>
        </w:rPr>
        <w:footnoteReference w:id="334"/>
      </w:r>
      <w:r>
        <w:rPr>
          <w:rFonts w:ascii="Amiri" w:hAnsi="Amiri" w:eastAsia="Amiri" w:cs="Amiri"/>
          <w:color w:val="111111"/>
          <w:sz w:val="28"/>
          <w:sz w:val="28"/>
          <w:szCs w:val="28"/>
          <w:rtl w:val="true"/>
          <w:lang w:bidi="ar-SA"/>
        </w:rPr>
        <w:t xml:space="preserve">من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وفرّع عليه عدم تأتّي الحكومة كوجهٍ لتقدّم الأمارات على الأُصول العمليّة الشرعيّة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127452_2870459653"/>
      <w:bookmarkStart w:id="276" w:name="_Toc103"/>
      <w:bookmarkEnd w:id="275"/>
      <w:r>
        <w:rPr>
          <w:rtl w:val="true"/>
        </w:rPr>
        <w:t>القول الآخر</w:t>
      </w:r>
      <w:bookmarkEnd w:id="27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التعميم، وهو ما بنى عليه المتأخّرون</w:t>
      </w:r>
      <w:r>
        <w:rPr>
          <w:rStyle w:val="FootnoteAnchor"/>
          <w:rtl w:val="true"/>
        </w:rPr>
        <w:footnoteReference w:id="335"/>
      </w:r>
      <w:r>
        <w:rPr>
          <w:rFonts w:ascii="Amiri" w:hAnsi="Amiri" w:eastAsia="Amiri" w:cs="Amiri"/>
          <w:color w:val="111111"/>
          <w:sz w:val="28"/>
          <w:sz w:val="28"/>
          <w:szCs w:val="28"/>
          <w:rtl w:val="true"/>
          <w:lang w:bidi="ar-SA"/>
        </w:rPr>
        <w:t xml:space="preserve">وذكروا أنّه مرادٌ للشيخ لقرائن، وأفاد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قصر الحكومة على ما يماثل قرينة المجاز يوجب </w:t>
      </w:r>
    </w:p>
    <w:p>
      <w:pPr>
        <w:pStyle w:val="BookText"/>
        <w:rPr/>
      </w:pPr>
      <w:r>
        <w:rPr>
          <w:rFonts w:ascii="IRNazanin" w:hAnsi="IRNazanin" w:eastAsia="IRNazanin"/>
          <w:color w:val="111111"/>
          <w:sz w:val="28"/>
          <w:sz w:val="28"/>
          <w:szCs w:val="28"/>
          <w:rtl w:val="true"/>
          <w:lang w:bidi="fa-IR"/>
        </w:rPr>
        <w:t>خروج غالب الموارد منها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التعميم؛ إذ لا مانع من نظر الدليل الحاكم إلى واقع الدليل المحكوم من جهة أنّه حكم واقعي، لا من جهة أنّه مدلول للدليل الدال عليه، ولمكان النظر المذكور حيث يكون الدليل الحاكم مبيّناً لواقع الدليل المحكوم بنفس مدلوله اللفظي، وهذا بخلاف التخصيص فليس في الدليل الخاصّ ما يشعر بالحكم الثابت في العامّ، وإنّما يكون بياناً له بحكم العقل، فإنّه يحكم بأنّ المتكلّم الملتفت لا يناقض نفسه، فلا يريد العموم جدّاً مع استثنائه لأحد أفراده، وبعد نصوصيّة الخاصّ أو أظهريّته من العامّ في شموله لذاك الخاصّ يحكم العقل بأنّ المتكلم لم يُردْ من العموم هذا الفرد</w:t>
      </w:r>
      <w:r>
        <w:rPr>
          <w:rFonts w:eastAsia="Amiri" w:cs="Amiri" w:ascii="Amiri" w:hAnsi="Amiri"/>
          <w:color w:val="111111"/>
          <w:sz w:val="28"/>
          <w:szCs w:val="28"/>
          <w:rtl w:val="true"/>
          <w:lang w:bidi="ar-SA"/>
        </w:rPr>
        <w:t xml:space="preserve">. </w:t>
      </w:r>
      <w:bookmarkStart w:id="277" w:name="pg10921_145268"/>
    </w:p>
    <w:p>
      <w:pPr>
        <w:pStyle w:val="Heading3"/>
        <w:numPr>
          <w:ilvl w:val="2"/>
          <w:numId w:val="1"/>
        </w:numPr>
        <w:rPr/>
      </w:pPr>
      <w:bookmarkStart w:id="278" w:name="__RefHeading___Toc3127454_2870459653"/>
      <w:bookmarkStart w:id="279" w:name="_Toc104"/>
      <w:bookmarkEnd w:id="277"/>
      <w:bookmarkEnd w:id="278"/>
      <w:r>
        <w:rPr>
          <w:rtl w:val="true"/>
        </w:rPr>
        <w:t>الفصل الثالث</w:t>
      </w:r>
      <w:r>
        <w:rPr>
          <w:rtl w:val="true"/>
        </w:rPr>
        <w:t xml:space="preserve">: </w:t>
      </w:r>
      <w:r>
        <w:rPr>
          <w:rtl w:val="true"/>
        </w:rPr>
        <w:t>في ميزان القرينيّة في الحكومة</w:t>
      </w:r>
      <w:bookmarkEnd w:id="279"/>
    </w:p>
    <w:p>
      <w:pPr>
        <w:pStyle w:val="Heading4"/>
        <w:numPr>
          <w:ilvl w:val="3"/>
          <w:numId w:val="1"/>
        </w:numPr>
        <w:rPr/>
      </w:pPr>
      <w:bookmarkStart w:id="280" w:name="__RefHeading___Toc3127456_2870459653"/>
      <w:bookmarkStart w:id="281" w:name="_Toc105"/>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 xml:space="preserve">يطرح هذا البحث في كلمات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تقدّم الحاكم على المحكوم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 لتصوّر مَن طرحه أوّل مرّة عدم التنافي بين الحاكم والمحكوم، فلا تكون هناك حاجة للقرينيّة؛ لأنّه إنّما يحتاج إليها في حال التعارض، ولما كان العنوان المشار إليه لا يعكس بوضوح في متنه ميزان القرينيّة والتقديم في الحكومة، إذ الصحيح أنّ هناك تنافياً بين الحاكم والمحكوم ارتأينا أن نطرح البحث بالعنوان المذكور، وعليه نوقع الكلام في جانبين</w:t>
      </w:r>
      <w:r>
        <w:rPr>
          <w:rFonts w:eastAsia="IRNazanin" w:cs="IRNazanin"/>
          <w:color w:val="111111"/>
          <w:sz w:val="28"/>
          <w:szCs w:val="28"/>
          <w:rtl w:val="true"/>
          <w:lang w:bidi="fa-IR"/>
        </w:rPr>
        <w:t>:</w:t>
      </w:r>
    </w:p>
    <w:p>
      <w:pPr>
        <w:pStyle w:val="Heading4"/>
        <w:numPr>
          <w:ilvl w:val="3"/>
          <w:numId w:val="1"/>
        </w:numPr>
        <w:rPr/>
      </w:pPr>
      <w:bookmarkStart w:id="282" w:name="__RefHeading___Toc3127458_2870459653"/>
      <w:bookmarkStart w:id="283" w:name="_Toc106"/>
      <w:bookmarkEnd w:id="282"/>
      <w:r>
        <w:rPr>
          <w:rtl w:val="true"/>
        </w:rPr>
        <w:t>الجانب الأوّل</w:t>
      </w:r>
      <w:bookmarkEnd w:id="283"/>
    </w:p>
    <w:p>
      <w:pPr>
        <w:pStyle w:val="Heading5"/>
        <w:numPr>
          <w:ilvl w:val="4"/>
          <w:numId w:val="1"/>
        </w:numPr>
        <w:rPr/>
      </w:pPr>
      <w:bookmarkStart w:id="284" w:name="__RefHeading___Toc3127460_2870459653"/>
      <w:bookmarkStart w:id="285" w:name="_Toc107"/>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في إثبات التنافي</w:t>
      </w:r>
      <w:r>
        <w:rPr>
          <w:rStyle w:val="FootnoteAnchor"/>
          <w:rtl w:val="true"/>
        </w:rPr>
        <w:footnoteReference w:id="336"/>
      </w:r>
      <w:r>
        <w:rPr>
          <w:rFonts w:ascii="Amiri" w:hAnsi="Amiri" w:eastAsia="Amiri" w:cs="Amiri"/>
          <w:color w:val="111111"/>
          <w:sz w:val="28"/>
          <w:sz w:val="28"/>
          <w:szCs w:val="28"/>
          <w:rtl w:val="true"/>
          <w:lang w:bidi="ar-SA"/>
        </w:rPr>
        <w:t>وعدمه بين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لبيان عدم التنافي وجهان</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3127462_2870459653"/>
      <w:bookmarkStart w:id="287" w:name="_Toc108"/>
      <w:bookmarkEnd w:id="286"/>
      <w:r>
        <w:rPr>
          <w:rtl w:val="true"/>
        </w:rPr>
        <w:t>الوجه الأول</w:t>
      </w:r>
      <w:bookmarkEnd w:id="287"/>
    </w:p>
    <w:p>
      <w:pPr>
        <w:pStyle w:val="BookText"/>
        <w:rPr/>
      </w:pPr>
      <w:r>
        <w:rPr>
          <w:rFonts w:ascii="Amiri" w:hAnsi="Amiri" w:eastAsia="Amiri" w:cs="Amiri"/>
          <w:color w:val="111111"/>
          <w:sz w:val="28"/>
          <w:sz w:val="28"/>
          <w:szCs w:val="28"/>
          <w:rtl w:val="true"/>
          <w:lang w:bidi="ar-SA"/>
        </w:rPr>
        <w:t xml:space="preserve">ما أفاده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من أنّ لازم كون الدليل الحاكم ناظراً بمدلوله اللفظيّ للمحكوم ومفسِّراً له عدم المعارضة وعدم التناقض بينهما؛ ضرورة انتفاء التعارض بين المفسِّر والمفسَّر، والمبيِّن والمبيَّن، وفرّع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لملاحظة النسبة بين المفسِّر والمفسَّر كما تلاحظ بين العامّ والخاصّ أو العامّين من وجه؛ وذلك لأنّ التفسير يفضي إلى عدم المعارضة، واختصاص ملاحظة النسبة بالمتعارضين</w:t>
      </w:r>
      <w:r>
        <w:rPr>
          <w:rFonts w:eastAsia="Amiri" w:cs="Amiri" w:ascii="Amiri" w:hAnsi="Amiri"/>
          <w:color w:val="111111"/>
          <w:sz w:val="28"/>
          <w:szCs w:val="28"/>
          <w:rtl w:val="true"/>
          <w:lang w:bidi="ar-SA"/>
        </w:rPr>
        <w:t xml:space="preserve">. </w:t>
      </w:r>
      <w:bookmarkStart w:id="288" w:name="pg10921_145269"/>
    </w:p>
    <w:p>
      <w:pPr>
        <w:pStyle w:val="BookText"/>
        <w:rPr/>
      </w:pPr>
      <w:bookmarkEnd w:id="2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المفسِّر يتقدّم على المفسَّر من جهة أنّ المفسّريّة تفضي إلى الأظهريّة عند العرف فلا بدّ من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للأظهريّة في تقديم الحاكم على المحكوم كما سيأتي التعرّض له في الجانب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المفسّريّة بمجرّدها لا تكفي في المقام لرفع التعارض؛ لأنّ الدليل المحكوم مراده التفهيميّ مطابق لظاهره، وأمّا الدليل الحاكم المنفصل فلمكان نظره إليه يكون مفاده أنّ ذاك المطابق ليس مراداً تفهيميّاً له، فالمنافاة بعدُ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 في الجانب الثاني</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127464_2870459653"/>
      <w:bookmarkStart w:id="290" w:name="_Toc109"/>
      <w:bookmarkEnd w:id="289"/>
      <w:r>
        <w:rPr>
          <w:rtl w:val="true"/>
        </w:rPr>
        <w:t>الوجه الآخر</w:t>
      </w:r>
      <w:bookmarkEnd w:id="290"/>
    </w:p>
    <w:p>
      <w:pPr>
        <w:pStyle w:val="BookText"/>
        <w:rPr/>
      </w:pP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من أنّ الدليل الحاكم يتكفّل بيان ما لا يتكفّل بيانه الدليل المحكوم، فلا تعقل المعارضة بينهما، 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 شرائط التعارض وحدة الموضوع ومصبّ الدليلين، وهي غير حاصلة في الحكومة؛ ذلك أنّ الدليل المحكوم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القضيّة الحمليّة الحقيقيّة والتي مرجعها إلى قضيّة شرطيّة يؤخذ فيها الشرط مفروض الوجود، ولا تتعرّض لثبوته أو نفيه فكذلك القضية الحمليّة الحقيقيّة، فهي لا تتعرّض لوجود أو نفي موضوعها، وأمّا الدليل الحاكم فمفاده نفي ذاك الموضوع أو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وحدة في الموضوع والمصبّ،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النسبة بين الحاكم والمحكوم</w:t>
      </w:r>
      <w:r>
        <w:rPr>
          <w:rFonts w:eastAsia="Amiri" w:cs="Amiri" w:ascii="Amiri" w:hAnsi="Amiri"/>
          <w:color w:val="111111"/>
          <w:sz w:val="28"/>
          <w:szCs w:val="28"/>
          <w:rtl w:val="true"/>
          <w:lang w:bidi="ar-SA"/>
        </w:rPr>
        <w:t xml:space="preserve">. </w:t>
      </w:r>
      <w:bookmarkStart w:id="291" w:name="pg10921_145270"/>
    </w:p>
    <w:p>
      <w:pPr>
        <w:pStyle w:val="BookText"/>
        <w:rPr/>
      </w:pPr>
      <w:bookmarkEnd w:id="2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الأقوائيّة في الظهور؛ لأنّ ملاحظة النسبة وقوّة الظهور فرع التعارض، ولا تعارض في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الحاكم على المحكوم من جهة أنّ الحاكم يجري على رِسله من دون ممانعة من المحكوم، فيوسّع الموضوع أو يضيّقه اعتباراً، وهذا هو معنى تقدّمه كما هو الحال في الورود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عليه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بين الدليلين ليس بحسب المراد الاستعماليّ فيهما قطعاً، وإلّا لم يقع التعارض بين القول المثبت لمعنى مع القول النافي له بلسان المجاز والكناية، كما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 منهما بحسب المراد الاستعماليّ يتعرّض لما لا يتعرّض له الآخر، وإنّما العبرة في التعارض بالمراد التفهيميّ من الدليلين، وهو مختلف في الحاكم والمحكوم، فإنّ الحاكم وإن كان ينفي ما هو موضوع للمحكوم 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المراد به تفهيماً نفي نفس الحكم الذي يثبته المحكوم فهما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هذا الوجه لا يتمّ في الحكومة بملاك النظر إلى عقد الحمل من الدليل المحكوم؛ لأنّ الحاكم يتعرّض لنفس ما يثبته المحكوم أو ينفيه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127466_2870459653"/>
      <w:bookmarkStart w:id="293" w:name="_Toc110"/>
      <w:bookmarkEnd w:id="292"/>
      <w:r>
        <w:rPr>
          <w:rtl w:val="true"/>
        </w:rPr>
        <w:t>الجانب الثاني</w:t>
      </w:r>
      <w:bookmarkEnd w:id="293"/>
    </w:p>
    <w:p>
      <w:pPr>
        <w:pStyle w:val="Heading5"/>
        <w:numPr>
          <w:ilvl w:val="4"/>
          <w:numId w:val="1"/>
        </w:numPr>
        <w:rPr/>
      </w:pPr>
      <w:bookmarkStart w:id="294" w:name="__RefHeading___Toc3127468_2870459653"/>
      <w:bookmarkStart w:id="295" w:name="_Toc111"/>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بعد ثبوت المنافاة بين الحاكم والمحكوم يأتي الكلام في ميزان القرينيّة والتقديم، وهنا اتّجاهان</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127470_2870459653"/>
      <w:bookmarkStart w:id="297" w:name="_Toc112"/>
      <w:bookmarkEnd w:id="296"/>
      <w:r>
        <w:rPr>
          <w:rtl w:val="true"/>
        </w:rPr>
        <w:t>الاتّجاه الأوّل</w:t>
      </w:r>
      <w:bookmarkEnd w:id="29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أنّ الميزان هو الأقوائيّة في الظهور، وما النظر إلّا مزيّة دلاليّة توجب أقوائيّة ظهور الدليل الحاكم من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مطلق أنحاء النظر والحكومة </w:t>
      </w:r>
    </w:p>
    <w:p>
      <w:pPr>
        <w:pStyle w:val="BookText"/>
        <w:rPr/>
      </w:pPr>
      <w:r>
        <w:rPr>
          <w:rFonts w:ascii="Amiri" w:hAnsi="Amiri" w:eastAsia="Amiri" w:cs="Amiri"/>
          <w:color w:val="111111"/>
          <w:sz w:val="28"/>
          <w:sz w:val="28"/>
          <w:szCs w:val="28"/>
          <w:rtl w:val="true"/>
          <w:lang w:bidi="ar-SA"/>
        </w:rPr>
        <w:t xml:space="preserve">حتى المشتملة على أدوات التفسير الصريحة كما صرّح بذلك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وظاهر إطلاق عبارة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الآنفة الذكر، أو في خصوص ما عداها كما عليه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الاتجاه يكون بحث الحكومة بحثاً صغرويّاً حاله حال التخصيص والتقييد ونحوهما، لا أنّه باب وميزان مستقل للقرينيّة، ولذا ذكر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لا تعدو مجرّد اصطلاحٍ، لا يترتب عليه أثر، فليست هي عنواناً مستقلّا ً، بل من أقسام التعارض الذي هو تنافي الدليلين بحسب مدلوليهما، والتقديم فيها بملاك الأظهريّة الذي هو المتّبع في كلّ جمع بين دليلين متنافيين، فالتنافي بين المحكوم والحاكم إنّما هو بسبب ظهور وكشف المحكوم عن إرادة معنىً، وكشف الحاكم وظهوره في إرادة خلاف ذلك المعنى، ولا يعقل وجه لتقديم الحاكم إلّا قوّة كشفه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 هذا الاتّجاه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التنافي بين الدليلين في الكشف والظهور فينبغي أنّ يكون الجمع أيضاً في دائرة الكشف والظهور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يعقل وجه آخر للتقديم يكون بديلاً عن الأقوائيّة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بين الدليلين في ما يقال له الحكومة عين التنافي في الجمع العرفيّ بلا أيّ فرق، فينبغي أن يكون العلاج فيهما واحداً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يُلاحظ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فارقاً بين نحوي التنافي، وأنّه يعقل وجه آخر للتقديم يكون بديلاً عن الأقوائيّة في الظهور في موارد الحكومة، كما سيأتي بيان </w:t>
      </w:r>
      <w:bookmarkStart w:id="298" w:name="pg10921_145272"/>
    </w:p>
    <w:p>
      <w:pPr>
        <w:pStyle w:val="BookText"/>
        <w:rPr/>
      </w:pPr>
      <w:bookmarkEnd w:id="298"/>
      <w:r>
        <w:rPr>
          <w:rFonts w:ascii="Amiri" w:hAnsi="Amiri" w:eastAsia="Amiri" w:cs="Amiri"/>
          <w:color w:val="111111"/>
          <w:sz w:val="28"/>
          <w:sz w:val="28"/>
          <w:szCs w:val="28"/>
          <w:rtl w:val="true"/>
          <w:lang w:bidi="ar-SA"/>
        </w:rPr>
        <w:t>ذلك في ضمن الاتّجاه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فقد ذكر أنّه في الحكومة التي تكون مشتملة على أداة تفسير صريح أو ما بمعناه يكفي النظر للقرينيّة والتقديم؛ لأنّ الحاكم فيها مسوق لتفسير المحكوم، وأمّا إذا كان الحاكم ناظراً للحكم الذي يراد كشفه بالدليل المحكوم دون دليله فإنّه لا يكون مسوقاً لتفسير الدليل، فلا يكفي النظر للقرينيّة، بل لا بدّ من الأقوائيّة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 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لا يكون فارقاً مؤثّراً في النظر والتفسير؛ إذ لا فرق بين ما جيء به لتفسير وتحديد دليل آخر، أو لتفسير وتحديد الحكم الواقعي الذي يراد كشفه بالدليل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حتى في الحكومة المشتملة على أداة التفسير يعقل أن يكون النظر للحكم لا للدليل، فمثلاً يقول وَأَحَلَّ اللَّهُ الْبَيْعَ وَحَرَّمَ الرِّبَا،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بالربا الذي هو موضوع للحرمة في لوح التشريع والواقع هو ما عدا الربا بين الوالد والولد</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127472_2870459653"/>
      <w:bookmarkStart w:id="300" w:name="_Toc113"/>
      <w:bookmarkEnd w:id="299"/>
      <w:r>
        <w:rPr>
          <w:rtl w:val="true"/>
        </w:rPr>
        <w:t>الاتّجاه الآخر</w:t>
      </w:r>
      <w:bookmarkEnd w:id="300"/>
    </w:p>
    <w:p>
      <w:pPr>
        <w:pStyle w:val="BookText"/>
        <w:rPr/>
      </w:pPr>
      <w:r>
        <w:rPr>
          <w:rFonts w:ascii="Amiri" w:hAnsi="Amiri" w:eastAsia="Amiri" w:cs="Amiri"/>
          <w:color w:val="111111"/>
          <w:sz w:val="28"/>
          <w:sz w:val="28"/>
          <w:szCs w:val="28"/>
          <w:rtl w:val="true"/>
          <w:lang w:bidi="ar-SA"/>
        </w:rPr>
        <w:t>ما عليه معظم المتأخّرين من أنّ النظر مزيّة دلاليّة مستقلّة عن الأقوائيّة في الظهور، وهذا الاتّجاه هو الصحيح،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الالتفات إلى عنصر النظر، حيث إنّ مقتضاه أنّ الواجد له إنّما جيء به لتفسير وشرح حال المنظور إليه، وبيان كميّة مدلوله، وهذا المعنى يحقّق القرينيّة بنفسه، ولا يتوقّف على عنصر زائد يوجب قوّة الظهور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مراجعة وجداننا، فإنّنا نجد أنّ درجة التنافي في موارد الحكومة </w:t>
      </w:r>
    </w:p>
    <w:p>
      <w:pPr>
        <w:pStyle w:val="BookText"/>
        <w:rPr/>
      </w:pPr>
      <w:r>
        <w:rPr>
          <w:rFonts w:ascii="Amiri" w:hAnsi="Amiri" w:eastAsia="Amiri" w:cs="Amiri"/>
          <w:color w:val="111111"/>
          <w:sz w:val="28"/>
          <w:sz w:val="28"/>
          <w:szCs w:val="28"/>
          <w:rtl w:val="true"/>
          <w:lang w:bidi="ar-SA"/>
        </w:rPr>
        <w:t xml:space="preserve">خافتة إلى حدّ كبير بالقياس إلى درجة التنافي في موارد الجمع العرفي، وهذا التفاوت في درجة التنافي محفوظ وملحوظ حتى لو 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مراتب الكشف، بأن كان نصّاً، وكان العامّ في أدنى درجات الظاهر، ممّا يعني أنّ هذه الخصوصيّة الفارقة غير مرتبطة بجانب الظهور والكشف، وغير موجودة في موارد الجمع العرفي، وليست هي إلّا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الشعور بالمنافاة لأجل لسان المسالمة في الدليل الحاكم، لا النظر فيه إلى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الخفوت حاصل حتى في الحكومة بملاك النظر إلى عقد الحمل رغم أنّه ليس بلسان المسالمة، فيدّل ذلك على أنّ النظر هو الموجب لخفوت التنافي، ومن ثَمّ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نكتة تحليليّة أفادها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والتفسير وإن كان بإعداد شخصيّ من المتكلّم، ويصيِّر الدليل الناظر قرينةً، إلّا أنّه لا يكفي بمجرّده للتقديم ورفع التنافي، بل لا بدّ معه من التسليم بكبرى عرفيّة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ظهور ما يعدّه المتكلّم لتفسير كلامه يكون هو المحدِّد النهائي لمدلول مجموع كلامه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لأنّه بعد البناء على المنافاة بين الحاكم والمحكوم فإنّ النظر إذا لم يفضي إلى الطوليّة في حجّيتهما فإنّه لا مفرَّ من سريان التنافي إلى دليل الحجّيّة، والنظر بمجرّده لا يكفي لذلك؛ لأنّ الدليل المحكوم مراده الجدّيّ مطابق لظاهره، والدليل الحاكم لمكان نظره يكون مفاده أنّ ذاك المطابق غير مراد جدّاً، فالمنافاة بعدُ باقية، ولكن </w:t>
      </w:r>
    </w:p>
    <w:p>
      <w:pPr>
        <w:pStyle w:val="BookText"/>
        <w:rPr/>
      </w:pPr>
      <w:r>
        <w:rPr>
          <w:rFonts w:ascii="Amiri" w:hAnsi="Amiri" w:eastAsia="Amiri" w:cs="Amiri"/>
          <w:color w:val="111111"/>
          <w:sz w:val="28"/>
          <w:sz w:val="28"/>
          <w:szCs w:val="28"/>
          <w:rtl w:val="true"/>
          <w:lang w:bidi="ar-SA"/>
        </w:rPr>
        <w:t>ببركة المصادرة المذكورة تثبت الطوليّة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المصادرة هي مستند ما يعرف بأنّ دليل حجّية الظهور مقيّد بعدم ورود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ورد المفسِّر والحاكم يكون وارداً على حجّية ظهور المفسَّر ويرفعها بمقداره، فالدليل الحاكم متقدِّم على حجّيّة الدليل المحكوم بالورود، وعلى الدليل المحكوم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المصادرة لا تحتاج إلى برهان لارتكازيّتها من جهة كونها من قبيل القضايا التي قياساتها معها، والقياس الخفيّ في المقام هو أنّ للمتكلم الحقَّ في بيان مقصوده بالطريقة التي تناسبه، ومنها أن يفسِّر أحد كلاميه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إقامة علامة على أنّ هذا هو المفسِّر وذاك المفسَّر، والعلامة في الحكومة هي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الفصول الثلاثة الأولى، وسوف يأتي الكلام في الفصلين الأخيرين والخاتمة في الحلقة القادمة بإذنه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0921_145276"/>
      <w:bookmarkStart w:id="302" w:name="pg10921_145276"/>
      <w:bookmarkEnd w:id="302"/>
    </w:p>
    <w:p>
      <w:pPr>
        <w:pStyle w:val="Heading2"/>
        <w:numPr>
          <w:ilvl w:val="1"/>
          <w:numId w:val="1"/>
        </w:numPr>
        <w:rPr/>
      </w:pPr>
      <w:bookmarkStart w:id="303" w:name="pg10921_145276"/>
      <w:bookmarkStart w:id="304" w:name="__RefHeading___Toc3127474_2870459653"/>
      <w:bookmarkStart w:id="305" w:name="_Toc114"/>
      <w:bookmarkEnd w:id="303"/>
      <w:bookmarkEnd w:id="304"/>
      <w:r>
        <w:rPr>
          <w:rtl w:val="true"/>
        </w:rPr>
        <w:t xml:space="preserve">قراءة في مبنى الشّيخ النّجاشي </w:t>
      </w:r>
      <w:r>
        <w:rPr>
          <w:rtl w:val="true"/>
        </w:rPr>
        <w:t>(</w:t>
      </w:r>
      <w:r>
        <w:rPr>
          <w:rtl w:val="true"/>
        </w:rPr>
        <w:t>رحمة الله</w:t>
      </w:r>
      <w:r>
        <w:rPr>
          <w:rtl w:val="true"/>
        </w:rPr>
        <w:t xml:space="preserve">) </w:t>
      </w:r>
      <w:r>
        <w:rPr>
          <w:rtl w:val="true"/>
        </w:rPr>
        <w:t xml:space="preserve">في التّوثيقات والتّضعيفات </w:t>
      </w:r>
      <w:r>
        <w:rPr>
          <w:rtl w:val="true"/>
        </w:rPr>
        <w:t xml:space="preserve">- </w:t>
      </w:r>
      <w:r>
        <w:rPr>
          <w:rtl w:val="true"/>
        </w:rPr>
        <w:t xml:space="preserve">الشيخ جاسم الفهدي </w:t>
      </w:r>
      <w:r>
        <w:rPr>
          <w:rtl w:val="true"/>
        </w:rPr>
        <w:t>(</w:t>
      </w:r>
      <w:r>
        <w:rPr>
          <w:rtl w:val="true"/>
        </w:rPr>
        <w:t>دام عزه</w:t>
      </w:r>
      <w:r>
        <w:rPr>
          <w:rtl w:val="true"/>
        </w:rPr>
        <w:t>)</w:t>
      </w:r>
      <w:bookmarkEnd w:id="305"/>
    </w:p>
    <w:p>
      <w:pPr>
        <w:pStyle w:val="Heading3"/>
        <w:numPr>
          <w:ilvl w:val="2"/>
          <w:numId w:val="1"/>
        </w:numPr>
        <w:rPr/>
      </w:pPr>
      <w:bookmarkStart w:id="306" w:name="__RefHeading___Toc3127476_2870459653"/>
      <w:bookmarkStart w:id="307" w:name="_Toc115"/>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لكلمات قُدامى الرجاليين أهمّيّة بالغة في كشف حال الرُّواة، فكانت محط نظر المتأخِّرين عنهم بما يتلاءم ومبنى حجّيّة خبر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التّالي محاولة لتوصيف كلمات أحد أشهر المتقدّمين من الرِّجاليين ألا وهو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مستظهرين من خلال الأدلَّة والشَّواهد دقّة توصيفاته للرِّجال، وأنَّه لا يخبر إلَّا عن حسٍّ لا عن حدس كما ادّعي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جزءٌ مستلٌّ من بحثٍ مفصّل لنا في كتاب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ويمثّل فصلاً من فصوله العشر، سائلين المولى أن نوفّق لنشره قريباً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تُعدُّ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أساسيّاً من مصادر التّشريع الإسلاميّ عند جميع الفرق الإسلاميّة؛ لما تغطّيه من مساحة من الأحداث والوقائع الملامسة لحياة الإنسان وبيان الأحكام الشرعيّة وتحديد المواقف منها، لذا نجدها محلّ اهتمام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يمكن إغفال ما لطرق تلك الروايات ومعرفة رجالها من أهمّيّة بالغة يمكن من خلالها استكشاف الصدور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تراهم قدّموا السند على المتن الذي يتناول المضمون، باعتبار أنّ صحّة الإسناد وإثبات الصدور هو أساس له، ولولاه لما كان هناك داعٍ لدراسة المتن بعد نفي كونه صادراً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برزت الحاجة لعلم الرجال واتّسعت الضرورة لمعرفة أحوال الرواة ومعرفة وثاقة نقلهم، ولذا فقد تصدّى جملة من العلماء لتدوين أسماء الرجال وما ألّفوه وكتبوه من مصنّفات ومؤلّفات، بل وصل الحدّ عند بعضهم إلى بيان أحوالهم وأحوال من يتعلّق بهم لمسيس الحاجة إلى تلك الأوصاف لمعرفة وثاقة الرواة والمرويّات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وصلت إلينا جملة من كتب الرجال، ولعلّ أقدمها ما يُعرف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دوّن في القرن الثالث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في طبقات أصحابنا المعاصرين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حوى بين طيّاته مجموعة من الأخبار الواردة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وصل إنّما هو ما اختاره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وصَلَنا جزء من مؤلّفات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قد وقع في ثبوت نسبته إليه،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في القرن الخامس الهجري، وفي القرن نفسه من ذلك الزمان جاء دور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دوَّنه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من مصادره عند تأليفه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هذا الكتاب من أهم الأصول الرجاليّة عند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 به من تأخّر عنه من العلماء، وجعلوه المقدَّم في ميدان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يعدوه فقيه من فقهائنا في أبحاثه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ملاحظين جميع مواطن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ناظرين في دقائق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المصدر المقدَّم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معرفة أحوال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أوّل من صرَّح بالاعتماد عليه وجعله الأساس والمقدَّم في دراسة أحوال الرجال هو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ذلك جميع العلماء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احتلّ كتاب النجاشي شهرة واسعة حتى وُصف بغاية الضبط وأنّه الأثبت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قال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النجاشي في غاية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ونهاية المعرفة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ووصفه التقي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 الجميع كما يظهر من التتبّع التام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خرّيت الصناعة، حسن البضاعة، عارفاً، ضبطاً، حتى أُوصي له ببعض المكتبات والعديد من المصنّفات، وهو ما يعدُّ مؤشراً واضحاً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كان للحديث والتحديث دور رابط بأحكام الإسلام وطريق كاشف لحقائقه كان لاهتمام العلماء به دور متميّز وفاعل، ومن أجله بذلت الأموال والأوقات حتّى تكوّنت ثروة من المعلومات، دُوّنت في جملة من المصنّفات، منسوخة بأجود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والحفاظ على هذه الثروة التراثيّة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الوضع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إيداعها عند أهلها، العارفين لقيمتها، وفي مقدّمتهم المختصّون في شؤونها؛ وعلى هذا كانت الشواهد المتاحة بين أيدينا، فنجد أنّ البعض قد أوصى بمكتبته لهم، كما يظهر من بعض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لحال ابن بزيع،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ابن إسماعيل بن بزيع وأحمد بن حمزة بن بزيع كانا في عداد الوزراء، وكان علي بن النعمان أوصى بكتبه لمحمد بن إسماعيل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عن حمدويه عن أشياخه،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النّعمان خيّر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 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بكتبه لمحمّد بن إسماعيل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هذا قد يكشف عن توثيق ضمني بالموصى إليه؛ إذ من البعيد أن يدفع شخص هذا الجهد الكبير الذي تحمّل لتحصيله الصعاب والأتعاب إلى من لا يثق به من جهة أمانته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لوحظ في كتاب النجاشي تكرّر الوصيّة من الأصحاب ببعض الكتب والمصنّفات إلى النجاشي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ترجمة محمّد بن إبراهيم بن جعفر،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الحسين محمّد بن علي الشجاعي الكاتب يقرأ عليه كتاب الغيبة تصنيف محمد ابن إبراهيم النعماني بمشهد العتيقة؛ لأنّه كان قرأه عليه، ووصّى لي ابنه أبو عبد الله الحسين بن محمّد الشجاعي بهذا الكتاب، وبسائر كتبه، والنسخة المقروءة عندي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أوصى له به أُستاذه أبو العباس بن نوح السيرافي من كتب كما ذكر ذلك مكرّراً في كتابه، مثل ما ورد في ترجمة عبد الله بن عبد الرحمن الزبيري،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في الإمامة، وكتاب سمّاه كتاب الاستفادة في الطعون على الأوائل والردّ على أصحاب الاجتهاد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والزبيريون في أصحابنا ثلاثة، هذان وأبو عمرو محمّد بن عمرو بن عبد الله بن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أبي العباس بن نوح فيما أوصى به إليّ من كتبه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ومثله كثير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يمثّل شاهداً واضحاً على فضل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لاستبعاد تفريط المصنّفين بما حووه في خزانات مكتباتهم مع ما عليه المشقّة في تلك الأزمان بتسليمه لمن لا يرونه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تكرّر الإيصاء إليه بمجموعة من الكتب والمصنّفات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وصف الرجل بعبارات المدح والثناء على لسان جملة من العلماء، مثل ما حكي عن تلميذه الصهرشتي في قبس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شيخاً بهيّاً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اللسان عند المخالف والموافق</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هنا جاءت شهرة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امتاز به مؤلّفه من شهرة ووثاقة حتى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مشهور</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العلّامة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معتمد عليه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المحقّق الداماد،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العبّاس النجاشي، شيخنا الثقة المعتمد، الفاضل، الجليل القدر، السند المعتمد عليه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حاز هذه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على لسان العلماء المقدّسين الأشراف لما اكتسب في ذاته من 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حواه من معرفة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واكتنف سِفره من مكنونات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 بعضٌ واتّهمه بكثرة الأخطاء</w:t>
      </w:r>
      <w:r>
        <w:rPr>
          <w:rStyle w:val="FootnoteAnchor"/>
          <w:rtl w:val="true"/>
        </w:rPr>
        <w:footnoteReference w:id="3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كيف أمكن لآخر أن يتّهمه بسوء المذهب ورداءة المسلك</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تواتر الاعتماد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شيوع أمره بين الموافق والمخالف في الاعتقاد؟</w:t>
      </w:r>
      <w:r>
        <w:rPr>
          <w:rFonts w:eastAsia="Amiri" w:cs="Amiri" w:ascii="Amiri" w:hAnsi="Amiri"/>
          <w:color w:val="111111"/>
          <w:sz w:val="28"/>
          <w:szCs w:val="28"/>
          <w:rtl w:val="true"/>
          <w:lang w:bidi="ar-SA"/>
        </w:rPr>
        <w:t xml:space="preserve">! </w:t>
      </w:r>
      <w:bookmarkStart w:id="308" w:name="pg10921_145283"/>
    </w:p>
    <w:p>
      <w:pPr>
        <w:pStyle w:val="Heading3"/>
        <w:numPr>
          <w:ilvl w:val="2"/>
          <w:numId w:val="1"/>
        </w:numPr>
        <w:rPr/>
      </w:pPr>
      <w:bookmarkStart w:id="309" w:name="__RefHeading___Toc3127478_2870459653"/>
      <w:bookmarkStart w:id="310" w:name="_Toc116"/>
      <w:bookmarkEnd w:id="308"/>
      <w:bookmarkEnd w:id="309"/>
      <w:r>
        <w:rPr>
          <w:rtl w:val="true"/>
        </w:rPr>
        <w:t>الملاك في توثيقات وتضعيفات النجاشي</w:t>
      </w:r>
      <w:bookmarkEnd w:id="310"/>
    </w:p>
    <w:p>
      <w:pPr>
        <w:pStyle w:val="Heading4"/>
        <w:numPr>
          <w:ilvl w:val="3"/>
          <w:numId w:val="1"/>
        </w:numPr>
        <w:rPr/>
      </w:pPr>
      <w:bookmarkStart w:id="311" w:name="__RefHeading___Toc3127480_2870459653"/>
      <w:bookmarkStart w:id="312" w:name="_Toc117"/>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قدَّم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لكتابه ديباجةً أبرز فيها غرضه من هذا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تعيير قوم من المخالفين بأنّ أصحابنا لا سلف لهم ولا مصنّف، فأثار ذلك عزيمته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همّته، فانبرى مدافعاً عمّا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ومظهراً ما عرف لمن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جملةً كبيرةً من هذه المصنّفات لمجموعة كبيرة من الرواة تحت عناوين وأسماء مضمّناً ما قيل فيهم من مدح 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يتّصل بنسبهم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يتعلًق بأحوال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الأساس في هذه الأحوال هو نقل ما ذكره المتقدّمون وأثبتوه من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لتعارف تأليف كتب الفهارس والرجال بين المتقدّمين من الأصحاب حتى بلغ عددها من زمان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نيّفاً ومائة كتاب، وقد جمع ذلك البحّاثة الشهير الشيخ آقا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مصفّى المقال في مصنّفي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النجاشي فيما ألّفه من فهرست المصنّفين طريقاً حسّيّاً لنقل هذه التوثيقات والتضعيفات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في كلّ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ومتأمّلاً في جميع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بأحسن ما يمكن من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وأتقن ما ألّف وصنّف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دقّة التعبير بأوجز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تتبّع الأنساب لفصل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ما صنّف وجميع ما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وصل إلى ذكر النسخ إذا كانت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كلمات النجاشي في ذكر أوصاف الرجال إلى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127482_2870459653"/>
      <w:bookmarkStart w:id="314" w:name="_Toc118"/>
      <w:bookmarkEnd w:id="313"/>
      <w:r>
        <w:rPr>
          <w:rtl w:val="true"/>
        </w:rPr>
        <w:t>القسم الأوّل</w:t>
      </w:r>
      <w:bookmarkEnd w:id="31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الوصف صريحاً عن علماء الطائفة ومشهورهم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أصحابنا 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315" w:name="pg10921_145284"/>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127484_2870459653"/>
      <w:bookmarkStart w:id="317" w:name="_Toc119"/>
      <w:bookmarkEnd w:id="316"/>
      <w:r>
        <w:rPr>
          <w:rtl w:val="true"/>
        </w:rPr>
        <w:t>القسم الثاني</w:t>
      </w:r>
      <w:bookmarkEnd w:id="317"/>
    </w:p>
    <w:p>
      <w:pPr>
        <w:pStyle w:val="BookText"/>
        <w:rPr/>
      </w:pPr>
      <w:r>
        <w:rPr>
          <w:rFonts w:ascii="Amiri" w:hAnsi="Amiri" w:eastAsia="Amiri" w:cs="Amiri"/>
          <w:color w:val="111111"/>
          <w:sz w:val="28"/>
          <w:sz w:val="28"/>
          <w:szCs w:val="28"/>
          <w:rtl w:val="true"/>
          <w:lang w:bidi="ar-SA"/>
        </w:rPr>
        <w:t>ينقل أقوال العلماء المختلفة في الرجل، كما يلاحظ في ترجمة الحسن بن أحمد بن القاسم،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في هذه الطائفة غير أنّي رأيت بعض أصحابنا يغمز عليه في بعض رواياته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أحمد بن محمّد بن جعفر،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في حديثه مسكوناً إلى روايته غير أنّه قيل يروي عن الضعفاء</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أحمد بن الحسين بن سعيد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جميع شيوخ أبيه إلّا حماد ابن عيسى فيما زعم أصحابنا القمّيّون وضعّفوه،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وحديثه يعرف وينكر</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127486_2870459653"/>
      <w:bookmarkStart w:id="319" w:name="_Toc120"/>
      <w:bookmarkEnd w:id="318"/>
      <w:r>
        <w:rPr>
          <w:rtl w:val="true"/>
        </w:rPr>
        <w:t>القسم الثالث</w:t>
      </w:r>
      <w:bookmarkEnd w:id="319"/>
    </w:p>
    <w:p>
      <w:pPr>
        <w:pStyle w:val="Heading5"/>
        <w:numPr>
          <w:ilvl w:val="4"/>
          <w:numId w:val="1"/>
        </w:numPr>
        <w:rPr/>
      </w:pPr>
      <w:bookmarkStart w:id="320" w:name="__RefHeading___Toc3127488_2870459653"/>
      <w:bookmarkStart w:id="321" w:name="_Toc121"/>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يذكر الوصف صريحاً جازماً من غير نسبة،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 في هذا القسم كون الوصف متّفقاً عليه بين الطائفة من غير خلاف يذكر إلّا إذا دلّت قرينة على خلاف ذلك، كما وقع في الحسن بن الحسين اللؤلؤي الذي ضعّفه محمّد بن الحسن بن الوليد وأبو العباس السيرافي إلّا أنّه وثّقه صريحاً في ترجمته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هذا القسم أيضاً أنّ منشأه هو شياع وشهرة الوصف بين الأصحاب مع قيام الشواهد والقرائن على ما اتّفق عليه الأصحاب، مثل اشتهار واقفي </w:t>
      </w:r>
    </w:p>
    <w:p>
      <w:pPr>
        <w:pStyle w:val="BookText"/>
        <w:rPr/>
      </w:pPr>
      <w:r>
        <w:rPr>
          <w:rFonts w:ascii="Amiri" w:hAnsi="Amiri" w:eastAsia="Amiri" w:cs="Amiri"/>
          <w:color w:val="111111"/>
          <w:sz w:val="28"/>
          <w:sz w:val="28"/>
          <w:szCs w:val="28"/>
          <w:rtl w:val="true"/>
          <w:lang w:bidi="ar-SA"/>
        </w:rPr>
        <w:t>كذّاب بينهم مع قيام شواهد لدى النجاشي على كذبه، فيحكم بضعفه بصورة جازمة كما ورد في ترجمة الحسن بن محمّد بن يحيى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المجاهيل أحاديث منكرة رأيت أصحابنا يضعّفونه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ترجمة عبد الله بن سنان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أصحابنا، جليل، لا يطعن عليه في شيء</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ومثل هذا يُظهر قيام الشواهد المؤكّدة عنده لما اشتهر بين الأصحاب من وثاقته ونفي مطلق الطعن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يمكن أن يُعلم أيضاً ممّا ورد في ترجمة محمّد بن عيسى بن عبيد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أصحابنا ينكرون هذا القول ويقولون مَن مثل أبي جعفر محمّد بن عيسى</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في ترجمة محمّد بن أحمد بن يحيى توثيقاً عن ابن نوح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أصاب شيخنا أبو جعفر محمّد بن الحسن بن الوليد في ذلك كلّه، وتبعه أبو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في محمّد بن عيسى بن عبيد فلا أدري ما رابه 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حيث نقل وثاقته عن الأصحاب وشهرتها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أنكر ابن نوح ما ذكره ابن الوليد في حقّه؛ لعدم قيام الشواهد على ضعفه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يشهد لطريقته أيضاً ما ورد في ترجمة علي بن محمّد بن شيرة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فقيهاً مكثراً من الحديث، فاضلاً، غمز عليه أحمد بن محمّد بن عيسى، وذكر أنّه </w:t>
      </w:r>
      <w:bookmarkStart w:id="322" w:name="pg10921_145286"/>
    </w:p>
    <w:p>
      <w:pPr>
        <w:pStyle w:val="BookText"/>
        <w:rPr/>
      </w:pPr>
      <w:bookmarkEnd w:id="322"/>
      <w:r>
        <w:rPr>
          <w:rFonts w:ascii="Amiri" w:hAnsi="Amiri" w:eastAsia="Amiri" w:cs="Amiri"/>
          <w:color w:val="111111"/>
          <w:sz w:val="28"/>
          <w:sz w:val="28"/>
          <w:szCs w:val="28"/>
          <w:rtl w:val="true"/>
          <w:lang w:bidi="ar-SA"/>
        </w:rPr>
        <w:t>سمع منه مذاهب منكرة، وليس في كتبه ما يدلّ على ذلك</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بتقريب ظهور تتبّعه لإيجاد الأدلّة، وتثبيت الشواهد للأقوال فمتى ما وجد الشواهد على الأقوال حكم بصورة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التوصيف المنسوب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ممّا تقدّم عدم قيام الشواهد عنده على الإثبات، فينسبه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تقوم عنده الشواهد على خلاف ما اشتهر بين الأصحاب، لكنه يرجّح ما اشتهر ويعمل به، كما يظهر من ترجمة ابن عياش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الشيخ، وكان صديقاً لي ولوالدي، وسمعت منه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شيوخنا يضعّفونه، فلم أروِ عنه وتجنّبته، وكان من أهل العلم والأدب القوي وطيب الشعر حسن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وسامحه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توصيفاته التي وردت بصورة جازمة من غير نسبة إلى الأصحاب هو مشهوريّة الوصف بينهم مع قيام الشواهد المثبتة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هذا زعم بعضٌ حدسيّة توصيفات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بصورة جازمة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الصحيح من مذهب المشهور من حسيّة أحكام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متمسّكاً بعدّة أدلّة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127490_2870459653"/>
      <w:bookmarkStart w:id="324" w:name="_Toc122"/>
      <w:bookmarkEnd w:id="323"/>
      <w:r>
        <w:rPr>
          <w:rtl w:val="true"/>
        </w:rPr>
        <w:t>الدليل الأوّل</w:t>
      </w:r>
      <w:bookmarkEnd w:id="324"/>
    </w:p>
    <w:p>
      <w:pPr>
        <w:pStyle w:val="Heading6"/>
        <w:numPr>
          <w:ilvl w:val="5"/>
          <w:numId w:val="1"/>
        </w:numPr>
        <w:rPr/>
      </w:pPr>
      <w:bookmarkStart w:id="325" w:name="__RefHeading___Toc3127492_2870459653"/>
      <w:bookmarkStart w:id="326" w:name="_Toc123"/>
      <w:bookmarkEnd w:id="325"/>
      <w:r>
        <w:rPr>
          <w:rtl w:val="true"/>
        </w:rPr>
        <w:t>اشارة</w:t>
      </w:r>
      <w:bookmarkEnd w:id="3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المستند في كثير من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هو اجتهاده أو اجتهاد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مضمون ما ينقله الراوي من الروايات أو غيرها من </w:t>
      </w:r>
    </w:p>
    <w:p>
      <w:pPr>
        <w:pStyle w:val="BookText"/>
        <w:rPr/>
      </w:pPr>
      <w:r>
        <w:rPr>
          <w:rFonts w:ascii="Amiri" w:hAnsi="Amiri" w:eastAsia="Amiri" w:cs="Amiri"/>
          <w:color w:val="111111"/>
          <w:sz w:val="28"/>
          <w:sz w:val="28"/>
          <w:szCs w:val="28"/>
          <w:rtl w:val="true"/>
          <w:lang w:bidi="ar-SA"/>
        </w:rPr>
        <w:t>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النقل المتّصل سنداً إلى من عاصر الراوي وشهد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يكون ذلك النقل الحسّي متواتراً ومستفيضاً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بالاعتماد على مبنى كلامي لديه أو لدى بعض مشايخه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خلاف طريقة النجاشي في نقل هذه الأقوال كما عرفت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يجد الملاحظ كثرة تصريحاته بأنّه ليس إلّا ناقلاً للأقوال من علمائنا المتقدّمين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ما ذكره في بداية الجزء الثاني من كتابه،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الثاني من فهرست أسماء مصنّفي الشيعة وما أدركنا من مصنّفاتهم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طرف من كناهم، وألقابهم، ومنازلهم، وأنسابهم، وما قيل في كلّ رجل منهم من مدح أو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وصريح هذا هو نقل ما قيل في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حسّ لا حدس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في كثير من هذه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التعبير عن بعض هذه الأوصاف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جليّاً من ترجمة أبي المفضّل الشيباني،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جلّ أصحابنا يغمزونه ويضعّفونه، رأيت هذا الشيخ وسمعت منه كثيراً، ثمّ توقّفت عن الرواية عنه إلّا بواسطة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المفضّل على الرغم من معاصرته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وسماعه منه فترة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معرفة حاله بالمعاشرة والمصاحبة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ترك سماعه اعتماداً على رأي الأصحاب ممّا يؤشّر على حرصه على أقوالهم وآرائهم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عمله واعتماده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غيره كابن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نظر إلى أبي المفضّل نفسه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وضّاع، كثير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كتبه وفيها الأسانيد من دون المتون والمتون من دون </w:t>
      </w:r>
    </w:p>
    <w:p>
      <w:pPr>
        <w:pStyle w:val="BookText"/>
        <w:rPr/>
      </w:pP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ترك ما ينفرد به</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حيث يظهر منه إعمال نظره واجتهاده بسبب نظره إلى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الفرق بين مسلك النجاشي وغيره كابن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الصريح منه هو الاعتماد على كلام العلماء في ترك السماع والرواية، ولا يعتمد على كلام ابن الغضائري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من يجرح بالحدس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جملة من الشواهد على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إسماعيل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أصحابنا بالضعف</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إسماعيل بن علي وإسماعيل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أصحابنا إنّ لهما كتاب خطب</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الحسن بن عطية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رأيت أحداً من أصحابنا ذكر له تصنيفاً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الحسين بن أحمد 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ضعيفاً ذكر ذلك أصحابنا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الحسن بن أبي عثمان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أصحابنا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الموارد الكثيرة التي يظهر 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 على ما نقل </w:t>
      </w:r>
      <w:bookmarkStart w:id="327" w:name="pg10921_145289"/>
    </w:p>
    <w:p>
      <w:pPr>
        <w:pStyle w:val="BookText"/>
        <w:rPr/>
      </w:pPr>
      <w:bookmarkEnd w:id="327"/>
      <w:r>
        <w:rPr>
          <w:rFonts w:ascii="Amiri" w:hAnsi="Amiri" w:eastAsia="Amiri" w:cs="Amiri"/>
          <w:color w:val="111111"/>
          <w:sz w:val="28"/>
          <w:sz w:val="28"/>
          <w:szCs w:val="28"/>
          <w:rtl w:val="true"/>
          <w:lang w:bidi="ar-SA"/>
        </w:rPr>
        <w:t>من الثقات في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يقاس ما ذكره من توثيق أو تضعيف من دون أن ينسب ذلك إلى الأصحاب؛ لوضوح عدم شائبة الخلاف فلم يحتج عند ذكره الوصف إلى نسبته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شهرة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الاعتداد بمن خالف واعترض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ذكر له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ذكر له مدحاً وذمّاً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وجود الخلاف، فإنّه كذلك يعدّ شاهداً على عدم كونه مثبتاً لما يحدس ويعتقد في ما ألّفه وصنّفه، بل شاهداً وناقلاً</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3127494_2870459653"/>
      <w:bookmarkStart w:id="329" w:name="_Toc124"/>
      <w:bookmarkEnd w:id="328"/>
      <w:r>
        <w:rPr>
          <w:rtl w:val="true"/>
        </w:rPr>
        <w:t>مناقشة ما استُشهد به على مبنى الحدسيّة</w:t>
      </w:r>
      <w:bookmarkEnd w:id="329"/>
    </w:p>
    <w:p>
      <w:pPr>
        <w:pStyle w:val="Heading6"/>
        <w:numPr>
          <w:ilvl w:val="5"/>
          <w:numId w:val="1"/>
        </w:numPr>
        <w:rPr/>
      </w:pPr>
      <w:bookmarkStart w:id="330" w:name="__RefHeading___Toc3127496_2870459653"/>
      <w:bookmarkStart w:id="331" w:name="_Toc125"/>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وقد استُشهد على كون أحكام النجاشي ثابتة بالحدس بجملة من الموارد، وسوف نتناول هذه الموارد بالنقاش بما يتّضح من خلاله بطلان ما ذكر</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127498_2870459653"/>
      <w:bookmarkStart w:id="333" w:name="_Toc126"/>
      <w:bookmarkEnd w:id="332"/>
      <w:r>
        <w:rPr>
          <w:rtl w:val="true"/>
        </w:rPr>
        <w:t>المورد الأوّل</w:t>
      </w:r>
      <w:bookmarkEnd w:id="3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علماء الرجال في جملة من موارد الجرح والتعديل المسندة التي ذكر الكشّي طرقها إلى من عاصر تلك المفردات ببعض من لم يوثّق، فاستضعفت تلك الموارد من الجرح والتعديل أو التوثيق، فمن غريب المفارقات حينئذ المناقشة في توثيقات الكشّي أو طعونه استضعافاً لطرق تلك التوثيقات مع الإهمال في طرق النجاشي والحكم بصحتها أو استفاضتها أو تواترها، فإنّ المداقّة في أسانيد الكشّي لا يتلاءم مع الإغماض عن مستند آراء النجاشي في الجرح والتعديل، أو الشيخ، أو الغضائري الابن، وغيرهم من متقدّمي أرباب الجرح والتعديل</w:t>
      </w:r>
      <w:r>
        <w:rPr>
          <w:rFonts w:eastAsia="Amiri" w:cs="Amiri" w:ascii="Amiri" w:hAnsi="Amiri"/>
          <w:color w:val="111111"/>
          <w:sz w:val="28"/>
          <w:szCs w:val="28"/>
          <w:rtl w:val="true"/>
          <w:lang w:bidi="ar-SA"/>
        </w:rPr>
        <w:t xml:space="preserve">. </w:t>
      </w:r>
      <w:bookmarkStart w:id="334" w:name="pg10921_145290"/>
    </w:p>
    <w:p>
      <w:pPr>
        <w:pStyle w:val="BookText"/>
        <w:rPr/>
      </w:pPr>
      <w:bookmarkEnd w:id="334"/>
      <w:r>
        <w:rPr>
          <w:rFonts w:ascii="IRNazanin" w:hAnsi="IRNazanin" w:eastAsia="IRNazanin"/>
          <w:color w:val="111111"/>
          <w:sz w:val="28"/>
          <w:sz w:val="28"/>
          <w:szCs w:val="28"/>
          <w:rtl w:val="true"/>
          <w:lang w:bidi="fa-IR"/>
        </w:rPr>
        <w:t xml:space="preserve">ويجاب عنه بأنّ من الثابت في عصر المشايخ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أحوال غالب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ورد في مقدّمة فهرست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ذكرتُ كلَّ واحدٍ من المصنّفين وأصحاب الأصول فلا بدّ أن أشير إلى ما قيل فيه من التعديل والجرح</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وكذلك ما ذكره النجاشي في مقدّمة الجزء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قيل في كلِّ رجلٍ منهم من مدح أو ذم</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ذكره الشيخ في العدّة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الطائفة ميّزت بين الرجال الناقلة، ووثّقت الصحيح منهم، وضعّفت الضعفاء</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كلّ هذه شواهد حسّيّة على تواتر أحوال الرواة، فلا يحتاج في الاعتماد على تلك الشهادات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الكشّي فإنّه وإن كان من متقدّمي الأصحاب إلّا أنّه إذا نقل حكماً بواسطة سلسلة الإسناد فإنّه لا بدّ أن ينظر إلى مَن فيها من الثقات أو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إذا ما شهد بوثاقة أو ضعف أحد الرواة، فإنّه يعتبر شاهد حسّ على ما نقله من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في ما اعتمده وسار عليه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لما ذكرنا وجود ملاحظات نقديّة جاءت متناثرة في طيّات كتابه على مسلك أصحابنا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كأحمد بن محمّد بن عيسى وابن الوليد كما هو المعروف عنهم اعتمادهم على الحدس؛ إذ يظهر من جملة هذه التضعيفات أنّ هناك جملة من الأسباب كانت عندهم أساساً للذم</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127500_2870459653"/>
      <w:bookmarkStart w:id="336" w:name="_Toc127"/>
      <w:bookmarkEnd w:id="335"/>
      <w:r>
        <w:rPr>
          <w:rtl w:val="true"/>
        </w:rPr>
        <w:t>المورد الثاني</w:t>
      </w:r>
      <w:bookmarkEnd w:id="3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إنّ من الشواهد القاطعة اختلاف مباني جملة من أجلّاء الرواة </w:t>
      </w:r>
    </w:p>
    <w:p>
      <w:pPr>
        <w:pStyle w:val="BookText"/>
        <w:rPr/>
      </w:pPr>
      <w:r>
        <w:rPr>
          <w:rFonts w:ascii="Amiri" w:hAnsi="Amiri" w:eastAsia="Amiri" w:cs="Amiri"/>
          <w:color w:val="111111"/>
          <w:sz w:val="28"/>
          <w:sz w:val="28"/>
          <w:szCs w:val="28"/>
          <w:rtl w:val="true"/>
          <w:lang w:bidi="ar-SA"/>
        </w:rPr>
        <w:t xml:space="preserve">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المعاصرين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النجاشي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 بأسانيد صحيحة رواية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الإجماع بكثرة عن جملة من الرواة الذين ضعّفهم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بالغ في تضعيفهم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الجليل عن شخص ليس فيها دلالة على وثاقة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عند علمائنا؛ لوضوح اعتماد المتقدّمين من الأصحاب على القرائن المصحّحة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 عنه بمسلك الوثوق بمضمون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بعض القرائن التي تحيط بالمضمون؛ لذا نجد بعض الأصحاب ينقلون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البعض قد أكثر من هذا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أساس هذه الكثرة اعتضاد أخباره بما رواه الأصحاب أو غيرها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عُدّ عند بعضٍ أنّ كثرة الرواية عن الضعفاء موجبة لوهنه، إلّا أنّه لا يعدو عن كونه منهجاً متشدّداً في علم الرجال كما سوف 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والنقل عن الضعفاء نجده واضحاً حتى في روايات المشايخ الثلاثة، إلّا أنّ هذا لا يعتبر هادماً لتضعيفات علمائنا المتقدّمين الصريحة في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في أصل الإشكال يؤدّي إلى أنّ مبنى المتقدّمين عدم كثرة الرواية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مضامين أخباره مطابقة للواقع بدلالة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تعدّ روايتهم عنهم شهادة بالمدح، إلّا أنّه خالٍ من الدليل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نقل عن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لا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مَن نصّ على ضعفه علماؤنا أمثال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الشيخ؛ للأخصيّة أو النصوصيّة</w:t>
      </w:r>
      <w:r>
        <w:rPr>
          <w:rFonts w:eastAsia="Amiri" w:cs="Amiri" w:ascii="Amiri" w:hAnsi="Amiri"/>
          <w:color w:val="111111"/>
          <w:sz w:val="28"/>
          <w:szCs w:val="28"/>
          <w:rtl w:val="true"/>
          <w:lang w:bidi="ar-SA"/>
        </w:rPr>
        <w:t xml:space="preserve">. </w:t>
      </w:r>
      <w:bookmarkStart w:id="337" w:name="pg10921_145292"/>
    </w:p>
    <w:p>
      <w:pPr>
        <w:pStyle w:val="BookText"/>
        <w:rPr/>
      </w:pPr>
      <w:bookmarkEnd w:id="33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اختلاف مباني المتقدّمين مع مباني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يدلّ على كون تضعيفات النجاشي مبتنية على الاجتهاد والحدس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واقع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اختلاف طرفين في عدالة شخص أو شجاعته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يكشف عن اعتمادهم على الحدس بل قد تكون حسّيّة مبتنية على المشاهدات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ما ذكر لو قلنا إنّ المراد بالوثاقة المستفادة من رواية الأجلّاء هي روايتهم عمّن اتّفق بينهم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كونه نادراً في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بطلانه رواية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عرف عنهم بأنّهم لا يروون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وقع فيهم الخلاف أمثال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حمزة البطائني</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127502_2870459653"/>
      <w:bookmarkStart w:id="339" w:name="_Toc128"/>
      <w:bookmarkEnd w:id="338"/>
      <w:r>
        <w:rPr>
          <w:rtl w:val="true"/>
        </w:rPr>
        <w:t>المورد الثالث</w:t>
      </w:r>
      <w:bookmarkEnd w:id="339"/>
    </w:p>
    <w:p>
      <w:pPr>
        <w:pStyle w:val="BookText"/>
        <w:rPr/>
      </w:pPr>
      <w:r>
        <w:rPr>
          <w:rFonts w:ascii="Amiri" w:hAnsi="Amiri" w:eastAsia="Amiri" w:cs="Amiri"/>
          <w:color w:val="111111"/>
          <w:sz w:val="28"/>
          <w:sz w:val="28"/>
          <w:szCs w:val="28"/>
          <w:rtl w:val="true"/>
          <w:lang w:bidi="ar-SA"/>
        </w:rPr>
        <w:t>وجود جملة من الموارد التي اختلف فيها الشيخ مع النجاشي من حيث التضعيف والتوثيق أو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مع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مستند النجاشي الخبر الحسّي المتضافر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مجال للاختلاف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في الجرح والتعديل في الأصول الرجاليّة المتقدّمة يكشف عن عدم التواتر في مستند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كونها نابعة من الحس</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النجاشي جارح عن حدس فلا يختصّ ذلك بالتضعيف؛ لإمكان فرضه في التوثيق أيضاً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الاختلاف لا يعدّ كاشفاً عن حدسيّة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الاختلاف في الحسّيّات أيضاً أو في القريبة من الحسّ</w:t>
      </w:r>
      <w:r>
        <w:rPr>
          <w:rFonts w:eastAsia="Amiri" w:cs="Amiri" w:ascii="Amiri" w:hAnsi="Amiri"/>
          <w:color w:val="111111"/>
          <w:sz w:val="28"/>
          <w:szCs w:val="28"/>
          <w:rtl w:val="true"/>
          <w:lang w:bidi="ar-SA"/>
        </w:rPr>
        <w:t xml:space="preserve">. </w:t>
      </w:r>
      <w:bookmarkStart w:id="340" w:name="pg10921_145293"/>
    </w:p>
    <w:p>
      <w:pPr>
        <w:pStyle w:val="BookText"/>
        <w:rPr/>
      </w:pPr>
      <w:bookmarkEnd w:id="34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وقع الخلاف فيها بين الشيخ والنجاشي غير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هذا الاختلاف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ضعّفهم الشيخ ووثّقهم النجاشي كمحمّد ابن يحيى بن عبيد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فيه الخلاف بين العلمين كان ناشئاً من الاختلاف في مباني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قد يعتمد النقل أساساً في قراءة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قد يلاحظ الأخبار ميزاناً في وصف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يقال بحسّيّة تضعيفات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اعتمد النقل 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الشيخ لأنّ المحتمل كون تضعيفاته جارية على مباني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بيّنا في بحث مستقل أنّ ظاهر أحكام الشيخ ناشئة من متابعته لمدرسة قم</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3127504_2870459653"/>
      <w:bookmarkStart w:id="342" w:name="_Toc129"/>
      <w:bookmarkEnd w:id="341"/>
      <w:r>
        <w:rPr>
          <w:rtl w:val="true"/>
        </w:rPr>
        <w:t>المورد الرابع</w:t>
      </w:r>
      <w:bookmarkEnd w:id="342"/>
    </w:p>
    <w:p>
      <w:pPr>
        <w:pStyle w:val="BookText"/>
        <w:rPr/>
      </w:pPr>
      <w:r>
        <w:rPr>
          <w:rFonts w:ascii="Amiri" w:hAnsi="Amiri" w:eastAsia="Amiri" w:cs="Amiri"/>
          <w:color w:val="111111"/>
          <w:sz w:val="28"/>
          <w:sz w:val="28"/>
          <w:szCs w:val="28"/>
          <w:rtl w:val="true"/>
          <w:lang w:bidi="ar-SA"/>
        </w:rPr>
        <w:t>النقض بدعوى التواتر والاستفاضة في روايات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الدواعي متوفّرة بالأضعاف في الاهتمام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وتكثير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الشواهد المتكاثرة على تعدّد الطرق للروايات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ذكره أصحابها من الطرق ليست هي كلّ ما لديهم، إلى غير ذلك من عشرات القرائن والشواهد التي اعتمدها الأخباريّون في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ووافقهم عدّة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تثبت ولم تتقرّر الحجّيّة لكلّ ما في الكتب الأربعة بنحو الاستغراق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يولّد علماً إجماليّاً بالصدور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بالرغم من شدّة الاهتمام بها والمبالغة في تكثير الطرق لها إلّا أنّه لم يصل إلى حد إثبات الحجّيّة لكلّ ما في الكتب الأربعة من روايات، فكيف أمكن أن يدّعى ذلك بالنسبة إلى أحكام النجاشي التي هي في الغالب مرسلة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 بأنّ من الثابت في بعضٍ من أحكام النجاشي هو نشوؤها عن الحدس وإعمال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ذلك فيما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w:t>
      </w:r>
      <w:bookmarkStart w:id="343" w:name="pg10921_145294"/>
    </w:p>
    <w:p>
      <w:pPr>
        <w:pStyle w:val="BookText"/>
        <w:rPr/>
      </w:pPr>
      <w:bookmarkEnd w:id="343"/>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يمكن جعل ذلك ميزاناً في تقييم جميع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أحكامه هو عن حسّ إلّا إذا اقترن بما يدلّ على الحدس وتكون حجّة بناء على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الاطمئنان بكلامه الناشئ من وثاقته وخبرته في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المباني التي ذكرت في باب حجّية قول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أمثال هذه الموارد لا يضرّ بذلك الأصل؛ لوجود قرينة عليها</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127506_2870459653"/>
      <w:bookmarkStart w:id="345" w:name="_Toc130"/>
      <w:bookmarkEnd w:id="344"/>
      <w:r>
        <w:rPr>
          <w:rtl w:val="true"/>
        </w:rPr>
        <w:t>ملاكات التضعيف عند القمّيّين</w:t>
      </w:r>
      <w:bookmarkEnd w:id="345"/>
    </w:p>
    <w:p>
      <w:pPr>
        <w:pStyle w:val="BookText"/>
        <w:rPr/>
      </w:pPr>
      <w:r>
        <w:rPr>
          <w:rFonts w:ascii="Amiri" w:hAnsi="Amiri" w:eastAsia="Amiri" w:cs="Amiri"/>
          <w:color w:val="111111"/>
          <w:sz w:val="28"/>
          <w:sz w:val="28"/>
          <w:szCs w:val="28"/>
          <w:rtl w:val="true"/>
          <w:lang w:bidi="ar-SA"/>
        </w:rPr>
        <w:t>المعروف عن أصحابنا القمّيّين تضعيف مجموعة من الرجال الموثّقين عند غيرهم؛ اعتماداً على بعض المباني والملاكات التي تظهر من بعض الترجمات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الراوي بضعف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يعتمدون مطلقاً على مَن كان موصوفاً بضعف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أنّ المشهور بين العامّة والخاصّة هو العدم؛ إذ الرواية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رواية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الرواية 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الضعف في ذات الراوي ووثاقته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الوحيد في تعليقته،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فرق بين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بالقدح منه أضعف</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الشيخ المامقاني في مقباس الهداية،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تقييد الضعف ونحوه بالحديث هو عدمه في نفسه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ينعت الضعيف في بعض الكلمات بضعف الحديث كما قال المقدَّس الأعرجي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ظهر من تخصيص الضعف بالحديث القدح بالمحدّث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ربّما فعلوا ذلك بالمقدوح</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إلّا أنّه ليس الأصل في هذا الوصف هو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السيّد الأعرجي إنّما يختصّ في المواطن التي تجتمع مع القرينة دون الخالية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نستطيع أن نحكم على مَن وصف بالرواية عن الضعفاء بأنّه ليس بثقة، ولا يعتمد عليه وإن كان الراوي بعده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المسلّم عند مشهور علماء الفريقين هو اجتماع الوثاقة مع ضعف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ترجمة محمد بن معاوية بن أعين أبي علي النيشابوري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عبادة وفضل وصلاح، ولكنّه ضعيف الحديث</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الذهبي في ترجمة مسلم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ومسلم بن خالد هذا على جلالة قدره في الفقه ضعيف في الحديث؛ لسوء حفظه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المزّي في ترجمة الربيع بن الصبيح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صالح، صدوق، ثقة، ضعيف جدّاً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النجاشي موافقته لمسلك المشهور حيث صرّح في جملة من موارد أحكامه بهذا الاجتماع كما في ترجمة الحسن بن محمّد بن جمهور،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w:t>
      </w:r>
    </w:p>
    <w:p>
      <w:pPr>
        <w:pStyle w:val="BookText"/>
        <w:rPr/>
      </w:pPr>
      <w:r>
        <w:rPr>
          <w:rFonts w:ascii="Amiri" w:hAnsi="Amiri" w:eastAsia="Amiri" w:cs="Amiri"/>
          <w:color w:val="111111"/>
          <w:sz w:val="28"/>
          <w:sz w:val="28"/>
          <w:szCs w:val="28"/>
          <w:rtl w:val="true"/>
          <w:lang w:bidi="ar-SA"/>
        </w:rPr>
        <w:t>الضعفاء، ويعتمد على المراسيل</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ترجمة أحمد بن محمّد بن خالد البرقي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في نفسه، يروي عن الضعفاء، ويعتمد المراسيل</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وما ذكره في ترجمة محمّد بن أحمد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يبالي عمّن أخذ، وما عليه في نفسه مطعن في شيء</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يعدّ عدم المبالاة فيمن يروي عنه مؤشّراً على حسن حال الراوي من جهة حسن ظنّه بالآخرين المتّفق مع تديّنه والتنزّه عن الطعن بالرواة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أصحابنا من مدرسة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عدّوا ضعف الحديث ملازماً للضعف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جاء تضعيفهم لجملة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كانوا يخرجون الراوي بمجرّد توهم الريب، كما نصّ على ذلك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ابن عيسى أخرج جماعة من قم باعتبار روايتهم عن الضعفاء وإيرادهم المراسيل وكان اجتهاداً منه، والظاهر خطؤه، ولكن كان رئيس قم والناس مع المشهورين إلّا مَن عصمه الله، ولو كنتَ تلاحظ ما رواه الكليني في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النصّ على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وإنكاره النصّ لتعصّب الجاهليّة أن تكون الشهادة لرجل من العرب بأنّه لِمَ قدّمتم علي وذكر هذا العذر بعد الاعتراف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كنت تروي عنه شيئاً ولكنه تاب ونرجو أن يكون تاب الله عليه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نفس ما حكاه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في شرح الاستبصار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ونراهم يطلقون الضعف على مَن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الأخبار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هذا بملاحظة ما ذُكر في ترجمة عليّ بن محمّد بن جعفر بن عنبسة الذي 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روى عن الضعفاء، لا يلتفت إليه</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المنشأ لهذا التضعيف هو الرواية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النجاشي فقال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 ابن رويدة، مضطرب الحديث</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الموارد تُظهر دقّة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مسلكه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جاء صريحاً على لسان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في ترجمة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حالهم من قدحهم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بالنسبة إلى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 ما ارتكبوا بالنسبة إليهم من إخراج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باعتبار رواية المراسيل وعن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لم يثبت عندهم عدالة رواتها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أحاديث الراوي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هناك جملة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علماء مدرسة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سيرتهم اعتماد منهج قراءة المضامين لاستكشاف حال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وجدوا روايته لبعض الأحاديث التي لا تتناسب وما إليه يذهبون، ولا تنسجم مع ما عليه يبنون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حكموا بضعفه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حال عمر بن توبة الذي ترجم له النجاشي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حديثه بعض الشيء، يعرف منه وينكر</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بخلاف ابن الغضائري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لا يلتفت إليه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وما ذكر في ترجمة عبد الرحمن بن أحمد بن نهيك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الحديث بذاك، يعرف منه وينكر، ذكر ذلك أحمد بن عليّ السيرافي</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بخلاف ابن الغضائري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مرتفع القول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المنهج لا يقتصر على علماء مدرسة قم وابن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النجاشي في بعض الأحيان نجده ينحو بهذا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علي بن محمّد بن شيرة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غمز عليه أحمد بن محمّد بن عيسى وذكر أنّه سمع منه مذاهب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كتبه ما يدلّ على ذلك</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منه قراءته لكتب ابن شيرة لردّ دعوى ابن عيسى وإثبات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هو مورد واحد لا ثاني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كون القراءة في روايات الراوي منهجاً؛ إذ إنّ المقام هو لردّ دعوى ابن عيسى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أنّ أحد أسس منهجهم هو قراءة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أراد أن ينفي الصغرى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من هذا المورد اعتماده على هذا المنهج؛ لأنّ ظاهر مدحه قبل نقل كلام ابن عيسى كاشف عن معروفيّته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مكثراً من الحديث، فاضلاً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الاتّهام بالغلو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يظهر من علمائنا القمّيّين وابن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جملة من الرواة الذين </w:t>
      </w:r>
    </w:p>
    <w:p>
      <w:pPr>
        <w:pStyle w:val="BookText"/>
        <w:rPr/>
      </w:pPr>
      <w:r>
        <w:rPr>
          <w:rFonts w:ascii="IRNazanin" w:hAnsi="IRNazanin" w:eastAsia="IRNazanin"/>
          <w:color w:val="111111"/>
          <w:sz w:val="28"/>
          <w:sz w:val="28"/>
          <w:szCs w:val="28"/>
          <w:rtl w:val="true"/>
          <w:lang w:bidi="fa-IR"/>
        </w:rPr>
        <w:t xml:space="preserve">اتّهموا بالغلو؛ لأنّهم رووا جملة من معجزات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يظهر من هذا اعتقادهم بمنزلة خاصّة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عرفوا من شخص تجاوزها اتّهموه بالغلو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يتّفق الجميع على إنكار مراتب من الغلو ويتّهم أصحابه بالانحراف ووقوعهم بما نصب لهم الشيطان من فخاخ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المؤدّي إلى ترك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الكشّي جمعاً،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مروان،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 العياشي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عبد الله بن مروان فإنّ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تمتحن في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أحضره وقت صلاة</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ظاهر في دلائل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ترك الصلاة كاشفاً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نقل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عبد الحميد في كتابه المؤلّف في إثبات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الإمام تكفي من الصوم والصلاة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القدر المتيقن من الغلو الملازم للانحراف، وقد دلّت عليه جملة من الروايات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احذروا على شبابكم، الغلاة لا يفسدوهم، فإنّ الغلاة شرّ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إلينا يرجع الغالي فلا 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يلحق المقصّر فنقبله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الغالي قد اعتاد ترك الصلاة والزكاة والصيام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يقدر على ترك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الرجوع إلى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p>
    <w:p>
      <w:pPr>
        <w:pStyle w:val="BookText"/>
        <w:rPr/>
      </w:pPr>
      <w:r>
        <w:rPr>
          <w:rFonts w:ascii="IRNazanin" w:hAnsi="IRNazanin" w:eastAsia="IRNazanin"/>
          <w:color w:val="111111"/>
          <w:sz w:val="28"/>
          <w:sz w:val="28"/>
          <w:szCs w:val="28"/>
          <w:rtl w:val="true"/>
          <w:lang w:bidi="fa-IR"/>
        </w:rPr>
        <w:t>وإنّ المقصّر إذا عرف عمل وأطاع</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هذا أنّه لو ثبت هذا المعنى في أحد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مشمولاً بهذه الأوصاف فلا حجّيّة لقوله؛ لأنّه لا يكون مصداقاً لما ذكر من السيرة أو الأحاديث أو الآيات الدالّة على حجّيّة أخبار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مرتبة من الإيمان ببعض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بعض الأوصاف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وللأئمّة الأوصياء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علماؤنا القميّون هذه المرتبة من مراتب الغلو 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نقله لنا الشيخ المفيد عن محمّد بن الحسن ابن الوليد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درجة في الغلو 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صحّت هذه الحكاية عنه فهو مقصّر مع أنّه من علماء القمّيّين ومشيختهم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وجدنا جماعة وردوا إلينا من قم يقصّرون تقصيراً ظاهراً في الدين، ينزّلون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ويزعمون أنّهم كانوا لا يعرفون كثيراً من الأحكام الدينيّة حتى ينكت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ورأينا من يقول إنّهم كانوا يلتجئون في حكم الشريعة إلى الرأي والظنون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ويدّعون مع ذلك أنّهم من العلماء</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يظهر أنّ جملة من هذه الاعتقادات كانت السبب وراء جملة من التضعيفات الصادرة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نجد أنّ جرحهم يستند إلى الاتّهام بالغلو وإن كان بالمرتبة التي وقع فيها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بين الغلو والكذب كما هو ظاهر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بهذا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الظاهر أنّ كثيراً من </w:t>
      </w:r>
    </w:p>
    <w:p>
      <w:pPr>
        <w:pStyle w:val="BookText"/>
        <w:rPr/>
      </w:pPr>
      <w:r>
        <w:rPr>
          <w:rFonts w:ascii="IRNazanin" w:hAnsi="IRNazanin" w:eastAsia="IRNazanin"/>
          <w:color w:val="111111"/>
          <w:sz w:val="28"/>
          <w:sz w:val="28"/>
          <w:szCs w:val="28"/>
          <w:rtl w:val="true"/>
          <w:lang w:bidi="fa-IR"/>
        </w:rPr>
        <w:t>القدماء سيّما القمّيّين منهم والغضائري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يعتقد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خاصّة من الرفعة والجلالة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ومرتبة معيّنة من العصمة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اجتهادهم ورأيهم، وما كانوا يجوّزون التعدّي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يعدّون التعدّي ارتفاعاً وغلوّاً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معتقدهم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إنّهم جعلوا مثل نفي السهو عنهم 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جعلوا مطلق التفويض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التفويض الذي اختلف فيه كما سنذكر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المبالغة في معجزاتهم ونقل العجائب من خوارق العادات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والإغراق في شأنهم وإجلالهم وتنزيههم عن كثير من النقائص وإظهار كثير قدر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علمهم بمكنونات السماء والأرض ارتفاعاً أو مورثاً للتهمة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بجهة أنّ الغلاة كانوا مختفين في الشيعة مخلوطين بهم مدلّسين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القدماء كانوا مختلفين في المسائل الأصوليّة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كان شيء عند بعضهم فاسداً أو كفراً أو غلوّاً وتفويضاً أو جبراً أو تشبيهاً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 آخر ممّا يجب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هذا ولا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منشأ جرحهم بالأمور المذكورة وجدان الرواية الظاهرة فيها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ادّعاه أرباب المذاهب كونه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روايتهم عنه، وربّما كان المنشأ روايتهم المناكير عنه 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ربّما يحصل التأمّل في جرحهم بأمثال الأمور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أحمد ابن محمّد بن عيسى والغضائري ربّما ينسبان الراوي إلى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الحديث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نسباه إلى الغلوّ، وكأنّه لروايته ما يدلّ عليه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النجاشي فلا يجعل فساد الاعتقاد ملازماً للكذب والانحراف؛ لوضوح الفرق بينهما، ويشهد لذلك أمور</w:t>
      </w:r>
      <w:r>
        <w:rPr>
          <w:rFonts w:eastAsia="Amiri" w:cs="Amiri" w:ascii="Amiri" w:hAnsi="Amiri"/>
          <w:color w:val="111111"/>
          <w:sz w:val="28"/>
          <w:szCs w:val="28"/>
          <w:rtl w:val="true"/>
          <w:lang w:bidi="ar-SA"/>
        </w:rPr>
        <w:t xml:space="preserve">: </w:t>
      </w:r>
      <w:bookmarkStart w:id="346" w:name="pg10921_145302"/>
    </w:p>
    <w:p>
      <w:pPr>
        <w:pStyle w:val="BookText"/>
        <w:rPr/>
      </w:pPr>
      <w:bookmarkEnd w:id="3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ترجمة الحسين بن حمدان حيث 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فاسد المذهب، صاحب مقالة 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بخلاف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 المذهب،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الرسالة تخليط</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 يظهر الفرق بين المنهجين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ذكر في ترجمة صالح بن عقبة بن قيس الذي 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بخلاف النجاشي فإنّه لم يذكر له أيّ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ترجمة أحمد بن محمد بن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متهالك، غالٍ، منحرف</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بخلاف النجاشي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وقع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 غلوّ أو تخليط</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الموارد الكثيرة الظاهرة في أنّ الأساس للذمّ هو الاجتهاد والحدس</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127508_2870459653"/>
      <w:bookmarkStart w:id="348" w:name="_Toc131"/>
      <w:bookmarkEnd w:id="347"/>
      <w:r>
        <w:rPr>
          <w:rtl w:val="true"/>
        </w:rPr>
        <w:t>إزاحة وهم</w:t>
      </w:r>
      <w:bookmarkEnd w:id="34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وعلى الرغم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بأنّ النجاشي يعتمد في تضعيفاته على زميله وشيخه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أنّ تضعيفات النجاشي تبتني على الحدس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ما يعتقد من مبانٍ كلاميّة وأصول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الغضائري كان مشاركاً </w:t>
      </w:r>
    </w:p>
    <w:p>
      <w:pPr>
        <w:pStyle w:val="BookText"/>
        <w:rPr/>
      </w:pPr>
      <w:r>
        <w:rPr>
          <w:rFonts w:ascii="Amiri" w:hAnsi="Amiri" w:eastAsia="Amiri" w:cs="Amiri"/>
          <w:color w:val="111111"/>
          <w:sz w:val="28"/>
          <w:sz w:val="28"/>
          <w:szCs w:val="28"/>
          <w:rtl w:val="true"/>
          <w:lang w:bidi="ar-SA"/>
        </w:rPr>
        <w:t>للنجاشي في القراءة على والده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القراءة على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يعزّز تأثّر النجاشي بابن الغضائري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مجرّد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من شواهد لا تصمد أمام الناقد البصير؛ لوضوح أنّ المزاملة والشيخوخة لا 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في التأثّر والتلقّي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عند النجاشي وهو المتضلّع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الذوق والحسّ 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أصحابنا المتقدّمين تلمّذوا على العامّة فضلاً عن النواصب ومن اعتنقوا المذاهب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يؤثّر هذا على ما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ويغيّر ما يرون وينتهجون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وتلمّذ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مزاملته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الحسين وكذلك لعلمائنا من أهل قم الذين عرفوا بأنّ منهجهم في النقد هو الاجتهاد والحدس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أجلّة أصحابنا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يستدعي تركه لما ينظرون، لا سيّما وأنّ توثيقاتهم ممّا يمكن 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عرفوا بالتحرّج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التضعيفات، وأنّ مجرّد التلمّذ لا يقتضي التأثّر بعد وضوح اختلاف المنهجين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من متابعات في ما سطّره النجاشي من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يؤسّس قاعدة تجري في جميع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ومتابعته لغيره في بعضها لا تكون متابعة له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شواهد كثيرة على خلاف ما ذكر؛ لإمكان أن يدّعى نشوؤها عن الحسّ لا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له أن ينقل ما نقله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أصحاب مدرسة الحدس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ما يبّرر ترك جميع هذه التضعيفات على أساس أنّها صادرة عمّن ينتهج الحدس</w:t>
      </w:r>
      <w:r>
        <w:rPr>
          <w:rFonts w:eastAsia="Amiri" w:cs="Amiri" w:ascii="Amiri" w:hAnsi="Amiri"/>
          <w:color w:val="111111"/>
          <w:sz w:val="28"/>
          <w:szCs w:val="28"/>
          <w:rtl w:val="true"/>
          <w:lang w:bidi="ar-SA"/>
        </w:rPr>
        <w:t xml:space="preserve">. </w:t>
      </w:r>
      <w:bookmarkStart w:id="349" w:name="pg10921_145304"/>
    </w:p>
    <w:p>
      <w:pPr>
        <w:pStyle w:val="Heading6"/>
        <w:numPr>
          <w:ilvl w:val="5"/>
          <w:numId w:val="1"/>
        </w:numPr>
        <w:rPr/>
      </w:pPr>
      <w:bookmarkStart w:id="350" w:name="__RefHeading___Toc3127510_2870459653"/>
      <w:bookmarkStart w:id="351" w:name="_Toc132"/>
      <w:bookmarkEnd w:id="349"/>
      <w:bookmarkEnd w:id="350"/>
      <w:r>
        <w:rPr>
          <w:rtl w:val="true"/>
        </w:rPr>
        <w:t>مناقشة الشواهد</w:t>
      </w:r>
      <w:bookmarkEnd w:id="351"/>
    </w:p>
    <w:p>
      <w:pPr>
        <w:pStyle w:val="Heading6"/>
        <w:numPr>
          <w:ilvl w:val="5"/>
          <w:numId w:val="1"/>
        </w:numPr>
        <w:rPr/>
      </w:pPr>
      <w:bookmarkStart w:id="352" w:name="__RefHeading___Toc3127512_2870459653"/>
      <w:bookmarkStart w:id="353" w:name="_Toc133"/>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ترجمة جعفر بن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تضعيف النجاشي</w:t>
      </w:r>
      <w:r>
        <w:rPr>
          <w:rStyle w:val="FootnoteAnchor"/>
          <w:rtl w:val="true"/>
        </w:rPr>
        <w:footnoteReference w:id="412"/>
      </w:r>
      <w:r>
        <w:rPr>
          <w:rFonts w:ascii="Amiri" w:hAnsi="Amiri" w:eastAsia="Amiri" w:cs="Amiri"/>
          <w:color w:val="111111"/>
          <w:sz w:val="28"/>
          <w:sz w:val="28"/>
          <w:szCs w:val="28"/>
          <w:rtl w:val="true"/>
          <w:lang w:bidi="ar-SA"/>
        </w:rPr>
        <w:t>ناشئ من قول ابن الغضائري كما حكي عن روضة المتقين</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واضح؛ إذ قد صرّح بأنّه ضعيف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عادة يمكن معرفته عن حسّ بتتبّع رواياته ومشايخه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يروي المراسيل وينقل عن الضعفاء والمجاهيل حكم بضعفه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الغضائري قد وصفه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النجاشي شيئاً من هذا بل نسبه إلى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نسبة القول اعتماداً وتبنّياً عند الناقل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نسب فساد المذهب إلى قائل سمع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ينسبه إلى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علم من أنّ ابن الغضائري له رؤى تختلف بعض الشيء عن مشهور علمائنا، وأين هذا من متابعة ابن الغضائري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في ترجمة المفضّل بن عمر الذي وصفه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خطّابيّاً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له مصنّفات لا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 للشرط الذي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ما افترض الله على الجوارح من الإيمان، وهو كتاب الإيمان والإسلام، والرواة له مضطربون الرواية له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صريح في فساد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المعروف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هناك قول مرّضه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بأنّه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وقول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القولين لا يمكن أن يطمئنّ لمذهبه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قدح في ما يروي وذمّ في ما 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حاوياً لهذه الصفات كيف يعوّل على ما يذكر من أخبار وروايات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يذمّه من جهة وثاقته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ما يروي وما يصنّف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طعن وتوقّف في ما يصنّف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يراد منه أنّ جميع مصنّفاته لا يعتمد عليها عدا ما يعرف بتوحيد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 منه العلّامة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استقامة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يعدو عن كونه حدساً واجتهاداً بعد إمكان أن تكون هذه التضعيفات تلاحظ حاله إلى فترة ما قبل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أنّه أدرك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استشهد به من كلام العلّامة المامقاني في ترجمة داود بن كثير الرقي بأنّ جرح النجاشي هنا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عارض كلام الكشّي النافي سماعه لأحد من مشايخه الطعن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تتبّع الروايات ولم يجد في روايته أيّ شيء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النجاشي محكوم بنفي الكشي، وينحصر تضعيف النجاشي للرجل بقول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الغلاة تروي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القول يظهر تفرّد النجاشي في جملة من الموارد في الرأي ولو على خلاف المشهور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الكلام عدّة أمور</w:t>
      </w:r>
      <w:r>
        <w:rPr>
          <w:rFonts w:eastAsia="Amiri" w:cs="Amiri" w:ascii="Amiri" w:hAnsi="Amiri"/>
          <w:color w:val="111111"/>
          <w:sz w:val="28"/>
          <w:szCs w:val="28"/>
          <w:rtl w:val="true"/>
          <w:lang w:bidi="ar-SA"/>
        </w:rPr>
        <w:t xml:space="preserve">: </w:t>
      </w:r>
      <w:bookmarkStart w:id="354" w:name="pg10921_145306"/>
    </w:p>
    <w:p>
      <w:pPr>
        <w:pStyle w:val="Heading6"/>
        <w:numPr>
          <w:ilvl w:val="5"/>
          <w:numId w:val="1"/>
        </w:numPr>
        <w:rPr/>
      </w:pPr>
      <w:bookmarkStart w:id="355" w:name="__RefHeading___Toc3127514_2870459653"/>
      <w:bookmarkStart w:id="356" w:name="_Toc134"/>
      <w:bookmarkEnd w:id="354"/>
      <w:bookmarkEnd w:id="355"/>
      <w:r>
        <w:rPr>
          <w:rtl w:val="true"/>
        </w:rPr>
        <w:t>الأمر الأوّل</w:t>
      </w:r>
      <w:bookmarkEnd w:id="356"/>
    </w:p>
    <w:p>
      <w:pPr>
        <w:pStyle w:val="BookText"/>
        <w:rPr/>
      </w:pPr>
      <w:r>
        <w:rPr>
          <w:rFonts w:ascii="Amiri" w:hAnsi="Amiri" w:eastAsia="Amiri" w:cs="Amiri"/>
          <w:color w:val="111111"/>
          <w:sz w:val="28"/>
          <w:sz w:val="28"/>
          <w:szCs w:val="28"/>
          <w:rtl w:val="true"/>
          <w:lang w:bidi="ar-SA"/>
        </w:rPr>
        <w:t>ما ذكر من أنّ الأساس في تضعيفه هو كلام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داود الرقّي من أنّ منشأ تضعيف النجاشي هو رواية الغلاة عنه يعدُّ من الغرائب؛ لعدم وجود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أن تكون رواية الغلاة عن شخصٍ سبباً للحكم بضعفه بنظر النجاشي وهو خرّيت هذه الصناعة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جملة من الرجال الذين وصفوا بأنّ الغلاة تروي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يضعّف النجاشي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عبد الله بن أيّوب الذي 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الغلاة ورووا عنه</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ترجمة عبد الكريم بن عمرو بن صالح الخثعمي، 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الغلاة تروي عنه كثيراً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بخلاف النجاشي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رواية الغلاة تعدُّ قدحاً عند النجاشي لما وثّق هؤلاء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خلاف ظاهر عبارة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والغلاة تروي عنه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ومثل هذا غير ظاهر في التعليل</w:t>
      </w:r>
      <w:r>
        <w:rPr>
          <w:rFonts w:eastAsia="Amiri" w:cs="Amiri" w:ascii="Amiri" w:hAnsi="Amiri"/>
          <w:color w:val="111111"/>
          <w:sz w:val="28"/>
          <w:szCs w:val="28"/>
          <w:rtl w:val="true"/>
          <w:lang w:bidi="ar-SA"/>
        </w:rPr>
        <w:t xml:space="preserve">. </w:t>
      </w:r>
      <w:bookmarkStart w:id="357" w:name="pg10921_145307"/>
    </w:p>
    <w:p>
      <w:pPr>
        <w:pStyle w:val="BookText"/>
        <w:rPr/>
      </w:pPr>
      <w:bookmarkEnd w:id="35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أنّه حتى لو سلّم نقله لكلام ابن الغضائري فهذا يكفي للحكم بحسّيّة المنقول؛ لعدم فرض أنّ جميع هذه التضعيفات ناشئة عن حدس على نحو الشمول والاستغراق؛ لوضوح أنّ جملة من المحكوم بضعفهم معروف ومشهور وصفهم، ولا يحتاج الى إعمال حدس</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3127516_2870459653"/>
      <w:bookmarkStart w:id="359" w:name="_Toc135"/>
      <w:bookmarkEnd w:id="358"/>
      <w:r>
        <w:rPr>
          <w:rtl w:val="true"/>
        </w:rPr>
        <w:t>الأمر الثاني</w:t>
      </w:r>
      <w:bookmarkEnd w:id="359"/>
    </w:p>
    <w:p>
      <w:pPr>
        <w:pStyle w:val="BookText"/>
        <w:rPr/>
      </w:pPr>
      <w:r>
        <w:rPr>
          <w:rFonts w:ascii="Amiri" w:hAnsi="Amiri" w:eastAsia="Amiri" w:cs="Amiri"/>
          <w:color w:val="111111"/>
          <w:sz w:val="28"/>
          <w:sz w:val="28"/>
          <w:szCs w:val="28"/>
          <w:rtl w:val="true"/>
          <w:lang w:bidi="ar-SA"/>
        </w:rPr>
        <w:t>إنّ كلام النجاشي محكوم بدعوى الكشّي نفي الطعن من أحد العصابة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وإنكاره العثور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النجاشي لا أصل صحيح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لحاظ نفي الكشّي إنّما هو من جهة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كان في معرض اتّهامه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أسمع أحداً من المشايخ يطعن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دعوى النجاشي لا تعارض دعوى الكشّي لاختلاف جهة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دلالة ما ذكره الكشّي فأقصى ما يدلّ عليه هو معارضته لكلام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مرجّح لتقديم قول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اطمأنّ بقوله ولم يطمأن بقول النجاشي فيما إذا بني على حجّيّة قول الرجالي من باب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بنى عليه غير واحد منهم العلّامة المامقاني</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يتبع ما يحصل عليه من قرائن تؤيّد الطرف المختار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فما ذكر لا يتمّ على جميع المباني المذكورة في حجّيّة قول الرجاليّ</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3127518_2870459653"/>
      <w:bookmarkStart w:id="361" w:name="_Toc136"/>
      <w:bookmarkEnd w:id="360"/>
      <w:r>
        <w:rPr>
          <w:rtl w:val="true"/>
        </w:rPr>
        <w:t>الأمر الثالث</w:t>
      </w:r>
      <w:bookmarkEnd w:id="361"/>
    </w:p>
    <w:p>
      <w:pPr>
        <w:pStyle w:val="BookText"/>
        <w:rPr/>
      </w:pPr>
      <w:r>
        <w:rPr>
          <w:rFonts w:ascii="Amiri" w:hAnsi="Amiri" w:eastAsia="Amiri" w:cs="Amiri"/>
          <w:color w:val="111111"/>
          <w:sz w:val="28"/>
          <w:sz w:val="28"/>
          <w:szCs w:val="28"/>
          <w:rtl w:val="true"/>
          <w:lang w:bidi="ar-SA"/>
        </w:rPr>
        <w:t>استظهار تفرّد النجاشي بآرائه على خلاف مبنى المشهور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ادّعي غير صحيح، وقد تقدّم كونه من أصحاب منهج النقل عن </w:t>
      </w:r>
      <w:bookmarkStart w:id="362" w:name="pg10921_145308"/>
    </w:p>
    <w:p>
      <w:pPr>
        <w:pStyle w:val="BookText"/>
        <w:rPr/>
      </w:pPr>
      <w:bookmarkEnd w:id="362"/>
      <w:r>
        <w:rPr>
          <w:rFonts w:ascii="Amiri" w:hAnsi="Amiri" w:eastAsia="Amiri" w:cs="Amiri"/>
          <w:color w:val="111111"/>
          <w:sz w:val="28"/>
          <w:sz w:val="28"/>
          <w:szCs w:val="28"/>
          <w:rtl w:val="true"/>
          <w:lang w:bidi="ar-SA"/>
        </w:rPr>
        <w:t>المتقدّمين، والواسطة عن الجارحين والموثّقين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لا يعدّ مؤثّراً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فإنّه لا يعدو كونه مورداً واحداً لا يكون كاشفاً عن سريانه في سائر ترجماته وأحكامه، ويشهد لما قلناه ما يظهر من جملة كثيرة من التراجم التي قدّمنا بعضها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لها ما ذكر تحت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فإنّه صريح في النقل عن الأصحاب</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127520_2870459653"/>
      <w:bookmarkStart w:id="364" w:name="_Toc137"/>
      <w:bookmarkEnd w:id="363"/>
      <w:r>
        <w:rPr>
          <w:rtl w:val="true"/>
        </w:rPr>
        <w:t>الأمر الرابع</w:t>
      </w:r>
      <w:bookmarkEnd w:id="364"/>
    </w:p>
    <w:p>
      <w:pPr>
        <w:pStyle w:val="BookText"/>
        <w:rPr/>
      </w:pPr>
      <w:r>
        <w:rPr>
          <w:rFonts w:ascii="IRNazanin" w:hAnsi="IRNazanin" w:eastAsia="IRNazanin"/>
          <w:color w:val="111111"/>
          <w:sz w:val="28"/>
          <w:sz w:val="28"/>
          <w:szCs w:val="28"/>
          <w:rtl w:val="true"/>
          <w:lang w:bidi="fa-IR"/>
        </w:rPr>
        <w:t xml:space="preserve">ويشهد لذلك ما حكاه الميرزا النوري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كثير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قلّما يتّفق جليل لم يطعن عليه أحد من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عليه الأستاذ الأكبر، فمن سلم من قدحهم فقد فاز بالقدح المعلّى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يشير إلى السبب الكامن وراء تفرّد النجاشي، وهو اعتماده على مبانٍ في الكلام قاصرة عن المعرفة في كثير من 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مبنيٌّ على الافتراض مسبقاً لعلوّ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كلام الوحيد ظاهر في كون أصحابنا المتقدّمين حريصين كلّ الحرص على تراثهم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يلحظون كلّ دقائق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أحد من نقدهم ظهر أنّه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دلالة على تفرّد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قد اعتمد على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مورداً واحداً لا يؤسّس قاعدة أو منهجاً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استُشهد به على المدّعى بما حُكي</w:t>
      </w:r>
      <w:r>
        <w:rPr>
          <w:rStyle w:val="FootnoteAnchor"/>
          <w:rtl w:val="true"/>
        </w:rPr>
        <w:footnoteReference w:id="425"/>
      </w:r>
      <w:r>
        <w:rPr>
          <w:rFonts w:ascii="Amiri" w:hAnsi="Amiri" w:eastAsia="Amiri" w:cs="Amiri"/>
          <w:color w:val="111111"/>
          <w:sz w:val="28"/>
          <w:sz w:val="28"/>
          <w:szCs w:val="28"/>
          <w:rtl w:val="true"/>
          <w:lang w:bidi="ar-SA"/>
        </w:rPr>
        <w:t xml:space="preserve">من توثيق المعلّى بن خنيس بما رواه </w:t>
      </w:r>
    </w:p>
    <w:p>
      <w:pPr>
        <w:pStyle w:val="BookText"/>
        <w:rPr/>
      </w:pPr>
      <w:r>
        <w:rPr>
          <w:rFonts w:ascii="Amiri" w:hAnsi="Amiri" w:eastAsia="Amiri" w:cs="Amiri"/>
          <w:color w:val="111111"/>
          <w:sz w:val="28"/>
          <w:sz w:val="28"/>
          <w:szCs w:val="28"/>
          <w:rtl w:val="true"/>
          <w:lang w:bidi="ar-SA"/>
        </w:rPr>
        <w:t>الكليني بسند صحيح لمّا بلغ الإمام خبر قتل المعلّى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للدنيا، أفٍّ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دار بلاء يسلّط الله فيها عدوّه على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فلا تصل النوبة إلى معارضة هذا بتضعيف النجاشي إيّاه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يعتنى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شهادة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تماميّتها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يمكن أن تعارض شهادة الشيخ، ولا مجال لتوهّم تعارضها مع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تضعيف النجاشي إيّاه كون الجرح لأجل ما روى من روايات المعارف والمناقب ممّا لا يحتمله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يعتنى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شهادته حدسيّة لا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أدلة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أيضاً لا يمكن التمسّك بدليل حجّيّة الخبر؛ لأنّ مدرك حجّيّة خبر الثقة إنّما هو السيرة العقلائيّة الممضاة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لبّيّ يؤخذ بالقدر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يحتمل فيه الحدس</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معارضة شهادة الشيخ مع النجاشي بتقديم قول النجاشي؛ لأنّه كان متمحّضاً في علم الرجال وكان تتبّعه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الشيخ الذي كان ذا فنون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لأنّ الأكثر خبرة إنّما يقدّم قوله فيما كان للخبرويّة دور في القضيّة كالاجتهاد والحدس، لا في مثل الشهادة التي يكفي فيها سلامة الحواس والحفظ</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فيناقش</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 أوّلاً فيجاب عنه بأنّ معارضة قول النجاشي لكلام الإمام من البحوث التي تعّرض لها علماؤنا، وقد عقدنا لها بحثاً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ادّعي من أنّ قول النجاشي لا يعارض كلام الإمام إنّما يتمّ بناءً على كون حجّية قول الرجالي على مسلك حجّية الظنّ أو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يدّعى حصول أحدهما في جانب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مسلك حجّية الخبر الواحد في قول الرجالي فيتعارضان ويتساقطان لما ثبت من أنّ حجّية الروايات تبتني على افتراض حجّية خبر</w:t>
      </w:r>
    </w:p>
    <w:p>
      <w:pPr>
        <w:pStyle w:val="BookText"/>
        <w:rPr/>
      </w:pP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 ثانياً فيجاب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الوجه يبتني على كون حجّية قول الرجاليّ من باب حجّية خبر الواحد، وهذا يتنافى مع ما ذكر في الوجه الأوّل لترجيح المروي على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مسلك الظن المعتبر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 تمّ فكذلك لا يعدو كونه من الموارد التي لا تؤسّس قاعدة وميزاناً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تردّ دعواه بمجرّد معارضته للروايات بدعوى كونها ناشئة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يحتمل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العكس؛ لغالبيّة فتاوى النجاشي عن حسّ دون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ثالثاً فيجاب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في مناقشة تقديم قول النجاشي على قول الشيخ يبتني على مسلك حجّية الخبر الواحد في قول الرجاليّ دون غيره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حتى لو بنينا على هذا فقد يقدّم قول النجاشي على 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اشتباه الآخر، وقد ثبت ذلك عن الشيخ</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الثابت عندنا تقديم قول النجاشي فيما إذا عارض كلام الشيخ مطلقاً؛ وذلك لما يظهر من أنّ الشيخ يتبع في أحكامه الرجاليّة مدرسة الاجتهاد والحدس </w:t>
      </w:r>
      <w:bookmarkStart w:id="365" w:name="pg10921_145311"/>
    </w:p>
    <w:p>
      <w:pPr>
        <w:pStyle w:val="BookText"/>
        <w:rPr/>
      </w:pPr>
      <w:bookmarkEnd w:id="365"/>
      <w:r>
        <w:rPr>
          <w:rFonts w:ascii="Amiri" w:hAnsi="Amiri" w:eastAsia="Amiri" w:cs="Amiri"/>
          <w:color w:val="111111"/>
          <w:sz w:val="28"/>
          <w:sz w:val="28"/>
          <w:szCs w:val="28"/>
          <w:rtl w:val="true"/>
          <w:lang w:bidi="ar-SA"/>
        </w:rPr>
        <w:t>المتمثّلة بالقمّيّين، بينما قول النجاشي مبتنٍ على الحسّ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المقام هو تقديم قول النجاشي</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127522_2870459653"/>
      <w:bookmarkStart w:id="367" w:name="_Toc138"/>
      <w:bookmarkEnd w:id="366"/>
      <w:r>
        <w:rPr>
          <w:rtl w:val="true"/>
        </w:rPr>
        <w:t>الدليل الثاني</w:t>
      </w:r>
      <w:r>
        <w:rPr>
          <w:rtl w:val="true"/>
        </w:rPr>
        <w:t xml:space="preserve">: </w:t>
      </w:r>
      <w:r>
        <w:rPr>
          <w:rtl w:val="true"/>
        </w:rPr>
        <w:t>موقف النجاشي من البتريّة</w:t>
      </w:r>
      <w:bookmarkEnd w:id="367"/>
    </w:p>
    <w:p>
      <w:pPr>
        <w:pStyle w:val="BookText"/>
        <w:rPr/>
      </w:pPr>
      <w:r>
        <w:rPr>
          <w:rFonts w:ascii="Amiri" w:hAnsi="Amiri" w:eastAsia="Amiri" w:cs="Amiri"/>
          <w:color w:val="111111"/>
          <w:sz w:val="28"/>
          <w:sz w:val="28"/>
          <w:szCs w:val="28"/>
          <w:rtl w:val="true"/>
          <w:lang w:bidi="ar-SA"/>
        </w:rPr>
        <w:t xml:space="preserve">من الملفت للنظر أنّه لم نرَ منه تصريحاً ولا تلويحاً بالحكم على البتريّة بأنّهم من العامّة مع أنّ مقتضى عدم تصريحه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في ديباجة كتابه من أنّه يختصّ بذكر كتب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أثنى بإجلال على جملة من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يطعن عليهم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بوصف أنّهم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بوصف أنّهم من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وصفه لهم بأنّهم من العامة والثناء على بعضهم وتوثيقهم مع تحسّسه الشديد من رواة أسرار المعارف يظهر في تحكيم مبانيه الفكريّة على أحكامه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منّا أنّ ديباجة الكتاب ظاهرة بكون غرض الكتاب هو استقصاء الكتب المنتمية إلى مذهبنا وإن صنّفها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 أسماء جملة من العامّة وفاسدي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ينصّ على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يتعهّد هو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تعرّضه بالتوثيق لجملة من البتريّة،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توثيق النجاشي لشخص بقول مطلق ظاهر في سلامة مذهبه، كما ذهب إليه جملة من العلماء</w:t>
      </w:r>
      <w:r>
        <w:rPr>
          <w:rStyle w:val="FootnoteAnchor"/>
          <w:rtl w:val="true"/>
        </w:rPr>
        <w:footnoteReference w:id="428"/>
      </w:r>
      <w:r>
        <w:rPr>
          <w:rFonts w:ascii="IRNazanin" w:hAnsi="IRNazanin" w:eastAsia="IRNazanin"/>
          <w:color w:val="111111"/>
          <w:sz w:val="28"/>
          <w:sz w:val="28"/>
          <w:szCs w:val="28"/>
          <w:rtl w:val="true"/>
          <w:lang w:bidi="fa-IR"/>
        </w:rPr>
        <w:t>، وهو الظاهر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في غياث بن إبراهيم حيث ترجم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التميمي، الأسدي، بصريّ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سكن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وإن كان يستظهر منه حسن مذهبه وسلامة معتقده، مع أنّ الشيخ نصّ على كونه بتريّاً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قد يقال إنّ غياث الذي ذكره الشيخ يغاير الذي ذكره النجاشي؛ لأنّ الشيخ ذكره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ذكره النجاشي من الرواة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المذكورين في أصحاب الأئمّة من رجال الشيخ أعمّ من أصحاب الرواية واللقاء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لاقى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مال إلى الاتّحاد جملة من العلماء منهم المحقّق الحلّيّ في المعتبر</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في التنقيح</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الآبي في كشف الرموز</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واستظهر بعضٌ التعدّدَ لما ذكر من اختلاف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الرواة لكتابه مجموعة يصعب اتّصالها بأصحاب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إسماعيل بن أبان الذي ذكر النجاشي أنّه روى كتاب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يروي كتاب إسماعيل هو أحمد بن أبي عبد الله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في ترجمته</w:t>
      </w:r>
      <w:r>
        <w:rPr>
          <w:rStyle w:val="FootnoteAnchor"/>
          <w:rtl w:val="true"/>
        </w:rPr>
        <w:footnoteReference w:id="433"/>
      </w:r>
      <w:r>
        <w:rPr>
          <w:rFonts w:ascii="IRNazanin" w:hAnsi="IRNazanin" w:eastAsia="IRNazanin"/>
          <w:color w:val="111111"/>
          <w:sz w:val="28"/>
          <w:sz w:val="28"/>
          <w:szCs w:val="28"/>
          <w:rtl w:val="true"/>
          <w:lang w:bidi="fa-IR"/>
        </w:rPr>
        <w:t xml:space="preserve">، وقد توفّي أحمد عام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روايته عن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إسماعيل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أنّ الراوي لكتاب غياث هو محمّد بن يحيى الخزّاز، وهذا أيضاً روى عنه أحمد بن أبي عبد الله البرقي فيأتي </w:t>
      </w:r>
      <w:bookmarkStart w:id="368" w:name="pg10921_145313"/>
    </w:p>
    <w:p>
      <w:pPr>
        <w:pStyle w:val="BookText"/>
        <w:rPr/>
      </w:pPr>
      <w:bookmarkEnd w:id="368"/>
      <w:r>
        <w:rPr>
          <w:rFonts w:ascii="Amiri" w:hAnsi="Amiri" w:eastAsia="Amiri" w:cs="Amiri"/>
          <w:color w:val="111111"/>
          <w:sz w:val="28"/>
          <w:sz w:val="28"/>
          <w:szCs w:val="28"/>
          <w:rtl w:val="true"/>
          <w:lang w:bidi="ar-SA"/>
        </w:rPr>
        <w:t xml:space="preserve">فيه نفس الكلام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القول بعدم صحّة ما قيل حتّى بناءً على الاتّحاد بين العنوانين؛ لإمكان ثبوت الخلاف بينهم في مذهبه، فالنجاشي يرى حسن مذهبه دون الشيخ، وهذا واقع بينهم كما يظهر ذلك من ترجمة إسحاق بن عمّار الذي وثّقه صريحاً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ولكنّ الشيخ خالفه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فطحيّاً إلّا أنّه ثقة</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وعليه فلا يمكن الركون إلى ما قيل في أصل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وسالم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يذكر لهم النجاشي أيّ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أنّه وثّقهم من جهة الاعتقاد؛ لما أشرنا إليه من أنّ عدم ذكر الوصف لا يدلّ على حسن المذهب وسلامة الاعتقاد</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3127524_2870459653"/>
      <w:bookmarkStart w:id="370" w:name="_Toc139"/>
      <w:bookmarkEnd w:id="369"/>
      <w:r>
        <w:rPr>
          <w:rtl w:val="true"/>
        </w:rPr>
        <w:t>الدليل الثالث</w:t>
      </w:r>
      <w:r>
        <w:rPr>
          <w:rtl w:val="true"/>
        </w:rPr>
        <w:t xml:space="preserve">: </w:t>
      </w:r>
      <w:r>
        <w:rPr>
          <w:rtl w:val="true"/>
        </w:rPr>
        <w:t>تضعيفات العامّة منشأ لجملة من تضعيفات النجاشي</w:t>
      </w:r>
      <w:bookmarkEnd w:id="370"/>
    </w:p>
    <w:p>
      <w:pPr>
        <w:pStyle w:val="BookText"/>
        <w:rPr/>
      </w:pPr>
      <w:r>
        <w:rPr>
          <w:rFonts w:ascii="Amiri" w:hAnsi="Amiri" w:eastAsia="Amiri" w:cs="Amiri"/>
          <w:color w:val="111111"/>
          <w:sz w:val="28"/>
          <w:sz w:val="28"/>
          <w:szCs w:val="28"/>
          <w:rtl w:val="true"/>
          <w:lang w:bidi="ar-SA"/>
        </w:rPr>
        <w:t>نلاحظ أنّ هنالك جملة من التضعيفات لا نجد من وافقه عليها إلّا ابن الغضائري والعامّة بعبارات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استظهار أنّ مراد النجاشي من إسناد التضعيف والغمز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لأرباب الجرح والتعديل من العامّة، ويستشهد لذلك بموارد عدّة</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وجهاً لهذا الاستظهار، وما قيل إنّما هو مجرّد احتمال ينافي الأسس </w:t>
      </w:r>
    </w:p>
    <w:p>
      <w:pPr>
        <w:pStyle w:val="BookText"/>
        <w:rPr/>
      </w:pPr>
      <w:r>
        <w:rPr>
          <w:rFonts w:ascii="Amiri" w:hAnsi="Amiri" w:eastAsia="Amiri" w:cs="Amiri"/>
          <w:color w:val="111111"/>
          <w:sz w:val="28"/>
          <w:sz w:val="28"/>
          <w:szCs w:val="28"/>
          <w:rtl w:val="true"/>
          <w:lang w:bidi="ar-SA"/>
        </w:rPr>
        <w:t>التي ينتهجها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ادّعاء أمثال هذا بحق خرّيت الصناعة والرائد في هذا الميدان حتى أنّه رجع إليه جميع علمائنا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شواهد لا يمكن أن تدلّ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الشواهد التي ذكرت في المقام فهي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النجاشي في ترجمة جابر بن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جماعة غمز فيهم وضعّفوا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ومنخل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نفسه مختلطاً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أشعاراً كثيرةً في معناه تدلّ على الاختلاط</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جابر بن يزيد لم يضعّف حتى من قبل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ضعّفه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ما الرابط بين تضعيف وغمز القوم بمن رووا عن جابر والتضعيف المطلق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ظهوره من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الغمز في مَن رووا عن جابر فكيف علم أنّ منشأه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في حقّ جابر فلعلّ منشأه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أنّه قد استقاه من العامّة لأنّهم ضعّفوه فبعيدٌ؛ لوجود جملة من الرجال وقع الاتّفاق بين الخاصّة والعامّة على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لنا الحكم بتعيين المنشأ مع غياب جملة من كتب أصحابنا المتقدّمين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المصدر له في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انحصار التضعيف بالعامّة لا أساس لها بعد عدم ثبوت توثيق صريح من أصحابنا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ترجمة يحيى بن سعيد القطان،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وقد طعن يحيى </w:t>
      </w:r>
    </w:p>
    <w:p>
      <w:pPr>
        <w:pStyle w:val="BookText"/>
        <w:rPr/>
      </w:pPr>
      <w:r>
        <w:rPr>
          <w:rFonts w:ascii="Amiri" w:hAnsi="Amiri" w:eastAsia="Amiri" w:cs="Amiri"/>
          <w:color w:val="111111"/>
          <w:sz w:val="28"/>
          <w:sz w:val="28"/>
          <w:szCs w:val="28"/>
          <w:rtl w:val="true"/>
          <w:lang w:bidi="ar-SA"/>
        </w:rPr>
        <w:t>هذا في عشرات من الرواة لأنّهم يتشيّعون أو لأنّ عندهم هوى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عسى أن يكون يحيى بن سعيد أصلاً وفصلاً وحسباً كي تعرف به النجوم الزاهرات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ينبغي الشكّ في عدم الاعتماد على تضعيفات مثل يحيى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معروفة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ثابت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هناك فرقاً بين هذا وبين الوثاقة بالمعنى الأخصّ التي لا يشترط فيها سوى الضبط وعدم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لنا أن نحكم بضعفه إذا كان معروفاً بعدم الكذب وضبطه للحديث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والنجاشي وإن وثّقه ولكنّ بيّن فساد 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يعتمد عليه في أيٍّ من طرقه المذكورة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ذكره لأنّه روى نسخة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معرض الردّ على دعوى بعض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 من توثيق له لا يلزم الاعتماد على أحكامه في الرجال؛ لأنّها معروفة العلّة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ترجمة أبي المفضّل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أمره ثبتاً ثمّ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جلّ أصحابنا يغمزونه ويضعّفونه</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وصف النجاشي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متطابق مع ما قالته العامّة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ضعفه قعوده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وإملائه أحاديث في مثالب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بيت القصيد في تضعيف العامّة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وصفه بالتخليط يظهر أنّه كان مشهوراً بين الخاصّة فضلاً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ما قيل فيه من ابتداعه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إلى جلّ الأصحاب، وكذلك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العامّة فيه من التخليط يظهر أنّ منشأه أصحابنا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w:t>
      </w:r>
      <w:bookmarkStart w:id="371" w:name="pg10921_145316"/>
    </w:p>
    <w:p>
      <w:pPr>
        <w:pStyle w:val="BookText"/>
        <w:rPr/>
      </w:pPr>
      <w:bookmarkEnd w:id="371"/>
      <w:r>
        <w:rPr>
          <w:rFonts w:ascii="Amiri" w:hAnsi="Amiri" w:eastAsia="Amiri" w:cs="Amiri"/>
          <w:color w:val="111111"/>
          <w:sz w:val="28"/>
          <w:sz w:val="28"/>
          <w:szCs w:val="28"/>
          <w:rtl w:val="true"/>
          <w:lang w:bidi="ar-SA"/>
        </w:rPr>
        <w:t>ابن حجر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سبب ذلك أنّه قعد للرافضة وأملى عليهم أحاديث ذكر فيها مثالب الصحابة وكانوا يتّهمونه بالقلب والوضع</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ترجمة عمرو بن شمر،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أحاديث في كتب جابر الجعفي ينسب بعضها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مُلَبّس</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ولم ينسب أحد من علماء الشيعة إليه</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نسبه إليه جملة من أعلام العامّة كالذهبي وابن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النفي عن علماء الشيعة غير واضح المستند بعد غياب جملة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معرفتها بواسطة ما ذكره الكشّي والشيخ والنجاشي من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العامّة غير واضح التسرّب إليه بالإضافة إلى هذا لم نجد من وثّق عمرو بن شمر أو أشار إلى مدحه في غالب الكلمات</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127526_2870459653"/>
      <w:bookmarkStart w:id="373" w:name="_Toc140"/>
      <w:bookmarkEnd w:id="372"/>
      <w:r>
        <w:rPr>
          <w:rtl w:val="true"/>
        </w:rPr>
        <w:t>الدليل الرابع</w:t>
      </w:r>
      <w:r>
        <w:rPr>
          <w:rtl w:val="true"/>
        </w:rPr>
        <w:t xml:space="preserve">: </w:t>
      </w:r>
      <w:r>
        <w:rPr>
          <w:rtl w:val="true"/>
        </w:rPr>
        <w:t>تأثّر النجاشي بالعامّة</w:t>
      </w:r>
      <w:bookmarkEnd w:id="373"/>
    </w:p>
    <w:p>
      <w:pPr>
        <w:pStyle w:val="BookText"/>
        <w:rPr/>
      </w:pPr>
      <w:r>
        <w:rPr>
          <w:rFonts w:ascii="Amiri" w:hAnsi="Amiri" w:eastAsia="Amiri" w:cs="Amiri"/>
          <w:color w:val="111111"/>
          <w:sz w:val="28"/>
          <w:sz w:val="28"/>
          <w:szCs w:val="28"/>
          <w:rtl w:val="true"/>
          <w:lang w:bidi="ar-SA"/>
        </w:rPr>
        <w:t>تتلمذ النجاشي على جملة من مشايخ العامّة وتأثّر بأفكارهم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وجاراهم في جملة من آرائهم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جملة منهم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المعروف أنّ الحضور والتلقّي والإسناد بين مختلفي المذهب كان مشهوراً بين العلماء في فترة من الزمان لا سيّما الحواضر العلميّة المختلطة كبغداد التي كانت المركز العلميّ للشيعة وتحتضن علماء من مذاهب أخرى كالشافعيّة والحنابلة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الشيخ الصدوق عن بعض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الحسين بن عبيد </w:t>
      </w:r>
    </w:p>
    <w:p>
      <w:pPr>
        <w:pStyle w:val="BookText"/>
        <w:rPr/>
      </w:pPr>
      <w:r>
        <w:rPr>
          <w:rFonts w:ascii="Amiri" w:hAnsi="Amiri" w:eastAsia="Amiri" w:cs="Amiri"/>
          <w:color w:val="111111"/>
          <w:sz w:val="28"/>
          <w:sz w:val="28"/>
          <w:szCs w:val="28"/>
          <w:rtl w:val="true"/>
          <w:lang w:bidi="ar-SA"/>
        </w:rPr>
        <w:t xml:space="preserve">الضبّي النيسابوري المرواني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ناصبيّاً حتى بلغ من نصبه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من الصلاة على آله الطاهرين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يدّع تأثّر أحدٍ من العامّة به فضلاً عن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ادّعي ذلك في حقّ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يقال هذا بحق الشيخ الصدوق الذي صرّح بأنّ إحدى درجات الغلو 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يصح ما ادّعي أيضاً من ثبوت التلازم بين إسناده عن بعض علماء العامّة وجعلهم في طرقه وكونه اعتمد عليهم بالتضعيف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كون شيخه عامّيّاً وروايته عنه وبين تلمذته عليه وتلقّيه منه وتأثّره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الجرح والتعديل له ملاكات تختلف باختلاف المدارس والمباني، والشيخ النجاشي من المتمهّرين والمختصّين في هذا المجال، لذا تجده حريصاً في نقد ومتابعة الأقوال كما يلاحظ من ترجمة علي بن شيرة القاشاني إذ تابع ما قاله أصحابنا القمّيّون في حقه، واعترض على 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جاءت الدعوى من عامّيّ؟</w:t>
      </w:r>
    </w:p>
    <w:p>
      <w:pPr>
        <w:pStyle w:val="BookText"/>
        <w:rPr/>
      </w:pPr>
      <w:r>
        <w:rPr>
          <w:rFonts w:ascii="Amiri" w:hAnsi="Amiri" w:eastAsia="Amiri" w:cs="Amiri"/>
          <w:color w:val="111111"/>
          <w:sz w:val="28"/>
          <w:sz w:val="28"/>
          <w:szCs w:val="28"/>
          <w:rtl w:val="true"/>
          <w:lang w:bidi="ar-SA"/>
        </w:rPr>
        <w:t>بل لم نجده على الإطلاق قد اعتمد أو أسند في كتابه دعوى تضعيفٍ إلى أحد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جملة من رواة العامّة واسطة في بعض طرقه التي ذكرها في كتابه لعلّه من جهة إثبات الحجّة على المخالفين الذين كانوا السبب في هذا التصنيف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شيوع الاعتماد على هذا الكتاب بين العلماء لما عُرف عن مؤلّفه من كونه في غاية الضبط ونهاية المعرفة في متابعة أقوال المتقدّمين من علماء الرجال فكانت أحكامه </w:t>
      </w:r>
    </w:p>
    <w:p>
      <w:pPr>
        <w:pStyle w:val="BookText"/>
        <w:rPr/>
      </w:pPr>
      <w:r>
        <w:rPr>
          <w:rFonts w:ascii="Amiri" w:hAnsi="Amiri" w:eastAsia="Amiri" w:cs="Amiri"/>
          <w:color w:val="111111"/>
          <w:sz w:val="28"/>
          <w:sz w:val="28"/>
          <w:szCs w:val="28"/>
          <w:rtl w:val="true"/>
          <w:lang w:bidi="ar-SA"/>
        </w:rPr>
        <w:t>طريقاً حسّيّاً في نقل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أردنا ذكره في هذا المقام، وسيأتي مزيد بيان لبعض المطالب مع بقيّة المباحث المتعلّقة بكتاب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مستقل سيُطبع قريباً بإذنه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bookmarkStart w:id="374" w:name="pg10921_145319"/>
    </w:p>
    <w:p>
      <w:pPr>
        <w:pStyle w:val="Heading3"/>
        <w:numPr>
          <w:ilvl w:val="2"/>
          <w:numId w:val="1"/>
        </w:numPr>
        <w:rPr/>
      </w:pPr>
      <w:bookmarkStart w:id="375" w:name="__RefHeading___Toc3127528_2870459653"/>
      <w:bookmarkStart w:id="376" w:name="_Toc141"/>
      <w:bookmarkEnd w:id="374"/>
      <w:bookmarkEnd w:id="375"/>
      <w:r>
        <w:rPr>
          <w:rtl w:val="true"/>
        </w:rPr>
        <w:t>المصادر</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الثالث مير داماد الاسترباديّ،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مباني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السند، بقلم محمّد صالح التبريزي،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دركاهي،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أسماء مصنفي الشيعة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النشر الاسلامي التابعة لجماعة المدرسين بقم المشرفة،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لابن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الحسين بن عبيد الله بن ابراهيم أبي الحسين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الشيخ أبو جعفر أحمد بن أبي عبد الله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التسع، الشيخ أبو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رضا الاستادي، الناشر، مكتبة المرعشي بقم،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المحقّق الداماد الشيخ محمّد باقر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قيصريه ها، ونعمت الله الجليلي،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الإشتهاردي،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إسلامي حاج محمّد حسين كوشانيور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 ط</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الرجال، السيد محسن بن الحسن الحسيني الأعرجي الكاظمي،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 مؤسسة الهداية لإحياء التراث،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العدة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مهدي نجف،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بن الشيخ محمّد أكمل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الوحيد البهبهاني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الموجودة في قرص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نجم الدين أبو القاسم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المامقاني،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دليل ما،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المقال في تحقيق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الغرباوي، نشر المشعر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الوجيزة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ابن الشيخ محمّد تقي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رحمان ستايش</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0921_145324"/>
      <w:bookmarkStart w:id="378" w:name="pg10921_145324"/>
      <w:bookmarkEnd w:id="378"/>
    </w:p>
    <w:p>
      <w:pPr>
        <w:pStyle w:val="Heading2"/>
        <w:numPr>
          <w:ilvl w:val="1"/>
          <w:numId w:val="1"/>
        </w:numPr>
        <w:rPr/>
      </w:pPr>
      <w:bookmarkStart w:id="379" w:name="pg10921_145324"/>
      <w:bookmarkStart w:id="380" w:name="__RefHeading___Toc3127530_2870459653"/>
      <w:bookmarkStart w:id="381" w:name="_Toc142"/>
      <w:bookmarkEnd w:id="379"/>
      <w:bookmarkEnd w:id="380"/>
      <w:r>
        <w:rPr>
          <w:rtl w:val="true"/>
        </w:rPr>
        <w:t xml:space="preserve">صلاة الجمعة في عصر الغيبة للفقيه الكبير الشيخ حسين الحلي </w:t>
      </w:r>
      <w:r>
        <w:rPr>
          <w:rtl w:val="true"/>
        </w:rPr>
        <w:t>(</w:t>
      </w:r>
      <w:r>
        <w:rPr>
          <w:rtl w:val="true"/>
        </w:rPr>
        <w:t>قدس سره</w:t>
      </w:r>
      <w:r>
        <w:rPr>
          <w:rtl w:val="true"/>
        </w:rPr>
        <w:t xml:space="preserve">) - </w:t>
      </w:r>
      <w:r>
        <w:rPr>
          <w:rtl w:val="true"/>
        </w:rPr>
        <w:t xml:space="preserve">السّيّد مهدي الرّباني </w:t>
      </w:r>
      <w:r>
        <w:rPr>
          <w:rtl w:val="true"/>
        </w:rPr>
        <w:t>(</w:t>
      </w:r>
      <w:r>
        <w:rPr>
          <w:rtl w:val="true"/>
        </w:rPr>
        <w:t>دام عزه</w:t>
      </w:r>
      <w:r>
        <w:rPr>
          <w:rtl w:val="true"/>
        </w:rPr>
        <w:t>)</w:t>
      </w:r>
      <w:bookmarkEnd w:id="381"/>
    </w:p>
    <w:p>
      <w:pPr>
        <w:pStyle w:val="Heading3"/>
        <w:numPr>
          <w:ilvl w:val="2"/>
          <w:numId w:val="1"/>
        </w:numPr>
        <w:rPr/>
      </w:pPr>
      <w:bookmarkStart w:id="382" w:name="__RefHeading___Toc3127532_2870459653"/>
      <w:bookmarkStart w:id="383" w:name="_Toc143"/>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صلاة الجمعة في عصر الغيبة</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الفقيه الكبير</w:t>
      </w:r>
    </w:p>
    <w:p>
      <w:pPr>
        <w:pStyle w:val="BookText"/>
        <w:rPr/>
      </w:pPr>
      <w:r>
        <w:rPr>
          <w:rFonts w:ascii="Amiri" w:hAnsi="Amiri" w:eastAsia="Amiri" w:cs="Amiri"/>
          <w:color w:val="111111"/>
          <w:sz w:val="28"/>
          <w:sz w:val="28"/>
          <w:szCs w:val="28"/>
          <w:rtl w:val="true"/>
          <w:lang w:bidi="ar-SA"/>
        </w:rPr>
        <w:t xml:space="preserve">المرحوم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1394-1309</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0921_145326"/>
      <w:bookmarkStart w:id="385" w:name="pg10921_145326"/>
      <w:bookmarkEnd w:id="385"/>
    </w:p>
    <w:p>
      <w:pPr>
        <w:pStyle w:val="Heading3"/>
        <w:numPr>
          <w:ilvl w:val="2"/>
          <w:numId w:val="1"/>
        </w:numPr>
        <w:rPr/>
      </w:pPr>
      <w:bookmarkStart w:id="386" w:name="pg10921_145326"/>
      <w:bookmarkStart w:id="387" w:name="__RefHeading___Toc3127534_2870459653"/>
      <w:bookmarkStart w:id="388" w:name="_Toc144"/>
      <w:bookmarkEnd w:id="386"/>
      <w:bookmarkEnd w:id="387"/>
      <w:r>
        <w:rPr>
          <w:rtl w:val="true"/>
        </w:rPr>
        <w:t>المقدمة</w:t>
      </w:r>
      <w:bookmarkEnd w:id="388"/>
    </w:p>
    <w:p>
      <w:pPr>
        <w:pStyle w:val="Heading4"/>
        <w:numPr>
          <w:ilvl w:val="3"/>
          <w:numId w:val="1"/>
        </w:numPr>
        <w:rPr/>
      </w:pPr>
      <w:bookmarkStart w:id="389" w:name="__RefHeading___Toc3127536_2870459653"/>
      <w:bookmarkStart w:id="390" w:name="_Toc145"/>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أفضل خلقه وبريَّته الصَّادق الأمين وآله الهادين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واحداً من الأبحاث الأساسيَّة حول صلاة الجُمُعة هو مشروعيَّة إقامتها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بين الأعلام في حكمها، فذهب بعض إلى وجوبها تعييناً أو تخييراً، في حين ذهب بعض آخر من الفقهاء إلى حرمة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الاختلاف والتباين في الآراء إلى أسباب عديدة، لعلّ من أهمّها الاختلاف في حدود الولاية وأثرها في حكم صلاة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تتبّع كلماتهم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استخلاص مسالك ثلاثة رئيسة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المسلك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صلاة الجمعة سواء أكانت في عصر الحضور أم في عصر الغيبة ليست من شؤون الولاية، بل هي كسائر الصلوات اليوميَّة لا تحتاج إلى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مسلك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ذهب إلى الوجوب التعييني في عصر الحضور والغيبة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الجمعة من شؤون الولاية في عصر الحضور دون عصر </w:t>
      </w:r>
      <w:bookmarkStart w:id="391" w:name="pg10921_145327"/>
    </w:p>
    <w:p>
      <w:pPr>
        <w:pStyle w:val="BookText"/>
        <w:rPr/>
      </w:pPr>
      <w:bookmarkEnd w:id="391"/>
      <w:r>
        <w:rPr>
          <w:rFonts w:ascii="Amiri" w:hAnsi="Amiri" w:eastAsia="Amiri" w:cs="Amiri"/>
          <w:color w:val="111111"/>
          <w:sz w:val="28"/>
          <w:sz w:val="28"/>
          <w:szCs w:val="28"/>
          <w:rtl w:val="true"/>
          <w:lang w:bidi="ar-SA"/>
        </w:rPr>
        <w:t>الغيبة، وقد ذهب هؤلاء الأعلام إلى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 بالوجوب التَّعييني، وقال بعضهم بالوجوب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صلاة الجمعة من شؤون الولاية مطلقاً، من غير فرق بين زمن الحضور والغيبة، وعليه تكون إقامتها في عصر الغيبة محرَّمة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الاتّجاهات في المسألة، وإلَّا قد ينقسم بعض المسالك إلى طرفين أو أطراف، وكلّ طرف إلى أقوال، ولسنا بصدد الحديث عن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أسباب الاختلاف في حكم صلاة الجمعة بين الإماميّة هو خفاء دور الولاية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التي بين أيدينا هي من رشحات فكر الفقيه المدقّق والأصولي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تتناول هذه النقطة المهمّة في بحث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مشروعيَّة إقامتها في عصر الغيبة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مشروعيَّتها في غير عصر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الرسالة وإن كانت مسوَّدة بحثه، إلَّا أنّ أهميّتها التي تكمن في طرح رؤية مخالفة لما هو المعروف في العصور المتأخّرة من مشروعيّتها اقتضت نشرها مع مراعاة الجوانب الفنيَّة في نشر التُّراث ليستفيد منها الباحثون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3127538_2870459653"/>
      <w:bookmarkStart w:id="393" w:name="_Toc146"/>
      <w:bookmarkEnd w:id="392"/>
      <w:r>
        <w:rPr>
          <w:rtl w:val="true"/>
        </w:rPr>
        <w:t>وصف النسخة المعتمدة في التحقيق</w:t>
      </w:r>
      <w:bookmarkEnd w:id="39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الموجودة بأيدينا هي النسخة الوحيدة لهذه الرسالة، وهي نسخة المؤلِّف وبخطّه الشريف، وهي مسودة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تخلُ عن الشطب والحذف وبعثرة الأوراق وتعدّد الإلحاقات ممّا استدعى جهوداً مضاعفة في ترتيبها وضبطها</w:t>
      </w:r>
      <w:r>
        <w:rPr>
          <w:rFonts w:eastAsia="Amiri" w:cs="Amiri" w:ascii="Amiri" w:hAnsi="Amiri"/>
          <w:color w:val="111111"/>
          <w:sz w:val="28"/>
          <w:szCs w:val="28"/>
          <w:rtl w:val="true"/>
          <w:lang w:bidi="ar-SA"/>
        </w:rPr>
        <w:t xml:space="preserve">. </w:t>
      </w:r>
      <w:bookmarkStart w:id="394" w:name="pg10921_145328"/>
    </w:p>
    <w:p>
      <w:pPr>
        <w:pStyle w:val="BookText"/>
        <w:rPr/>
      </w:pPr>
      <w:bookmarkEnd w:id="394"/>
      <w:r>
        <w:rPr>
          <w:rFonts w:ascii="Amiri" w:hAnsi="Amiri" w:eastAsia="Amiri" w:cs="Amiri"/>
          <w:color w:val="111111"/>
          <w:sz w:val="28"/>
          <w:sz w:val="28"/>
          <w:szCs w:val="28"/>
          <w:rtl w:val="true"/>
          <w:lang w:bidi="ar-SA"/>
        </w:rPr>
        <w:t xml:space="preserve">وهي محفوظة في خزانة مخطوطات معهد العلمين حيث انتقلت إليه من ذرّيّة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سائر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تُفهرس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هذه النسخة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ويتراوح عدد أسطر صفحاتها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ومعدّل كلمات السطر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وكان الشروع فيها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والفراغ منها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الشهر المبارك</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3127540_2870459653"/>
      <w:bookmarkStart w:id="396" w:name="_Toc147"/>
      <w:bookmarkEnd w:id="395"/>
      <w:r>
        <w:rPr>
          <w:rtl w:val="true"/>
        </w:rPr>
        <w:t>منهج التحقيق</w:t>
      </w:r>
      <w:bookmarkEnd w:id="396"/>
    </w:p>
    <w:p>
      <w:pPr>
        <w:pStyle w:val="BookText"/>
        <w:rPr/>
      </w:pPr>
      <w:r>
        <w:rPr>
          <w:rFonts w:ascii="Amiri" w:hAnsi="Amiri" w:eastAsia="Amiri" w:cs="Amiri"/>
          <w:color w:val="111111"/>
          <w:sz w:val="28"/>
          <w:sz w:val="28"/>
          <w:szCs w:val="28"/>
          <w:rtl w:val="true"/>
          <w:lang w:bidi="ar-SA"/>
        </w:rPr>
        <w:t>قد تلخّص عملنُا في التحقيق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النصّ وتقويمه بعد تنضيده من خلال مطابقته مع النسخة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الكريمة والأحاديث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إرجاع أقوال الفقهاء إلى مصادرها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فهرس لمصادر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عنوان للرسالة ينسجم مع مضمونها؛ حيث إنّ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يعنونها بعنوان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بدّ من الإشارة إليه أنّي لم أدرج ترجمة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العمل، فقد سبق وأن نشرت المجلّة في عددها السادس ترجمة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بالشكر الجزيل لمن ساهم وساند في إنجاز هذا التحقيق بجميع مراحله، وأسأل الله تعالى أن يوفّقنا جميعاً لخدمة الدّين الحنيف ونشر علوم أهل البيت عليهم أفضل الصّلاة وأتمّ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0921_145332"/>
      <w:bookmarkStart w:id="398" w:name="pg10921_145332"/>
      <w:bookmarkEnd w:id="398"/>
    </w:p>
    <w:p>
      <w:pPr>
        <w:pStyle w:val="Heading3"/>
        <w:numPr>
          <w:ilvl w:val="2"/>
          <w:numId w:val="1"/>
        </w:numPr>
        <w:rPr/>
      </w:pPr>
      <w:bookmarkStart w:id="399" w:name="pg10921_145332"/>
      <w:bookmarkStart w:id="400" w:name="__RefHeading___Toc3127542_2870459653"/>
      <w:bookmarkStart w:id="401" w:name="_Toc148"/>
      <w:bookmarkEnd w:id="399"/>
      <w:bookmarkEnd w:id="400"/>
      <w:r>
        <w:rPr>
          <w:rtl w:val="true"/>
        </w:rPr>
        <w:t>صلاة الجمعة في عصر الغيبة</w:t>
      </w:r>
      <w:bookmarkEnd w:id="401"/>
    </w:p>
    <w:p>
      <w:pPr>
        <w:pStyle w:val="Heading4"/>
        <w:numPr>
          <w:ilvl w:val="3"/>
          <w:numId w:val="1"/>
        </w:numPr>
        <w:rPr/>
      </w:pPr>
      <w:bookmarkStart w:id="402" w:name="__RefHeading___Toc3127544_2870459653"/>
      <w:bookmarkStart w:id="403" w:name="_Toc149"/>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الفقيه الكبير</w:t>
      </w:r>
    </w:p>
    <w:p>
      <w:pPr>
        <w:pStyle w:val="BookText"/>
        <w:rPr/>
      </w:pPr>
      <w:r>
        <w:rPr>
          <w:rFonts w:ascii="Amiri" w:hAnsi="Amiri" w:eastAsia="Amiri" w:cs="Amiri"/>
          <w:color w:val="111111"/>
          <w:sz w:val="28"/>
          <w:sz w:val="28"/>
          <w:szCs w:val="28"/>
          <w:rtl w:val="true"/>
          <w:lang w:bidi="ar-SA"/>
        </w:rPr>
        <w:t xml:space="preserve">المرحوم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0921_145334"/>
      <w:bookmarkStart w:id="405" w:name="pg10921_145334"/>
      <w:bookmarkEnd w:id="405"/>
    </w:p>
    <w:p>
      <w:pPr>
        <w:pStyle w:val="BookText"/>
        <w:rPr/>
      </w:pPr>
      <w:bookmarkStart w:id="406" w:name="pg10921_145334"/>
      <w:bookmarkEnd w:id="406"/>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وله الحَمد، وعَليه نتوكَّل، وبه نَستعين، والصَّلاة والسَّلام على خَير خَلقه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127546_2870459653"/>
      <w:bookmarkStart w:id="408" w:name="_Toc150"/>
      <w:bookmarkEnd w:id="407"/>
      <w:r>
        <w:rPr>
          <w:rtl w:val="true"/>
        </w:rPr>
        <w:t>القول في صلاة الجُمُعة</w:t>
      </w:r>
      <w:bookmarkEnd w:id="4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إشكال في وجوب الجُمُعة عيناً في الجملة عند إقامة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بنفسه، أو بنائبه الخاصّ الَّذي هو منصوب من قِبله لإقامتها، كما ينصِّبون للإدارة والجيش والخراج والقضاء</w:t>
      </w:r>
      <w:r>
        <w:rPr>
          <w:rStyle w:val="FootnoteAnchor"/>
          <w:rtl w:val="true"/>
        </w:rPr>
        <w:footnoteReference w:id="448"/>
      </w:r>
      <w:r>
        <w:rPr>
          <w:rFonts w:ascii="IRNazanin" w:hAnsi="IRNazanin" w:eastAsia="IRNazanin"/>
          <w:color w:val="111111"/>
          <w:sz w:val="28"/>
          <w:sz w:val="28"/>
          <w:szCs w:val="28"/>
          <w:rtl w:val="true"/>
          <w:lang w:bidi="fa-IR"/>
        </w:rPr>
        <w:t xml:space="preserve">، وإنَّما الإشكال فيما عدا ذلك من عصر الغيبة وما قبله من عصر الحضور، مع عدم التَّمكُّن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إقامتها، كما في 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أيَّام قلائل </w:t>
      </w:r>
      <w:bookmarkStart w:id="409" w:name="pg10921_145335"/>
    </w:p>
    <w:p>
      <w:pPr>
        <w:pStyle w:val="BookText"/>
        <w:rPr/>
      </w:pPr>
      <w:bookmarkEnd w:id="409"/>
      <w:r>
        <w:rPr>
          <w:rFonts w:ascii="IRNazanin" w:hAnsi="IRNazanin" w:eastAsia="IRNazanin"/>
          <w:color w:val="111111"/>
          <w:sz w:val="28"/>
          <w:sz w:val="28"/>
          <w:szCs w:val="28"/>
          <w:rtl w:val="true"/>
          <w:lang w:bidi="fa-IR"/>
        </w:rPr>
        <w:t xml:space="preserve">من أيَّام أمير المؤمنين وأيَّام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يأتي الإشكال أيضاً في تلك الأيَّام القلائل بالنسبة إلى مَن فَقَدَ التَّشرُّف بخدمته في البلد الَّذي هو فيه، مع فرض عدم المنصوب عندهم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لو اتَّفق موت المنصوب وحضرت الجُمُعة ولم يصل الخبر بنصب آخرٍ مكانه</w:t>
      </w:r>
      <w:r>
        <w:rPr>
          <w:rFonts w:eastAsia="IRNazanin" w:cs="IRNazanin"/>
          <w:color w:val="111111"/>
          <w:sz w:val="28"/>
          <w:szCs w:val="28"/>
          <w:rtl w:val="true"/>
          <w:lang w:bidi="fa-IR"/>
        </w:rPr>
        <w:t>.</w:t>
      </w:r>
    </w:p>
    <w:p>
      <w:pPr>
        <w:pStyle w:val="Heading4"/>
        <w:numPr>
          <w:ilvl w:val="3"/>
          <w:numId w:val="1"/>
        </w:numPr>
        <w:rPr/>
      </w:pPr>
      <w:bookmarkStart w:id="410" w:name="__RefHeading___Toc3127548_2870459653"/>
      <w:bookmarkStart w:id="411" w:name="_Toc151"/>
      <w:bookmarkEnd w:id="410"/>
      <w:r>
        <w:rPr>
          <w:rtl w:val="true"/>
        </w:rPr>
        <w:t>الأقوال في صلاة الجُمُعة</w:t>
      </w:r>
      <w:bookmarkEnd w:id="411"/>
    </w:p>
    <w:p>
      <w:pPr>
        <w:pStyle w:val="Heading5"/>
        <w:numPr>
          <w:ilvl w:val="4"/>
          <w:numId w:val="1"/>
        </w:numPr>
        <w:rPr/>
      </w:pPr>
      <w:bookmarkStart w:id="412" w:name="__RefHeading___Toc3127550_2870459653"/>
      <w:bookmarkStart w:id="413" w:name="_Toc152"/>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وأصول الأقوال في ذلك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التَّعيينيّ، والوجوب التَّخييريّ،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للوجوب التَّعيينيّ درجتان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الاجتماع ووجوب التَّجمُّع،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الجُمُعة تعييناً بعد اتِّفاق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هو مركَّب الوجوب التَّخييريّ قابل للدَّرجتين المذكورتين، فيقال بأنَّ أحد طرفيه هو الظُّهر، والآخر هو الاجتماع وصلاة الجُمُعة، أو أنَّ الآخر هو صلاة الجُمُعة بعد اتِّفاق الاجتماع، وحينئذٍ يكون لنا أقوالٌ أو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عبَّروا عن الوجوب التَّخييريّ باستحباب الجُمُعة نظراً إلى أنَّها أفضل الفردين، ويمكن أنْ يكون المراد به هو مجرَّد الاستحباب نظير استحباب صلاة العيد، فلا تغني عن الظُّهر، لكن الظَّاهر أنَّه لم يوجد مَن هو قائل به صريحاً، وعلى كلِّ حال تكون الاحتمالات به خمسة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مجرَّد السُّقوط، فلا تكون الجُمُعة إلَّا حراماً تشريعاً، ويمكن أنْ ينضمَّ إلى ذلك الحرمة الذَّاتيَّة النَّاشئة عن كونها غصباً لمنصبه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إقامتها من أعظم المحرَّمات، وبذلك تكون الاحتمالات سبعة</w:t>
      </w:r>
      <w:r>
        <w:rPr>
          <w:rFonts w:eastAsia="Amiri" w:cs="Amiri" w:ascii="Amiri" w:hAnsi="Amiri"/>
          <w:color w:val="111111"/>
          <w:sz w:val="28"/>
          <w:szCs w:val="28"/>
          <w:rtl w:val="true"/>
          <w:lang w:bidi="ar-SA"/>
        </w:rPr>
        <w:t xml:space="preserve">. </w:t>
      </w:r>
      <w:bookmarkStart w:id="414" w:name="pg10921_145336"/>
    </w:p>
    <w:p>
      <w:pPr>
        <w:pStyle w:val="BookText"/>
        <w:rPr/>
      </w:pPr>
      <w:bookmarkEnd w:id="414"/>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بتعيُّن الجُمُعة لا يقولون بسقوط الظُّهر بالمرَّة، بل يلتزمون بأنَّه لو فاتته الجُمُعة بعصيان أو قصور وانقضى وقتها يتعيَّن عليه فعل الظُّهر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فعل الظُّهر في وقت الجُمُعة كانت باطلة على وجه لو بقي وقت الجُمُعة صلَّاها، ولو خرج وقتها أعاد الظُّهر، وحينئذٍ لا يمكن إصلاح الظُّهر عندهم في وقت الجُمُعة بالتَّرتُّب، بخلاف ما لو صلَّى غير الظُّهر من نافلةٍ أو قضاءٍ، فإنَّه يمكن إصلاحها عندهم بالتَّرتُّب أو بالملاك</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3127552_2870459653"/>
      <w:bookmarkStart w:id="416" w:name="_Toc153"/>
      <w:bookmarkEnd w:id="415"/>
      <w:r>
        <w:rPr>
          <w:rtl w:val="true"/>
        </w:rPr>
        <w:t>مقتضى الأصل العمليّ</w:t>
      </w:r>
      <w:bookmarkEnd w:id="416"/>
    </w:p>
    <w:p>
      <w:pPr>
        <w:pStyle w:val="BookText"/>
        <w:rPr/>
      </w:pPr>
      <w:r>
        <w:rPr>
          <w:rFonts w:ascii="Amiri" w:hAnsi="Amiri" w:eastAsia="Amiri" w:cs="Amiri"/>
          <w:color w:val="111111"/>
          <w:sz w:val="28"/>
          <w:sz w:val="28"/>
          <w:szCs w:val="28"/>
          <w:rtl w:val="true"/>
          <w:lang w:bidi="ar-SA"/>
        </w:rPr>
        <w:t>إذا عرفت ذلك، فاللَّازم هو بيان ما تقتضيه الأصول قبل النَّظر إلى الأدلَّة الاجتهاديَّة، وقد عرفت أنَّ الاحتمالات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الجُمُعة بالدَّرجة الأولى، وتعيُّنها بالدَّرجة الثَّانية، والتَّخيير كذلك، هذه أربعة، والاستحباب النَّفسيّ المستقلّ، والسُّقوط الملازم للحرمة التَّشريعيَّة،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الشَّكِّ والتَّردُّد بين هذه الاحتمالات يسقط الرَّابع بأصالة البراءة؛ إذ لا تكون صلاة الجُمُعة من قبيل الدَّوران بين المحذورين؛ لاحتمال الإباحة الَّذي هو عبارة عن مجرَّد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فأسقطْ احتمال الحرمة الذَّاتيَّة؛ لعدم القائل به، كما أنَّك تسقط الاستحباب النَّفسيّ لذلك،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وأدمجْ الدَّرجة الثَّانية من التَّعيين والتَّخيير بالدَّرجة الأولى، فلا يبقى إلَّا احتمال التَّعيين واحتمال التَّخيير والسُّقوط، وهو في كلٍّ منهما، فإنَّ احتمال السُّقوط في كلٍّ منهما </w:t>
      </w:r>
    </w:p>
    <w:p>
      <w:pPr>
        <w:pStyle w:val="BookText"/>
        <w:rPr/>
      </w:pPr>
      <w:r>
        <w:rPr>
          <w:rFonts w:ascii="Amiri" w:hAnsi="Amiri" w:eastAsia="Amiri" w:cs="Amiri"/>
          <w:color w:val="111111"/>
          <w:sz w:val="28"/>
          <w:sz w:val="28"/>
          <w:szCs w:val="28"/>
          <w:rtl w:val="true"/>
          <w:lang w:bidi="ar-SA"/>
        </w:rPr>
        <w:t>عين احتمال تعيُّن الآخر، ومقتضى القاعدة هو الإتيان بكلٍّ منهما، فإنَّ المسألة وإنْ دخلت في الدَّوران بين التَّعيين والتَّخيير وقلنا هناك بأصالة البراءة من التَّعيين</w:t>
      </w:r>
      <w:r>
        <w:rPr>
          <w:rStyle w:val="FootnoteAnchor"/>
          <w:rtl w:val="true"/>
        </w:rPr>
        <w:footnoteReference w:id="450"/>
      </w:r>
      <w:r>
        <w:rPr>
          <w:rFonts w:ascii="Amiri" w:hAnsi="Amiri" w:eastAsia="Amiri" w:cs="Amiri"/>
          <w:color w:val="111111"/>
          <w:sz w:val="28"/>
          <w:sz w:val="28"/>
          <w:szCs w:val="28"/>
          <w:rtl w:val="true"/>
          <w:lang w:bidi="ar-SA"/>
        </w:rPr>
        <w:t xml:space="preserve">، 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من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 فيما نحن فيه، فإنَّ إجراء أصالة البراءة من التَّعيين لا تثبت التَّخيير ليكتفي المكلَّف بواحدٍ منهما؛ لعدم إحراز مشروعيَّته؛ لأنَّه عبادة تتوقَّف صحَّتها على إحراز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الأمر توصُّليَّاً لأمكن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المكلَّف بأحدهما؛ لاحتمال أنَّه مأمور به ولو تخييراً، فإنْ صادف الواقع صحَّ، وإنْ لم يصادف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الآخر واجباً تعيينيَّاً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معذوراً؛ لأصالة البراءة من التَّعيين في كلٍّ منهما،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أسقطنا احتمال تعيُّن صلاة الجُمُعة ودار الأمر بين وجوبها تخييراً أو سقوطها، فأصالة البراءة من تعيُّن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فيما نحن فيه؛ لأنَّها لا تثبت التَّخيير، كما عرفت، فلا يصحُّ له الاكتفاء بالجُمُعة؛ لعدم إحراز الأمر بها المتوقِّف عليه صحَّتها؛ لكونها عبادة، إلَّا بما عرفت من الإتيان بها بداعي احتمال أمرها التَّخييريّ الَّذي عرفت أنَّه محكوم لأصالة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أسقطنا احتمال الوجوب التَّخييريّ كانت المسألة من العلم الإجماليّ بوجوب أحدهما معيَّناً، فيلزمه الاحتياط، لكن يقدّم الجُمُعة؛ لما عرفت من أنَّها لو كانت هي الواجبة لم تصحّ الظُّهر في وقتها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الإتيان بهما معاً عند كون الاحتمال مقصوراً على الوجوب التَّعيينيّ لكلٍّ منهما، ويكون بملاك العلم الإجماليّ المردَّد بين المتباينين مع كون الشُّبهة حكميَّة، كما مثَّلوا له في الأصول بذلك،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والجُمُعة</w:t>
      </w:r>
      <w:r>
        <w:rPr>
          <w:rFonts w:eastAsia="Amiri" w:cs="Amiri" w:ascii="Amiri" w:hAnsi="Amiri"/>
          <w:color w:val="111111"/>
          <w:sz w:val="28"/>
          <w:szCs w:val="28"/>
          <w:rtl w:val="true"/>
          <w:lang w:bidi="ar-SA"/>
        </w:rPr>
        <w:t xml:space="preserve">. </w:t>
      </w:r>
      <w:bookmarkStart w:id="417" w:name="pg10921_145338"/>
    </w:p>
    <w:p>
      <w:pPr>
        <w:pStyle w:val="BookText"/>
        <w:rPr/>
      </w:pPr>
      <w:bookmarkEnd w:id="417"/>
      <w:r>
        <w:rPr>
          <w:rFonts w:ascii="Amiri" w:hAnsi="Amiri" w:eastAsia="Amiri" w:cs="Amiri"/>
          <w:color w:val="111111"/>
          <w:sz w:val="28"/>
          <w:sz w:val="28"/>
          <w:szCs w:val="28"/>
          <w:rtl w:val="true"/>
          <w:lang w:bidi="ar-SA"/>
        </w:rPr>
        <w:t>وكذلك لا بدَّ من الإتيان بهما معاً عند احتمال التَّعيين والتَّخيير في كلٍّ منهما، لكن يكون لزوم الإتيان بهما معاً من باب العلم الإجماليّ المردَّد بين التَّعيين والتَّخيير، مع فرض عدم الجدوى بأصالة البراءة من التَّعيين لو قلنا بها في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احتمال تعيُّن الظُّهر فقط وانتفاء احتمال تعيُّن الجُمُعة ودوران الأمر في الظُّهر بين التَّعيين والتَّخيير بينها وبين الجُمُعة فيكون المتعيَّن هو لزوم الإتيان بالظُّهر؛ لما عرفت من عدم الجدوى بأصالة البراءة من تعيُّن الظُّهر وإنْ قلنا بها في غير هذا المقام من التَّوصُّليَّات</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3127554_2870459653"/>
      <w:bookmarkStart w:id="419" w:name="_Toc154"/>
      <w:bookmarkEnd w:id="418"/>
      <w:r>
        <w:rPr>
          <w:rtl w:val="true"/>
        </w:rPr>
        <w:t>الإشكال في إمكان الوجوب التَّعيينيّ والتَّخييريّ لصلاة الجُمُعة ومحاولات الجواب عنه</w:t>
      </w:r>
      <w:bookmarkEnd w:id="419"/>
    </w:p>
    <w:p>
      <w:pPr>
        <w:pStyle w:val="BookText"/>
        <w:rPr/>
      </w:pPr>
      <w:r>
        <w:rPr>
          <w:rFonts w:ascii="Amiri" w:hAnsi="Amiri" w:eastAsia="Amiri" w:cs="Amiri"/>
          <w:color w:val="111111"/>
          <w:sz w:val="28"/>
          <w:sz w:val="28"/>
          <w:szCs w:val="28"/>
          <w:rtl w:val="true"/>
          <w:lang w:bidi="ar-SA"/>
        </w:rPr>
        <w:t>وقد عرض في الذِّهن القاصر في هذا اليوم</w:t>
      </w:r>
      <w:r>
        <w:rPr>
          <w:rStyle w:val="FootnoteAnchor"/>
          <w:rtl w:val="true"/>
        </w:rPr>
        <w:footnoteReference w:id="451"/>
      </w:r>
      <w:r>
        <w:rPr>
          <w:rFonts w:ascii="Amiri" w:hAnsi="Amiri" w:eastAsia="Amiri" w:cs="Amiri"/>
          <w:color w:val="111111"/>
          <w:sz w:val="28"/>
          <w:sz w:val="28"/>
          <w:szCs w:val="28"/>
          <w:rtl w:val="true"/>
          <w:lang w:bidi="ar-SA"/>
        </w:rPr>
        <w:t>إشكال عضال لم أتوفَّق فعلاً لحلِّه،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الجُمُعة متوقِّفة على الاجتماع والإمامة والائتمام، ومن الواضح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تقوم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توجُّه الوجوب بها إلى كلِّ شخص مشروطاً بقيام الآخر، حتَّى في مثل شراء العين الفلانيَّة، فإنَّه لا يقوم إلَّا بالاثنين، فإذا لم يكن من البائع فعلٌ لم يتمّ وجوب الاشتراء من المشتري، وهكذا الحال في الجهاد والدِّفاع، إلَّا بنحوٍ من التَّضحية، وذلك مقام آخر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للقول في صلاة الجُمُعة بالوجوب التَّعيينيّ بالدَّرجة الأُولى، فلم يبقَ إلَّا كونها واجبةً تعيينيَّاً بالدَّرجة الثَّانية الَّتي هي عبارة عن أنَّه إذا اجتمع السَّبعة وأحدهم الإمام وجبت الجُمُعة على الثَّامن، ولكن الكلام في اجتماع السَّبعة، هل كانت </w:t>
      </w:r>
    </w:p>
    <w:p>
      <w:pPr>
        <w:pStyle w:val="BookText"/>
        <w:rPr/>
      </w:pPr>
      <w:r>
        <w:rPr>
          <w:rFonts w:ascii="Amiri" w:hAnsi="Amiri" w:eastAsia="Amiri" w:cs="Amiri"/>
          <w:color w:val="111111"/>
          <w:sz w:val="28"/>
          <w:sz w:val="28"/>
          <w:szCs w:val="28"/>
          <w:rtl w:val="true"/>
          <w:lang w:bidi="ar-SA"/>
        </w:rPr>
        <w:t>الجُمُعة واجبة على كلِّ واحد منهم؟ وكيف وجب الاجتماع مطلقاً على ذلك الواحد مع فرض توقُّفه على اجتماع الآخرين معه؟ فلا بدَّ أنْ يكون وجوب الاجتماع على كلٍّ منهم</w:t>
      </w:r>
    </w:p>
    <w:p>
      <w:pPr>
        <w:pStyle w:val="BookText"/>
        <w:rPr/>
      </w:pPr>
      <w:r>
        <w:rPr>
          <w:rFonts w:ascii="Amiri" w:hAnsi="Amiri" w:eastAsia="Amiri" w:cs="Amiri"/>
          <w:color w:val="111111"/>
          <w:sz w:val="28"/>
          <w:sz w:val="28"/>
          <w:szCs w:val="28"/>
          <w:rtl w:val="true"/>
          <w:lang w:bidi="ar-SA"/>
        </w:rPr>
        <w:t>مشروطاً باجتماع الآخر، وبالآخرة يكون وجوب الاجتماع مشروطاً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كون اجتماع كلٍّ منهما مقدَّماً رتبةً على نفسه، ولا يمكن القول بأنَّه كان الاجتماع تشهِّياً منهم ثُمَّ بعد تحقُّقه وجبت الجُمُعة؛ لأنَّ ذلك مضحكةٌ لا يقول بها أحد، فإنَّ الاجتماع ليس هو بنفسه من حيث إنَّه اجتماع، بل هو الاجتماع على الصَّلاة، فيعود الإشكال وينسدُّ باب الوجوب التَّعيينيّ فيها في كلٍّ من الدَّرجة الأُولى والدَّرجة الثَّانية، بل ينسدُّ باب الوجوب التَّخييريّ في الدَّرجتين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الدَّرجة الأُولى فلما عرفت من عدم إمكان توجُّه التَّكليف المطلق إلى الشَّخص الواحد في الاجتماعيَّات حتَّى لو كان الوجوب تخييريَّاً، وبعين التَّقريب الَّذي انسدَّ به باب الوجوب التَّعيينيّ في الدَّرجة الثَّانية ينسدُّ باب الوجوب التَّخييريّ في الدَّرجة الثَّانية أيضاً؛ لأنَّ العمدة في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الدَّاعي للسَّبعة على الاجتماع الَّذي أخذناه شرطاً في الوجوب التَّخييريّ للنَّاس، بل إنَّ هذا الإشكال جارٍ حتَّى لو قلنا بالاستحباب الصِّرف، ولا ينتقض باجتماع الجماعة والاقتداء في سائر الفرائض؛ إذ لم يكن ذلك مشروطاً بالاجتماع، وإنَّما هو مشروط بوجود المصلِّي العادل، فيستحبُّ لكلِّ أحد يعتقد عدالته أنْ يقتدي ويأتمَّ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النَّحو من التَّكاليف الاجتماعيَّة ينحصر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بإقامتها بنفسه أو بنائبه ومنصوبه الخاصّ، ويأمر النَّاس بأنْ يقتدوا به ويحضروا معه، ووجوب النِّداء مختصٌّ به، فيجب عليهم إطاعته، ولو عصوا قهرهم مع المكنة وساقهم بعصاه،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المكلَّف بجمع النَّاس، لا أنَّهم مكلَّفون بالاجتماع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إطاعتهم وحضورهم في الجامع يكون كلُّ واحد منهم مكلَّفاً بالاقتداء به في الصَّلاة على وجه لو ذهب الجميع وعصوا ولم يبق إلَّا واحد لم يجز له الذَّهاب، إلَّا أنْ يأذن له الإمام أو نائبه على ما سيأتي تفصيله إنْ شاء الله تعالى، فلا يكون المتحصَّل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إلى آخر الآية إلَّا 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إطاعته لو أمرهم وناداهم بالحضور، فلا يكون مساقه إلَّا مساق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الحال في كلِّ ما يكون من هذا القبيل ممَّا لا يصلح التَّكليف به للآحاد؛ لما عرفت من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ينسدُّ باب الوجوب التَّعيينيّ والتَّخييريّ في صلاة الجُمُعة في عصرنا، بل إنَّ الوجوب التَّخييريّ منسدٌّ حتَّى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يده؛ لأنَّ المتعيَّن مع دعوته هو الوجوب التَّعيينيّ، ولا محصَّل للوجوب التَّخييري إلَّا في بعض الأشخاص، وبناءً على ذلك لا يبقى وجه للاستدلال بالأدلَّة اللَّفظيَّة على الوجوب التَّعيينيّ ولا الوجوب التَّخييريّ؛ إذ لو دلَّت على شيءٍ من ذلك لزمنا تأويلها؛ لعدم المعقوليَّة، فلم يبقَ إلَّا كونها منصباً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يكون محطُّ الكلام هو ثبوت ذلك المنصب للفقيه في عصر الغيبة لو انبسطت يده، وذلك بحث آخر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تخرِّجوا المسألة على ما ذكرتموه في الأمر التَّرتُّبيّ بالصَّلاة المشروط بعدم الإزالة من حصول شرط الوجوب، والوجوب والواجب في زمانٍ واحدٍ وإنْ كان الأوَّل سابقاً في الرُّتبة على الثَّاني، والثَّاني سابقاً على الثَّالث؟ ففيما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وجوب اجتماعي مع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باجتماعه معي، وهذه الأمور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اجتماعه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ووجوب اجتماعي، ونفس اجتماعي، كلُّها حاصلة في آنٍ واحدٍ وإنْ كانت في الرُّتبة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من ناحية شرطيَّة اجتماعه معي في وجوب اجتماعي موجب للتقدُّم الرُّتبيّ، فكذلك الحال في ناحية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اجتماعي معه في وجوب الاجتماع المتوجِّه إليه، فيلزم من ذلك تقدُّم كلٍّ من الاجتماعين على الآخر برتبتين، ولا يدفعه الدَّور المعيّ؛ إذ لا أصل للدَّور المعيّ، وتمثيله باستقامة وضع الآجرتين مستنداً كلٌّ منهما إلى الآخر</w:t>
      </w:r>
      <w:r>
        <w:rPr>
          <w:rStyle w:val="FootnoteAnchor"/>
          <w:rtl w:val="true"/>
        </w:rPr>
        <w:footnoteReference w:id="453"/>
      </w:r>
      <w:r>
        <w:rPr>
          <w:rFonts w:ascii="Amiri" w:hAnsi="Amiri" w:eastAsia="Amiri" w:cs="Amiri"/>
          <w:color w:val="111111"/>
          <w:sz w:val="28"/>
          <w:sz w:val="28"/>
          <w:szCs w:val="28"/>
          <w:rtl w:val="true"/>
          <w:lang w:bidi="ar-SA"/>
        </w:rPr>
        <w:t>عجيبٌ؛ لأنَّ هذه الاستقامة من جهة تكافؤ القوُّتين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نحن فيه ليس من المعيّ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التَّكليف للجماعة بحمل الثَّقيل فليس هو من الأمر بالاجتماع على حمله، بل أنَّ كلَّ واحد منهم مأمور بالحمل، ومن ناحية أخرى يكون كلُّ واحد منهم مساعداً للآخر، وأين هذا من الاجتماع في الصَّلاة الَّذي أُخذ قيداً فيها،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إشكال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الإمام في الجماعة من هذا القبيل، فقد قال في العروة 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انعقاد الجماعة في غير الجُمُعة والعيدين نيَّة الإمام الجماعة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حصول الثَّواب في حقِّه موقوف على نيَّة الإمامة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والحاشية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اعتبار نيَّة الإمامة لا يخلو مطلقاً عن الإشكال؛ إذ ليست هي فعلاً اختياريّاً للإمام كي تصلح لتعلُّق القصد بها، بل الظَّاهر كفاية وثوق الإمام فيما يتوقَّف صحَّته على الجماعة، كالجُمُعة ونحوها، </w:t>
      </w:r>
    </w:p>
    <w:p>
      <w:pPr>
        <w:pStyle w:val="BookText"/>
        <w:rPr/>
      </w:pPr>
      <w:r>
        <w:rPr>
          <w:rFonts w:ascii="Amiri" w:hAnsi="Amiri" w:eastAsia="Amiri" w:cs="Amiri"/>
          <w:color w:val="111111"/>
          <w:sz w:val="28"/>
          <w:sz w:val="28"/>
          <w:szCs w:val="28"/>
          <w:rtl w:val="true"/>
          <w:lang w:bidi="ar-SA"/>
        </w:rPr>
        <w:t>وكذلك المعادة بلحوق مَن يعتبر لحوقه به في صحَّة دخوله في الصَّلاة، بلا حاجة إلى نيَّة الإمامة وكونها لغواً في جميع ذلك</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تبع فيها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فيهما العلم بصيرورة صلاته جماعةً بنيَّة المأمومين الائتمام به، ولعلَّ هذا هو المناط في ترتُّب ثوابها أيضاً، لا نيَّة الإمامة؛ إذ ليست هي ممَّا تحصل له بقصده إيَّاها</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تعرَّض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الإشكال في درس الفقه في صلاة الجماعة فقال حسبما حرَّرته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بدَّ في الجماعة من النّيّة؛ لكونها من الأفعال الاختياريَّة العباديَّة المتوقِّف حصول الامتثال فيها على النّيّة، أمَّا بالنِّسبة إلى المأموم فلا شبهة في اعتبار نيَّة الاقتداء، وأمَّا بالنِّسبة إلى الإمام فاعتبار نيَّة الإمامة منه في غاية الإشكال؛ إذ ليست هي بالنِّسبة إليه من الأفعال الاختياريَّة كي يتحقَّق منه قصدها، فالظَّاهر أنَّ المعتبر فيما تكون الجماعة شرطاً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والمعادة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وثوق الإمام بلحوق مَن يعتبر لحوقه به بلا حاجة إلى نيَّة الإمامة، وكونها بالنَّسبة إليه لغواً صرفاً، لما عرفت من عدم دخول الإمامة تحت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ما حرَّرتُه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 ذلك عنه العلَّامةُ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من تقريراته، وتعرَّض للثَّواب وجعله مترتِّباً على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الشَّخص نفسه لأنْ يكون إماماً كحضوره في المحراب ونحو ذلك،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فيما لم يشترط فيه الجماعة، وأمَّا فيما اشترط فيه الجماعة فلأنَّ شرط صحَّة صلاة الإمام فيما يتوقَّف صحَّتها على </w:t>
      </w:r>
    </w:p>
    <w:p>
      <w:pPr>
        <w:pStyle w:val="BookText"/>
        <w:rPr/>
      </w:pPr>
      <w:r>
        <w:rPr>
          <w:rFonts w:ascii="Amiri" w:hAnsi="Amiri" w:eastAsia="Amiri" w:cs="Amiri"/>
          <w:color w:val="111111"/>
          <w:sz w:val="28"/>
          <w:sz w:val="28"/>
          <w:szCs w:val="28"/>
          <w:rtl w:val="true"/>
          <w:lang w:bidi="ar-SA"/>
        </w:rPr>
        <w:t xml:space="preserve">الجماعة مثل ما إذا كان الإمام جزءاً من العدد الَّذي ينعقد به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أو السَّبعة على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لاقتداء المأموم، وقد عرفت أنَّه غير اختياريٍّ للإمام،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أنْ يجعل الشَّرط ما هو يرجع إلى اختياره، وهو عبارة عن إحراز انعقاد الجماعة والاطمئنان بتحقُّقها، لا الانعقاد الواقعيّ، ويترتَّب عليه صحَّة صلاته جمعةً لو تخلَّف العدد الَّذي يتقوَّم به الجُمُعة ولم يبقوا إلى آخر الصَّلاة</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يترتَّب عليه أنَّه لو اعتقد وجود مَن يأتمُّ به ولم يكن هناك أحد أصلاً لصحَّت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الفرار إلى الوثوق والإحراز لا يكون إلَّا إلى ما فرَّ منه؛ لأنَّ الوثوق والإحراز لا يدخل تحت الاختيار، وليس الإشكال مقصوراً على النّية كي نكون في راحةٍ منه لو قلنا بأنَّه لا تعتبر نيَّة الإمامة، بل هو في كيفيَّة جعل الائتمام أو الاجتماع قيداً في صحَّة الصَّلاة القاضي بدخوله تحت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الحاصل أنَّ الإمام مكلَّف بالإمامة لو اقتدى به الأربعة، والأربعة مكلَّفون بالاقتداء به لو صار إمامهم، فكان كلٌّ من إمامته واقتدائهم مقدَّماً رتبةً على الآخر، وهكذا الحال في اجتماع كلٍّ من المأمومين مع المأموم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 كلِّ واحدٍ من الخمسة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كان ذلك الآخر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شرطاً في وجوب الاجتماع على الآخر، وهو ما قدَّمناه من الإشكال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أنَّ هذا الإشكال لا يختصُّ بنيَّة الإمامة، بل هو جارٍ في نيَّة الائتمام؛ لأنَّ كون الشَّخص مؤتمّاً بالإمام منوط بوجود الإمام وشروعه في الصَّلاة، لما </w:t>
      </w:r>
    </w:p>
    <w:p>
      <w:pPr>
        <w:pStyle w:val="BookText"/>
        <w:rPr/>
      </w:pPr>
      <w:r>
        <w:rPr>
          <w:rFonts w:ascii="Amiri" w:hAnsi="Amiri" w:eastAsia="Amiri" w:cs="Amiri"/>
          <w:color w:val="111111"/>
          <w:sz w:val="28"/>
          <w:sz w:val="28"/>
          <w:szCs w:val="28"/>
          <w:rtl w:val="true"/>
          <w:lang w:bidi="ar-SA"/>
        </w:rPr>
        <w:t>عرفت من أنَّ القدوة والاقتداء متقوِّم بالطَّرفين، فلو كان الائتمام واجباً على الشَّخص لم يكن داخلاً تحت اختياره، فلا يصحُّ تكليفه به، وما لم يصحّ تكليفه به لا يصحُّ منه نيَّته امتثالاً للأمر المتعلِّق به في ضمن الأمر المتعلِّق بالمشروط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الجماعة الواجبة كالجُمُعة ففي الدُّروس، والذِّكرى، والبيان، وحاشية الإرشاد، ومصابيح الأنوار، والرِّياض وجوب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لتوقُّف صحَّة الصَّلاة على الجماعة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وتوقُّف صدق امتثال الأمر بها جماعة على النّية، خلافاً للمدارك فلم يوجبها أيضاً تبعاً لما عن مجمع البرهان؛ لأنَّ المعتبر تحقُّق القدوة في نفس الأمر، فهو في الحقيقة شرط من شرائط الصّحَّة الَّتي لا يجب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ملاحظتها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حال النّية، واستحسنه في الذَّخيرة، وهو في محلِّه إنْ كان المراد الاكتفاء بنيَّة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عن التَّعرُّض لنيَّة الجماعة باعتبار عدم صحَّتها شرعاً بدونها، لا أنَّها كالجماعة المندوبة الَّتي لا يقدح في صحَّتها نيَّة الانفراد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توجيه إسقاط وجوب نيَّة الإمامة، وأمَّا توجيه الأمر بالصَّلاة المقيَّدة بالقيد المزبور مع أنَّ القيد خارج عن الاختيار فلم يتمّ، بل إنَّ الإشكال فيه باقٍ بحاله لم يندفع بإسقاط الوجوب عن نيَّة الإمامة، فلاحظ وتدبَّر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كون صلاته مرتبطة بصلاة الغير </w:t>
      </w:r>
    </w:p>
    <w:p>
      <w:pPr>
        <w:pStyle w:val="BookText"/>
        <w:rPr/>
      </w:pPr>
      <w:r>
        <w:rPr>
          <w:rFonts w:ascii="Amiri" w:hAnsi="Amiri" w:eastAsia="Amiri" w:cs="Amiri"/>
          <w:color w:val="111111"/>
          <w:sz w:val="28"/>
          <w:sz w:val="28"/>
          <w:szCs w:val="28"/>
          <w:rtl w:val="true"/>
          <w:lang w:bidi="ar-SA"/>
        </w:rPr>
        <w:t xml:space="preserve">على جهة الاقتداء والمتابعة له، وهكذا الحال في الاجتماع في الصَّلاة، فإنَّه عبارة عن كون صلاة زيد مرتبطة بصلاة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بكونهما مقتديين بخالد، فإنْ لوحظ شرطاً في وجوب الصَّلاة على خالد أو وجوبها على زيد كان تحقُّقه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الشُّروع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وجوبها فعلاً ولو على نحو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حاشية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 يحتاج في دخوله في الصَّلاة إلَّا إلى إحراز اللُّحوق المذكور</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على نحو الطَّريقيَّة، لا على نحو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لو انكشف أنَّه لم يلحقه أحد ينكشف أنَّه لم تكن الصَّلاة 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لوحظ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الغير به أو كون صلاته مرتبطة بصلاة الغير على جهة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تأخُّر لحوق صلاة الغير يكون حاله ما عرفت من كونه من قبيل شرط الصّحَّة المتأخِّر</w:t>
      </w:r>
      <w:r>
        <w:rPr>
          <w:rStyle w:val="FootnoteAnchor"/>
          <w:rtl w:val="true"/>
        </w:rPr>
        <w:footnoteReference w:id="465"/>
      </w:r>
      <w:r>
        <w:rPr>
          <w:rFonts w:ascii="Amiri" w:hAnsi="Amiri" w:eastAsia="Amiri" w:cs="Amiri"/>
          <w:color w:val="111111"/>
          <w:sz w:val="28"/>
          <w:sz w:val="28"/>
          <w:szCs w:val="28"/>
          <w:rtl w:val="true"/>
          <w:lang w:bidi="ar-SA"/>
        </w:rPr>
        <w:t xml:space="preserve">الَّذي صحَّحوه بكون الشَّرط هو العنوان المنتزع، نظير اشتراط الأجزاء المتأخِّرة في صحَّة الأجزاء السَّابقة، ومن حيث وجوب ذلك الشَّرط على ذلك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شرطاً في صحَّة صلاته، فيكون داخلاً تحت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حاله حال اشتراط الاستقبال في الصَّلاة في أنَّ الواجب هو جعل صلاته مرتبطة بالقبلة على جهة كونها إليها، مع كون وجود نفس القبلة ليس من أفعاله ولا راجعاً إلى اختياره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نحن فيه، فإنَّ الواجب على المصلِّي 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صلاته مربوطةً بصلاة غيره على جهة الإماميَّة أو المأموميَّة أو المقارنة لصلاة الغير في المأموميَّة،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 زيد صلاته مربوطةً بصلاة الغير بإيجادها عند إيجاد </w:t>
      </w:r>
    </w:p>
    <w:p>
      <w:pPr>
        <w:pStyle w:val="BookText"/>
        <w:rPr/>
      </w:pPr>
      <w:r>
        <w:rPr>
          <w:rFonts w:ascii="Amiri" w:hAnsi="Amiri" w:eastAsia="Amiri" w:cs="Amiri"/>
          <w:color w:val="111111"/>
          <w:sz w:val="28"/>
          <w:sz w:val="28"/>
          <w:szCs w:val="28"/>
          <w:rtl w:val="true"/>
          <w:lang w:bidi="ar-SA"/>
        </w:rPr>
        <w:t xml:space="preserve">ذلك الغير صلاته سابقاً أو لاحقاً أو 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لزيد، وهو من أفعاله وإنْ كانت صلاة ذلك الغير خارجة عن قدرته وعن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وجود صلاة ذلك الغير يكون شرطاً في وجوب هذا المعنى على زيد، كما أنَّ وجود القبلة يكون شرطاً في وجوب جعل صلاته مقترنةً بالقبلة بكونها إليها، ولا يلزم من ذلك الأمر بما هو خارج عن اختياره وعن قدرته وعن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مسلَّم من ناحية زيد، لكنَّ الأمر كذلك حرفاً بحرف من ناحية 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 أو مأمومه أو شريكه في المأموميَّة في كون صلاة ذلك الغير مربوطةً بصلاة زيد، فيكون وجود صلاة زيد شرطاً في وجوب ذلك الرَّبط على ذلك الغير، وقد كان وجوب الرَّبط على زيد مشروطاً بوجود صلاة ذلك الغير، فعاد الإشكال في لزوم كون صلاة كلٍّ منهما سابقةً في الرُّتبة على صلاة الآخر، وبالآخرة تكون صلاة كلٍّ منهما سابقةً في الرُّتبة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إنَّ هذا إشكال حدث في ذهني القاصر، ولم أقدر فعلاً على دفعه، وزاد في الطِّين بلَّة ما تذكّرته بعد عروض هذا الإشكال في ذهني من حاشية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وافقه عليها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تعرَّض له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درس الفقه ممَّا تلوته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لم أتوفَّق لحلِّ الإشكال، فليبقَ إلى فرصة التأمُّل، لعلَّ الله يحدث بعد ذلك أمراً إنْ شاء الله تعالى، والله سبحانه وتعالى هو الموفِّق والمسدِّد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وفِّقت بعونه تعالى لدفع الإشكال فيما بين الإمام والمأمومين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مأخوذ ممَّا أفاده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الشَّرط في وجوب الصَّلاة على الإمام ليس هو نفس صلاة المأموم، ولا هو عين اقتداء المأموم به، بل إنَّ الشَّرط في وجوب الصَّلاة على </w:t>
      </w:r>
    </w:p>
    <w:p>
      <w:pPr>
        <w:pStyle w:val="BookText"/>
        <w:rPr/>
      </w:pPr>
      <w:r>
        <w:rPr>
          <w:rFonts w:ascii="Amiri" w:hAnsi="Amiri" w:eastAsia="Amiri" w:cs="Amiri"/>
          <w:color w:val="111111"/>
          <w:sz w:val="28"/>
          <w:sz w:val="28"/>
          <w:szCs w:val="28"/>
          <w:rtl w:val="true"/>
          <w:lang w:bidi="ar-SA"/>
        </w:rPr>
        <w:t>الإمام هو العنوان المنتزع من ذلك، وهو كون المأموم لو صلَّى هذا الإمام يتبعه في الصَّلاة ويقتدي به، لكنَّ الشَّرط في وجوب الاقتداء على المأموم هو نفس صلاة الإمام، لا العنوان المنتزع، وحينئذٍ تكون نفس صلاة الإمام سابقةً في الرُّتبة على نفس صلاة المأموم، والَّذي يكون من ناحية المأموم سابقاً في الرُّتبة على نفس صلاة الإمام ليس هو نفس صلاة المأموم، بل هو كون المأموم بحيث يلحقه ويصلِّي مقتدياً به بعد شروعه في صلاته، فلم تكن إحدى الصَّلاتين سابقة في الرُّتبة على الأخرى، ولأجل ذلك لا يتأتَّى ذلك الإشكال في الإمامة، فهما في ذلك نظير قولك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السُّؤال من عمرو إنْ كان يجيبك لو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وقولك لعمرو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زيداً عند سؤاله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فيما بين المأمومين بحاله؛ إذ لا يتوسَّط بينهما العنوان المنتزع، بل إنَّ نفس صلاة كلٍّ منهما مع الآخر هي الشَّرط في وجوب صلاة الآخر معه، فيلزمه أنْ تكون صلاة كلٍّ منهما مع الآخر سابقةً في الرُّتبة على صلاة الآخر معه، وبالآخرة تكون صلاة كلٍّ منهما سابقةً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يندفع هذا الإشكال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يجب عليهما الاجتماع، وإنَّما يجب على كلِّ واحدٍ منهما الاقتداء بالإمام، ويكون المكلَّف بجمعهما في الصَّلاة هو نفس الإمام أو نائبه الخاصَّ،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اجتماعهما يكون هو الغاية المتوخَّاة من تعلُّق الأمر بكلٍّ منهما، وهي حاصلة قهراً عند امتثال كلٍّ منهما، وعند عصيان أحدهما لا يكون في البين إلَّا صورة الأمر للآخر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الاجتماع شرطاً في الوجوب على كلٍّ منهما، ولا قيداً في الواجب على كلٍّ منهما، وإنَّما هو غاية للوجوب على كلٍّ منهما، فلا يكون ذلك الوجوب المتوجِّه إلى كلٍّ منهما إلَّا من قبيل الوجوب الصُّوريّ الطَّريقيّ للحصول على تلك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حصلت فقد حصلت الإطاعة من كلٍّ منهما، وإنْ عصى أحدهما كان هو المعاقب، وبعصيانه ينحلُّ الوجوب ويسقط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فإنَّه</w:t>
      </w:r>
      <w:r>
        <w:rPr>
          <w:rStyle w:val="FootnoteAnchor"/>
          <w:rtl w:val="true"/>
        </w:rPr>
        <w:footnoteReference w:id="466"/>
      </w:r>
      <w:r>
        <w:rPr>
          <w:rFonts w:ascii="Amiri" w:hAnsi="Amiri" w:eastAsia="Amiri" w:cs="Amiri"/>
          <w:color w:val="111111"/>
          <w:sz w:val="28"/>
          <w:sz w:val="28"/>
          <w:szCs w:val="28"/>
          <w:rtl w:val="true"/>
          <w:lang w:bidi="ar-SA"/>
        </w:rPr>
        <w:t>راجع إلى اشتراط الوجوب بإطاعة كلٍّ منهما؛ إذ مع عصيان أحدهما يكون الأمر للآخر صوريّاً طريقيّاً 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في الإمام الإشكال الَّذي أشار إليه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إمامته ليست من أفعاله كي يكون مكلَّفاً بها أو قاصداً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صلاة المأمومين فيما بينهم إنَّما هو من ناحية كون صلاة كلٍّ منهم شرطاً في وجوب الصَّلاة على الآخر، ولا إشكال فيها من ناحية الفعل المكلَّف به كلّ منهما، فإنَّ كلّا ً منهما مكلَّف بربط صلاته مع الآخر على جهة الاجتماع والمعيَّة، وهذا من أفعاله الاختياريَّة نظير ربط صلاته بالقبلة على جهة الاستقبال، بخلاف الإشكال في ناحية الإمام بالقياس إلى إمامته، فإنَّه من ناحية كون إمامته ليست من أفعاله الاختياريَّة حتَّى باعتبار ربطها بصلاة المأمومين، فلا يعقل دخوله تحت القصد والإرادة والنّية، بل لا يعقل دخوله تحت الأمر إلَّا بصرف ذلك الأمر وتحويله إلى مقدِّماته الإعداديَّة الَّتي هي عبارة عن تهيئة نفسه للإمامة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فيه إنَّما هو من هذه النَّاحية، ولا إشكال فيه من ناحية كون صلاته شرطاً في وجوب الصَّلاة على المأمومين؛ لأنَّ الشَّرط في وجوب الصَّلاة على الإمام ليس هو نفس صلاة المأمومين، بل العنوان المنتزع من تأخُّر صلاتهم، وهو كونهم بحيث يلحقونه في صلاتهم، وبه يندفع الإشكال المتوجِّه في صلاة المأمومين فيما بينهم،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الاجتماع قيداً في صلاة الجُمُعة، وإنَّما القيد فيها هو الصَّلاة جماعةً في قبال الفرادى، وحينئذٍ يكون الواجب على كلِّ أحدٍ عند حضور وقتها السَّعي إليها والحضور في المحلِّ الَّذي أُعدَّ لها، فإذا حضر خمسة وجبت على كلِّ واحدٍ منهم، فإنْ كان الإمام معيَّناً بالنَّصب من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تعيُّنه من قبل الحاضرين خطبهم وتقدَّمهم، ووجب على كلِّ واحدٍ من الباقين الاقتداء به، فإنْ امتنع أحدهم من الصَّلاة ولو عصياناً سقطت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التَّخلُّف والامتناع من بعضهم هو الموجب لبقاء الإشكال، فإنَّه موجبُ كون وجوب الاقتداء على كلٍّ منهم مشروطاً باقتداء الآخرين، فيكون اقتداء كلٍّ منهم مقدَّماً رتبةً على اقتداء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ردٌّ لما في حاشية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المانع من لزوم نيَّة الإمام هو عدم دخولها تحت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وجه عدم اعتبار نيّة الإمام هو الإجماع؛ إذ لا إطلاق يقتضي الصّحَّة، وكون الإمامة من قبيل الإيقاع الَّذي يكون وظيفةً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الَّذي يجعل الإمام إماماً، لا أنَّ الإمام هو الَّذي يجعل نفسه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احتمال اعتبار قصده للإمامة المجعولة له، كما في الجماعة الواجبة</w:t>
      </w:r>
      <w:r>
        <w:rPr>
          <w:rStyle w:val="FootnoteAnchor"/>
          <w:rtl w:val="true"/>
        </w:rPr>
        <w:footnoteReference w:id="46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قصد الإمامة عبارة عن قصد فعل الإمام، وبعد فرض كونها فعلاً للمأموم كيف يعقل فعلها من الإمام كي تتعلَّق بها إرادته وقصده، فإنَّ القصد والنّية في هذا المقام عبارة عن الإرادة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متى يكون الإمام قاصداً ومريداً لفعل الإمام، أهو قبل أنْ يجعله المأموم إماماً أو هو بعد أنْ جعله إماماً في صلاته أو مقارناً لذلك؟ كلُّ ذلك غير معقول</w:t>
      </w:r>
      <w:r>
        <w:rPr>
          <w:rFonts w:eastAsia="Amiri" w:cs="Amiri" w:ascii="Amiri" w:hAnsi="Amiri"/>
          <w:color w:val="111111"/>
          <w:sz w:val="28"/>
          <w:szCs w:val="28"/>
          <w:rtl w:val="true"/>
          <w:lang w:bidi="ar-SA"/>
        </w:rPr>
        <w:t xml:space="preserve">. </w:t>
      </w:r>
      <w:bookmarkStart w:id="420" w:name="pg10921_145350"/>
    </w:p>
    <w:p>
      <w:pPr>
        <w:pStyle w:val="BookText"/>
        <w:rPr/>
      </w:pPr>
      <w:bookmarkEnd w:id="420"/>
      <w:r>
        <w:rPr>
          <w:rFonts w:ascii="IRNazanin" w:hAnsi="IRNazanin" w:eastAsia="IRNazanin"/>
          <w:color w:val="111111"/>
          <w:sz w:val="28"/>
          <w:sz w:val="28"/>
          <w:szCs w:val="28"/>
          <w:rtl w:val="true"/>
          <w:lang w:bidi="fa-IR"/>
        </w:rPr>
        <w:t>ومع قطع النَّظر عن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مأموراً بالإمامة في الصَّلاة الَّتي تجب فيها الإمامة مع فرض كون الإمامة قائمةً بفعل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الحال في المأموميَّة الَّتي هي قائمة بفعل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ذلك إلَّا بكون الوجوب على كلٍّ منهما مشروطاً، وحينئذٍ يتوجَّه ما عرفت من الإشكال، وهو وإنْ كان قد دفعناه فيما بين الإمام والمأمومين، إلَّا أنَّك قد عرفت بقاءه فيما بين المأمومين أنفسهم، إلَّا أنْ يكون المكلَّف بجمعهم هو الإمام، وهو إمام الأصل أو نائبه الخاصُّ المنصوب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لإقامتها، أو هو فقيه عصر الغيبة بناءً على كونه مسلَّطاً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إنَّ هذا إشكالٌ قد عرض في البين ألجأنْا التَّأمُّل في جوابه إلى وقتٍ آخر، لعلَّ الله سبحانه أنْ يوفَّقني لحلِّه، ومنه نستمدُّ التَّوفيق والعناية، فلنعد إلى ما كنَّا بصدده، فنقول بعونه تعالى</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127556_2870459653"/>
      <w:bookmarkStart w:id="422" w:name="_Toc155"/>
      <w:bookmarkEnd w:id="421"/>
      <w:r>
        <w:rPr>
          <w:rtl w:val="true"/>
        </w:rPr>
        <w:t>أدلَّة الوجوب التَّعيينيّ</w:t>
      </w:r>
      <w:bookmarkEnd w:id="422"/>
    </w:p>
    <w:p>
      <w:pPr>
        <w:pStyle w:val="BookText"/>
        <w:rPr/>
      </w:pPr>
      <w:r>
        <w:rPr>
          <w:rFonts w:ascii="Amiri" w:hAnsi="Amiri" w:eastAsia="Amiri" w:cs="Amiri"/>
          <w:color w:val="111111"/>
          <w:sz w:val="28"/>
          <w:sz w:val="28"/>
          <w:szCs w:val="28"/>
          <w:rtl w:val="true"/>
          <w:lang w:bidi="ar-SA"/>
        </w:rPr>
        <w:t>استدلَّ القائلون بالوجوب التَّعيينيّ بالآيات الشَّريفة والأخبار المنيفة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127558_2870459653"/>
      <w:bookmarkStart w:id="424" w:name="_Toc156"/>
      <w:bookmarkEnd w:id="423"/>
      <w:r>
        <w:rPr>
          <w:rtl w:val="true"/>
        </w:rPr>
        <w:t>الآيات الَّتي استُدلَّ بها للوجوب التَّعيينيّ</w:t>
      </w:r>
      <w:bookmarkEnd w:id="424"/>
    </w:p>
    <w:p>
      <w:pPr>
        <w:pStyle w:val="BookText"/>
        <w:rPr/>
      </w:pPr>
      <w:r>
        <w:rPr>
          <w:rFonts w:ascii="Amiri" w:hAnsi="Amiri" w:eastAsia="Amiri" w:cs="Amiri"/>
          <w:color w:val="111111"/>
          <w:sz w:val="28"/>
          <w:sz w:val="28"/>
          <w:szCs w:val="28"/>
          <w:rtl w:val="true"/>
          <w:lang w:bidi="ar-SA"/>
        </w:rPr>
        <w:t>فمن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إِلَىٰ ذِكْرِ اللَّهِ وَذَرُوا الْبَيْعَ</w:t>
      </w:r>
      <w:r>
        <w:rPr>
          <w:rStyle w:val="FootnoteAnchor"/>
          <w:rtl w:val="true"/>
        </w:rPr>
        <w:footnoteReference w:id="468"/>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السَّعي تعييناً مسلَّمٌ، لكنَّه عند النِّداء، ومن الواضح أنَّه يعتبر في </w:t>
      </w:r>
    </w:p>
    <w:p>
      <w:pPr>
        <w:pStyle w:val="BookText"/>
        <w:rPr/>
      </w:pPr>
      <w:r>
        <w:rPr>
          <w:rFonts w:ascii="Amiri" w:hAnsi="Amiri" w:eastAsia="Amiri" w:cs="Amiri"/>
          <w:color w:val="111111"/>
          <w:sz w:val="28"/>
          <w:sz w:val="28"/>
          <w:szCs w:val="28"/>
          <w:rtl w:val="true"/>
          <w:lang w:bidi="ar-SA"/>
        </w:rPr>
        <w:t xml:space="preserve">المنادي كونه له الأهليَّة في النِّداء، ولا يكون ذلك إلَّا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بأمر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إقامة الصَّلاة وعقدها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ينادَ أحد</w:t>
      </w:r>
      <w:r>
        <w:rPr>
          <w:rStyle w:val="FootnoteAnchor"/>
          <w:rtl w:val="true"/>
        </w:rPr>
        <w:footnoteReference w:id="469"/>
      </w:r>
      <w:r>
        <w:rPr>
          <w:rFonts w:ascii="Amiri" w:hAnsi="Amiri" w:eastAsia="Amiri" w:cs="Amiri"/>
          <w:color w:val="111111"/>
          <w:sz w:val="28"/>
          <w:sz w:val="28"/>
          <w:szCs w:val="28"/>
          <w:rtl w:val="true"/>
          <w:lang w:bidi="ar-SA"/>
        </w:rPr>
        <w:t>بشيءٍ كما نُودي بالولاية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كناية عن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السَّعي إلى صلاة الجُمُعة عند دخولها، جرى فيه عين الإشكال،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موضوعاً لوجوب السَّعي، فلا بُدَّ من فرض مشروعيَّة تحقُّقه؛ إذ لا ريب في عدم وجوب السَّعي إلى الجُمُعة الَّتي يعقدها الظَّالم القاهر، ولو عقدها مَن يرى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شرعيَّتها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لم يجب الحضور على مَن كان منَّا لا يرى المشروعيَّة وإنْ احتاط فيه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وسيلته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كون المراد من الذِّكر هو الخطبة أو الجُمُعة نفسها وإنْ كان الثَّاني أظهر من حيث سياق النِّداء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دعوى كون المراد من الذِّكر هو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فلعمري إنَّه لا بأس به لو ثبت ورود التَّفسير به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المقام، أمَّا ورود تفسيره بذلك في آية سؤال أهل الذِّكر</w:t>
      </w:r>
      <w:r>
        <w:rPr>
          <w:rStyle w:val="FootnoteAnchor"/>
          <w:rtl w:val="true"/>
        </w:rPr>
        <w:footnoteReference w:id="473"/>
      </w:r>
      <w:r>
        <w:rPr>
          <w:rFonts w:ascii="Amiri" w:hAnsi="Amiri" w:eastAsia="Amiri" w:cs="Amiri"/>
          <w:color w:val="111111"/>
          <w:sz w:val="28"/>
          <w:sz w:val="28"/>
          <w:szCs w:val="28"/>
          <w:rtl w:val="true"/>
          <w:lang w:bidi="ar-SA"/>
        </w:rPr>
        <w:t>فلا يستلزم كون ذلك هو المراد به في المقام، مع فرض كونه خلاف ظاهر سياق النِّداء للصَّلاة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كشف اللِّثام في أثناء كلامه على الاستدلال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تدلُّ الآية على وجوب السَّعي إذا نُودي للصَّلاة، لا على وجوب النِّداء، ومن المعلوم ضرورةً من العقل والدِّين أنَّه إنَّما يجب السَّعي إذا جاز النِّداء، وفي أنَّه هل يجوز النِّداء لغير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نصبه</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كلامٌ، على أنَّ احتمال إرادة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الله أظهر من احتمال إرادة الصَّلاة أو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تصغِ إلى ما يُدَّعى من إجماع المفسِّرين على إرادة أحدهما، خصوصاً إذا كنت إماميَّاً تعلم أنَّه لا إجماع إلَّا قول المعصوم</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وكذا لا يتمُّ بناءً على إرادة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الذِّكر فيها، كما هو مذكور في أخبارٍ كثيرةٍ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أهل الذِّكر معاشر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بل في كشف اللِّثام أنَّه أظهر من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الخطبة و</w:t>
      </w:r>
      <w:r>
        <w:rPr>
          <w:rStyle w:val="FootnoteAnchor"/>
          <w:rtl w:val="true"/>
        </w:rPr>
        <w:footnoteReference w:id="478"/>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الحاجُّ آغا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إلى ما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مذكور في أخبار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في كشف اللِّثام</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ونقل عبارته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ذكرها في الوافي في الجزء الثَّاني من المجلد الأوَّل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bookmarkStart w:id="425" w:name="pg10921_145353"/>
    </w:p>
    <w:p>
      <w:pPr>
        <w:pStyle w:val="BookText"/>
        <w:rPr/>
      </w:pPr>
      <w:bookmarkEnd w:id="425"/>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الذِّكر المسؤولون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ذكرناه يظهر لك عدم تماميَّة الاستدلال بأنَّه الصَّلاة الوسطى</w:t>
      </w:r>
      <w:r>
        <w:rPr>
          <w:rStyle w:val="FootnoteAnchor"/>
          <w:rtl w:val="true"/>
        </w:rPr>
        <w:footnoteReference w:id="482"/>
      </w:r>
      <w:r>
        <w:rPr>
          <w:rStyle w:val="FootnoteAnchor"/>
          <w:rtl w:val="true"/>
        </w:rPr>
        <w:footnoteReference w:id="483"/>
      </w:r>
      <w:r>
        <w:rPr>
          <w:rFonts w:ascii="Amiri" w:hAnsi="Amiri" w:eastAsia="Amiri" w:cs="Amiri"/>
          <w:color w:val="111111"/>
          <w:sz w:val="28"/>
          <w:sz w:val="28"/>
          <w:szCs w:val="28"/>
          <w:rtl w:val="true"/>
          <w:lang w:bidi="ar-SA"/>
        </w:rPr>
        <w:t>، وبآية يَا أَيُّهَا الَّذِينَ آمَنُوا لَا تُلْهِكُمْ أَمْوَالُكُمْ وَلَا أَوْلَادُكُمْ عَن ذِكْرِ اللَّهِ</w:t>
      </w:r>
      <w:r>
        <w:rPr>
          <w:rStyle w:val="FootnoteAnchor"/>
          <w:rtl w:val="true"/>
        </w:rPr>
        <w:footnoteReference w:id="484"/>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يَا أُولِي الْأَلْبَابِ الَّذِينَ آمَنُوا ۚ قَدْ أَنزَلَ اللَّهُ إِلَيْكُمْ ذِكْرًا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 لِّيُخْرِجَ الَّذِينَ آمَنُوا وَعَمِلُوا الصَّالِحَاتِ مِنَ الظُّلُمَاتِ إِلَى النُّورِ﴾</w:t>
      </w:r>
      <w:r>
        <w:rPr>
          <w:rStyle w:val="FootnoteAnchor"/>
          <w:rtl w:val="true"/>
        </w:rPr>
        <w:footnoteReference w:id="485"/>
      </w:r>
      <w:r>
        <w:rPr>
          <w:rFonts w:ascii="IRNazanin" w:hAnsi="IRNazanin" w:eastAsia="IRNazanin"/>
          <w:color w:val="111111"/>
          <w:sz w:val="28"/>
          <w:sz w:val="28"/>
          <w:szCs w:val="28"/>
          <w:rtl w:val="true"/>
          <w:lang w:bidi="fa-IR"/>
        </w:rPr>
        <w:t>إلى آخر الآية، قال 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القرآن،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الرَّسول، عن الحسن، وروي ذلك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لو تمَّ إرادته هناك فهو بتفسيره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دليل على إرادته هنا</w:t>
      </w:r>
      <w:r>
        <w:rPr>
          <w:rFonts w:eastAsia="IRNazanin" w:cs="IRNazanin"/>
          <w:color w:val="111111"/>
          <w:sz w:val="28"/>
          <w:szCs w:val="28"/>
          <w:rtl w:val="true"/>
          <w:lang w:bidi="fa-IR"/>
        </w:rPr>
        <w:t>.</w:t>
      </w:r>
    </w:p>
    <w:p>
      <w:pPr>
        <w:pStyle w:val="Heading5"/>
        <w:numPr>
          <w:ilvl w:val="4"/>
          <w:numId w:val="1"/>
        </w:numPr>
        <w:rPr/>
      </w:pPr>
      <w:bookmarkStart w:id="426" w:name="__RefHeading___Toc3127560_2870459653"/>
      <w:bookmarkStart w:id="427" w:name="_Toc157"/>
      <w:bookmarkEnd w:id="426"/>
      <w:r>
        <w:rPr>
          <w:rtl w:val="true"/>
        </w:rPr>
        <w:t>الأخبار الَّتي استُدلَّ بها للوجوب التَّعيينيّ</w:t>
      </w:r>
      <w:bookmarkEnd w:id="42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الأخبار الَّتي استدلُّوا بها فكثيرة، مثل ما ورد من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على النَّاس من الجُمُعة إلى الجُمُعة خمساً وثلاثين صلاة، منها صلاة </w:t>
      </w:r>
    </w:p>
    <w:p>
      <w:pPr>
        <w:pStyle w:val="BookText"/>
        <w:rPr/>
      </w:pPr>
      <w:r>
        <w:rPr>
          <w:rFonts w:ascii="Amiri" w:hAnsi="Amiri" w:eastAsia="Amiri" w:cs="Amiri"/>
          <w:color w:val="111111"/>
          <w:sz w:val="28"/>
          <w:sz w:val="28"/>
          <w:szCs w:val="28"/>
          <w:rtl w:val="true"/>
          <w:lang w:bidi="ar-SA"/>
        </w:rPr>
        <w:t>واحدة فرضها الله عزَّ وجلَّ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الصَّغير، والكبير، والمجنون، والمسافر، والعبد، والمرأة، والمريض، والأعمى، ومَن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فرسخين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أخبار كثيرة استدلُّوا بإطلاقها على الوجوب التَّعيينيّ ذكرها في الوسائل</w:t>
      </w:r>
      <w:r>
        <w:rPr>
          <w:rStyle w:val="FootnoteAnchor"/>
          <w:rtl w:val="true"/>
        </w:rPr>
        <w:footnoteReference w:id="489"/>
      </w:r>
      <w:r>
        <w:rPr>
          <w:rFonts w:ascii="Amiri" w:hAnsi="Amiri" w:eastAsia="Amiri" w:cs="Amiri"/>
          <w:color w:val="111111"/>
          <w:sz w:val="28"/>
          <w:sz w:val="28"/>
          <w:szCs w:val="28"/>
          <w:rtl w:val="true"/>
          <w:lang w:bidi="ar-SA"/>
        </w:rPr>
        <w:t xml:space="preserve">، ونقلها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وغيره، وأجاب عنها باحتمال كون إقامة إمام الأصل أو النَّائب الخاصّ عنه شرطاً في صحَّتها، ومعه لا يمكن التَّمسُّك لفقيهٍ بإطلاق المادَّة؛ لكونها من هذه النَّاحية مهملة، كما لا يمكن التَّمسُّك بها من حيث عدم كون الإمام الغير الأصليّ من ذوي العاهات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الشَّكُّ في كونه شرطاً للوجوب أمكن التَّمسُّك بإطلاق مفاد الهيئة الَّذي هو الوجوب،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واجبة على كلِّ أحدٍ، لا يُعذر النَّاس فيها إلَّا خمسة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لو أريد منها الجنس، ولكن الظَّاهر منها هو العهد، ومفاده حينئذٍ الوجوب للمعهودة، ولا يكون إلَّا بعد إقامتها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إرادة الجنس وتماميَّة الإطلاق كان أوَّلاً محكوماً لما دلَّ على المشهور من عدم الوجوب في زمان الغيبة ممَّا يقتضي تقييد الوجوب التَّعيينيّ بالحضور، وثانياً تقييده </w:t>
      </w:r>
      <w:bookmarkStart w:id="428" w:name="pg10921_145355"/>
    </w:p>
    <w:p>
      <w:pPr>
        <w:pStyle w:val="BookText"/>
        <w:rPr/>
      </w:pPr>
      <w:bookmarkEnd w:id="428"/>
      <w:r>
        <w:rPr>
          <w:rFonts w:ascii="Amiri" w:hAnsi="Amiri" w:eastAsia="Amiri" w:cs="Amiri"/>
          <w:color w:val="111111"/>
          <w:sz w:val="28"/>
          <w:sz w:val="28"/>
          <w:szCs w:val="28"/>
          <w:rtl w:val="true"/>
          <w:lang w:bidi="ar-SA"/>
        </w:rPr>
        <w:t>بمثل صحيحة ابن مسلم</w:t>
      </w:r>
      <w:r>
        <w:rPr>
          <w:rStyle w:val="FootnoteAnchor"/>
          <w:rtl w:val="true"/>
        </w:rPr>
        <w:footnoteReference w:id="492"/>
      </w:r>
      <w:r>
        <w:rPr>
          <w:rFonts w:ascii="Amiri" w:hAnsi="Amiri" w:eastAsia="Amiri" w:cs="Amiri"/>
          <w:color w:val="111111"/>
          <w:sz w:val="28"/>
          <w:sz w:val="28"/>
          <w:szCs w:val="28"/>
          <w:rtl w:val="true"/>
          <w:lang w:bidi="ar-SA"/>
        </w:rPr>
        <w:t>وصحيحة الفضل بن عبد الملك</w:t>
      </w:r>
      <w:r>
        <w:rPr>
          <w:rStyle w:val="FootnoteAnchor"/>
          <w:rtl w:val="true"/>
        </w:rPr>
        <w:footnoteReference w:id="493"/>
      </w:r>
      <w:r>
        <w:rPr>
          <w:rFonts w:ascii="IRNazanin" w:hAnsi="IRNazanin" w:eastAsia="IRNazanin"/>
          <w:color w:val="111111"/>
          <w:sz w:val="28"/>
          <w:sz w:val="28"/>
          <w:szCs w:val="28"/>
          <w:rtl w:val="true"/>
          <w:lang w:bidi="fa-IR"/>
        </w:rPr>
        <w:t xml:space="preserve">في جماعة القرية صلَّوا أربعاً إذا لم يكن من يخطب، بناءً على أنَّ المراد هو المنصوب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ثُمَّ أراد كسر سَورة المستدِلِّ بأنَّه لا ريب في سقوط الإطلاق ولو بالنَّسبة إلى اجتماع الخمسة ووجود من يخطب</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الإطلاق من ناحية العدد ووجود الإمام الخطيب ولو إمام الجماعة لأجل وجود الأدلَّة على ذلك لا يوجب سقوط الإطلاق من الجهة الأخرى لو 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كون الإمام إمام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غير مقدور لا بدَّ أنْ يكون أصل الوجوب مشروطاً به، سواء جعلناه بحسب الصِّناعة قيداً للمادَّة ابتداءً ثُمَّ تتقيَّد الهيئة به قهراً، أو جعلناه قيداً للهيئة ابتداءً ثُمَّ تتقيَّد به المادَّة قهراً، كما حُقِّق في محلِّه في مسألة دوران الأمر في القيد بين رجوعه إلى المادَّة أو رجوعه إلى الهيئة، فالعمدة هو أنَّه لو سُلِّم الإطلاق كان محكوماً لما دلَّ على التَّقييد</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127562_2870459653"/>
      <w:bookmarkStart w:id="430" w:name="_Toc158"/>
      <w:bookmarkEnd w:id="429"/>
      <w:r>
        <w:rPr>
          <w:rtl w:val="true"/>
        </w:rPr>
        <w:t>أدلَّة تقييد وجوب صلاة الجُمُعة بإمام الأصل أو نائبه الخاصِّ</w:t>
      </w:r>
      <w:bookmarkEnd w:id="43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تقييد الوجوب بإمام الأصل أو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الحرمة أو عدم المشروعيَّة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مناهجه في أدلَّة التَّحريم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خطبة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عليكم الجُمُعة، فمَن تركها في حياتي أو بعد مماتي</w:t>
      </w:r>
      <w:r>
        <w:rPr>
          <w:rStyle w:val="FootnoteAnchor"/>
          <w:rtl w:val="true"/>
        </w:rPr>
        <w:footnoteReference w:id="495"/>
      </w:r>
      <w:r>
        <w:rPr>
          <w:rFonts w:ascii="Amiri" w:hAnsi="Amiri" w:eastAsia="Amiri" w:cs="Amiri"/>
          <w:color w:val="111111"/>
          <w:sz w:val="28"/>
          <w:sz w:val="28"/>
          <w:szCs w:val="28"/>
          <w:rtl w:val="true"/>
          <w:lang w:bidi="ar-SA"/>
        </w:rPr>
        <w:t>وله إمام عادل استخفافاً بها أو جحوداً لها، فلا جمع الله شمله، ولا بارك له في أمره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الخطبة نقلها في المستدرك</w:t>
      </w:r>
      <w:r>
        <w:rPr>
          <w:rStyle w:val="FootnoteAnchor"/>
          <w:rtl w:val="true"/>
        </w:rPr>
        <w:footnoteReference w:id="497"/>
      </w:r>
      <w:r>
        <w:rPr>
          <w:rFonts w:ascii="Amiri" w:hAnsi="Amiri" w:eastAsia="Amiri" w:cs="Amiri"/>
          <w:color w:val="111111"/>
          <w:sz w:val="28"/>
          <w:sz w:val="28"/>
          <w:szCs w:val="28"/>
          <w:rtl w:val="true"/>
          <w:lang w:bidi="ar-SA"/>
        </w:rPr>
        <w:t>عن الغوالي خاليةً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إمام عادل</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اختُلف في اسم الكتاب فسمّاه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بالإعجام، وبعضهم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وعن تفسير أبي الفتوح الرَّازي 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 في الوافي ص</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إمام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العامَّة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إمام عادل أو فاجر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الصَّدوق عن محمَّد بن مسلم عن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المسلمين، ولا تجب على أقلّ منهم، الإمام، وقاضيه، والمدَّعي حقَّاً، و المدَّعى عليه، والشَّاهدان، والَّذي يضرب الحدَّ بين يدي الإمام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في الاشتراط هو الإمام، وإنَّما ذُكر هؤلاء تنبيهاً على سهولة اجتماع السَّبعة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بسط يده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الرِّواية سمَّاها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وغيره</w:t>
      </w:r>
      <w:r>
        <w:rPr>
          <w:rStyle w:val="FootnoteAnchor"/>
          <w:rtl w:val="true"/>
        </w:rPr>
        <w:footnoteReference w:id="501"/>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مثلها في المستدرك</w:t>
      </w:r>
      <w:r>
        <w:rPr>
          <w:rStyle w:val="FootnoteAnchor"/>
          <w:rtl w:val="true"/>
        </w:rPr>
        <w:footnoteReference w:id="502"/>
      </w:r>
      <w:r>
        <w:rPr>
          <w:rFonts w:ascii="Amiri" w:hAnsi="Amiri" w:eastAsia="Amiri" w:cs="Amiri"/>
          <w:color w:val="111111"/>
          <w:sz w:val="28"/>
          <w:sz w:val="28"/>
          <w:szCs w:val="28"/>
          <w:rtl w:val="true"/>
          <w:lang w:bidi="ar-SA"/>
        </w:rPr>
        <w:t>عن كتاب العروس للشَّيخ الفقيه جعفر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مَن كان منها على فرسخين إذا كان الإمام عادلاً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 جملة ما يدلَّ على اعتبار الإمام ما نقله عن كتاب العروس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جمعة إلَّا في مصرٍ يقام فيه الحدود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عنون في المستدرك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وجوب الجُمُعة بحضور السُّلطان العادل</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إلى آخره في قبال عنوان الوسائل حيث وسَّط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المستدرك في الباب المذكور عن الجعفريَّات</w:t>
      </w:r>
      <w:r>
        <w:rPr>
          <w:rStyle w:val="FootnoteAnchor"/>
          <w:rtl w:val="true"/>
        </w:rPr>
        <w:footnoteReference w:id="507"/>
      </w:r>
      <w:r>
        <w:rPr>
          <w:rFonts w:ascii="Amiri" w:hAnsi="Amiri" w:eastAsia="Amiri" w:cs="Amiri"/>
          <w:color w:val="111111"/>
          <w:sz w:val="28"/>
          <w:sz w:val="28"/>
          <w:szCs w:val="28"/>
          <w:rtl w:val="true"/>
          <w:lang w:bidi="ar-SA"/>
        </w:rPr>
        <w:t>والدَّعائم</w:t>
      </w:r>
      <w:r>
        <w:rPr>
          <w:rStyle w:val="FootnoteAnchor"/>
          <w:rtl w:val="true"/>
        </w:rPr>
        <w:footnoteReference w:id="508"/>
      </w:r>
      <w:r>
        <w:rPr>
          <w:rFonts w:ascii="Amiri" w:hAnsi="Amiri" w:eastAsia="Amiri" w:cs="Amiri"/>
          <w:color w:val="111111"/>
          <w:sz w:val="28"/>
          <w:sz w:val="28"/>
          <w:szCs w:val="28"/>
          <w:rtl w:val="true"/>
          <w:lang w:bidi="ar-SA"/>
        </w:rPr>
        <w:t xml:space="preserve">وكتاب </w:t>
      </w:r>
    </w:p>
    <w:p>
      <w:pPr>
        <w:pStyle w:val="BookText"/>
        <w:rPr/>
      </w:pPr>
      <w:r>
        <w:rPr>
          <w:rFonts w:ascii="IRNazanin" w:hAnsi="IRNazanin" w:eastAsia="IRNazanin"/>
          <w:color w:val="111111"/>
          <w:sz w:val="28"/>
          <w:sz w:val="28"/>
          <w:szCs w:val="28"/>
          <w:rtl w:val="true"/>
          <w:lang w:bidi="fa-IR"/>
        </w:rPr>
        <w:t>العروس</w:t>
      </w:r>
      <w:r>
        <w:rPr>
          <w:rStyle w:val="FootnoteAnchor"/>
          <w:rtl w:val="true"/>
        </w:rPr>
        <w:footnoteReference w:id="509"/>
      </w:r>
      <w:r>
        <w:rPr>
          <w:rFonts w:ascii="Amiri" w:hAnsi="Amiri" w:eastAsia="Amiri" w:cs="Amiri"/>
          <w:color w:val="111111"/>
          <w:sz w:val="28"/>
          <w:sz w:val="28"/>
          <w:szCs w:val="28"/>
          <w:rtl w:val="true"/>
          <w:lang w:bidi="ar-SA"/>
        </w:rPr>
        <w:t>وغيرها</w:t>
      </w:r>
      <w:r>
        <w:rPr>
          <w:rStyle w:val="FootnoteAnchor"/>
          <w:rtl w:val="true"/>
        </w:rPr>
        <w:footnoteReference w:id="510"/>
      </w:r>
      <w:r>
        <w:rPr>
          <w:rFonts w:ascii="Amiri" w:hAnsi="Amiri" w:eastAsia="Amiri" w:cs="Amiri"/>
          <w:color w:val="111111"/>
          <w:sz w:val="28"/>
          <w:sz w:val="28"/>
          <w:szCs w:val="28"/>
          <w:rtl w:val="true"/>
          <w:lang w:bidi="ar-SA"/>
        </w:rPr>
        <w:t xml:space="preserve">ما يفيد عدم المشروعيَّة بدون إمام الأصل، أو الحرمة الذَّاتيَّة، ونقل ذلك وزاد عليه المرحوم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والمرحوم الحاجُّ الشَّيخ عبد الكريم اليزديُّ، ولا بأس بنقل نصِّ ما نقله وما عقَّبه،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هنا أخبار أُخر تدلُّ على أنَّ صلاة الجُمُعة وإقامتها من مختصَّات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تصحُّ إلَّا به أو مَن يكون نائباً عنه بالخصوص، ومن جهتها ذهب بعض العلماء إلى عدم مشروعيَّتها في زمن الغيبة، ونحن نذكر الأخبار المذكورة ثُمَّ نشير إلى الجمع بينها وبين الأخبار المصرِّحة بصحَّة إقامتها من غير الإمام أو نائبه،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المروي عن دعائم الإسلام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الحكم ولا الحدود ولا الجُمُعة إلَّا للإمام أو مَن يقيمه الإمام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والمروي عن كتاب الأشعثيَّات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والحكومة لإمام المسلمين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رسالة الفاضل ابن عصفور مرسلاً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الجُمُعة لنا، والجماعة لشيعتنا</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 وكذا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الخمس، ولنا الأنفال، ولنا الجُمُعة، ولنا صفو المال</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إلى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والحدود، والجُمُعة، والصَّدقات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وقال ابن حجر في الدِّراية في تخريج أحاديث الهداية،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أربعة إلى الولاة، وذكر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لم أجده، وذكره ابن أبي شيبة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والحدود والقضاء، وعن أبي عبد الله 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والحدود والزَّكاة والفيء إلى السُّلطان، ومن طريق عطاء الخراساني مثله ولم يذكر الفيء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ونبويٌّ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الجُمُعة والحكومة لإمام المسلمين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الصَّحيفة السَّجادية في دعاء الجُمُعة وثاني العيدين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المقام لخلفائك وأصفيائك ومواضع أمنائك في الدرجة الرفيعة الَّتي اختصصتهم بها قد ابتزُّوها وأنت المقدِّر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عاد صفوتك وخلفاؤك مغلوبين مقهورين مبتَزِّين، يرون حكمك مبدّلاً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أعداءهم من الأوَّلين والآخرين، ومَن رضي بفعالهم وأشياعهم وأتباعهم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قال المصنِّف في هامش هذه الصَّفحة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الله عليك يا سيِّدي تتذمَّر في دعائك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هو بينك وبين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غلبة الظَّالمين وغصبهم منصبكم في صلاة الجمعة ولا تتذمَّر من قتلهم لأبيك وما فعلوه من تلك الأفاعيل الَّتي تقشعرُّ منها الجلود،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أعطى السَّيف حقَّه، لكن هلمَّ الخطب فيما جرى وأجروه بعد قتله من النَّهب والسَّلب والسَّبي والأسر إلى آخر ما جرى، كلُّ ذلك لم تذكره في دعائك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تذمَّرت من الأصل والأساس وهو غصب الجمعة الَّذي هو غصب مقامكم، ولولا ذاك لم يكُ هذا، ومن هنا يمكننا القول بأنَّ صلاة الجمعة وإنْ كانت هي من أعظم المظاهر الإسلاميَّة، وفيها ما فيها من المنافع الاجتماعيَّة للمسلمين، بل لعلَّه يمكن القول بأنَّها من هذه الجهة أقوى من الحجِّ في عالم الاجتماع والنِّظام الإسلاميِّ، ولكن مع ذلك كلِّه يمكننا القول بأنَّ المتصدِّي لها بلا أمر من وليِّ الأمر يكون داخلاً فيمَن لوَّح إليه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ويكون مرتكباً لما هو الأصل والأساس في قضية الطَّف، بل في قضية فدك ونحوها ممَّا يتفرَّع من غصب مقامهم وتنحيتهم عنه والحلول محلَّهم فيه، ولا فرق في المتصدِّي بين كونه مدَّعياً لولايتهم وبين المنكر لها، كما أنَّه لا فرق بين زمان الحضور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المعقوفين أدرجناه لاقتضاء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حرَّرت ما في الهامش في شعبان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الجعفريَّات، بإسناده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الحكم ولا الحدود ولا الجُمُعة إلّا بإمامٍ</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 وبهذا الإسناد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الإمام يهرب ولا يخلِّف أحداً يصلِّي بالنَّاس، كيف يصلُّون الجُمُعة؟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يصلُّون كصلاتهم أربع ركعات</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بإمام عدل تقيٍّ</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الحكم ولا الحدود إلا بإمام عدلٍ</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بين الأخبار بحيث لا يخفى على المنصف أنَّ وجوب</w:t>
      </w:r>
      <w:r>
        <w:rPr>
          <w:rStyle w:val="FootnoteAnchor"/>
          <w:rtl w:val="true"/>
        </w:rPr>
        <w:footnoteReference w:id="523"/>
      </w:r>
      <w:r>
        <w:rPr>
          <w:rFonts w:ascii="Amiri" w:hAnsi="Amiri" w:eastAsia="Amiri" w:cs="Amiri"/>
          <w:color w:val="111111"/>
          <w:sz w:val="28"/>
          <w:sz w:val="28"/>
          <w:szCs w:val="28"/>
          <w:rtl w:val="true"/>
          <w:lang w:bidi="ar-SA"/>
        </w:rPr>
        <w:t xml:space="preserve">صلاة </w:t>
      </w:r>
      <w:bookmarkStart w:id="431" w:name="pg10921_145361"/>
    </w:p>
    <w:p>
      <w:pPr>
        <w:pStyle w:val="BookText"/>
        <w:rPr/>
      </w:pPr>
      <w:bookmarkEnd w:id="431"/>
      <w:r>
        <w:rPr>
          <w:rFonts w:ascii="IRNazanin" w:hAnsi="IRNazanin" w:eastAsia="IRNazanin"/>
          <w:color w:val="111111"/>
          <w:sz w:val="28"/>
          <w:sz w:val="28"/>
          <w:szCs w:val="28"/>
          <w:rtl w:val="true"/>
          <w:lang w:bidi="fa-IR"/>
        </w:rPr>
        <w:t xml:space="preserve">الجُمُعة على حسب الجعل الأوَّليّ مشروط بأنْ يقيمها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من بعده، فإذا دعوا إليها يجب السَّعي إليها إلَّا على مَن استثني في الأخبار، وفي زمن عدم حضورهم أو كونهم غير مبسوطي اليد يجب على النَّاس في يوم الجُمُعة صلاة أربع ركعات، وفي تلك الحالة إذا اجتمعوا للجمعة بالعدد المعتبر يصحُّ منهم الجُمُعة مع بقاء مشروعيَّة الظُّهر بإطلاق المادَّة، ونتيجته حينئذٍ التَّخيير</w:t>
      </w:r>
      <w:r>
        <w:rPr>
          <w:rStyle w:val="FootnoteAnchor"/>
          <w:rtl w:val="true"/>
        </w:rPr>
        <w:footnoteReference w:id="524"/>
      </w:r>
      <w:r>
        <w:rPr>
          <w:rFonts w:ascii="Amiri" w:hAnsi="Amiri" w:eastAsia="Amiri" w:cs="Amiri"/>
          <w:color w:val="111111"/>
          <w:sz w:val="28"/>
          <w:sz w:val="28"/>
          <w:szCs w:val="28"/>
          <w:rtl w:val="true"/>
          <w:lang w:bidi="ar-SA"/>
        </w:rPr>
        <w:t>بين الظُّهر والجُمُعة</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قوله في الجعفريَّات وفي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الحكم ولا الحدود ولا الجُمُعة إلا بإمام عدل أو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صحَّة الجُمُعة، ومع الأخذ به لا يتمُّ القول بالتَّخيير، ولا يمكن القول بأنَّ المراد هو إمام الجُمُعة؛ لأنَّه قرنه بالحكم وإقامة الحدِّ الَّذي يريد أنْ يجعله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127564_2870459653"/>
      <w:bookmarkStart w:id="433" w:name="_Toc159"/>
      <w:bookmarkEnd w:id="432"/>
      <w:r>
        <w:rPr>
          <w:rtl w:val="true"/>
        </w:rPr>
        <w:t>أدلَّة القول المشهور في نفي الوجوب التَّعييني لصلاة الجُمُعة</w:t>
      </w:r>
      <w:bookmarkEnd w:id="433"/>
    </w:p>
    <w:p>
      <w:pPr>
        <w:pStyle w:val="BookText"/>
        <w:rPr/>
      </w:pPr>
      <w:r>
        <w:rPr>
          <w:rFonts w:ascii="Amiri" w:hAnsi="Amiri" w:eastAsia="Amiri" w:cs="Amiri"/>
          <w:color w:val="111111"/>
          <w:sz w:val="28"/>
          <w:sz w:val="28"/>
          <w:szCs w:val="28"/>
          <w:rtl w:val="true"/>
          <w:lang w:bidi="ar-SA"/>
        </w:rPr>
        <w:t xml:space="preserve">ومن جملة ما استدلَّ به المرحوم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من نفي تعيُّن الجُمُعة ما ثبت من سقوطها عمَّن يكون على أزيد من فرسخين من محلِّ إقامتها، باعتبار أنَّه لو كان وجوبها متعيَّناً لوجب على أولئك إقامتها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في المقام أحكاماً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الجُمُعة إذا كان بينها وبين الأخرى فرسخ،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أميال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حضور مَن كان على رأس فرسخين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عمَّن كان على أزيد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الأحكام الثَّلاثة منصوصة، فالَّذي يدلُّ على الأوَّل، بل الثَّاني أيضاً حسنة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بين الجماعتين ثلاثة أميال، يعني لا تكون جمعة إلَّا فيما بينه وبين ثلاثة أميال، وليس تكون جمعة إلَّا بخطبة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بين الجماعتين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ثلاثة أميال فلا بأس أنْ يجمِّع هؤلاء ويجمِّع هؤلاء</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وموثَّقته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تجب الجُمُعة على من كان منها على فرسخين، ومعنى ذلك إذا كان إمام عادل،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529"/>
      </w:r>
      <w:r>
        <w:rPr>
          <w:rFonts w:ascii="Amiri" w:hAnsi="Amiri" w:eastAsia="Amiri" w:cs="Amiri"/>
          <w:color w:val="111111"/>
          <w:sz w:val="28"/>
          <w:sz w:val="28"/>
          <w:szCs w:val="28"/>
          <w:rtl w:val="true"/>
          <w:lang w:bidi="ar-SA"/>
        </w:rPr>
        <w:t>إذا كان بين الجماعتين ثلاثة أميال فلا بأس أنْ يجمِّع هؤلاء ويجمِّع هؤلاء، ولا يكون بين الجماعتين أقلُّ من ثلاثة أميال</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يدلَّ على الثَّالث، بل الثَّاني أيضاً ما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وجبت الجُمُعة على من يكون على فرسخين لا أكثر من ذلك؛ لأنَّ ما يقصَّر فيه الصَّلاة بريدان ذاهباً، أو بريد ذاهباً وبريد جائياً، والبريد أربعة فراسخ، فوجبت الجُمُعة على من هو على نصف البريد الَّذي يجب فيه التَّقصير، وذلك أنَّه يجيء فرسخين ويذهب فرسخين، فذلك أربعة فراسخ، وهو نصف طريق المسافر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تجب على مَن كان منها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فرسخين، فإنْ زاد على ذلك فليس عليه شيء</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الجُمُعة واجبة على مَن إنْ صلَّى الغداة في أهله أدرك الجُمُعة،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يصلِّي العصر في وقت الظُّهر في سائر الأيام كي إذا قضوا الصَّلاة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رجعوا إلى رحالهم قبل اللَّيل، وذلك سنَّة إلى يوم القيامة</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رجعوا إلى رحالهم 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التَّحديد بذلك على الدِّقة كي لا ينطبق على مَن كان بينه وبينها أربعة فراسخ؛ إذ لا يلزم من ذلك أنْ يكون وصوله عند إقامتها، بل الغرض أنَّه يصل ويدركها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سيره بطيئاً على وجه يضيق الحدُّ ما بين الغداة وبين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ذلك تكون الرِّواية مطلقةً أو مجملةً، ويتعيَّن الرُّجوع في شرحها إلى سابقتها الَّتي عيَّنت الفرسخين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مذهب المشهور بالحكم الثَّاني، فإنَّه لو لم تكن تعيينيَّة الجُمُعة متوقِّفة على إقامة الإمام الأصليِّ لأمكن إقامتها بين الفرسخين، فلا يحتاجون إلى تكلُّف قطع الفرسخين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 باحتمال عدم تيسُّر الاجتماع أو عدم تيسُّر الإمام وإنْ كان هو إمام الجماعة، لا الأصليّ ولا نائبه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استدلَّ بالحكم الثَّالث وهو السَّقوط عمَّن بَعُد عنها بما يزيد على الفرسخين، وجعل الحمل على خصوص ما لم يتَّفق وجود إمام الجماعة أو ما لم يتَّفق وجود العدد من قبيل الحمل على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حضور مَن كان على 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أنَّه ليس لأحدٍ عقدها وإلَّا كان لهم أنْ يعقدوها فيما زاد على الفرسخ، ولا يتكلّفوا الحضور إلى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بأنَّه إنَّما يلزم الحضور لو اتَّفق عدم وجود جمعة فيما قبله أو فيما بعده، فالحكم المذكور مفروض في هذه الصورة،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اتِّفاق عدم إقدام أحدٍ منهم على عقدها هناك فيما بينهم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الكلام في الحكم الأوَّل، وهو انعقاد الجُمُعتين وبينهما فرسخ، هل يكون ذلك بنصب وتعيين من الإمام، أو أنَّه يكون باختيار المجتمعين؟ ولا يبعد الأوَّل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يكون جمعة إلَّا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اختصاصها بالمنصوب لذلك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يستبعد النَّصب على رأس كلِّ فرسخ، 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اتِّفاقيٌّ ولو من جهة اتِّفاق تقارب البلدتين ونحو ذلك،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اجتماع الجُمُعتين بينهما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كلِّيٌّ قانونيٌّ، ولا يلزم أنْ يكون غالبيَّاً، مع أنَّه لا مانع من كونه غالبيَّاً ليكون دفعاً لكُلفة النَّاس السَّعي بمقدار فرسخين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أيِّ حالٍ ليس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الجمعتين وبينهما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الرَّاجعة إلينا، بل هو راجع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تنصيب إمام الجماعة، إلَّا أنْ يكون المنصوب إماماً مطلقاً، بمعنى السَّيَّار ليصحَّ له عقدها أينما يحلّ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جعل الحكم الثَّالث وهو السُّقوط عمَّن بعد عن الجُمُعة بما يزيد على الفرسخين دليلاً على عدم الانعقاد بدون نصب، ثُمَّ ذكر التَّأمُّل في ذلك، وأنَّ المنظور هو اتِّفاق عدم تيسُّر الاجتماع ولو لعدم وجود اللَّائق للإمامة، وأجاب بأنَّه نادر الوقوع</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سقطت عنه الحركة إلى ما يزيد على الفرسخين إنْ كانت أُخرى قريبةً منه ولو بفرسخين وجب عليه السَّعي إليها، فلا يكون سقوط الحركة موجباً لسقوط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مثل هذا أنَّه بعيد عن الجُمُعة بأزيد من فرسخين، فلا بدَّ أنْ يكون المنظور إليه هو إمكان أنْ يعقدها هو وجماعته،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قلنا بأنَّها يجوز لكلِّ أحد عقدها لم يكن لنا إلَّا اشتراط عدم الاجتماع بما يقلُّ عن الفرسخ بينهما، ولا يتصوَّر البعد عن محلِّ الجُمُعة؛ إذ لا يكون لها حينئذٍ محلٌّ مخصوصٌ، فلا يتصوَّر فرض البعد بأزيد من فرسخين إلَّا نادراً بأنْ يكون في محلٍّ لا جماعة فيه معه، أو لا يكون فيهم مَن هو قابل للقدوة، فتأمَّل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بالوجوب العينيّ على كلِّ أحدٍ يتمكَّن من إقامتها ولو بالاجتماع مع أصحابه على رأس فرسخين من محلِّه الَّذي هو فيه كان سقوط الحركة عنه </w:t>
      </w:r>
    </w:p>
    <w:p>
      <w:pPr>
        <w:pStyle w:val="BookText"/>
        <w:rPr/>
      </w:pPr>
      <w:r>
        <w:rPr>
          <w:rFonts w:ascii="Amiri" w:hAnsi="Amiri" w:eastAsia="Amiri" w:cs="Amiri"/>
          <w:color w:val="111111"/>
          <w:sz w:val="28"/>
          <w:sz w:val="28"/>
          <w:szCs w:val="28"/>
          <w:rtl w:val="true"/>
          <w:lang w:bidi="ar-SA"/>
        </w:rPr>
        <w:t xml:space="preserve">متوقِّفاً على عدم إمكان ذلك فيما يزيد على الفرسخين من جميع أطرافه المحيطة به، بأنْ نفرضه في وسط دائرة يكون قطرها زائداً على الأربعة فراسخ، ونفرض عدم إمكان الاجتماع في جميع تلك الدَّوائر، وهو بعيد جداً في البلاد والأراضي المسكونة، وكذلك الحال في وجوب السَّعي إليها لو انعقدت على فرسخين من محلِّه، فإنَّه يتوقَّف على عدم إمكان عقدها فيما دون ذلك ممَّا هو داخل في محيط دائرته، وهو أيضاً بعيد في المسكون من البلاد والأراضي، فلا وجه لما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النُّدرة في الأوَّل دون الثَّاني،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إنَّ هذا الشَّخص الَّذي هو في وسط دائرة قطرها أربعة فراسخ أو تزيد على أربعة فراسخ يكون وجوب السَّعي عليه في الفرسخين وعدمه فيما يزيد على القول بعدم الاختصاص بإمام الأصل أو منصوبه الخاصِّ مختصَّاً بما إذا لم يكن في تمام تلك الدَّائرة منصوبٌ خاصٌّ، ولم يمكنه انعقادها في تمام تلك الدَّائرة، وهو فرض بعيد، بخلافه على القول بالاختصاص، فإنَّه لا يتوقَّف إلَّا على عدم المنصوب الخاصِّ في تمام تلك الدَّائرة، وهو لا بُعد فيه، وحينئذٍ يكون المترجَّح هو القول بالاختصاص، وفي مسألة الفرسخين يتعيَّن عليه السَّعي في الفرسخين، وفيما لو زاد على الفرسخين لا إشكال في سقوط السَّعي إلى الجُمُعة المنعقدة فيما زاد، لكن هل يتعيَّن عليه صلاة الظُّهر أو يتخيَّر بينها وبين الجُمُعة إنْ أمكنه إقامتها؟ ولا يبعد الأوَّل استناداً إلى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زاد على ذلك فليس عليه شيء</w:t>
      </w:r>
      <w:r>
        <w:rPr>
          <w:rFonts w:eastAsia="IRNazanin" w:cs="IRNazanin"/>
          <w:color w:val="111111"/>
          <w:sz w:val="28"/>
          <w:szCs w:val="28"/>
          <w:rtl w:val="true"/>
          <w:lang w:bidi="fa-IR"/>
        </w:rPr>
        <w:t>))</w:t>
      </w:r>
      <w:r>
        <w:rPr>
          <w:rStyle w:val="FootnoteAnchor"/>
          <w:rtl w:val="true"/>
        </w:rPr>
        <w:footnoteReference w:id="53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أصالة عدم المشروعيَّة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يستدلُّ به للمشهور في قبال دعوى الوجوب التَّعيينيّ على كلِّ أحدٍ </w:t>
      </w:r>
    </w:p>
    <w:p>
      <w:pPr>
        <w:pStyle w:val="BookText"/>
        <w:rPr/>
      </w:pPr>
      <w:r>
        <w:rPr>
          <w:rFonts w:ascii="Amiri" w:hAnsi="Amiri" w:eastAsia="Amiri" w:cs="Amiri"/>
          <w:color w:val="111111"/>
          <w:sz w:val="28"/>
          <w:sz w:val="28"/>
          <w:szCs w:val="28"/>
          <w:rtl w:val="true"/>
          <w:lang w:bidi="ar-SA"/>
        </w:rPr>
        <w:t>وعدم الاختصاص بإمام الأصل أو نائبه الخاصّ ما ورد في أهل القرى من الرِّوايات، فمنها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عن حفص بن غياث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أهل القرى جمعة، ولا خروج في العيدين</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طلحة بن زيد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جمعة إلَّا في مصرٍ تقام فيه الحدود</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أُناس في قرية، هل يصلُّون الجُمُعة جماعة؟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يصلُّون أربعاً إذا لم يكن مَن يخطب</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قوم في قرية صلَّوا الجُمُعة</w:t>
      </w:r>
      <w:r>
        <w:rPr>
          <w:rStyle w:val="FootnoteAnchor"/>
          <w:rtl w:val="true"/>
        </w:rPr>
        <w:footnoteReference w:id="544"/>
      </w:r>
      <w:r>
        <w:rPr>
          <w:rFonts w:ascii="Amiri" w:hAnsi="Amiri" w:eastAsia="Amiri" w:cs="Amiri"/>
          <w:color w:val="111111"/>
          <w:sz w:val="28"/>
          <w:sz w:val="28"/>
          <w:szCs w:val="28"/>
          <w:rtl w:val="true"/>
          <w:lang w:bidi="ar-SA"/>
        </w:rPr>
        <w:t>أربع ركعات، فإنْ كان لهم من يخطب بهم جمَّعوا إذا كانوا خمسة نفر، وإنَّما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موثَّقة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في قريةٍ ليس لهم من </w:t>
      </w:r>
    </w:p>
    <w:p>
      <w:pPr>
        <w:pStyle w:val="BookText"/>
        <w:rPr/>
      </w:pPr>
      <w:r>
        <w:rPr>
          <w:rFonts w:ascii="Amiri" w:hAnsi="Amiri" w:eastAsia="Amiri" w:cs="Amiri"/>
          <w:color w:val="111111"/>
          <w:sz w:val="28"/>
          <w:sz w:val="28"/>
          <w:szCs w:val="28"/>
          <w:rtl w:val="true"/>
          <w:lang w:bidi="ar-SA"/>
        </w:rPr>
        <w:t xml:space="preserve">يَجْمَعُ بهم، أيصلُّون الظُّهر يوم الجُمُعة في 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قرب الإسناد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يخافوا شيئاً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وبإزاء هذا الخوف ما تضمَّنته 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في موردٍ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تجب الجُمُعة؟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سبعة نفر من المسلمين، ولا جمعة لأقلَّ من خمسة من المسلمين، أحدهم الإمام، فإذا اجتمع سبعة ولم يخافوا أمَّهم بعضهم وخطبهم</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المرحوم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فيما سبق من الكلام على أخبار الفراسخ سهولة وجود الخطيب، أو لزوم تعلم الخطابة ومن هنا يظهر صحَّة الاستدلال للمدَّعى بالأخبار النَّافية لوجوبها على أهل القرى إمَّا مطلقاً أو مع عدم مَن يخطب،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يخطب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المنصوب لذلك من قبل الوالي فيتمُّ المطلوب، أو مطلق مَن يقوم بهذه الوظيفة، لا مطلق مَن يقدر عليه، لما أشرنا إليه من أنَّ كلَّ مَن يقدر على الصَّلاة يتمكَّن على الإتيان بأدنى ما يجزئ من الخطبتين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وأوضح منها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طلحة بن زيد، وكذا الرِّواية الأولى، وحملها على التَّقيَّة حيث إنَّ ذلك مذهب العامَّة ليس بأوْلى من تنزيلهما على الغالب من عدم وجود الإمام أو نائبه الَّذي يصلِّي الجُمُعة ويقيم الحدود إلَّا في الأمصار</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تعيُّن الجُمُعة عند عدم وجود إمام </w:t>
      </w:r>
    </w:p>
    <w:p>
      <w:pPr>
        <w:pStyle w:val="BookText"/>
        <w:rPr/>
      </w:pPr>
      <w:r>
        <w:rPr>
          <w:rFonts w:ascii="IRNazanin" w:hAnsi="IRNazanin" w:eastAsia="IRNazanin"/>
          <w:color w:val="111111"/>
          <w:sz w:val="28"/>
          <w:sz w:val="28"/>
          <w:szCs w:val="28"/>
          <w:rtl w:val="true"/>
          <w:lang w:bidi="fa-IR"/>
        </w:rPr>
        <w:t xml:space="preserve">الأصل ونائبه الخاصّ، لكن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يصلُّون أربعاً إذا لم يكن من يخطب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تعيُّن الأربع،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لا التَّخيير بينها وبين الجُمُعة الَّذي هو مسلكه، كما هو الحال لو كان المراد هو مَن يقوم بالوظيفة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 مع فرض قدرته عليها، فإنَّه يتعيَّن الظُّهر عند عدمه حتى على مسلكه الَّذي هو التَّخيير، وهكذا الحال لو كان المراد مَن يقدر على الخطابة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من يخطب يلائم القول بعدم مشروعيَّة الجُمُعة لو أخذ بالمعنى الأوَّل، ويلائم القول بالتَّخيير لو أخذناه بالمعنى الثَّاني، ويلائم القول بتعيُّن الجُمُعة لو أخذناه بالمعنى الثَّالث، وحيث إنَّ الأظهر هو المعنى الأوَّل يتعيَّن القول الأوَّل، ووجه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فرضه إمام جماعة، ويبعد أنْ يكون متبرِّعاً بالخطبة أو غير قادر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عبَّر في موثَّقة ابن بكير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يجمع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السُّؤال عن صلاة الظُّهر جماعة، فإنَّه لا بدَّ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يجمع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موظَّف لذلك، لا مطلق العادل الَّذي يُقتدى به في الصَّلاة العاديَّة، ومن ذلك يظهر الكلام في موثَّقة ابن بكير، حيث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يجمع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يحتمل أنْ يكون المراد به المتبرِّع أو القادر ولو من ناحية الخطبة، إلَّا أنَّ الأظهر كون المراد به هو الموظَّف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هذا يقع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أيصلُّون الظُّهر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المراد به الظُّهر الحقيقيَّة، ويكون المسؤول عنه هو جواز إيقاعها جماعة، ويكون الجواب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اجتماعهم خوف عليهم من السُّلطان ولو من جهة عدم سعيهم إلى الجُمُعة الَّتي هي مفقودة فيما يقرب منهم، أو أنَّ المراد بالظُّهر في جماعة هو الجُمُعة، ويكون الجواب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يخافوا واضحاً، لكنَّه لا يدلُّ على التَّعيُّن؛ لجواز كون المسؤول عنه أصل </w:t>
      </w:r>
    </w:p>
    <w:p>
      <w:pPr>
        <w:pStyle w:val="BookText"/>
        <w:rPr/>
      </w:pPr>
      <w:r>
        <w:rPr>
          <w:rFonts w:ascii="Amiri" w:hAnsi="Amiri" w:eastAsia="Amiri" w:cs="Amiri"/>
          <w:color w:val="111111"/>
          <w:sz w:val="28"/>
          <w:sz w:val="28"/>
          <w:szCs w:val="28"/>
          <w:rtl w:val="true"/>
          <w:lang w:bidi="ar-SA"/>
        </w:rPr>
        <w:t>الجواز، كما أنَّها على الوجه الأوَّل لا تدلُّ على تعيُّن الظُّهر؛ لجواز كون السُّؤال عن جواز الاجتماع في الظُّهر بعد سقوط تعيُّن الجُمُعة، سواءً كان ذلك موجباً لتعيُّن الظُّهر أو كونه واجباً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أنَّا بعد أنْ استظهرنا من الظُّهر معناها الأصليّ، وأنَّ المراد ممَّن يجمع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المرحوم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الظَّاهر من السُّؤال أنَّ السَّائل قد فهم سقوط الجُمُعة وتعيُّن الظُّهر، وإنَّما يسأل عن جواز الاجتماع فيها، فتكون الرِّواية دالَّة على عدم مشروعيَّة الجُمُعة خلافاً لمسلكه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التَّخييريِّ، ويمكن القول بأنَّ الجُمُعة لو بقيت على التَّعيُّن أو كانت هي أحد فردي التَّخيير لكان على الإمام أنْ يعرَّفه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إرادة هذا الاحتمال تصير هذه الرِّواية من أدلَّة القول بجواز إقامتها بغير المنصوب، لا الوجوب</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نقل المصنِّف في صفحة مستقلِّة كلام المحقِّق الهمدانيّ حول موثَّقة ابن بكير، فرأينا من المناسب إيراده في هذا الموضع،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المرحوم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موثَّقة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السُّؤال يشهد بمعروفيَّة اختصاص الجمعة بإمامٍ خاصٍّ، وأنَّه لا جمعة بدونه، فسئل عن أنَّه هل يجوز لهم أنْ يصلُّوا الظُّهر في جماعة؟ بعد المفروغيَّة عن أنَّه لا جمعة عليهم، فهي كالنصِّ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مقصوده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أيصلُّون الظُّهر يوم الجمعة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بأنْ يكون غرضه السُّؤال عن أنَّه إذا لم يكن لهم إمام منصوب هل يجوز لهم عقدها بأنْفسهم بأنْ يؤمّهم بعضٌ منهم،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تعليق الرُّخصة على عدم الخوف من مؤيِّدات هذا الاحتمال المخالف للظَّاهر؛ إذ كما أنَّ عقد الجمعة بغير إمام منصوب من قبل السَّلاطين كان معرضاً للخوف، كذلك عقد الجماعة للظُّهر في القرى القريبة من مصرٍ تقام فيه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إرادة هذا الاحتمال تصير هذه الرِّواية من أدلَّة القول بجواز إقامتها بغير المنصوب، لا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حُمل السُّؤال عن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الموثَّقة لا يمكن استظهار شيءٍ منها، فلا تصلح دليلاً للقول بالتَّعيين، ولا للقول بالتَّخيير، ولا للقول بعدم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أُوليي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ورواية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فيهما التَّقيَّة، ويحتمل فيهما السُّقوط لعدم وجود الموظَّف هناك، ويحتمل السُّقوط لعدم مَن له أهليَّة الإمامة أو الخطابة، والأخير بعيد كبعد الأوَّل فيتعيَّن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وجود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مصرٍ تقام فيه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الموظَّف إنَّما يوجد في الأمصار دون القرى، فتسقط الجُمُعة عن أهل القرى؛ لعدم وجود الموظَّف فيها، والظَّاهر من نفي الجُمُعة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نفيها بتاتاً، فيدلُّ على عدم المشروعيَّة، فيسقط القول بالتَّخيير كسقوط القول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بدَّ من تقييدهما بما يستفاد من رواية ابن مسلم ورواية الفضل بعدم وجود مَن يخطب بأيِّ معنى أخذناه، ويكون التَّقييد المذكور هو المتعيّن لصناعة الإطلاق والتَّقييد؛ لسقوط الأصل الجهتيّ وتأخُّره عن الأصل المراديّ، وللعلم بسقوط الإطلاق إمَّا تقيَّةً أو تقييداً، ولقرينة التَّعليل المستفاد من التَّوصيف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مصرٍ تقام فيه الحدود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جمعة عند عدم وجود مَن يخطب، وبعد تفسيره بالموظَّف لذلك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نفي الصّحَّة، لا أنَّه لمجرَّد نفي تعيُّنها، كما هو مسلك القائلين بالتَّخيير، ومنهم المرحوم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جملة ما استُدلَّ به لردِّ القول بالتَّعيين رواية العلل والعيون وموثَّقة سماعة، قال المرحوم الحاجُّ 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عليه أيضاً الرِّوايات الدَّالَّة على أنَّ الصَّلاة ركعتين إنَّما هو فيما إذا كانت مع الإمام، الظَّاهرة أو الصَّريحة في إرادة مَن بيده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لا ما يعمُّ إمام الجماعة،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الصَّدوق في كتاب عيون الأخبار والعلل بإسناده،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صارت صلاة الجُمُعة إذا كانت مع الإمام ركعتين، وإذا كانت بغير إمامٍ ركعتين وركعتين؟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يتخطّون إلى الجُمُعة من بُعد، فأحبَّ الله عزَّ وجلَّ أنْ يخفِّف عنهم لموضع التَّعب الَّذي صاروا إليه،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يحبسهم للخطبة وهم منتظرون للصَّلاة، ومَن انتظر الصَّلاة فهو في الصَّلاة في حكم التَّمام،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مع الإمام أتمُّ وأكمل؛ لعلمه وفقهه وعدله وفضله،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الجُمُعة عيد، وصلاة العيد ركعتان ولم تقصر لمكان الخطبتين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الخطبة؟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مشهدٌ عامٌّ، فأراد أنْ يكون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العلل</w:t>
      </w:r>
      <w:r>
        <w:rPr>
          <w:rStyle w:val="FootnoteAnchor"/>
          <w:rtl w:val="true"/>
        </w:rPr>
        <w:footnoteReference w:id="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إلى موعظتهم، وترغيبهم في الطَّاعة، وترهيبهم من المعصية، وتوقيفهم على ما أراد من مصلحة دينهم ودنياهم، ويخبر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بما ورد عليهم من الآفاق من الأهوال الَّتي لهم فيها المضرَّة والمنفعة، ولا </w:t>
      </w:r>
    </w:p>
    <w:p>
      <w:pPr>
        <w:pStyle w:val="BookText"/>
        <w:rPr/>
      </w:pPr>
      <w:r>
        <w:rPr>
          <w:rFonts w:ascii="Amiri" w:hAnsi="Amiri" w:eastAsia="Amiri" w:cs="Amiri"/>
          <w:color w:val="111111"/>
          <w:sz w:val="28"/>
          <w:sz w:val="28"/>
          <w:szCs w:val="28"/>
          <w:rtl w:val="true"/>
          <w:lang w:bidi="ar-SA"/>
        </w:rPr>
        <w:t>يكون الصَّائر في الصَّلاة منفصلاً وليس بفاعل غيره ممَّن يؤمُّ النَّاس في غير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الخطبتين؟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واحدة للثناء على الله والتَّمجيد والتَّقديس لله عزَّ وجلَّ، والأخرى للحوائج، والإعذار، والإنذار، والدُّعاء، وما يريد أنْ يعلَّمهم من أمره ونهيه، وما فيه الصَّلاح والفساد</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بفاعل غيره، غير موجود في عيون الأخبار</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ينافي ظهور الخبر، بل صراحته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التَّدبُّر في مجموع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المقصود بالإمام فيه من له الأمر والنَّهي، لا مطلق مَن يؤمُّ النَّاس في سائر الأيَّام، كما لا يخفى على المتدبِّر</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وجود الجملة المذكورة في العيون لا ينافي وجودها في العلل، لكن كما تكون الرِّواية ردَّاً على مَن يقول بالتَّعيين وعدم الاشتراط بوجود الإمام أو نائبه، فكذلك تدلُّ على عدم قصرها عند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وصدر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صارت صلاة الجُمُعة إذا كانت مع الإمام ركعتين وإذا كانت بغير الإمام ركعتين وركعتين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في عدم قصرها إذا كانت بغير إمام، وأما بقيَّة الرِّواية فإنَّما ذكر لأجل الاستدلال به على أنَّ المراد من الإمام منها من له الأمر، لا من يعمُّ إمام الجماعة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تلك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يوم </w:t>
      </w:r>
    </w:p>
    <w:p>
      <w:pPr>
        <w:pStyle w:val="BookText"/>
        <w:rPr/>
      </w:pPr>
      <w:r>
        <w:rPr>
          <w:rFonts w:ascii="Amiri" w:hAnsi="Amiri" w:eastAsia="Amiri" w:cs="Amiri"/>
          <w:color w:val="111111"/>
          <w:sz w:val="28"/>
          <w:sz w:val="28"/>
          <w:szCs w:val="28"/>
          <w:rtl w:val="true"/>
          <w:lang w:bidi="ar-SA"/>
        </w:rPr>
        <w:t xml:space="preserve">الجُمُعة،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مع الإمام فركعتان،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صلَّى وحده فهي أربع ركعات وإنْ صلَّوا جماعة</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سماعة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الجُمُعة مع الإمام ركعتان، فمَن صلَّى وحده فهي أربع ركعات</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صلَّوا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السَّند، والحديث كما في الوسائل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صلَّوا جماعة</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يوم الجُمُعة،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 الإمام فركعتان، وأمَّا مَن صلَّى وحده فهي أربع ركعات بمنزلة الظُّهر،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إمام يخطب، فإنْ لم يكن إمام يخطب فهي أربع ركعات وإنْ صلَّوا جماعة</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هذا التَّفسير من الرَّاوي، وظنَّ صاحب الوسائل</w:t>
      </w:r>
      <w:r>
        <w:rPr>
          <w:rStyle w:val="FootnoteAnchor"/>
          <w:rtl w:val="true"/>
        </w:rPr>
        <w:footnoteReference w:id="566"/>
      </w:r>
      <w:r>
        <w:rPr>
          <w:rFonts w:ascii="Amiri" w:hAnsi="Amiri" w:eastAsia="Amiri" w:cs="Amiri"/>
          <w:color w:val="111111"/>
          <w:sz w:val="28"/>
          <w:sz w:val="28"/>
          <w:szCs w:val="28"/>
          <w:rtl w:val="true"/>
          <w:lang w:bidi="ar-SA"/>
        </w:rPr>
        <w:t>والوافي</w:t>
      </w:r>
      <w:r>
        <w:rPr>
          <w:rStyle w:val="FootnoteAnchor"/>
          <w:rtl w:val="true"/>
        </w:rPr>
        <w:footnoteReference w:id="567"/>
      </w:r>
      <w:r>
        <w:rPr>
          <w:rFonts w:ascii="Amiri" w:hAnsi="Amiri" w:eastAsia="Amiri" w:cs="Amiri"/>
          <w:color w:val="111111"/>
          <w:sz w:val="28"/>
          <w:sz w:val="28"/>
          <w:szCs w:val="28"/>
          <w:rtl w:val="true"/>
          <w:lang w:bidi="ar-SA"/>
        </w:rPr>
        <w:t xml:space="preserve">أنَّ المراد </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يقدر على الخطبة، ليكون الحاصل هو أنَّهم وإنْ كانوا مع إمام في الصُّورتين إلَّا أنَّ إمامهم إنْ كان يقدر على الخطبة صلَّوها جمعة ركعتين، وإنْ كان لم يقدر على الخطبة صلَّوها ظهراً أربع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المنشأ في جعلها ركعتين أو أربع ركعات، ولا تصحُّ هذه المقابلة، ولا يصحُّ انطباق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صلَّى وحده إلَّا إذا كان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الخلوّ عن إمام الأصل أو نائبه الخاصِّ وإنْ كانوا جماعة كثيرة العدد وقد ائتمّوا ببعضهم، ولعلَّه إليه الإيماء في قوله في رواية عمر بن حنظلة في القنوت يوم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صلَّيتم في جماعة ففي الرَّكعة الأولى، وإذا صلَّيتم وحداناً ففي الرَّكعة الثَّانية</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 وهذا هو المراد للرَّاوي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الموظَّف المنصوب للخطبة والصَّلاة، كما عرفت في أخبار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تكون الرِّوايتان كرواية العلل والعيون دليلاً على لزوم الأربع وعدم مشروعيَّة الجُمُعة مع عدم قيام إمام الأصل أو نائبه الخاصِّ بها، كما تدلُّ على عدم وجوبها التَّعيينيّ، فلاحظ</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يتَّضح لك المراد فيما نقله في الوافي</w:t>
      </w:r>
      <w:r>
        <w:rPr>
          <w:rStyle w:val="FootnoteAnchor"/>
          <w:rtl w:val="true"/>
        </w:rPr>
        <w:footnoteReference w:id="569"/>
      </w:r>
      <w:r>
        <w:rPr>
          <w:rFonts w:ascii="Amiri" w:hAnsi="Amiri" w:eastAsia="Amiri" w:cs="Amiri"/>
          <w:color w:val="111111"/>
          <w:sz w:val="28"/>
          <w:sz w:val="28"/>
          <w:szCs w:val="28"/>
          <w:rtl w:val="true"/>
          <w:lang w:bidi="ar-SA"/>
        </w:rPr>
        <w:t>عن الفقيه</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وضعت الرَّكعتان اللَّتان أضافهما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للمقيم لمكان الخطبتين مع الإمام، فمَن صلَّى بقوم يوم الجُمُعة في غير جماعةٍ فليصلِّها أربعاً كصلاة </w:t>
      </w:r>
    </w:p>
    <w:p>
      <w:pPr>
        <w:pStyle w:val="BookText"/>
        <w:rPr/>
      </w:pPr>
      <w:r>
        <w:rPr>
          <w:rFonts w:ascii="Amiri" w:hAnsi="Amiri" w:eastAsia="Amiri" w:cs="Amiri"/>
          <w:color w:val="111111"/>
          <w:sz w:val="28"/>
          <w:sz w:val="28"/>
          <w:szCs w:val="28"/>
          <w:rtl w:val="true"/>
          <w:lang w:bidi="ar-SA"/>
        </w:rPr>
        <w:t>الظُّهر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بالجماعة صلاة الجُمُعة مع الخطبة، ولها نظائر في أخبار هذا الباب</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حالها حال ما تقدَّم من الدَّلالة على تعيُّن الأربع مع عدم الإمام أو نائبه الخاصِّ وإنْ صلَّوها جماعةً، يعني قد اقتدوا ببعضهم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تلخَّص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الطَّوائف،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من الأخبار الدَّالَّة على أنَّ صلاة الجُمُعة من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لا تصحُّ بدونه،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أخبار الفرسخ والفرسخين وما يزيد على الفرسخين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ممَّا ورد في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أنَّها مع الإمام ركعتان وبدونه أربع ركعا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الطَّوائف كلّها تدلُّ على نفي الوجوب التَّعيينيّ وعلى نفي الوجوب التَّخييريّ أيضاً، مضافاً إلى ما تقدَّم من الدَّليل العقليّ على عدم التَّكليف بالاجتماع فيها، سواء كان تعيينيَّاً أو كان تخييريَّاً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ذلك كلِّه فقد استدلُّوا بأخبارٍ واردة في مورد عدم بسط 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دلالتها على الوجوب التَّخييريّ واستحبابها، بمعنى كونها أفضل فردي التَّخيير، فمن تلك الأخبار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تجب الجُمُعة؟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صلاة الجُمُعة حتَّى ظننت أنَّه يريد أنْ نأتيه،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نغدوا عليك؟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عنيت عندكم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لم يظهر من زرارة أنَّه عمل بذلك الحثِّ مع قرب العهد، كما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نغدوا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xml:space="preserve">ما عن الصَّدوق في أماليه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للمؤمن أنْ لا يخرج من الدُّنيا حتَّى يتمتَّع ولو مرَّةً، ويصلِّي الجُمُعة ولو مرَّةً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ورواها أيضاً الشَّيخ في مصباح المتهجِّد بسنده إلى ابن أبي عمير، عن هشام بن سالم، عن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يصلِّي الجُمُعة في جماعة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رواية زرارة، عن عبد الملك،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يهلك</w:t>
      </w:r>
      <w:r>
        <w:rPr>
          <w:rStyle w:val="FootnoteAnchor"/>
          <w:rtl w:val="true"/>
        </w:rPr>
        <w:footnoteReference w:id="579"/>
      </w:r>
      <w:r>
        <w:rPr>
          <w:rFonts w:ascii="Amiri" w:hAnsi="Amiri" w:eastAsia="Amiri" w:cs="Amiri"/>
          <w:color w:val="111111"/>
          <w:sz w:val="28"/>
          <w:sz w:val="28"/>
          <w:szCs w:val="28"/>
          <w:rtl w:val="true"/>
          <w:lang w:bidi="ar-SA"/>
        </w:rPr>
        <w:t>ولم يصلِّ فريضةً فرضها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 جماعةً، يعني </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تومئ إلى رواية الصَّدوق الَّذي جعلها مثل المتعة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يوم الجُمُعة؟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رسولي إليهم في هذا، إذا صلَّيتم في جماعةٍ ففي الرَّكعة الأولى، وإذا صلَّيتم وحداناً ففي الرَّكعة الثَّانية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الوحدان هنا هو المذكور في موثَّقة سماعة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صلَّى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هي المراد بها فيما تقدَّم عن الفقيه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صلَّى بقوم يوم الجُمُعة في غير جماعة، يعني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فيما بيَّنه صاحب الوافي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نظائر في أخبار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اطِّلاعك على هذه الأخبار دعْ عنك ما ذكرناه من حكم العقل بامتناع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الوجوب التَّعيينيّ والتَّخييريّ، وقابل بين هذه الأخبار وبين تلك الطَّوائف، الدَّالّ كلّ طائفةٍ منها على نفي المشروعيَّة، ونفي الوجوب التَّعيينيّ والتَّخييريّ فترى التَّعارض بينهما تعارض التَّباين، وحينئذٍ لا تجد من نفسك بحسب ما عرفت في باب التَّراجيح إلَّا تقديم تلك الطَّوائف الدالَّة على عدم المشروعيَّة، وحينئذٍ تكون في غنىً عن أصالة عدم المشروعيَّة، ولو تساهلت في ذلك فلا أقلَّ من التَّساوي والتَّساقط، والرُّجوع إلى ما تقدَّم ذكره من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التَّساقط يكون المرجع هو المطلقات السَّابقة،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الأربع مقدَّمةٌ على تلك الطَّوائف؛ لأنَّها موافقةٌ للسُّنَّة الَّتي هي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الطَّوائف الأربع يستفاد منها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تعيُّن الجُمُعة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الأربعة إنَّما تدلُّ على وجوب الجُمُعة تخييراً أو على استحبابها، فلا تكون معارضة للحكم الأوَّل الَّذي أفادته الطَّوائف الأربع، وإنَّما تعارض الحكم الثَّاني الَّذي أفادته الطَّوائف المذكورة، وهو عدم مشروعيَّة الجُمُعة، وبعد التَّساقط لا يمكن الرُّجوع إلى الأخبار المطلقة؛ لأنَّها قد تقيَّدت بالحكم الأوَّل الَّذي أفادته الطَّوائف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أنكرنا تعدُّد الحكم والدَّلالة في الطَّوائف الأربع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حكم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الظُّهر، فإنْ قدَّمناها على الأخبار الأربعة الدَّالَّة على وجوب الجُمُعة تخييراً فهو المطلوب، ولو لم نقل بذلك وقلنا بالتَّساقط لم يمكن الرُّجوع إلى المطلقات القائلة بتعيُّن الجُمُعة؛ لاتفاقها على نفيه، فإنَّ الأخبار الأربعة بواسطة دلالتها على الوجوب التَّخييريّ بين الجُمُعة والظُّهر تنفي تعيُّن الجُمُعة، وكذلك الطَّوائف الأربعة؛ فإنَّها بواسطة دلالتها على تعيُّن الظُّهر تنفي تعيُّن الجُمُعة، وحينئذٍ تكون المطلقات ساقطة؛ لاشتراكهما في نفي مفاد تلك المطلقات، فتدخل المسألة في اتِّفاق المتعارضين في الدَّلالة الالتزاميَّة على نفي الثَّالث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قلنا بدلالة بعض الأخبار الأربعة،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على تعيُّن الجُمُعة لكانت معارضة للحكم الأوَّل الَّذي أفادته الطَّوائف الأربعة، فلو تساهلنا وقلنا بعدم تقدَّم ما أفادته الطَّوائف من الحكم الأوَّل، بل قلنا بالتَّساقط لم يمكن </w:t>
      </w:r>
    </w:p>
    <w:p>
      <w:pPr>
        <w:pStyle w:val="BookText"/>
        <w:rPr/>
      </w:pPr>
      <w:r>
        <w:rPr>
          <w:rFonts w:ascii="Amiri" w:hAnsi="Amiri" w:eastAsia="Amiri" w:cs="Amiri"/>
          <w:color w:val="111111"/>
          <w:sz w:val="28"/>
          <w:sz w:val="28"/>
          <w:szCs w:val="28"/>
          <w:rtl w:val="true"/>
          <w:lang w:bidi="ar-SA"/>
        </w:rPr>
        <w:t>الرُّجوع إلى المطلقات لتقييدها بالحكم الثَّاني الَّذي أفادته تلك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طرف المعارضة للرِّواية المذكورة هو تمام ما يستفاد من الطَّوائف الأربعة من مجموع الحكمين، إمَّا من جهة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تعيُّن الجُمُعة يكون معارضاً لكلا الحكمين المستفادين من الطَّوائف الأربعة،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تعيُّن الجُمُعة وعدم مشروعيَّتها، وإمَّا من جهة أنَّ المستفاد من مجموع الطَّوائف الأربعة حكم واحد، وهو تعيُّن الظُّهر ليكون حاصل الطَّوائف الأربعة هو تعيُّن الظُّهر، وحاصل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الجُمُعة، كان المرجع بعد التَّساقط هو الأخبار المطلقة، لكن قد عرفت المنع من التَّكافؤ، وأنَّ المقدَّم هو الطَّوائف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إنَّما يجري في خصوص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استفادة تعيُّن الجُمُعة منه، أمَّا باقي الرِّوايات الأربع فلا يجري فيها هذا التَّوهم؛ إذ لو تمَّت حجِّيَّتها ودلالتها لم يكن يستفاد منها إلَّا الاستحباب والوجوب التَّخييريّ حتَّى روايتي زرارة وعبد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إنَّ الَّذي ينبغي هو التَّعرض لكلِّ واحدةٍ من تلك الرِّوايات الأربع، ولمقدار دلالتها، وما يكون موقفها من الطَّوائف الأربع، فنقول بعونه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رواية زرارة المتضمِّنة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حثَّنا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عنيت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إجازة خاصَّة له ولأصحابه في إقامتها في بلادهم ولو على نحو الوجوب التَّخييريّ الاستحبابيّ الَّذي يكشف عنه أنَّه لم ينقل أنَّهم أقاموها، لا قبل هذه الإجازة ولا بعدها، وإذا فتحنا هذا الباب في هذه الرِّواية أمكننا فتحه في رواية عبد الملك، بل في غيرها من باقي الرِّوايات الأربع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نقل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في النِّهاية أنَّه بعد نقل </w:t>
      </w:r>
    </w:p>
    <w:p>
      <w:pPr>
        <w:pStyle w:val="BookText"/>
        <w:rPr/>
      </w:pPr>
      <w:r>
        <w:rPr>
          <w:rFonts w:ascii="IRNazanin" w:hAnsi="IRNazanin" w:eastAsia="IRNazanin"/>
          <w:color w:val="111111"/>
          <w:sz w:val="28"/>
          <w:sz w:val="28"/>
          <w:szCs w:val="28"/>
          <w:rtl w:val="true"/>
          <w:lang w:bidi="fa-IR"/>
        </w:rPr>
        <w:t>الإجماع على اشتراط الإذن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في حال حضوره، أمَّا في حال الغيبة فالأقوى أنَّه يجوز لفقهاء المؤمنين إقامتها؛ لقول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 وقول الباقر لعبد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يهلك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جماعة من أصحابنا؛ وذلك لفقد الشَّرط،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أذنا لزرارة وعبد الملك جاز؛ لوجود المقتضي، وهو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نقلت ذلك لئلا يكون هذا الَّذي ذكرته من حمل الرِّواية المذكورة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هو الإذن الخاصَّة لزرارة، فيدخل في النَّائب الخاصّ وليس ذلك الصَّادر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الحكم الكلِّيّ، فهو نظير ما لو سُئل عن مجهول المالك،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إجازة خاصَّة، لا حكماً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فيما أفاده في الجواهر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وأظرف شيءٍ دعوى احتمال خبري زرارة وعبد الملك الإذن لهما بالخصوص في إمامة الجُمُعة مع عدم الإشعار فيهما بشيء من ذلك، بل ظاهرهما خلاف ذلك</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انتهى، فلاحظ تمام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لا بُعد في ذلك الَّذي أشار إليه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بُعد في حمل جميع ما 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الإجازة الخاصَّة والقضيَّة الخارجيَّة، كما ستعرفه إنْ شاء الله تعالى، ومنه يظهر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فيما أفاده في الجواهر في ذيل عبارته المذكورة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الإذن الخاصَّ لزرارة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عبارة عن نصبه لإقامة الجُمُعة، فيكون </w:t>
      </w:r>
    </w:p>
    <w:p>
      <w:pPr>
        <w:pStyle w:val="BookText"/>
        <w:rPr/>
      </w:pPr>
      <w:r>
        <w:rPr>
          <w:rFonts w:ascii="IRNazanin" w:hAnsi="IRNazanin" w:eastAsia="IRNazanin"/>
          <w:color w:val="111111"/>
          <w:sz w:val="28"/>
          <w:sz w:val="28"/>
          <w:szCs w:val="28"/>
          <w:rtl w:val="true"/>
          <w:lang w:bidi="fa-IR"/>
        </w:rPr>
        <w:t>هو الخطيب والإمام والسَّائق للنَّاس إلى الاجتماع والائتمام،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عبارة عن كونه منصوباً للتَّصدِّي لحصول إقامتها ولو بأنْ تكون وظيفته جمع النَّاس وتعيين الخطيب والإمام منهم، ويكون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له بالخطبة والتَّقدم في الصَّلاة، وهو أيضاً الآمر للنَّاس بحضور خطبته والاقتداء به في صلاته، كلُّ ذلك تخلُّصاً عن كون النَّاس هم المأمورين بالاجتماع في الصلاة الَّذي تقدَّم فيه الإشكال العقليّ، وكلُّ هذا الَّذي ذكرناه في رواية زرارة المتضمِّنة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بلا تفاوتٍ في رواية عبد الملك المتضمِّنة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أمَّا حمل هاتين الرِّوايتين على الحضور في جماعة المخالفين، فبعيدٌ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ينزَّل على ذلك رواية الصَّدوق في الأمالي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للمؤمن أنْ لا يخرج من الدُّنيا حتَّى يتمتَّع ولو مرَّةً ويصلِّي الجُمُعة ولو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موافقةً لصدر رواية عبد الملك، غايته أنَّ عبد الملك أبدى حيرته في الحصول على صلاة الجُمُعة، فإنَّها مع هؤلاء باطلة، ومع مَن يكون منَّا متوقِّفة على النَّصب،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 باب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نظير قولك لمَن هو غير مستطيع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يترك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 وحجَّ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فتفتح له باب الحجِّ، ويكون غرضك من عتابه على ترك الحجِّ هو التَّوصُّل به إلى هذه الغاية، أعني فتح باب الاستطاعة له، غايته أنَّ هذا التَّعقيب حصل من المخاطب في رواية عبد الملك، لكنَّه لم يحصل من المخاطب في رواية الصَّدوق، فتركه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يمكن أنْ ينزَّل عليه رواية عمر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رسولي إليهم في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فإنَّا لو أغضينا النَّظر عن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صلَّيتم في </w:t>
      </w:r>
    </w:p>
    <w:p>
      <w:pPr>
        <w:pStyle w:val="BookText"/>
        <w:rPr/>
      </w:pPr>
      <w:r>
        <w:rPr>
          <w:rFonts w:ascii="Amiri" w:hAnsi="Amiri" w:eastAsia="Amiri" w:cs="Amiri"/>
          <w:color w:val="111111"/>
          <w:sz w:val="28"/>
          <w:sz w:val="28"/>
          <w:szCs w:val="28"/>
          <w:rtl w:val="true"/>
          <w:lang w:bidi="ar-SA"/>
        </w:rPr>
        <w:t>جماعةٍ ففي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مشروعيَّة كلِّ جمعة لهم، بل 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القنوت في الجُمُعة يكون في الرَّكعة الأولى منها، أمَّا إحراز مشروعيَّتها موكول إلى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أغضينا النَّظر عن ذلك أمكننا تنزيلها على الإجازة الخاصَّة،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صدرت هذه الجملة منه بعد صدور إذن خاصٍّ لهم، ويكون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رسولي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جماعة يكونون هم محلَّ السُّؤال، أمَّا حمل رواية ابن حنظلة على الصَّلاة في جماعة المخالفين فبعيد جدّاً، بل المتعيَّن هو ما ذكرناه من عدم التَّعرُّض لمشروعيَّة الجُمُعة أو جعلها من قبيل الإذن الخاصّ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الرِّوايات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قصور أيديهم في كيفيَّة الخطبة، والقنوت، والصَّلاة، والعدد، والقراءة، والمزاحمة، وإدراك الرَّكعة، وإدراك التَّشهُّد، وكيفيَّة القنوت، خصوصاً خبر عمر بن حنظلة منها وذكره، ثُمَّ أفاد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منها بيان ذلك للرّواة وتعليمهم حال التَّمكُّن من فعلها مع عدم التَّقيَّة، ومع فرض الحرمة في زمن الغيبة الَّذي منه قصور اليد تكون النُّصوص خاليةً من الثَّمرة المعتدِّ بها، بل ربَّما كان تركها حينئذٍ أوْلى من وجودها، خصوصاً المشتمل منها على ما ينافي التَّقيَّة كخبر الخطبة والقنوت وغيرهما، ولولا خوف الملل بالإطناب لذكرناها مفصَّلةً، وسيمرُّ عليك في أثناء مباحث الباب جملةً وافرةً منها، وذكر بعض الاحتمالات في بعضها لا ينافي الظُّهور، كما أنَّه لا ينافي القطع الحاصل بملاحظتها تماماً</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إلى آخر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القطع، فذلك خارج عن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دعوى الظُّهور فهو أوَّل الكلام، كما عرفته في خبر ابن حنظلة، وقِسْ عليه الكلام في غيره، وأغلبها أجوبة لسؤال السَّائلين ولا بدَّ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ولعلَّه لا يمكنه الجواب بأنَّه لا فائدة لك في هذا السُّؤال لأنّها غير مشروعة في حقِّك؛ لأنَّ يدي غير مبسوطة في إقامتها ونحو ذلك من الأجوبة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المقامات مختلفة، ومع انسداد جميع الطُّرق ينفتح باب المعارضة للطَّوائف الأربعة، وهي المقدِّمة،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يشكل على هذه الطَّريقة بأنَّه بعد الإذن الخاصَّ تكون إقامة الجُمُعة واجبةً عيناً؛ لإمكان الجواب عنه بأنَّه لم يكن إلَّا على نحو الاستحباب وأفضل الأفراد، كما هو ظاهر الرِّوايات المذكورة صدراً وذيلاً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ولا يصلِّي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مرَّةً واحدةً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يمكن أنْ ينزَّل على ذلك ما أمر به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لزرارة في روايته الأُخرى ولو بأنْ يكون صدر الرِّواية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جمعة لأقلَّ من خمسة، أحدهم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كلِّيَّاً، ويكون المراد من الإمام فيه هو إمام الأصل أو نائبه الخاصّ، لكن 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 سبعة ولم يخافوا أمَّهم بعضهم وخطبهم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خارجيَّة، والمنظور بها هم الشِّيعة في ذلك العصر، ويكون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خاصَّاً بهم بأنْ يختاروا مَن يخطب بهم ويؤمُّهم، ويكون ذلك الَّذي يختارونه هو الجامع والسَّائق والخطيب والإمام، كلُّ ذلك مختصٌّ بهم، فلا تشمل القضيَّة مَن يوجد بعد ذلك ممَّن تأخَّر عن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الخصوصيَّة من صدور الإجازة إنَّما هي من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هذه الرِّوايات الأربع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 عصرهما كان فيه بعض </w:t>
      </w:r>
    </w:p>
    <w:p>
      <w:pPr>
        <w:pStyle w:val="BookText"/>
        <w:rPr/>
      </w:pPr>
      <w:r>
        <w:rPr>
          <w:rFonts w:ascii="Amiri" w:hAnsi="Amiri" w:eastAsia="Amiri" w:cs="Amiri"/>
          <w:color w:val="111111"/>
          <w:sz w:val="28"/>
          <w:sz w:val="28"/>
          <w:szCs w:val="28"/>
          <w:rtl w:val="true"/>
          <w:lang w:bidi="ar-SA"/>
        </w:rPr>
        <w:t xml:space="preserve">السُّهولة من الظَّالمين فأحبَّا أنْ ينال بعض شيعتهما ذلك الثَّواب، فأذنا له إذناً خاصَّاً بهم مقيَّداً بعدم الخوف، وهذا كلُّه ناشئ عن كون إقامتها من حقوقهم الخاصَّة، فلهم الإجازة ولهم المنع، ولهم التَّرخيص في التَّرك، 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الرُّخصة في تركهما في يوم العيد المصادف يوم الجُمُعة لمن صلَّى العيد مع بسط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في حدِّ نفسه لتعيُّن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لو أغضينا النَّظر عن ذلك، وأغضينا النَّظر عن احتمال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 سبعة ولم يخافوا أمَّهم بعضهم وخطبهم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بعضهم مدَّعياً أنَّ هذا دأبه في إدراج فتواه في ذيل الرِّواية</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التَّعبير بالفاء الدَّالّ على أنَّه ليس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شأنه التَّفريع، مضافاً إلى عدم حسنه هنا؛ لأنَّه عين الجملة الأولى، ويمكن تأييده أيضاً بالتَّقييد بعدم الخوف مع فرض أنَّه لم يكن موجوداً في الجمل السَّابقة، فكأنَّ الصَّدوق قد أخذه من أدلَّة أُخرى كالتَّقيَّة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هذه التَّأييدات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الاحتمال المحتاج إلى ما يدفعه، ففي المستند بعد أنْ ذكر أنَّ المراد بالبعض هو الإمام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لو لم يكن ظاهراً في إمام الأصل يكون محتملاً له قطعاً،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احتمال كون الذَّيل من كلام الصَّدوق</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يندفع هذا الاحتمال إلَّا بالقطع بالعدم؛ إذ ليس هو من قبيل احتمال الغلط كي يجري الأصل في عدمه، وأقصى ما في البين هو ظهور كونه من جملة الرِّواية، ولا دليل على حجِّيَّة هذا الظُّهور،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بدٌّ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الرِّواية </w:t>
      </w:r>
    </w:p>
    <w:p>
      <w:pPr>
        <w:pStyle w:val="BookText"/>
        <w:rPr/>
      </w:pPr>
      <w:r>
        <w:rPr>
          <w:rFonts w:ascii="Amiri" w:hAnsi="Amiri" w:eastAsia="Amiri" w:cs="Amiri"/>
          <w:color w:val="111111"/>
          <w:sz w:val="28"/>
          <w:sz w:val="28"/>
          <w:szCs w:val="28"/>
          <w:rtl w:val="true"/>
          <w:lang w:bidi="ar-SA"/>
        </w:rPr>
        <w:t>على إمام الأصل أو نائبه ليكون ذلك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تخرج الرِّواية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منعنا من ذلك، وقلنا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البعض، وأنَّ المراد من الإمام مطلق مَن يؤتمّ به، لا خصوص الأصل أو المنصوب، كانت الرِّواية من أدلَّة الوجوب التَّعيينيّ في مورد عدم وجود إمام الأصل أو نائبه الخاصّ، فتكون معارضةً لما أفادته الطَّوائف الأربع من تعيُّن الظُّهر وسقوط الجُمُعة وعدم مشروعيَّتها، والمقدَّم هو تلك الطَّوائف، كما عرفت تفصيل ذلك فيما سبق،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لك من جميع ما حرَّرناه أنَّه لو أسقطنا دلالة الأخبار الأربعة على التَّخيير والمشروعيَّة كانت الطَّوائف الأربع حاكمةً بعدم المشروعيَّة من باب الدَّليل الاجتهاديّ، لا من باب أصالة عدم المشروعيَّة، وكذلك الحال لو قدَّمنا الطَّوائف الأربع على الأخبار الأربعة، بل وكذلك الحال لو قلنا بالتَّعارض والتَّساقط مع ما تدلُّ من الأخبار الأربعة على الاستصحاب، فإنَّ المرجع حينئذٍ هو ما دلَّ عليه المتعارضان من عدم تعيُّن الجُمُعة، ويبقى الشَّكُّ المردَّد بين تعيُّن الظُّهر والتَّخيير بينها وبين الجُمُعة، والمحكَّم هو الاحتياط بتعيُّن الظُّهر، لا أصالة عدم مشروعيَّة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دالَّاً على الوجوب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فبعد التَّساقط يكون المرجع هو الإطلاقات الأوَّليَّة القائلة بتعيُّن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لنا مورد يكون الحكم فيه هو أصالة عدم مشروعيَّة الجُمُعة، فلاحظ وتأمَّل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لو وصلت النَّوبة إلى الشَّكِّ في مشروعيَّة العبادة كان الشَّكُّ في مشروعيَّتها كافياً في الحكم ببطلانها من دون حاجة إلى التَّمسُّك بأصالة عدم المشروعيَّة، </w:t>
      </w:r>
    </w:p>
    <w:p>
      <w:pPr>
        <w:pStyle w:val="BookText"/>
        <w:rPr/>
      </w:pPr>
      <w:r>
        <w:rPr>
          <w:rFonts w:ascii="Amiri" w:hAnsi="Amiri" w:eastAsia="Amiri" w:cs="Amiri"/>
          <w:color w:val="111111"/>
          <w:sz w:val="28"/>
          <w:sz w:val="28"/>
          <w:szCs w:val="28"/>
          <w:rtl w:val="true"/>
          <w:lang w:bidi="ar-SA"/>
        </w:rPr>
        <w:t>بل يكون التَّمسُّك به في المقام من قبيل الإحراز التَّعبُّدي لما هو محرز بالوجدان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يبق في المقام إلَّا دعوى كون الفقيه في عصر الغيبة منصوباً لها بأدلَّة الولاية، وفيه ما فيه ممَّا حُقِّق في محلِّه من عدم تماميَّة تلك الولاية إلَّا في الفتوى والحكم مطلقاً، أو في خصوص التَّرافع والتَّخاصم، دون مثل إقامة الحدود وإقامة الجُمُعة، وغير ذلك من وظائفهم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بأنَّه منصوب لها، فليس له أنْ ينصّب غيره لإقامتها، كما يقال في إقامة الحدود وحفظ الثُّغور، كما صدر عن بعض العلماء في نصب بعض السَّلاطين لذلك؛ إذ لو سلَّمنا أنَّه منصوب للجُمُعة، فليس له أنْ ينصِّب لها غيره، كما في القضاء، فإنَّ المجتهد وإنْ كان منصوباً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لكنَّه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أنْ ينصِّب غيره ممَّن لا يكون مجتهداً إلَّا بدعوى تخويل أمر الجُمُعة إليه، فله أنْ يقيمها بنفسه أو ينصِّب من قِبله مَن يقيمها، وهو في غاية البعد، ولكنَّك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ولاية المجتهد قاصرة عن الشُّمول لإقامة الجُمُعة فضلاً عن تخويل النَّصب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ذلك في ليلة الثُّلاثاء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الأقلّ حسين الحلّيّ </w:t>
      </w:r>
      <w:bookmarkStart w:id="434" w:name="pg10921_145388"/>
    </w:p>
    <w:p>
      <w:pPr>
        <w:pStyle w:val="Heading4"/>
        <w:numPr>
          <w:ilvl w:val="3"/>
          <w:numId w:val="1"/>
        </w:numPr>
        <w:rPr/>
      </w:pPr>
      <w:bookmarkStart w:id="435" w:name="__RefHeading___Toc3127566_2870459653"/>
      <w:bookmarkStart w:id="436" w:name="_Toc160"/>
      <w:bookmarkEnd w:id="434"/>
      <w:bookmarkEnd w:id="435"/>
      <w:r>
        <w:rPr>
          <w:rtl w:val="true"/>
        </w:rPr>
        <w:t>القول في ولاية الفقيه على إقامة الجُمُعة في عصر الغيبة</w:t>
      </w:r>
      <w:bookmarkEnd w:id="436"/>
    </w:p>
    <w:p>
      <w:pPr>
        <w:pStyle w:val="BookText"/>
        <w:rPr/>
      </w:pPr>
      <w:r>
        <w:rPr>
          <w:rFonts w:ascii="Amiri" w:hAnsi="Amiri" w:eastAsia="Amiri" w:cs="Amiri"/>
          <w:color w:val="111111"/>
          <w:sz w:val="28"/>
          <w:sz w:val="28"/>
          <w:szCs w:val="28"/>
          <w:rtl w:val="true"/>
          <w:lang w:bidi="ar-SA"/>
        </w:rPr>
        <w:t>القول في ولاية الفقيه على إقامة الجُمُعة في عصر الغيبة</w:t>
      </w:r>
      <w:r>
        <w:rPr>
          <w:rStyle w:val="FootnoteAnchor"/>
          <w:rtl w:val="true"/>
        </w:rPr>
        <w:footnoteReference w:id="591"/>
      </w:r>
      <w:r>
        <w:rPr>
          <w:rFonts w:ascii="Amiri" w:hAnsi="Amiri" w:eastAsia="Amiri" w:cs="Amiri"/>
          <w:color w:val="111111"/>
          <w:sz w:val="28"/>
          <w:sz w:val="28"/>
          <w:szCs w:val="28"/>
          <w:rtl w:val="true"/>
          <w:lang w:bidi="ar-SA"/>
        </w:rPr>
        <w:t>لا يخفى أنَّا لو قلنا بأنَّ للفقيه عقد الجُمُعة لم يتوجَّه عليه الإشكال السَّابق الوارد على القول بالتَّعيين أو التَّخيير مع عدم النَّصب من كون صلاة كلٍّ من المأمومين مع الباقين متقدِّمةً في الرُّتبة على نفسها، أمَّا بالنِّسبة إلى الفقيه المفروض كونه هو الإمام في الجُمُعة فلما عرفت من أنَّ وجوب الصَّلاة عليه مشروط بلحوقهم، وعليهم مشروط بفعليَّة صلاته، فلا تكون صلاة كلٍّ منهم سابقةً في الرُّتبة على صلاة الآخر، بل أقصى ما في البين هو كون العنوان المنتزع من لحوقهم به شرطاً في وجوب الصَّلاة عليه، ونفس صلاته شرطٌ في وجوب الصَّلاة عليهم، فكان العنوان المنتزع من لحوقهم سابقاً في الرُّتبة على صلاته، وصلاته سابقةٌ في الرُّتبة على صلاتهم، وبالآخرة يكون العنوان المنتزع من لحوقهم بالإمام سابقاً في الرُّتبة على نفس صلاتهم، وهذا لا ضير فيه؛ إذ ليس من قبيل تقدُّم الشَّيء على نفسه رتبةً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المأمومون فيما بينهم فلا يتوجَّه الإشكال أيضاً؛ إذ ليسوا مكلَّفين بالاجتماع، وإنَّما الفقيه لكونه منصوباً هو المكلَّف بجمعهم، فلا يكون كلُّ واحدٍ منهم مأموراً إلَّا بحضوره بنفسه وبصلاته مقتدياً مع الإمام، فلو حضر الجُمُعة وكبَّر الإمام ودخل معه ثلاثة وانصرف الرَّابع كان عاصياً؛ لأنَّه مأمور بالاقتداء، ولكنَّ انصرافه موجب لانكشاف الخطأ في صدور الأمر من ذلك الفقيه لكلِّ واحدٍ منهم بالحضور والاقتداء؛ لأنَّ ذلك الأمر منه إنَّما ينفذ منه إذا كان له السُّلطة على إحضار تمام العدد للصَّلاة </w:t>
      </w:r>
    </w:p>
    <w:p>
      <w:pPr>
        <w:pStyle w:val="BookText"/>
        <w:rPr/>
      </w:pPr>
      <w:r>
        <w:rPr>
          <w:rFonts w:ascii="Amiri" w:hAnsi="Amiri" w:eastAsia="Amiri" w:cs="Amiri"/>
          <w:color w:val="111111"/>
          <w:sz w:val="28"/>
          <w:sz w:val="28"/>
          <w:szCs w:val="28"/>
          <w:rtl w:val="true"/>
          <w:lang w:bidi="ar-SA"/>
        </w:rPr>
        <w:t>والاقتداء، وليس ذلك من قَبيل انكشاف عدم الوجوب على كلٍّ من الباقين على وجه يكون بقاء ذاك معهم شرطاً في وجوب الصَّلاة على كلِّ واحدٍ منهم ليعود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الوجوب تخييريَّاً في قبال عدم المشروعيَّة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الأصل هو الوجوب التَّخييريّ، وإنَّما يتحقَّق التَّعيين بأمرِ الإمام أو نائبه الخاصّ، وهو الَّذي يظهر من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وسيلته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الأصل هو التَّعيُّن، ويسقط عند عدم نفوذ الإمام أو نائبه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الاحتمالين يكون أمر الفقيه بناءً على شمول ولايته لها موجباً لتعيُّنها في قبال الأصل الَّذي هو التَّخيير على الأوَّل، أو إبقاءً على الأصل في قبال الطَّارئ بناءً على الوجه الثَّاني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عدم المشروعيَّة في زمان الغيبة يكون ما دلَّ على نصب الفقيه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ذكرناه في الإجازة الخاصَّة لزرارة وعبد الملك، ولعلَّ ما 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التَّخيير في إقامتها مختصٌّ بالفقيه</w:t>
      </w:r>
      <w:r>
        <w:rPr>
          <w:rStyle w:val="FootnoteAnchor"/>
          <w:rtl w:val="true"/>
        </w:rPr>
        <w:footnoteReference w:id="593"/>
      </w:r>
      <w:r>
        <w:rPr>
          <w:rFonts w:ascii="IRNazanin" w:hAnsi="IRNazanin" w:eastAsia="IRNazanin"/>
          <w:color w:val="111111"/>
          <w:sz w:val="28"/>
          <w:sz w:val="28"/>
          <w:szCs w:val="28"/>
          <w:rtl w:val="true"/>
          <w:lang w:bidi="fa-IR"/>
        </w:rPr>
        <w:t>مبنيٌ على هذا الوجه،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المشروعيَّة عند عدم الإذن، ومع فرض كون الفقيه مأذوناً يكون ذلك على نحو التَّخيير، وحينئذٍ يكون التَّخيير في زمان الغيبة مختصَّاً بإقامة الفقيه لها، لكن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الرُّخصة تخييريَّة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فإنَّ تلك الأدلَّة لو تمَّت دلالتها على سلطة الفقيه لإقامتها توجب جعله منصوباً لها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قاض بوجوبها عيناً ما لم يدلّ دليل على التَّخيير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البحث عن سلطنة الفقيه في عصر الغيبة على إقامتها إنَّما هو تابع لسعة ولايته وضيقها وما هو المستفاد من أدلَّتها، وهل ذلك مقصور على الحكم وفصل الخصومات، أو يشمل الحكم في الأهلَّة، أو يشمل الحكم فيما يعود إلى مصالح عامَّة المسلمين فيحكم بوجوبه، أو مفاسدهم فيحكم بحرمته؟</w:t>
      </w:r>
    </w:p>
    <w:p>
      <w:pPr>
        <w:pStyle w:val="BookText"/>
        <w:rPr/>
      </w:pPr>
      <w:r>
        <w:rPr>
          <w:rFonts w:ascii="Amiri" w:hAnsi="Amiri" w:eastAsia="Amiri" w:cs="Amiri"/>
          <w:color w:val="111111"/>
          <w:sz w:val="28"/>
          <w:sz w:val="28"/>
          <w:szCs w:val="28"/>
          <w:rtl w:val="true"/>
          <w:lang w:bidi="ar-SA"/>
        </w:rPr>
        <w:t>ثُمَّ بعد التَّوسعة في ناحية الحكم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السَّلطنة على الأمور الحسبيَّة كالتَّصرُّف في أموال الغُيَّب، ومجهول المالك، وأموال القاصرين، والوقف العامّ أو الوقف المنحلّ التَّولية، وغير ذلك ممَّا يعود إلى الحسبة؟</w:t>
      </w:r>
    </w:p>
    <w:p>
      <w:pPr>
        <w:pStyle w:val="BookText"/>
        <w:rPr/>
      </w:pPr>
      <w:r>
        <w:rPr>
          <w:rFonts w:ascii="Amiri" w:hAnsi="Amiri" w:eastAsia="Amiri" w:cs="Amiri"/>
          <w:color w:val="111111"/>
          <w:sz w:val="28"/>
          <w:sz w:val="28"/>
          <w:szCs w:val="28"/>
          <w:rtl w:val="true"/>
          <w:lang w:bidi="ar-SA"/>
        </w:rPr>
        <w:t>ثُمَّ بعد التَّوسعة إلى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السَّلطنة على إقامة الحدود والجُمُعة؟</w:t>
      </w:r>
    </w:p>
    <w:p>
      <w:pPr>
        <w:pStyle w:val="BookText"/>
        <w:rPr/>
      </w:pPr>
      <w:r>
        <w:rPr>
          <w:rFonts w:ascii="Amiri" w:hAnsi="Amiri" w:eastAsia="Amiri" w:cs="Amiri"/>
          <w:color w:val="111111"/>
          <w:sz w:val="28"/>
          <w:sz w:val="28"/>
          <w:szCs w:val="28"/>
          <w:rtl w:val="true"/>
          <w:lang w:bidi="ar-SA"/>
        </w:rPr>
        <w:t>منع ذلك في السَّرائر أشدّ المنع، فراجعه في آخر كتاب الأمر بالمعروف والنهي عن المنكر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السَّلطنة على حفظ النِّظام في البلاد ولو بواسطة القوَّة القاهرة لو تمكَّن منها، كما هو الشَّأن في أفعال السَّلاطين، إلى غير ذلك ممَّا وقع الكلام في سلطنة الفقيه في عصر الغيبة عليه؟</w:t>
      </w:r>
    </w:p>
    <w:p>
      <w:pPr>
        <w:pStyle w:val="BookText"/>
        <w:rPr/>
      </w:pPr>
      <w:r>
        <w:rPr>
          <w:rFonts w:ascii="Amiri" w:hAnsi="Amiri" w:eastAsia="Amiri" w:cs="Amiri"/>
          <w:color w:val="111111"/>
          <w:sz w:val="28"/>
          <w:sz w:val="28"/>
          <w:szCs w:val="28"/>
          <w:rtl w:val="true"/>
          <w:lang w:bidi="ar-SA"/>
        </w:rPr>
        <w:t>واللَّازم قبل كلِّ شيء هو ذكر الأخبار الَّتي استُدلَّ بها لعموم ولاية الفقيه في عصر الغيبة، وهي أوَّلاً ما عن أمالي الصَّدوق وغيره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الغوالي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 ما لم يدخلوا في الدنيا</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والأحكام على أيدي العلماء بالله الأمناء على حلاله وحرامه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المرسل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أفتخر يوم القيامة بعلماء أمّتي فأقول علماء أمّتي كسائر الأنبياء قبلي</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بالأنبياء أعلمهم بما جاؤوا به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عن الأمالي وغيرها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 ثلاثاً،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خلفاؤك؟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حُكَّام على الملوك، والملوك 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الكراجكيّ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كفلاء لأيتام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 والمراد من الآل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العلم، لا يُتم الأبوين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حصون الإسلام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فضلهم على النَّاس كفضل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أدناهم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السُّلطان وليُّ مَن لا وليَّ له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بينهما منازعة في دين أو ميراث، فتحاكما إلى السُّلطان وإلى القضاة أيحلُّ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إليهم في حقٍّ أو باطلٍ فإنَّما تحاكم إلى الطَّاغوت، وقد أمروا أنْ يكفر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فورد التَّوقيع بخطِّ 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سألت عنه 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وأمَّا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الله عنه وعن أبيه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رواية أبي خديجة فقد ذكرها في الوسائل في باب الرُّجوع في القضاء والفتوى إلى رواة الحديث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السَّند وبهذه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عليِّ بن محبوب، عن أحمد بن محمَّد، عن الحسين بن سعيد، عن أبي الجهم،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إذا وقعت بينكم خصومة أو تدارى في شيء من الأخذ والعطاء أنْ تحاكموا إلى أحد من هؤلاء الفُسَّاق، اجعلوا بينكم رجلاً قد عرف حلالنا وحرامنا، فإنِّي قد جعلته عليكم قاضياً، وإيَّاكم أنْ يخاصم بعضكم بعضاً إلى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الوسائل في الباب الأوَّل من أبواب القضاء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أحمد بن عائذ، عن أبي خديجة سالم بن </w:t>
      </w:r>
    </w:p>
    <w:p>
      <w:pPr>
        <w:pStyle w:val="BookText"/>
        <w:rPr/>
      </w:pPr>
      <w:r>
        <w:rPr>
          <w:rFonts w:ascii="IRNazanin" w:hAnsi="IRNazanin" w:eastAsia="IRNazanin"/>
          <w:color w:val="111111"/>
          <w:sz w:val="28"/>
          <w:sz w:val="28"/>
          <w:szCs w:val="28"/>
          <w:rtl w:val="true"/>
          <w:lang w:bidi="fa-IR"/>
        </w:rPr>
        <w:t>مكرم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الحسين بن محمَّد، عن معلَّى بن محمَّد، عن الحسن بن عليِّ، عن أبي خديجة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من قضائنا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عن الوسائل</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 المرحوم الحاجُّ ملا 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سند رواية عمر بن حنظلة وسند رواية أبي خديجة في قضائه ص</w:t>
      </w:r>
      <w:r>
        <w:rPr>
          <w:rFonts w:eastAsia="Amiri" w:cs="Amiri" w:ascii="Amiri" w:hAnsi="Amiri"/>
          <w:color w:val="111111"/>
          <w:sz w:val="28"/>
          <w:szCs w:val="28"/>
          <w:lang w:bidi="ar-SA"/>
        </w:rPr>
        <w:t>18</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ما عدا التَّوقيع المبارك والمقبولة والمشهورة أجنبيٌّ عمَّا نحن بصدده من ولاية الفقيه في عصر الغيبة، بل هي في مقام فضل العلماء، وأنَّهم بمنزلة أنبياء بني إسرائيل في العلم بالله تعالى، أو المنزلة عند الله تعالى، وأنَّهم أُمناء الرُّسل في الأحكام، وأنَّهم ورثة علم الأنبياء، إلى غير ذلك من الصِّفات الجليلة، ولأجل ذلك يكون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بذلك خصوص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يشهد بذلك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والأحكام على أيدي العلماء بالله الأمناء على 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عدم إرادة خصوص علماء وقته، ولا خصوص علماء عصر الغيبة؛ لبعد كلٍّ منهما، بل ولا الأعمّ منهما؛ لأنَّ ذلك كالأوَّل موجب لخروجه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أنْ يكون المراد منه هو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قرب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الأمور الحسبيَّة الَّتي لا بدَّ فيها </w:t>
      </w:r>
    </w:p>
    <w:p>
      <w:pPr>
        <w:pStyle w:val="BookText"/>
        <w:rPr/>
      </w:pPr>
      <w:r>
        <w:rPr>
          <w:rFonts w:ascii="Amiri" w:hAnsi="Amiri" w:eastAsia="Amiri" w:cs="Amiri"/>
          <w:color w:val="111111"/>
          <w:sz w:val="28"/>
          <w:sz w:val="28"/>
          <w:szCs w:val="28"/>
          <w:rtl w:val="true"/>
          <w:lang w:bidi="ar-SA"/>
        </w:rPr>
        <w:t>من الجريان دون مثل الحدود وإقامة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الحال فيما عن نهج البلاغة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الناس بالأنبياء أعلمهم بأحكامهم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الأعلم لا يكون إلَّا واحداً، وهو منحصر في عصره بشخصه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وبأولاده 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يُشكل الأمر في عصر الغيبة، فلا بدَّ أنْ يكون المراد هو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غايته أنَّ النَّاس منعوه من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بالأولويَّة هنا هو الرُّجوع إليه في بيان الأحكام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أعلمهم بأحكامهم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الحال فيما عن الأمالي،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خلفاؤك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فإنَّهم هم المراد بالخلفاء المذكورين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سلَّمنا انطباق ذلك على غيرهم فالمراد بكونهم خلفاء له هو أنَّهم يبيِّنون 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الحال في الدَّالِّ على أنَّهم كفلاء لأيتام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في رواية كنز الكراجكيّ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حُكَّام على الملوك، والملوك 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الخلاف أدلُّ؛ لأنَّ معنى كون العلماء حُكَّاماً على الملوك هو أنَّهم يعرِّفونهم الأحكام، والملوك يتولّون إجراءها على النَّاس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لك الحال فيما هو المشهور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وليُّ من لا 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تمَّ سنداً فلا دلالة فيه على أزيد من ولاية السُّلطان على مَن يحتاج إلى </w:t>
      </w:r>
    </w:p>
    <w:p>
      <w:pPr>
        <w:pStyle w:val="BookText"/>
        <w:rPr/>
      </w:pPr>
      <w:r>
        <w:rPr>
          <w:rFonts w:ascii="Amiri" w:hAnsi="Amiri" w:eastAsia="Amiri" w:cs="Amiri"/>
          <w:color w:val="111111"/>
          <w:sz w:val="28"/>
          <w:sz w:val="28"/>
          <w:szCs w:val="28"/>
          <w:rtl w:val="true"/>
          <w:lang w:bidi="ar-SA"/>
        </w:rPr>
        <w:t>الولاية، ومن الواضح أنَّ ذلك لا ربط له بفقيه الغيبة، إلَّا بدليلٍ ينزِّله منزلة السُّلطان في ذلك، وعلى تقديره فهو إنَّما يدلُّ على الولاية على مَن لا وليَّ له، فيختصُّ بالأمور الحسبيَّة، ولا يشمل إقامة الحدود والجمع وسد الثُّغور، ونحو ذلك من وظائف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تمام الكلام فيما عدا المقبولة والمشهورة والتَّوقيع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هذه الثَّلاثة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يظهر ممَّا لخَّصه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اعتمد في الولاية العامَّة للفقيه في عصر الغيبة على التَّوقيع المبارك</w:t>
      </w:r>
      <w:r>
        <w:rPr>
          <w:rStyle w:val="FootnoteAnchor"/>
          <w:rtl w:val="true"/>
        </w:rPr>
        <w:footnoteReference w:id="618"/>
      </w:r>
      <w:r>
        <w:rPr>
          <w:rFonts w:ascii="Amiri" w:hAnsi="Amiri" w:eastAsia="Amiri" w:cs="Amiri"/>
          <w:color w:val="111111"/>
          <w:sz w:val="28"/>
          <w:sz w:val="28"/>
          <w:szCs w:val="28"/>
          <w:rtl w:val="true"/>
          <w:lang w:bidi="ar-SA"/>
        </w:rPr>
        <w:t xml:space="preserve">، ويتلخَّص ما أفاده في وجه ذلك في أمور أربعة، حرَّرها عنه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عنه المرحوم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تقريره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الحوادث الشَّامل لمطلق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نفس الحوادث، لا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بكونهم حجَّة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قِبل الله، فيكونون بمنزلته، إلَّا فيما أخرجه الدَّليل الدَّالُّ على أنَّه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إسحاق السَّائل في التَّوقيع المبارك لا يسأل عن الواضح لديه، وهو الرُّجوع إليهم في الفتوى أو في خصوص القضاء، فإنَّ هناك أمراً آخر فوق ذلك، وهو النِّيابة العامَّة لشخص خاصٍّ، فكان إسحاق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 له نائباً خاصَّاً </w:t>
      </w:r>
    </w:p>
    <w:p>
      <w:pPr>
        <w:pStyle w:val="BookText"/>
        <w:rPr/>
      </w:pPr>
      <w:r>
        <w:rPr>
          <w:rFonts w:ascii="Amiri" w:hAnsi="Amiri" w:eastAsia="Amiri" w:cs="Amiri"/>
          <w:color w:val="111111"/>
          <w:sz w:val="28"/>
          <w:sz w:val="28"/>
          <w:szCs w:val="28"/>
          <w:rtl w:val="true"/>
          <w:lang w:bidi="ar-SA"/>
        </w:rPr>
        <w:t xml:space="preserve">للنِّيابة العامَّة، ولأجل ذلك سأل فأجيب بالرُّجوع إليهم في ذلك، انتهى ملخَّصاً عمَّا لخَّصه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هذه الاستظهارات؛ فإنَّها مخدوشة قابلة للمنع غير صالحة لأنْ تكون موجبةً للظهور وخروج الوقائع عن الإجمال، وإرجاع نفس الحوادث عبارة عن إرجاعها من ناحية حكمها، وكونهم حجَّةً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من قِبل الله تعالى لا يقتضي أزيد من كون</w:t>
      </w:r>
      <w:r>
        <w:rPr>
          <w:rStyle w:val="FootnoteAnchor"/>
          <w:rtl w:val="true"/>
        </w:rPr>
        <w:footnoteReference w:id="620"/>
      </w:r>
      <w:r>
        <w:rPr>
          <w:rFonts w:ascii="IRNazanin" w:hAnsi="IRNazanin" w:eastAsia="IRNazanin"/>
          <w:color w:val="111111"/>
          <w:sz w:val="28"/>
          <w:sz w:val="28"/>
          <w:szCs w:val="28"/>
          <w:rtl w:val="true"/>
          <w:lang w:bidi="fa-IR"/>
        </w:rPr>
        <w:t xml:space="preserve">بيانه قاطعاً للعذر، والسُّؤال عن المرجع في الأحكام ليس ببعيد إذا كان المنظور هو الغيبة الصُّغرى؛ إذ من الممكن أنْ يكون لبعض العلماء في ذلك العصر خصوصيَّة توجب تعيُّنه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للمرجعيَّة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في الولاية العامَّة على المقبولة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الحاكم أوسع من القاضي، وهو الوالي، فيكون للفقيه في عصر الغيبة شؤون الوالي، وذلك هو النِّيابة العامَّة، ولا ينافيه ما في المشهورة من جعله قاضياً؛ لكونهما روايتين، فلا تكون الثَّانية قرينة على التَّصرُّف في الأولى، كما أنَّ خصوصيَّة المورد وهو القضاء لا ينافيه؛ لإمكان الأخذ بعموم الحاكم من جهة أنَّ الحكومة بإطلاقها تشمل كلا الوظيفتين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فراجع تحريرات الآملي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2</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مأخوذ ممَّا أفاده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 دلالة المقبولة على ذلك، فراجع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يستفاد من جعله حاكماً كما في المقبولة الظَّاهر في كونه كسائر الحُكَّام المنصوبة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ما تقدَّم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المستفاد ممَّا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المنصوبين في الخلافة إلى والٍ وقاضٍ وإمام الجُمُعة أنَّ هذه الوظائف متباينة، ولو ضُمَّت إلى الأخرى يكون صاحب ذلك من قبيل ذي الوظيفتين، وربَّما كان أصيلاً في إحداهما ووكيلاً أو نائباً مؤقَّتاً عن الآخر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العموم بحيث كانت وظيفة الحاكم شاملةً للاثنين أو الثَّلاثة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فصل الخصومة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إلَّا أنَّه قاضٍ، كما عبَّر به في الرِّواية الأخرى، ولا أقلَّ من الشَّكِّ في الشَّمول، ولا أظنُّ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الحاكم بمعنى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القياس على ما في الدَّولة الإيرانيَّة من تسميتهم الوالي حاكماً، مع أنَّه مختصٌّ بالولاية ولا يشمل القضاء وإقامة الجُمُعة إلَّا بإعطاء سلطة واسعة له تكون شبيهة بالاستقلال الإداريِّ على وجه هو يُنصِّب القاضي ويُنصِّب إمام الجُمُعة، أو هو يقوم بنفسه في جميع هذه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أخذ الحاكم بمعناه اللُّغوي الأصلي،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والمسيطر، فلو أمر المدَّعى عليه بالتَّسليم وجب عليه ذلك، ولو أمر بشيء في ما يتعلَّق بالأمور الحسبيَّة وجب ذلك، كما أنَّه لو أمر بإقامة الجُمُعة وجبت، ولو أمر بإقامة الحدِّ وجب، إلى غير ذلك من الشُّؤون العامَّة والخاصَّة، ولكن لو أمر لوجب، لا أنَّه يجب عليه الأمر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تكون النَّتيجة أنَّه مخيَّر في إقامة الجُمُعة، ومع ذلك لو أقامها لا تجب على الآخرين؛ لأنَّ إقامته لها لمّا كان بنحو التَّخيير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في </w:t>
      </w:r>
    </w:p>
    <w:p>
      <w:pPr>
        <w:pStyle w:val="BookText"/>
        <w:rPr/>
      </w:pPr>
      <w:r>
        <w:rPr>
          <w:rFonts w:ascii="Amiri" w:hAnsi="Amiri" w:eastAsia="Amiri" w:cs="Amiri"/>
          <w:color w:val="111111"/>
          <w:sz w:val="28"/>
          <w:sz w:val="28"/>
          <w:szCs w:val="28"/>
          <w:rtl w:val="true"/>
          <w:lang w:bidi="ar-SA"/>
        </w:rPr>
        <w:t>حقّ الآخرين الَّذين هم غير مَن حضر عنده ممَّن تقام به الجُمُعة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إطاعته فيما يأمر به، فيشتمل ذلك الأمر بإقامة الحدود والأمر بإقامة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خارجتان عن ذلك بالدَّليل الدَّالِّ على أنَّهما من مختصَّات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الخاصَّ المنصوب من قبله لهما، وبناءً على هذه الطَّريقة يسهل الأمر في قيامه بالأمور الحسبيَّة من دون حاجةٍ إلى دعوى كونها من شؤون القضاء الَّذي لا إشكال في ثبوته له بمقتضى كلٍّ من المقبولة والمشهورة، بل والتَّوقيع المبارك بناءً على شموله لمورد التَّخاصم، ولو منعنا من شمول الحكومة للأمور الحسبيَّة ومن كونها من توابع القضاء فلا أقلَّ من احتمال كونها له على نحو الاختصاص في قبال كونها لكافَّة المسلمين، فيدور الأمر فيها بين التَّعيين والتَّخيير، ولا شبهة حينئذٍ في تعيُّنه؛ للشَّكِّ في نفوذ تصرُّف غيره بعد فرض كون المسألة ممَّا يكون التَّصرُّف فيها لازماً، فلاحظ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قيامه بفصل الحكومة هو بنفس دلالة المقبولة والمشهورة، وأمَّا قيامه بالأمور الحسبيَّة فبتبع القضاء وفصل الخصومة إنْ قلنا بالتَّبعيَّة وأنَّ الأمور الحسبيَّة من شؤون القضاء، وحينئذٍ يكون له الاحتساب بمقتضى ما في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يتوقَّف على التَّمسُّك بما تضمَّنته المقبولة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حاكماً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منعنا من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القاضي غير المحتسب، وأنَّ الاحتساب وظيفة أخرى، التجأنَا إلى ما في المقبولة من جعله حاكماً مسيطراً وناهياً وآمراً، فهل حينئذٍ يقتصر على مجرَّد الأمور الحسبيَّة الَّتي لو لم يَقم بها كان على المسلمين القيام بها؛ إذ لا بُدّ من إجرائها، أو نتوسَّع فيه إلى مثل الحدود والجُمُعة ونحوها ممَّا لو لم يقم بها لم تكن </w:t>
      </w:r>
    </w:p>
    <w:p>
      <w:pPr>
        <w:pStyle w:val="BookText"/>
        <w:rPr/>
      </w:pPr>
      <w:r>
        <w:rPr>
          <w:rFonts w:ascii="Amiri" w:hAnsi="Amiri" w:eastAsia="Amiri" w:cs="Amiri"/>
          <w:color w:val="111111"/>
          <w:sz w:val="28"/>
          <w:sz w:val="28"/>
          <w:szCs w:val="28"/>
          <w:rtl w:val="true"/>
          <w:lang w:bidi="ar-SA"/>
        </w:rPr>
        <w:t>حاجة إلى إجرائها؟</w:t>
      </w:r>
    </w:p>
    <w:p>
      <w:pPr>
        <w:pStyle w:val="BookText"/>
        <w:rPr/>
      </w:pPr>
      <w:r>
        <w:rPr>
          <w:rFonts w:ascii="Amiri" w:hAnsi="Amiri" w:eastAsia="Amiri" w:cs="Amiri"/>
          <w:color w:val="111111"/>
          <w:sz w:val="28"/>
          <w:sz w:val="28"/>
          <w:szCs w:val="28"/>
          <w:rtl w:val="true"/>
          <w:lang w:bidi="ar-SA"/>
        </w:rPr>
        <w:t>ولا يبعد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 حاكماً مسيطراً إنَّما هو في خصوص الأمور الَّتي لا بدَّ من إجرائها، كفصل الخصومات والتَّصرُّف في أموال مَن لا وليَّ له، أو أموال الغُيَّب، ونحو ذلك ممَّا لا بدَّ من إجرائه، دون ما يكون من وظائف السَّلاطين والأمراء الَّتي قامت الأدلَّة على أنَّها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الخاصِّ المنصوب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لإقامتها، فلا يشملها الدَّليل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آمراً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يؤيَّد ذلك، بل يُستدلُّ عليه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 والأحكام على يد العلماء، فإنَّهم الأمناء على حلاله وحرامه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بناءً على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تصرُّفهم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فيشمل زمان الغيبة، وأنَّ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الَّتي لا بدَّ من جريانها، كالأمور الحسبيَّة، ويكون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لا بدَّ من إجرائه من التَّصرُّفات يكون مجراه على يد العلماء بالله، الأمناء على حلاله وحرامه، وكذلك الحكم بين المتخاصمين، وحينئذٍ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فيدلُّ حينئذٍ على ولاية المجتهد في الأمور الحسبيَّة كما يدلُّ على نفوذ قضائه، ولو شُكَّ في ذلك بأنْ احتمل سيطرة المجتهد على أزيد من ذلك جرت أصالة عدم السَّيطرة وعدم السَّلطنة عليه، أو عدم النُّفوذ في تصرُّفه، أو عدم المشروعيَّة، ولو شُكَّ في الدَّرجة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الأمور الحسبيَّة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الأمر بالعكس،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العدم فيما لو صدرت من غيره، بخلاف ما لو صدرت منه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نظرنا إلى المقبولة المتضمِّنة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وقسنا ذلك إلى ما تقدَّم من الرِّوايات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أو لا يصحُّ الحكم ولا الحدود ولا الجُمُعة إلَّا للإمام أو مَن يقيمه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لحصل لنا الجزم بأنَّ الحكم المجعول للفقيه </w:t>
      </w:r>
    </w:p>
    <w:p>
      <w:pPr>
        <w:pStyle w:val="BookText"/>
        <w:rPr/>
      </w:pPr>
      <w:r>
        <w:rPr>
          <w:rFonts w:ascii="IRNazanin" w:hAnsi="IRNazanin" w:eastAsia="IRNazanin"/>
          <w:color w:val="111111"/>
          <w:sz w:val="28"/>
          <w:sz w:val="28"/>
          <w:szCs w:val="28"/>
          <w:rtl w:val="true"/>
          <w:lang w:bidi="fa-IR"/>
        </w:rPr>
        <w:t>في المقبولة هو الحكم الَّذي نفته تلك الرِّوايات عن غير الإمام ومَن نصبه، ولا شكَّ في أنَّه مقابل للجمعة والحدود، ويبقى الكلام في اختصاصه بفصل الخصومة أو هو الأعم منه بنحو يشمل كلّ حكم صادر منه ولو في غير الخصومة، فيدخل فيه الأمور الحسبيَّة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الحاكم هو المشرِف والمسيطِر والملزِم، ونحو ذلك من عبائر السُّلطة الَّتي لا تشمل الوظائف المختصَّة بالإمام مثل إقامة الحدود والجُمَع، وحينئذٍ تدخل فيه الأمور الحسبيَّة، لكنَّه لا يختصُّ بما لا بدَّ من إجرائه، بل يشمل ما يكون الإقدام عليه لأجل مصلحة الغائب أو الصَّغير، وحينئذٍ يتوافق ذلك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عدم اختصاصه بما لا بدَّ من إجرائه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لم نجزم بأنَّ المراد بالحاكم هو الشَّامل لما ذكر، بل قلنا بأنَّ المراد منه أو القدر المتيقَّن منه هو القاضي، وقلنا بأنَّ ذلك لا يدخل في وظيفة القضاء 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كافياً في رجوع الأمور الحسبيَّة إلى الفقيه، ومع الشَّكِّ يسقط ما هو قابل للتَّأخير، وينحصر الإشكال فيما لا بدَّ من إجرائه، وحينئذٍ يدور الأمر فيه بين تعيُّن الفقيه أو كونه مشاركاً في ذلك لكافَّة العدول، واللَّازم هو الأوَّل، كما عرفت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تمَّت دلالة المقبولة على الولاية العامَّة لكان مقتضاها هو وجوب ذلك على الفقيه، فيجب عليه القيام بتلك الولاية من إقامة الجُمُعة والحدود، وغير ذلك، لا أنَّ ذلك راجع إليه إنْ شاء نهض بها أو شاء لم ينهض، كما يظهر ممَّا أفاده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إلَّا أنْ يخرَّج جعل الولاية له على ما تقدَّم ذكره من جعل الأمر له، فله حينئذٍ أنْ يأمر بإقامة الجُمُعة،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أمر لوجب إطاعته، لا أنَّه يجب عليه أنْ يأمر،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في الأمور الحسبيَّة، وما هو مقدارها، وما هو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وقع في البين، وهو موكول إلى محلِّه من مباحث الولاية، وعمدة همِّنا إنَّما هو ما كنَّا فيه من عدم الدَّليل على مشروعيَّة صلاة الجُمُعة في زمان الغيبة، وأنَّ أدلَّة النِّيابة مثل المقبولة والمشهورة وغيرها من التَّوقيع المبارك وغيره لم تكن وافيةً في نصب الفقيه لإقامتها، كما وأنَّ ما دلَّ على عدم مشروعيَّتها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الحكم ولا الحدود ولا الجُمُعة إلَّا للإمام أو مَن يقيمه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الأدلَّة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الطَّوائف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بحاله لم يحصل ما هو حاكم عليه من أدلَّة نصب الفقيه بالنِّسبة إلى خصوص الجُمُعة وإقامة الحدود ونحوها،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1377</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الأقلّ حسين الحلّيّ </w:t>
      </w:r>
      <w:bookmarkStart w:id="437" w:name="pg10921_145403"/>
    </w:p>
    <w:p>
      <w:pPr>
        <w:pStyle w:val="Heading3"/>
        <w:numPr>
          <w:ilvl w:val="2"/>
          <w:numId w:val="1"/>
        </w:numPr>
        <w:rPr/>
      </w:pPr>
      <w:bookmarkStart w:id="438" w:name="__RefHeading___Toc3127568_2870459653"/>
      <w:bookmarkStart w:id="439" w:name="_Toc161"/>
      <w:bookmarkEnd w:id="437"/>
      <w:bookmarkEnd w:id="438"/>
      <w:r>
        <w:rPr>
          <w:rtl w:val="true"/>
        </w:rPr>
        <w:t>المصادر</w:t>
      </w:r>
      <w:bookmarkEnd w:id="43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الشَّيخ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 المرتضى، مشهد،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 طهران،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 الشّيخ محمَّد باقر بن محمَّد تقيِّ المجلسيّ،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مؤسّسة الطَّبع والنَّشر،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الشّيخ علي أكبر الغفاري،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 مؤسسة النشر الإسلاميّ التابعة لجماعة المدرّسين،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الدَّلائل في شرح تلخيص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 والشهادات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عليّ 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والآثار الواقعة في تفسير الكشاف للزمخشري، الزيلعي، أبو محمَّد عبد الله بن يوسف بن محمَّد، تحقيق سلطان بن فهد الطَّبيشي،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 وزارة الأوقاف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 تحقيق وتعليق لجنة من العلماء،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 طهران،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الشَّيخ 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علاء جعفر،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الشيخ علي بن الحسين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المهديّة،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محمَّد بن محمَّد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نينوى الحديثة، طهران، إيران، مطبوع كملحق لكتاب 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بلا تاريخ،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على مدارك الأحكام، الشّيخ محمّد باقر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الدِّراية في تخريج أحاديث الهداية، ابن حجر العسقلاني، أحمد بن عليُّ،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هاشم اليمانيّ،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المعرفة، بيروت،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أبو حنيفة نعمان بن محمَّد المغربيّ،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إيران،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ذخيرة المعاد، العلّامة ملا محمّد باقر السبزواريّ،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الأمة في اختلاف الأئمَّة، محمَّد بن عبد الرَّحمن الدِّمشقيّ العثمانيّ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أمين محمَّد، المكتبة التَّوفيقيَّة، القاهرة، بلا طبعة،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الكركي،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المطبعة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الشّيخ محمَّد بن منصور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جماعة المدرسين،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سليمان بن الأشعث السجستاني، تحقيق محمّد اللّحام،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أبو عيسى محمّد بن عيسى بن سورة الترمذي، حقّقه عبد الوهاب عبد اللطيف،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 دار الفكر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أبو محمّد عبد الله بن الرحمن بن الفضل بن بهرام، الاعتدال،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 الهادي،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جماعة المدرِّسين، قم، إيران،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الدَّاوريّ،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الشيَّخ ابن أبي جمهور محمَّد بن عليِّ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سيد الشُّهداء،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الشَّيخ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ش، مكتبة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الطَّوسيَّة،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 المطبعة العلميّة،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 طهران،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عبد الكريم الحائريّ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دفتر تبليغات إسلاميّ، قمّ، 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اللِّثام والإبهام عن قواعد الإحكام، الفاضل الهنديّ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جماعة المدرِّسين،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 قمّ، 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أكبر الغفاري،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الشَّيخ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 دار الأضواء،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ومستنبط المسائل، الميرزا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التَّفسير،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في أحكام الشَّريعة، الشيَّخ أحمد بن محمَّد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ﻫ، مؤسسة آل البيت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الظلام في شرح مفاتيح الشرائع،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الشَّيخ آغا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فجر قرآن، قم، إيران،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 مؤسّسة فقه الشِّيعة،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المكاسب والبيع، الشَّيخ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 جماعة المدرِّسين،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المكاسب،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 مؤتمر الشَّيخ الأنصاريّ،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جماعة المدرسين، قم، إيران،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الأحكام في مسائل الحلال والحرام، الشَّيخ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جماعة المدرِّسين،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الطَّالب في حاشية المكاسب، الشَّيخ موسى بن محمَّد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 المكتبة الحيدريَّة، طهران،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النَّفحة القدسيَّة في أحكام الصلاة اليوميَّة، 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السَّداد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مؤسّسة نهج البلاغة،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الشيَّخ محمَّد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 أصفهان،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إلى تحصيل مسائل الشَّريعة، الشيَّخ محمَّد بن 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النَّجاة، الشَّيخ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ﻫ، دار التَّفسير، قمّ، إيران</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المجموعة في الفوائد المسموعة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المرأة عن وجهها وكفّيها تفصيلٌ مثل تفصيل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حصول التلذّذ للرجال بالنظر إليها فلا يجوز وبين عدمه فيجوز،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الحكيم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للميرزا جواد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 في حل ألفاظ أبي شجاع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معرفة الراجح من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 بين أئمّة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فقه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 في بيان آيات الأحكام بالأثر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معرفة الراجح من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جلباب المرأة المسلمة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في ترتيب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باب ما يحلّ النظر إليه من المرأة،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باب ما يحلّ النظر إليه من المرأة،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باقر ابن السيّد أبي الحسن محمّد ابن السيّد علي شاه ابن صفدر شاه ابن السيّد صالح الرضويّ القميّ الكشميريّ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لكهنو، والمولود فيها سابع من صفر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ﻫ، والمتوفّى بالحائر في سنة زيارته للعتبات المقدسة في عصر يوم الخميس السادس عشر من شعبان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إسداء الرغاب بكشف الحجاب عن وجه السُنّة والكتاب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مسألة استثناء الوجه والكفين عن وجوب الستر الواجب في الصلاة على النساء، باللغة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مطبوع باللغة الأوردية لمؤلفه السيد عليّ نقيّ النقويّ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في تفسير القرآن بالقرآن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باب ما يحلّ النظر إليه من المرأة،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ما يحلّ النظر إليه من المرأة،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شمس العلوم ودواء كلام العرب من الكلوم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حرمة الكشف عن الزينة التي هي بدن المرأة ما عدا الوجه والكفَّين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الأوردية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حرمة النظر إلى وجه الأجنبيّة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الأصفى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ما يحلّ النظر إليه من المرأة،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 في أنّ الإيمان مبثوث لجوارح البدن كلّها،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الخواجوئي في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من طلب عثرات المؤمنين وعوراتهم،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باب حقّ المرأة على الزوج،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الصلاة، تقرير بحث السيّد البروجرديّ للشيخ الصافي كلبايكانيّ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 وعيون الأقاويل في وجوه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العصريّة في أخبار الوزراء المصريّة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الأوردية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الأوردية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 لغةً واصطلاحاً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الطلب من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الكشّاف عن حقائق التنزيل وعيون الأقاويل في وجوه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 الصلاة في ثوب واحد والمرأة في كم تصلّي وصلاة العراة والتوشح،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ما يحلّ النظر إليه من المرأة،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7/477</w:t>
      </w:r>
      <w:r>
        <w:rPr>
          <w:rFonts w:ascii="IRNazanin" w:hAnsi="IRNazanin" w:eastAsia="IRNazanin"/>
          <w:b w:val="false"/>
          <w:b w:val="false"/>
          <w:bCs w:val="false"/>
          <w:i w:val="false"/>
          <w:i w:val="false"/>
          <w:iCs w:val="false"/>
          <w:color w:val="333333"/>
          <w:sz w:val="20"/>
          <w:sz w:val="20"/>
          <w:szCs w:val="20"/>
          <w:rtl w:val="true"/>
        </w:rPr>
        <w:t>، وسندها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عيسى، عن ابن أبي عمير، عن عبد الرحمن بن الحجَّاج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الرحمن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الأصحّ في طريقة الحساب فللمروي عنه دخالة في قيمة الاحتمال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وهناك رواية أخرى وردت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ولكن لم أعتنِ بها لورودها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10/176</w:t>
      </w:r>
      <w:r>
        <w:rPr>
          <w:rFonts w:ascii="IRNazanin" w:hAnsi="IRNazanin" w:eastAsia="IRNazanin"/>
          <w:b w:val="false"/>
          <w:b w:val="false"/>
          <w:bCs w:val="false"/>
          <w:i w:val="false"/>
          <w:i w:val="false"/>
          <w:iCs w:val="false"/>
          <w:color w:val="333333"/>
          <w:sz w:val="20"/>
          <w:sz w:val="20"/>
          <w:szCs w:val="20"/>
          <w:rtl w:val="true"/>
        </w:rPr>
        <w:t>، ومرآة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فلا وثوق بما في الاستبصار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عشرين منها بدأ بها الصدوق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وأدخلناها في الحساب؛ لأنَّ طريقه إليه يمرُّ بالحسن بن محبوب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عبد الرحمن بن الحجَّاج فقد رويته عن أحمد بن محمَّد بن يحيى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أحمد بن محمَّد بن عيسى، عن ابن أبي عمير، والحسن بن محبوب جميعاً، عن عبد الرحمن بن الحجَّاج البجليّ الكوفيّ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أكّد عليه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وقد ذكر طريقة الصدوق في المشيخة في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24/180</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قلنا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وثوق بما في الاستبصار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منها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والباقي توزّعت على سبعة أشخاص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حواشيها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إمّا تستعمل في المبغوضية المحرّمة أو الأعمّ منها ومن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تستعمل في الكراهة بالمعنى الأخص، ولكن في 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يختلف، فقد ورد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يراد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أنَّه لا يستحسنه، بل قد يراد ذلك وقد يراد المبغوضيّة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27/209</w:t>
      </w:r>
      <w:r>
        <w:rPr>
          <w:rFonts w:ascii="IRNazanin" w:hAnsi="IRNazanin" w:eastAsia="IRNazanin"/>
          <w:b w:val="false"/>
          <w:b w:val="false"/>
          <w:bCs w:val="false"/>
          <w:i w:val="false"/>
          <w:i w:val="false"/>
          <w:iCs w:val="false"/>
          <w:color w:val="333333"/>
          <w:sz w:val="20"/>
          <w:sz w:val="20"/>
          <w:szCs w:val="20"/>
          <w:rtl w:val="true"/>
        </w:rPr>
        <w:t>، ونحوه في 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لإلغاء خصوصيّة المورد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الجعفريات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 تهذيب الأحكام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أحبُّ أن يدخل بطني شيء أعرف سبيله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التهذيب فيه سقط بلا إشكال، وفي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أحبُّ أن يدخل بطني إلّا شيء أعرف سبيله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في موضع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ختم على طعامه وهو درجة من التحفُّظ فوق مقتضى الأصول العمليّة فليس بواجب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المسألة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مناسك الحج، مجلس البحث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لا تحلّ لزوجها حتَّى تنكح زوجاً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ففيه ما نقلنا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ومسائل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دخل بها زوجها فرّق بينهما، فاعتدت ما بقي عليها من زوجها الأوّل، ثمّ اعتدّت عدّة أخرى من الزوج الأخير، ثمّ لا تحلّ له أبداً وإنْ تزوّجت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تزوّجت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مع تغيير يؤثِّر على مورد الاستشهاد 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موسى بن بكر، عن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وموسى بن بكر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من الواقفة، وقد وردت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وفي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والثانية هما الروايتان الثانية والثالثة من القسم الأوَّل،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الثالثة فهي الرواية الثالثة من القسم الثاني والتي ذكرناها آنفاً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وسندها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ابن أبي عمير عن شعيب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7/487</w:t>
      </w:r>
      <w:r>
        <w:rPr>
          <w:rFonts w:ascii="IRNazanin" w:hAnsi="IRNazanin" w:eastAsia="IRNazanin"/>
          <w:b w:val="false"/>
          <w:b w:val="false"/>
          <w:bCs w:val="false"/>
          <w:i w:val="false"/>
          <w:i w:val="false"/>
          <w:iCs w:val="false"/>
          <w:color w:val="333333"/>
          <w:sz w:val="20"/>
          <w:sz w:val="20"/>
          <w:szCs w:val="20"/>
          <w:rtl w:val="true"/>
        </w:rPr>
        <w:t>، وسندها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عن أيوب بن نوح وسندي بن محمَّد، عن صفوان بن يحيى، عن شعيب العقرقوفي،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تزوّج امرأةً لها زوج ولم يعلم،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المرأة وليس على الرجل شيء إذا 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من الرواية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7/477</w:t>
      </w:r>
      <w:r>
        <w:rPr>
          <w:rFonts w:ascii="IRNazanin" w:hAnsi="IRNazanin" w:eastAsia="IRNazanin"/>
          <w:b w:val="false"/>
          <w:b w:val="false"/>
          <w:bCs w:val="false"/>
          <w:i w:val="false"/>
          <w:i w:val="false"/>
          <w:iCs w:val="false"/>
          <w:color w:val="333333"/>
          <w:sz w:val="20"/>
          <w:sz w:val="20"/>
          <w:szCs w:val="20"/>
          <w:rtl w:val="true"/>
        </w:rPr>
        <w:t>، وسندها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محبوب، عن يونس بن يعقوب، عن أبي بصير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ascii="IRNazanin" w:hAnsi="IRNazanin" w:eastAsia="IRNazanin"/>
          <w:b w:val="false"/>
          <w:b w:val="false"/>
          <w:bCs w:val="false"/>
          <w:i w:val="false"/>
          <w:i w:val="false"/>
          <w:iCs w:val="false"/>
          <w:color w:val="333333"/>
          <w:sz w:val="20"/>
          <w:sz w:val="20"/>
          <w:szCs w:val="20"/>
          <w:rtl w:val="true"/>
        </w:rPr>
        <w:t>، والسند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ومحمَّد بن يحيى، عن أحمد بن محمَّد جميعاً، عن أحمد بن محمَّد بن أبي نصر، عن المثنى، عن زرارة بن أعين، وداود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بكير، عن أديم بياع الهروي،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بالجمع بين كلاميه في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روايتي عبد الرحمن وعبد الرحمن ابن الحجَّاج، وص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رواية ابن بكير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معتبرة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امرأة كان لها زوج غائباً عنها فتزوّجت زوجاً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رفعت إلى الإمام ثمّ شهد عليها شهود أنّ لها زوجاً غائباً عنها، وأنّ مادته وخبره يأتيها منه، وأنّها تزوّجت زوجاً آخر، كان على الإمام أن يحدّها، ويفرّق بينها وبين الذي تزوّجها،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فالمهر الذي أخذته منه كيف يُصنع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أصاب منه شيئاً فليأخذه وإن لم يصب منه شيئاً فإنّ كلّ ما أخذت منه حرام عليها مثل أجر الفاجرة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ومعتبرة شعيب العقرقوفي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تزوّج امرأة لها زوج ولم يعلم،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يُرجم المرأة وليس على الرجل شيء إذا لم يعلم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14/132</w:t>
      </w:r>
      <w:r>
        <w:rPr>
          <w:rFonts w:ascii="IRNazanin" w:hAnsi="IRNazanin" w:eastAsia="IRNazanin"/>
          <w:b w:val="false"/>
          <w:b w:val="false"/>
          <w:bCs w:val="false"/>
          <w:i w:val="false"/>
          <w:i w:val="false"/>
          <w:iCs w:val="false"/>
          <w:color w:val="333333"/>
          <w:sz w:val="20"/>
          <w:sz w:val="20"/>
          <w:szCs w:val="20"/>
          <w:rtl w:val="true"/>
        </w:rPr>
        <w:t xml:space="preserve">، 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الإغماض عن اختلافهم في تسلسل المطلب، وفي زيادة رواية، أو نقيصتها في صنف أو أكثر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شعيب ومعتبرة أبي بصير ومعتبرة زرارة وشركائه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النساء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وَأُحِلَّ لَكُم مَّا وَرَاءَ ذَٰلِكُمْ أَن تَبْتَغُوا بِأَمْوَالِكُم مُّحْصِنِينَ غَيْرَ مُسَافِحِينَ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تقبل الحمل على ما قبل مفارقة الزوج الأوّل وإكمالها العدّة منه فلا تؤثّر على روايات الحلّيّة لأنّها ناظرة إلى ما بعد ذلك فتقيّدها، فتأمل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المعاملات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المناسك،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لو قدّمه عليهما أو على الذبح نسياناً أو جهلاً منه بالحكم أجزأه ولم يحتج إلى الإعادة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الحلق والتقصير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المسألة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مجلس البحث ليوم الثلاثاء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المجدّد الشيرازي للروزدري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ركز على الغلبة ولم يهتم بفكرة المفهوم العام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الفشاركي في الرسائل الفشاركيّة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والشيخ الأنصاري في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والمحقق النائيني في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المناسك، شرح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لو قدّمه عليهما أو على الذبح نسياناً أو جهلاً منه بالحكم أجزأه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w:t>
      </w:r>
      <w:r>
        <w:rPr>
          <w:rFonts w:ascii="IRNazanin" w:hAnsi="IRNazanin" w:eastAsia="IRNazanin"/>
          <w:b w:val="false"/>
          <w:b w:val="false"/>
          <w:bCs w:val="false"/>
          <w:i w:val="false"/>
          <w:i w:val="false"/>
          <w:iCs w:val="false"/>
          <w:color w:val="333333"/>
          <w:sz w:val="20"/>
          <w:sz w:val="20"/>
          <w:szCs w:val="20"/>
          <w:rtl w:val="true"/>
        </w:rPr>
        <w:t>، 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وعنه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وفي هامش الوسائل نسخة بدل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على هذه القاعدة يكون اندراج موارد الحكومة فيها واضحاً، فلا تصل النوبة إلى قواعد التعارض المستقر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الواضحة منها؛ إذ كما سيأتي إنّ النظر على مراتب من حيث الوضوح والخفاء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الأُصولية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القيد يخرج التخصيص والورود؛ فإنّهما وإن كانا من طرق الجمع بين الأدلّة إلّا أنّه لا تنافي بين أدلّتهما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ذهب إليه الشيخ الأنصاري والمحقِّق النائيني وآخرون من أنّه لا تنافي في الحكومة ليس بتامّ كما سيأتي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التعرّض لهذا الجانب في بحث محلّ الحكومة من أنّه مختصّ بالأدلة اللفظيّة أو يعمّ الأدلة اللبيّة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سيأتي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المنظور إليه خصوص دلالة الدليل المحكوم أو يعمّ الحكم الواقعي المدلول عليه بما هو واقع، وبقطع النظر عن كونه مدلولاً للدليل المحكوم كما هو الحال في بعض موارد الجمع العرفي كالعامّ والخاصّ، والمطلق والمقيّد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دراسات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ومقصودنا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الأعاظم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الأعلى للطائفة الحقّة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السيّد السيستانيّ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48/420</w:t>
      </w:r>
      <w:r>
        <w:rPr>
          <w:rFonts w:ascii="IRNazanin" w:hAnsi="IRNazanin" w:eastAsia="IRNazanin"/>
          <w:b w:val="false"/>
          <w:b w:val="false"/>
          <w:bCs w:val="false"/>
          <w:i w:val="false"/>
          <w:i w:val="false"/>
          <w:iCs w:val="false"/>
          <w:color w:val="333333"/>
          <w:sz w:val="20"/>
          <w:sz w:val="20"/>
          <w:szCs w:val="20"/>
          <w:rtl w:val="true"/>
        </w:rPr>
        <w:t>، دراسات في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ينقسم إلى اعتبار متأصّل وآخر تنزيليّ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المتأصّل فيراد به الاعتبار بلا عناية، ويتطابق فيه المرادان الاستعماليّ والجديّ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الاعتبار التنزيليّ فهو إعطاء حدّ شيء لشيء آخر، فيكون مع العناية، ولا يتطابق فيه المراد الاستعماليّ مع الجديّ، والاعتبار التنزيليّ هذا مساوق للاعتبار الأدبيّ المحض كما صرّح بذلك بعض الأعاظم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استظهر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عليه عامّة الأُصوليين، واختار انقسامه إلى الأدبيّ المذكور، والاعتبار التنزيليّ التشريعي، حيث يكون التنزيل مأخوذاً في المراد 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مجلس الدرس ليوم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من سنة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ﻫ لسيّدنا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بهذا التعبير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بالارتكاز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الفكرة الثابتة في الذهن الراسخة في عمقه بحيث يصعب رفع اليد عنها إحساساً وإن اطّلع على دليل على خلافها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شككت فابنِ على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عنيت بين الثلاث والأربع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التفسير والنظر، ولما كان جزءاً من القول الثاني الحاكم فإنّه يكون مدلولاً تضمّنيّاً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المنظور إليه قد يكون الدليل المحكوم، أو الواقع بقطع النظر عن كونه مدلولاً للدليل، وتقدَّمت الإشارة إلى ذلك، وسيأتي تفصيله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اللباس الذي تكره الصلاة فيه،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وإجمال هذه القرينة نذكره في نقاط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لمناسبات الحكم والموضوع في كلمات الأعلام إطلاقين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المنشور في مجلّة دراسات علميّة،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تمسّك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بحثه الشريف بإطلاق التنزيل مع أنّ المراد الاستعماليّ فيه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مشافهة بالإضافة إلى بعض التحريرات الخاصّة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كون المجاز استعمالاً للفظ في غير ما وضع 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الأُصول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نهاية النهاية في شرح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مطلق التنافي لا خصوص التنافي المستقرّ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نهاية النهاية في شرح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الكافي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 ابن بزيع بأنّه من صالحي هذه الطائفة وكثير العمل، ممّا يظهر من العبارة الأخيرة كثرة اشتغاله وتحصيله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الراشحة 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الوحيد عن بعضٍ ولم يسمّه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ترجمة ابن أورمة في رجال الغضائري وغيرها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عقدنا لتفصل الكلام في ذلك بحثاً مستقلاً في كتابنا الذي سيُطبع لاحقاً بإذنه تعالى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عبد النبي الجزائري في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البحث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الصَّفحة الأولى العبارة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تنعقد الجمعة إلَّا بإذن السُّلطان، نقل ذلك عنه في الصَّلاة من فقه المذاهب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ونقل عنه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ميزان الشَّعرانيّ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وفي الميزان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وفي البداية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البحث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 الإمام الفرادى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الانفراد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دعائم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الصَّواب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أهل الذكر الذين أمر الله الخلق بسؤالهم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وجوب الرجوع في جميع الأحكام إلى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الطَّبعة الحجريّة، وأمَّا في الطَّبعة الحديثة ففي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الحث على صلاة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الشهاب الثاقب في وجوب الجمعة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تعالى في سورة البقرة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 وَقُومُوا لِلَّهِ قَانِتِينَ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وجوبها على كلِّ مكلَّف إلَّا الهرم، والمسافر، والعبد، والمرأة والمريض، والأعمى، ومَن كان على رأس أزيد من فرسخين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ولهم إمام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نقله في المستدرك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باختلافات متعدّدة يسيرة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عدم اشتراط وجوب الجمعة بحضور السُّلطان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للإمام أو مَن يقيمه الإمام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مؤدَّاه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الجعفريَّات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والدَّعائم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وعنهما في مستدرك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القدسية في أحكام الصَّلاة اليوميَّة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ولنا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الزَّيلعي في تخريج الأحاديث والآثار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إلى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والصَّدقات والحدود والجمعات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ورفعه صاحب الهداية كما رفعه المصنِّف، وهو في غالب كتب الفقه موقوف على ابن عمر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السابقة،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دعاؤه في يوم الأضحى والجمعة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نفسه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بإمام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ولكن من دون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التَّخيير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حينئذٍ التَّخيير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عبد الكريم اليزديّ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الشَّرطتين لم يرد في المصدر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أمالي الصَّدوق، لكن نقل عنه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لأُحبُّ للرجل أنْ لا يخرج من الدُّنيا حتَّى يتمتَّع ولو مرَّةً واحدةً، وأنْ يصلِّي الجمعة في جماعة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المخطوط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يموت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نهاية الإحكام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البحث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المبحث الأوَّل من المقصد الثَّاني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صلاة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المستأكل بعلمه والمباهي به،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العامليُّ في الفوائد الطُّوسيَّة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يحضرني أنَّ أحداً من محدّثينا رواه في شيء من الكتب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نقله بعض المتأخِّرين من علمائنا في غير كتب الحديث، وكأنَّه من روايات العامَّة أو موضوعاتهم ليجعلوه وسيلةً إلى الاستغناء بالعلماء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كونه من روايات الصُّوفيَّة أو موضوعاتهم لإرادة إثبات ما يدَّعونه من الكشف وما يترتَّب عليه من المفاسد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باختلاف يسير فيهما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كراهية الارتفاع إلى قضاة الجور،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الدَّلائل في شرح تلخيص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يقتضيها السِّياق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البحث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3.jpeg"/><Relationship Id="rId230" Type="http://schemas.openxmlformats.org/officeDocument/2006/relationships/image" Target="media/image3.jpeg"/><Relationship Id="rId231" Type="http://schemas.openxmlformats.org/officeDocument/2006/relationships/footer" Target="footer224.xml"/><Relationship Id="rId232" Type="http://schemas.openxmlformats.org/officeDocument/2006/relationships/image" Target="media/image4.jpeg"/><Relationship Id="rId233" Type="http://schemas.openxmlformats.org/officeDocument/2006/relationships/image" Target="media/image4.jpeg"/><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5.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56325</Words>
  <Characters>255153</Characters>
  <CharactersWithSpaces>309623</CharactersWithSpaces>
  <Paragraphs>2136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2026-08-20T09:46:35Z</dcterms:created>
  <dc:creator>ghaemiyeh.com</dc:creator>
  <dc:description/>
  <dc:language>en-US</dc:language>
  <cp:lastModifiedBy/>
  <dcterms:modified xsi:type="dcterms:W3CDTF">2026-08-20T13:16:46Z</dcterms:modified>
  <cp:revision>1</cp:revision>
  <dc:subject/>
  <dc:title>دراسات علمیة - 13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