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علمیة </w:t>
      </w:r>
      <w:r>
        <w:rPr>
          <w:rtl w:val="true"/>
        </w:rPr>
        <w:t xml:space="preserve">- </w:t>
      </w:r>
      <w:r>
        <w:rPr/>
        <w:t>4</w:t>
      </w:r>
      <w:r>
        <w:rPr>
          <w:rtl w:val="true"/>
        </w:rPr>
        <w:t xml:space="preserve"> </w:t>
      </w:r>
      <w:r>
        <w:rPr>
          <w:rtl w:val="true"/>
        </w:rPr>
        <w:t>مجلة تعنى بالأبحاث التخصصیة فی الحوزة العلمیة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0327_2870459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580329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580331_2870459653">
            <w:r>
              <w:rPr>
                <w:webHidden/>
                <w:rStyle w:val="IndexLink"/>
                <w:rtl w:val="true"/>
              </w:rPr>
              <w:t>الأسس المعتمدة للنشر</w:t>
            </w:r>
            <w:r>
              <w:rPr>
                <w:rStyle w:val="IndexLink"/>
                <w:rtl w:val="true"/>
              </w:rPr>
              <w:tab/>
            </w:r>
            <w:r>
              <w:rPr>
                <w:rStyle w:val="IndexLink"/>
              </w:rPr>
              <w:t>10</w:t>
            </w:r>
          </w:hyperlink>
        </w:p>
        <w:p>
          <w:pPr>
            <w:pStyle w:val="Contents2"/>
            <w:tabs>
              <w:tab w:val="clear" w:pos="8743"/>
              <w:tab w:val="right" w:pos="9026" w:leader="dot"/>
            </w:tabs>
            <w:rPr/>
          </w:pPr>
          <w:hyperlink w:anchor="__RefHeading___Toc2580333_2870459653">
            <w:r>
              <w:rPr>
                <w:webHidden/>
                <w:rStyle w:val="IndexLink"/>
                <w:rtl w:val="true"/>
              </w:rPr>
              <w:t>مقدِّمة الطَّبعة الثَّانية</w:t>
            </w:r>
            <w:r>
              <w:rPr>
                <w:rStyle w:val="IndexLink"/>
                <w:rtl w:val="true"/>
              </w:rPr>
              <w:tab/>
            </w:r>
            <w:r>
              <w:rPr>
                <w:rStyle w:val="IndexLink"/>
              </w:rPr>
              <w:t>11</w:t>
            </w:r>
          </w:hyperlink>
        </w:p>
        <w:p>
          <w:pPr>
            <w:pStyle w:val="Contents2"/>
            <w:tabs>
              <w:tab w:val="clear" w:pos="8743"/>
              <w:tab w:val="right" w:pos="9026" w:leader="dot"/>
            </w:tabs>
            <w:rPr/>
          </w:pPr>
          <w:hyperlink w:anchor="__RefHeading___Toc2580335_2870459653">
            <w:r>
              <w:rPr>
                <w:webHidden/>
                <w:rStyle w:val="IndexLink"/>
                <w:rtl w:val="true"/>
              </w:rPr>
              <w:t>محتويات العدد</w:t>
            </w:r>
            <w:r>
              <w:rPr>
                <w:rStyle w:val="IndexLink"/>
                <w:rtl w:val="true"/>
              </w:rPr>
              <w:tab/>
            </w:r>
            <w:r>
              <w:rPr>
                <w:rStyle w:val="IndexLink"/>
              </w:rPr>
              <w:t>12</w:t>
            </w:r>
          </w:hyperlink>
        </w:p>
        <w:p>
          <w:pPr>
            <w:pStyle w:val="Contents2"/>
            <w:tabs>
              <w:tab w:val="clear" w:pos="8743"/>
              <w:tab w:val="right" w:pos="9026" w:leader="dot"/>
            </w:tabs>
            <w:rPr/>
          </w:pPr>
          <w:hyperlink w:anchor="__RefHeading___Toc2580337_2870459653">
            <w:r>
              <w:rPr>
                <w:webHidden/>
                <w:rStyle w:val="IndexLink"/>
                <w:rtl w:val="true"/>
              </w:rPr>
              <w:t>كلمة العدد</w:t>
            </w:r>
            <w:r>
              <w:rPr>
                <w:rStyle w:val="IndexLink"/>
                <w:rtl w:val="true"/>
              </w:rPr>
              <w:tab/>
            </w:r>
            <w:r>
              <w:rPr>
                <w:rStyle w:val="IndexLink"/>
              </w:rPr>
              <w:t>13</w:t>
            </w:r>
          </w:hyperlink>
        </w:p>
        <w:p>
          <w:pPr>
            <w:pStyle w:val="Contents2"/>
            <w:tabs>
              <w:tab w:val="clear" w:pos="8743"/>
              <w:tab w:val="right" w:pos="9026" w:leader="dot"/>
            </w:tabs>
            <w:rPr/>
          </w:pPr>
          <w:hyperlink w:anchor="__RefHeading___Toc2580339_2870459653">
            <w:r>
              <w:rPr>
                <w:webHidden/>
                <w:rStyle w:val="IndexLink"/>
                <w:rtl w:val="true"/>
              </w:rPr>
              <w:t xml:space="preserve">زواج البكر الرشيدة بغير إذن الولي </w:t>
            </w:r>
            <w:r>
              <w:rPr>
                <w:rStyle w:val="IndexLink"/>
                <w:rtl w:val="true"/>
              </w:rPr>
              <w:t xml:space="preserve">- </w:t>
            </w:r>
            <w:r>
              <w:rPr>
                <w:rStyle w:val="IndexLink"/>
                <w:rtl w:val="true"/>
              </w:rPr>
              <w:t>السيد محمد رضا السيستاني</w:t>
            </w:r>
            <w:r>
              <w:rPr>
                <w:rStyle w:val="IndexLink"/>
                <w:rtl w:val="true"/>
              </w:rPr>
              <w:tab/>
            </w:r>
            <w:r>
              <w:rPr>
                <w:rStyle w:val="IndexLink"/>
              </w:rPr>
              <w:t>17</w:t>
            </w:r>
          </w:hyperlink>
        </w:p>
        <w:p>
          <w:pPr>
            <w:pStyle w:val="Contents3"/>
            <w:tabs>
              <w:tab w:val="clear" w:pos="8459"/>
              <w:tab w:val="right" w:pos="9026" w:leader="dot"/>
            </w:tabs>
            <w:rPr/>
          </w:pPr>
          <w:hyperlink w:anchor="__RefHeading___Toc2580341_2870459653">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580343_2870459653">
            <w:r>
              <w:rPr>
                <w:webHidden/>
                <w:rStyle w:val="IndexLink"/>
                <w:rtl w:val="true"/>
              </w:rPr>
              <w:t>المقام الأوّل</w:t>
            </w:r>
            <w:r>
              <w:rPr>
                <w:rStyle w:val="IndexLink"/>
                <w:rtl w:val="true"/>
              </w:rPr>
              <w:tab/>
            </w:r>
            <w:r>
              <w:rPr>
                <w:rStyle w:val="IndexLink"/>
              </w:rPr>
              <w:t>20</w:t>
            </w:r>
          </w:hyperlink>
        </w:p>
        <w:p>
          <w:pPr>
            <w:pStyle w:val="Contents3"/>
            <w:tabs>
              <w:tab w:val="clear" w:pos="8459"/>
              <w:tab w:val="right" w:pos="9026" w:leader="dot"/>
            </w:tabs>
            <w:rPr/>
          </w:pPr>
          <w:hyperlink w:anchor="__RefHeading___Toc2580345_2870459653">
            <w:r>
              <w:rPr>
                <w:webHidden/>
                <w:rStyle w:val="IndexLink"/>
                <w:rtl w:val="true"/>
              </w:rPr>
              <w:t>المقام الثاني</w:t>
            </w:r>
            <w:r>
              <w:rPr>
                <w:rStyle w:val="IndexLink"/>
                <w:rtl w:val="true"/>
              </w:rPr>
              <w:tab/>
            </w:r>
            <w:r>
              <w:rPr>
                <w:rStyle w:val="IndexLink"/>
              </w:rPr>
              <w:t>28</w:t>
            </w:r>
          </w:hyperlink>
        </w:p>
        <w:p>
          <w:pPr>
            <w:pStyle w:val="Contents3"/>
            <w:tabs>
              <w:tab w:val="clear" w:pos="8459"/>
              <w:tab w:val="right" w:pos="9026" w:leader="dot"/>
            </w:tabs>
            <w:rPr/>
          </w:pPr>
          <w:hyperlink w:anchor="__RefHeading___Toc2580347_2870459653">
            <w:r>
              <w:rPr>
                <w:webHidden/>
                <w:rStyle w:val="IndexLink"/>
                <w:rtl w:val="true"/>
              </w:rPr>
              <w:t>المصادر</w:t>
            </w:r>
            <w:r>
              <w:rPr>
                <w:rStyle w:val="IndexLink"/>
                <w:rtl w:val="true"/>
              </w:rPr>
              <w:tab/>
            </w:r>
            <w:r>
              <w:rPr>
                <w:rStyle w:val="IndexLink"/>
              </w:rPr>
              <w:t>47</w:t>
            </w:r>
          </w:hyperlink>
        </w:p>
        <w:p>
          <w:pPr>
            <w:pStyle w:val="Contents2"/>
            <w:tabs>
              <w:tab w:val="clear" w:pos="8743"/>
              <w:tab w:val="right" w:pos="9026" w:leader="dot"/>
            </w:tabs>
            <w:rPr/>
          </w:pPr>
          <w:hyperlink w:anchor="__RefHeading___Toc2580349_2870459653">
            <w:r>
              <w:rPr>
                <w:webHidden/>
                <w:rStyle w:val="IndexLink"/>
                <w:rtl w:val="true"/>
              </w:rPr>
              <w:t xml:space="preserve">قتل العمد بين الفقه الإسلامي وقانون العقوبات العراقي </w:t>
            </w:r>
            <w:r>
              <w:rPr>
                <w:rStyle w:val="IndexLink"/>
                <w:rtl w:val="true"/>
              </w:rPr>
              <w:t>(</w:t>
            </w:r>
            <w:r>
              <w:rPr>
                <w:rStyle w:val="IndexLink"/>
                <w:rtl w:val="true"/>
              </w:rPr>
              <w:t>الحلقة الثانية</w:t>
            </w:r>
            <w:r>
              <w:rPr>
                <w:rStyle w:val="IndexLink"/>
                <w:rtl w:val="true"/>
              </w:rPr>
              <w:t xml:space="preserve">) - </w:t>
            </w:r>
            <w:r>
              <w:rPr>
                <w:rStyle w:val="IndexLink"/>
                <w:rtl w:val="true"/>
              </w:rPr>
              <w:t>الشيخ يحيى السعداوي</w:t>
            </w:r>
            <w:r>
              <w:rPr>
                <w:rStyle w:val="IndexLink"/>
                <w:rtl w:val="true"/>
              </w:rPr>
              <w:tab/>
            </w:r>
            <w:r>
              <w:rPr>
                <w:rStyle w:val="IndexLink"/>
              </w:rPr>
              <w:t>49</w:t>
            </w:r>
          </w:hyperlink>
        </w:p>
        <w:p>
          <w:pPr>
            <w:pStyle w:val="Contents3"/>
            <w:tabs>
              <w:tab w:val="clear" w:pos="8459"/>
              <w:tab w:val="right" w:pos="9026" w:leader="dot"/>
            </w:tabs>
            <w:rPr/>
          </w:pPr>
          <w:hyperlink w:anchor="__RefHeading___Toc2580351_2870459653">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2580353_2870459653">
            <w:r>
              <w:rPr>
                <w:webHidden/>
                <w:rStyle w:val="IndexLink"/>
                <w:rtl w:val="true"/>
              </w:rPr>
              <w:t>المبحث الثالث</w:t>
            </w:r>
            <w:r>
              <w:rPr>
                <w:rStyle w:val="IndexLink"/>
                <w:rtl w:val="true"/>
              </w:rPr>
              <w:t xml:space="preserve">: </w:t>
            </w:r>
            <w:r>
              <w:rPr>
                <w:rStyle w:val="IndexLink"/>
                <w:rtl w:val="true"/>
              </w:rPr>
              <w:t>العقوبات الشرعية للقتل العمد عند المذاهب الفقهية الإسلامية</w:t>
            </w:r>
            <w:r>
              <w:rPr>
                <w:rStyle w:val="IndexLink"/>
                <w:rtl w:val="true"/>
              </w:rPr>
              <w:tab/>
            </w:r>
            <w:r>
              <w:rPr>
                <w:rStyle w:val="IndexLink"/>
              </w:rPr>
              <w:t>51</w:t>
            </w:r>
          </w:hyperlink>
        </w:p>
        <w:p>
          <w:pPr>
            <w:pStyle w:val="Contents3"/>
            <w:tabs>
              <w:tab w:val="clear" w:pos="8459"/>
              <w:tab w:val="right" w:pos="9026" w:leader="dot"/>
            </w:tabs>
            <w:rPr/>
          </w:pPr>
          <w:hyperlink w:anchor="__RefHeading___Toc2580355_2870459653">
            <w:r>
              <w:rPr>
                <w:webHidden/>
                <w:rStyle w:val="IndexLink"/>
                <w:rtl w:val="true"/>
              </w:rPr>
              <w:t>الفصل الثاني</w:t>
            </w:r>
            <w:r>
              <w:rPr>
                <w:rStyle w:val="IndexLink"/>
                <w:rtl w:val="true"/>
              </w:rPr>
              <w:t xml:space="preserve">: </w:t>
            </w:r>
            <w:r>
              <w:rPr>
                <w:rStyle w:val="IndexLink"/>
                <w:rtl w:val="true"/>
              </w:rPr>
              <w:t>القتل العمد في قانون العقوبات العراقي</w:t>
            </w:r>
            <w:r>
              <w:rPr>
                <w:rStyle w:val="IndexLink"/>
                <w:rtl w:val="true"/>
              </w:rPr>
              <w:tab/>
            </w:r>
            <w:r>
              <w:rPr>
                <w:rStyle w:val="IndexLink"/>
              </w:rPr>
              <w:t>85</w:t>
            </w:r>
          </w:hyperlink>
        </w:p>
        <w:p>
          <w:pPr>
            <w:pStyle w:val="Contents4"/>
            <w:tabs>
              <w:tab w:val="clear" w:pos="8176"/>
              <w:tab w:val="right" w:pos="9026" w:leader="dot"/>
            </w:tabs>
            <w:rPr/>
          </w:pPr>
          <w:hyperlink w:anchor="__RefHeading___Toc2580357_2870459653">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2580359_2870459653">
            <w:r>
              <w:rPr>
                <w:webHidden/>
                <w:rStyle w:val="IndexLink"/>
                <w:rtl w:val="true"/>
              </w:rPr>
              <w:t>المبحث الأول</w:t>
            </w:r>
            <w:r>
              <w:rPr>
                <w:rStyle w:val="IndexLink"/>
                <w:rtl w:val="true"/>
              </w:rPr>
              <w:t xml:space="preserve">: </w:t>
            </w:r>
            <w:r>
              <w:rPr>
                <w:rStyle w:val="IndexLink"/>
                <w:rtl w:val="true"/>
              </w:rPr>
              <w:t>تقسيمات وتعريف القتل العمد</w:t>
            </w:r>
            <w:r>
              <w:rPr>
                <w:rStyle w:val="IndexLink"/>
                <w:rtl w:val="true"/>
              </w:rPr>
              <w:tab/>
            </w:r>
            <w:r>
              <w:rPr>
                <w:rStyle w:val="IndexLink"/>
              </w:rPr>
              <w:t>86</w:t>
            </w:r>
          </w:hyperlink>
        </w:p>
        <w:p>
          <w:pPr>
            <w:pStyle w:val="Contents4"/>
            <w:tabs>
              <w:tab w:val="clear" w:pos="8176"/>
              <w:tab w:val="right" w:pos="9026" w:leader="dot"/>
            </w:tabs>
            <w:rPr/>
          </w:pPr>
          <w:hyperlink w:anchor="__RefHeading___Toc2580361_2870459653">
            <w:r>
              <w:rPr>
                <w:webHidden/>
                <w:rStyle w:val="IndexLink"/>
                <w:rtl w:val="true"/>
              </w:rPr>
              <w:t>المبحث الثاني</w:t>
            </w:r>
            <w:r>
              <w:rPr>
                <w:rStyle w:val="IndexLink"/>
                <w:rtl w:val="true"/>
              </w:rPr>
              <w:t xml:space="preserve">: </w:t>
            </w:r>
            <w:r>
              <w:rPr>
                <w:rStyle w:val="IndexLink"/>
                <w:rtl w:val="true"/>
              </w:rPr>
              <w:t>أركان القتل العمد وشرح مواده القانونية</w:t>
            </w:r>
            <w:r>
              <w:rPr>
                <w:rStyle w:val="IndexLink"/>
                <w:rtl w:val="true"/>
              </w:rPr>
              <w:tab/>
            </w:r>
            <w:r>
              <w:rPr>
                <w:rStyle w:val="IndexLink"/>
              </w:rPr>
              <w:t>92</w:t>
            </w:r>
          </w:hyperlink>
        </w:p>
        <w:p>
          <w:pPr>
            <w:pStyle w:val="Contents3"/>
            <w:tabs>
              <w:tab w:val="clear" w:pos="8459"/>
              <w:tab w:val="right" w:pos="9026" w:leader="dot"/>
            </w:tabs>
            <w:rPr/>
          </w:pPr>
          <w:hyperlink w:anchor="__RefHeading___Toc2580363_2870459653">
            <w:r>
              <w:rPr>
                <w:webHidden/>
                <w:rStyle w:val="IndexLink"/>
                <w:rtl w:val="true"/>
              </w:rPr>
              <w:t>المصادر والمراجع</w:t>
            </w:r>
            <w:r>
              <w:rPr>
                <w:rStyle w:val="IndexLink"/>
                <w:rtl w:val="true"/>
              </w:rPr>
              <w:tab/>
            </w:r>
            <w:r>
              <w:rPr>
                <w:rStyle w:val="IndexLink"/>
              </w:rPr>
              <w:t>109</w:t>
            </w:r>
          </w:hyperlink>
        </w:p>
        <w:p>
          <w:pPr>
            <w:pStyle w:val="Contents2"/>
            <w:tabs>
              <w:tab w:val="clear" w:pos="8743"/>
              <w:tab w:val="right" w:pos="9026" w:leader="dot"/>
            </w:tabs>
            <w:rPr/>
          </w:pPr>
          <w:hyperlink w:anchor="__RefHeading___Toc2580365_2870459653">
            <w:r>
              <w:rPr>
                <w:webHidden/>
                <w:rStyle w:val="IndexLink"/>
                <w:rtl w:val="true"/>
              </w:rPr>
              <w:t xml:space="preserve">حدود مرجعية العرف </w:t>
            </w:r>
            <w:r>
              <w:rPr>
                <w:rStyle w:val="IndexLink"/>
                <w:rtl w:val="true"/>
              </w:rPr>
              <w:t xml:space="preserve">- </w:t>
            </w:r>
            <w:r>
              <w:rPr>
                <w:rStyle w:val="IndexLink"/>
                <w:rtl w:val="true"/>
              </w:rPr>
              <w:t>السيد محمد البكاء</w:t>
            </w:r>
            <w:r>
              <w:rPr>
                <w:rStyle w:val="IndexLink"/>
                <w:rtl w:val="true"/>
              </w:rPr>
              <w:tab/>
            </w:r>
            <w:r>
              <w:rPr>
                <w:rStyle w:val="IndexLink"/>
              </w:rPr>
              <w:t>111</w:t>
            </w:r>
          </w:hyperlink>
        </w:p>
        <w:p>
          <w:pPr>
            <w:pStyle w:val="Contents3"/>
            <w:tabs>
              <w:tab w:val="clear" w:pos="8459"/>
              <w:tab w:val="right" w:pos="9026" w:leader="dot"/>
            </w:tabs>
            <w:rPr/>
          </w:pPr>
          <w:hyperlink w:anchor="__RefHeading___Toc2580367_2870459653">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2580369_2870459653">
            <w:r>
              <w:rPr>
                <w:webHidden/>
                <w:rStyle w:val="IndexLink"/>
                <w:rtl w:val="true"/>
              </w:rPr>
              <w:t>تمهيد</w:t>
            </w:r>
            <w:r>
              <w:rPr>
                <w:rStyle w:val="IndexLink"/>
                <w:rtl w:val="true"/>
              </w:rPr>
              <w:tab/>
            </w:r>
            <w:r>
              <w:rPr>
                <w:rStyle w:val="IndexLink"/>
              </w:rPr>
              <w:t>113</w:t>
            </w:r>
          </w:hyperlink>
        </w:p>
        <w:p>
          <w:pPr>
            <w:pStyle w:val="Contents3"/>
            <w:tabs>
              <w:tab w:val="clear" w:pos="8459"/>
              <w:tab w:val="right" w:pos="9026" w:leader="dot"/>
            </w:tabs>
            <w:rPr/>
          </w:pPr>
          <w:hyperlink w:anchor="__RefHeading___Toc2580371_2870459653">
            <w:r>
              <w:rPr>
                <w:webHidden/>
                <w:rStyle w:val="IndexLink"/>
                <w:rtl w:val="true"/>
              </w:rPr>
              <w:t xml:space="preserve">المبحث الأول </w:t>
            </w:r>
            <w:r>
              <w:rPr>
                <w:rStyle w:val="IndexLink"/>
                <w:rtl w:val="true"/>
              </w:rPr>
              <w:t>(</w:t>
            </w:r>
            <w:r>
              <w:rPr>
                <w:rStyle w:val="IndexLink"/>
                <w:rtl w:val="true"/>
              </w:rPr>
              <w:t>تمهيدي</w:t>
            </w:r>
            <w:r>
              <w:rPr>
                <w:rStyle w:val="IndexLink"/>
                <w:rtl w:val="true"/>
              </w:rPr>
              <w:t xml:space="preserve">): </w:t>
            </w:r>
            <w:r>
              <w:rPr>
                <w:rStyle w:val="IndexLink"/>
                <w:rtl w:val="true"/>
              </w:rPr>
              <w:t>في حقيقة العرف عند الأصوليين</w:t>
            </w:r>
            <w:r>
              <w:rPr>
                <w:rStyle w:val="IndexLink"/>
                <w:rtl w:val="true"/>
              </w:rPr>
              <w:tab/>
            </w:r>
            <w:r>
              <w:rPr>
                <w:rStyle w:val="IndexLink"/>
              </w:rPr>
              <w:t>115</w:t>
            </w:r>
          </w:hyperlink>
        </w:p>
        <w:p>
          <w:pPr>
            <w:pStyle w:val="Contents4"/>
            <w:tabs>
              <w:tab w:val="clear" w:pos="8176"/>
              <w:tab w:val="right" w:pos="9026" w:leader="dot"/>
            </w:tabs>
            <w:rPr/>
          </w:pPr>
          <w:hyperlink w:anchor="__RefHeading___Toc2580373_2870459653">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2580375_2870459653">
            <w:r>
              <w:rPr>
                <w:webHidden/>
                <w:rStyle w:val="IndexLink"/>
                <w:rtl w:val="true"/>
              </w:rPr>
              <w:t>المطلب الأول</w:t>
            </w:r>
            <w:r>
              <w:rPr>
                <w:rStyle w:val="IndexLink"/>
                <w:rtl w:val="true"/>
              </w:rPr>
              <w:t xml:space="preserve">: </w:t>
            </w:r>
            <w:r>
              <w:rPr>
                <w:rStyle w:val="IndexLink"/>
                <w:rtl w:val="true"/>
              </w:rPr>
              <w:t>في بيان المقصود من الارتكاز عند الأصوليين</w:t>
            </w:r>
            <w:r>
              <w:rPr>
                <w:rStyle w:val="IndexLink"/>
                <w:rtl w:val="true"/>
              </w:rPr>
              <w:tab/>
            </w:r>
            <w:r>
              <w:rPr>
                <w:rStyle w:val="IndexLink"/>
              </w:rPr>
              <w:t>115</w:t>
            </w:r>
          </w:hyperlink>
        </w:p>
        <w:p>
          <w:pPr>
            <w:pStyle w:val="Contents4"/>
            <w:tabs>
              <w:tab w:val="clear" w:pos="8176"/>
              <w:tab w:val="right" w:pos="9026" w:leader="dot"/>
            </w:tabs>
            <w:rPr/>
          </w:pPr>
          <w:hyperlink w:anchor="__RefHeading___Toc2580377_2870459653">
            <w:r>
              <w:rPr>
                <w:webHidden/>
                <w:rStyle w:val="IndexLink"/>
                <w:rtl w:val="true"/>
              </w:rPr>
              <w:t>المطلب الثاني</w:t>
            </w:r>
            <w:r>
              <w:rPr>
                <w:rStyle w:val="IndexLink"/>
                <w:rtl w:val="true"/>
              </w:rPr>
              <w:t xml:space="preserve">: </w:t>
            </w:r>
            <w:r>
              <w:rPr>
                <w:rStyle w:val="IndexLink"/>
                <w:rtl w:val="true"/>
              </w:rPr>
              <w:t>في حجية العرف</w:t>
            </w:r>
            <w:r>
              <w:rPr>
                <w:rStyle w:val="IndexLink"/>
                <w:rtl w:val="true"/>
              </w:rPr>
              <w:t xml:space="preserve">: </w:t>
            </w:r>
            <w:r>
              <w:rPr>
                <w:rStyle w:val="IndexLink"/>
                <w:rtl w:val="true"/>
              </w:rPr>
              <w:t>سيرة العقلاء، سيرة المتشرعة، ارتكاز المتشرعة</w:t>
            </w:r>
            <w:r>
              <w:rPr>
                <w:rStyle w:val="IndexLink"/>
                <w:rtl w:val="true"/>
              </w:rPr>
              <w:tab/>
            </w:r>
            <w:r>
              <w:rPr>
                <w:rStyle w:val="IndexLink"/>
              </w:rPr>
              <w:t>119</w:t>
            </w:r>
          </w:hyperlink>
        </w:p>
        <w:p>
          <w:pPr>
            <w:pStyle w:val="Contents3"/>
            <w:tabs>
              <w:tab w:val="clear" w:pos="8459"/>
              <w:tab w:val="right" w:pos="9026" w:leader="dot"/>
            </w:tabs>
            <w:rPr/>
          </w:pPr>
          <w:hyperlink w:anchor="__RefHeading___Toc2580379_2870459653">
            <w:r>
              <w:rPr>
                <w:webHidden/>
                <w:rStyle w:val="IndexLink"/>
                <w:rtl w:val="true"/>
              </w:rPr>
              <w:t>المبحث الثاني</w:t>
            </w:r>
            <w:r>
              <w:rPr>
                <w:rStyle w:val="IndexLink"/>
                <w:rtl w:val="true"/>
              </w:rPr>
              <w:t xml:space="preserve">: </w:t>
            </w:r>
            <w:r>
              <w:rPr>
                <w:rStyle w:val="IndexLink"/>
                <w:rtl w:val="true"/>
              </w:rPr>
              <w:t>المجالات العامة للتدخّل العرفي</w:t>
            </w:r>
            <w:r>
              <w:rPr>
                <w:rStyle w:val="IndexLink"/>
                <w:rtl w:val="true"/>
              </w:rPr>
              <w:tab/>
            </w:r>
            <w:r>
              <w:rPr>
                <w:rStyle w:val="IndexLink"/>
              </w:rPr>
              <w:t>121</w:t>
            </w:r>
          </w:hyperlink>
        </w:p>
        <w:p>
          <w:pPr>
            <w:pStyle w:val="Contents3"/>
            <w:tabs>
              <w:tab w:val="clear" w:pos="8459"/>
              <w:tab w:val="right" w:pos="9026" w:leader="dot"/>
            </w:tabs>
            <w:rPr/>
          </w:pPr>
          <w:hyperlink w:anchor="__RefHeading___Toc2580381_2870459653">
            <w:r>
              <w:rPr>
                <w:webHidden/>
                <w:rStyle w:val="IndexLink"/>
                <w:rtl w:val="true"/>
              </w:rPr>
              <w:t>نتائج البحث</w:t>
            </w:r>
            <w:r>
              <w:rPr>
                <w:rStyle w:val="IndexLink"/>
                <w:rtl w:val="true"/>
              </w:rPr>
              <w:tab/>
            </w:r>
            <w:r>
              <w:rPr>
                <w:rStyle w:val="IndexLink"/>
              </w:rPr>
              <w:t>152</w:t>
            </w:r>
          </w:hyperlink>
        </w:p>
        <w:p>
          <w:pPr>
            <w:pStyle w:val="Contents3"/>
            <w:tabs>
              <w:tab w:val="clear" w:pos="8459"/>
              <w:tab w:val="right" w:pos="9026" w:leader="dot"/>
            </w:tabs>
            <w:rPr/>
          </w:pPr>
          <w:hyperlink w:anchor="__RefHeading___Toc2580383_2870459653">
            <w:r>
              <w:rPr>
                <w:webHidden/>
                <w:rStyle w:val="IndexLink"/>
                <w:rtl w:val="true"/>
              </w:rPr>
              <w:t>مصادر البحث</w:t>
            </w:r>
            <w:r>
              <w:rPr>
                <w:rStyle w:val="IndexLink"/>
                <w:rtl w:val="true"/>
              </w:rPr>
              <w:tab/>
            </w:r>
            <w:r>
              <w:rPr>
                <w:rStyle w:val="IndexLink"/>
              </w:rPr>
              <w:t>157</w:t>
            </w:r>
          </w:hyperlink>
        </w:p>
        <w:p>
          <w:pPr>
            <w:pStyle w:val="Contents2"/>
            <w:tabs>
              <w:tab w:val="clear" w:pos="8743"/>
              <w:tab w:val="right" w:pos="9026" w:leader="dot"/>
            </w:tabs>
            <w:rPr/>
          </w:pPr>
          <w:hyperlink w:anchor="__RefHeading___Toc2580385_2870459653">
            <w:r>
              <w:rPr>
                <w:webHidden/>
                <w:rStyle w:val="IndexLink"/>
                <w:rtl w:val="true"/>
              </w:rPr>
              <w:t xml:space="preserve">رجال المستمسك </w:t>
            </w:r>
            <w:r>
              <w:rPr>
                <w:rStyle w:val="IndexLink"/>
                <w:rtl w:val="true"/>
              </w:rPr>
              <w:t xml:space="preserve">- </w:t>
            </w:r>
            <w:r>
              <w:rPr>
                <w:rStyle w:val="IndexLink"/>
                <w:rtl w:val="true"/>
              </w:rPr>
              <w:t>الشيخ علي الغزي</w:t>
            </w:r>
            <w:r>
              <w:rPr>
                <w:rStyle w:val="IndexLink"/>
                <w:rtl w:val="true"/>
              </w:rPr>
              <w:tab/>
            </w:r>
            <w:r>
              <w:rPr>
                <w:rStyle w:val="IndexLink"/>
              </w:rPr>
              <w:t>159</w:t>
            </w:r>
          </w:hyperlink>
        </w:p>
        <w:p>
          <w:pPr>
            <w:pStyle w:val="Contents3"/>
            <w:tabs>
              <w:tab w:val="clear" w:pos="8459"/>
              <w:tab w:val="right" w:pos="9026" w:leader="dot"/>
            </w:tabs>
            <w:rPr/>
          </w:pPr>
          <w:hyperlink w:anchor="__RefHeading___Toc2580387_2870459653">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2580389_2870459653">
            <w:r>
              <w:rPr>
                <w:webHidden/>
                <w:rStyle w:val="IndexLink"/>
                <w:rtl w:val="true"/>
              </w:rPr>
              <w:t xml:space="preserve">رجال المستمسك </w:t>
            </w:r>
            <w:r>
              <w:rPr>
                <w:rStyle w:val="IndexLink"/>
                <w:rtl w:val="true"/>
              </w:rPr>
              <w:t xml:space="preserve">- </w:t>
            </w:r>
            <w:r>
              <w:rPr>
                <w:rStyle w:val="IndexLink"/>
                <w:rtl w:val="true"/>
              </w:rPr>
              <w:t>القسم الأول</w:t>
            </w:r>
            <w:r>
              <w:rPr>
                <w:rStyle w:val="IndexLink"/>
                <w:rtl w:val="true"/>
              </w:rPr>
              <w:tab/>
            </w:r>
            <w:r>
              <w:rPr>
                <w:rStyle w:val="IndexLink"/>
              </w:rPr>
              <w:t>161</w:t>
            </w:r>
          </w:hyperlink>
        </w:p>
        <w:p>
          <w:pPr>
            <w:pStyle w:val="Contents4"/>
            <w:tabs>
              <w:tab w:val="clear" w:pos="8176"/>
              <w:tab w:val="right" w:pos="9026" w:leader="dot"/>
            </w:tabs>
            <w:rPr/>
          </w:pPr>
          <w:hyperlink w:anchor="__RefHeading___Toc2580391_2870459653">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2580393_2870459653">
            <w:r>
              <w:rPr>
                <w:webHidden/>
                <w:rStyle w:val="IndexLink"/>
                <w:rtl w:val="true"/>
              </w:rPr>
              <w:t>المقدمة</w:t>
            </w:r>
            <w:r>
              <w:rPr>
                <w:rStyle w:val="IndexLink"/>
                <w:rtl w:val="true"/>
              </w:rPr>
              <w:tab/>
            </w:r>
            <w:r>
              <w:rPr>
                <w:rStyle w:val="IndexLink"/>
              </w:rPr>
              <w:t>163</w:t>
            </w:r>
          </w:hyperlink>
        </w:p>
        <w:p>
          <w:pPr>
            <w:pStyle w:val="Contents4"/>
            <w:tabs>
              <w:tab w:val="clear" w:pos="8176"/>
              <w:tab w:val="right" w:pos="9026" w:leader="dot"/>
            </w:tabs>
            <w:rPr/>
          </w:pPr>
          <w:hyperlink w:anchor="__RefHeading___Toc2580395_2870459653">
            <w:r>
              <w:rPr>
                <w:webHidden/>
                <w:rStyle w:val="IndexLink"/>
                <w:rtl w:val="true"/>
              </w:rPr>
              <w:t>تمهيد</w:t>
            </w:r>
            <w:r>
              <w:rPr>
                <w:rStyle w:val="IndexLink"/>
                <w:rtl w:val="true"/>
              </w:rPr>
              <w:tab/>
            </w:r>
            <w:r>
              <w:rPr>
                <w:rStyle w:val="IndexLink"/>
              </w:rPr>
              <w:t>167</w:t>
            </w:r>
          </w:hyperlink>
        </w:p>
        <w:p>
          <w:pPr>
            <w:pStyle w:val="Contents5"/>
            <w:tabs>
              <w:tab w:val="clear" w:pos="7892"/>
              <w:tab w:val="right" w:pos="9026" w:leader="dot"/>
            </w:tabs>
            <w:rPr/>
          </w:pPr>
          <w:hyperlink w:anchor="__RefHeading___Toc2580397_2870459653">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2580399_2870459653">
            <w:r>
              <w:rPr>
                <w:webHidden/>
                <w:rStyle w:val="IndexLink"/>
                <w:rtl w:val="true"/>
              </w:rPr>
              <w:t>بناء حجية قول الرجالي على حجية خبر الثقة في الأحكام</w:t>
            </w:r>
            <w:r>
              <w:rPr>
                <w:rStyle w:val="IndexLink"/>
                <w:rtl w:val="true"/>
              </w:rPr>
              <w:tab/>
            </w:r>
            <w:r>
              <w:rPr>
                <w:rStyle w:val="IndexLink"/>
              </w:rPr>
              <w:t>168</w:t>
            </w:r>
          </w:hyperlink>
        </w:p>
        <w:p>
          <w:pPr>
            <w:pStyle w:val="Contents5"/>
            <w:tabs>
              <w:tab w:val="clear" w:pos="7892"/>
              <w:tab w:val="right" w:pos="9026" w:leader="dot"/>
            </w:tabs>
            <w:rPr/>
          </w:pPr>
          <w:hyperlink w:anchor="__RefHeading___Toc2580401_2870459653">
            <w:r>
              <w:rPr>
                <w:webHidden/>
                <w:rStyle w:val="IndexLink"/>
                <w:rtl w:val="true"/>
              </w:rPr>
              <w:t>حجية قول الرجالي الموثوق به لا مطلق قول الثقة</w:t>
            </w:r>
            <w:r>
              <w:rPr>
                <w:rStyle w:val="IndexLink"/>
                <w:rtl w:val="true"/>
              </w:rPr>
              <w:tab/>
            </w:r>
            <w:r>
              <w:rPr>
                <w:rStyle w:val="IndexLink"/>
              </w:rPr>
              <w:t>170</w:t>
            </w:r>
          </w:hyperlink>
        </w:p>
        <w:p>
          <w:pPr>
            <w:pStyle w:val="Contents5"/>
            <w:tabs>
              <w:tab w:val="clear" w:pos="7892"/>
              <w:tab w:val="right" w:pos="9026" w:leader="dot"/>
            </w:tabs>
            <w:rPr/>
          </w:pPr>
          <w:hyperlink w:anchor="__RefHeading___Toc2580403_2870459653">
            <w:r>
              <w:rPr>
                <w:webHidden/>
                <w:rStyle w:val="IndexLink"/>
                <w:rtl w:val="true"/>
              </w:rPr>
              <w:t xml:space="preserve">تحديد الوثوق الحجة عند السيد الحكيم </w:t>
            </w:r>
            <w:r>
              <w:rPr>
                <w:rStyle w:val="IndexLink"/>
                <w:rtl w:val="true"/>
              </w:rPr>
              <w:t>(</w:t>
            </w:r>
            <w:r>
              <w:rPr>
                <w:rStyle w:val="IndexLink"/>
                <w:rtl w:val="true"/>
              </w:rPr>
              <w:t>قدس سره</w:t>
            </w:r>
            <w:r>
              <w:rPr>
                <w:rStyle w:val="IndexLink"/>
                <w:rtl w:val="true"/>
              </w:rPr>
              <w:t>)</w:t>
              <w:tab/>
            </w:r>
            <w:r>
              <w:rPr>
                <w:rStyle w:val="IndexLink"/>
              </w:rPr>
              <w:t>174</w:t>
            </w:r>
          </w:hyperlink>
        </w:p>
        <w:p>
          <w:pPr>
            <w:pStyle w:val="Contents5"/>
            <w:tabs>
              <w:tab w:val="clear" w:pos="7892"/>
              <w:tab w:val="right" w:pos="9026" w:leader="dot"/>
            </w:tabs>
            <w:rPr/>
          </w:pPr>
          <w:hyperlink w:anchor="__RefHeading___Toc2580405_2870459653">
            <w:r>
              <w:rPr>
                <w:webHidden/>
                <w:rStyle w:val="IndexLink"/>
                <w:rtl w:val="true"/>
              </w:rPr>
              <w:t xml:space="preserve">موقفة </w:t>
            </w:r>
            <w:r>
              <w:rPr>
                <w:rStyle w:val="IndexLink"/>
                <w:rtl w:val="true"/>
              </w:rPr>
              <w:t>(</w:t>
            </w:r>
            <w:r>
              <w:rPr>
                <w:rStyle w:val="IndexLink"/>
                <w:rtl w:val="true"/>
              </w:rPr>
              <w:t>قدس سره</w:t>
            </w:r>
            <w:r>
              <w:rPr>
                <w:rStyle w:val="IndexLink"/>
                <w:rtl w:val="true"/>
              </w:rPr>
              <w:t xml:space="preserve">) </w:t>
            </w:r>
            <w:r>
              <w:rPr>
                <w:rStyle w:val="IndexLink"/>
                <w:rtl w:val="true"/>
              </w:rPr>
              <w:t>من توثيق وتضعيف متأخري الرجال</w:t>
            </w:r>
            <w:r>
              <w:rPr>
                <w:rStyle w:val="IndexLink"/>
                <w:rtl w:val="true"/>
              </w:rPr>
              <w:tab/>
            </w:r>
            <w:r>
              <w:rPr>
                <w:rStyle w:val="IndexLink"/>
              </w:rPr>
              <w:t>175</w:t>
            </w:r>
          </w:hyperlink>
        </w:p>
        <w:p>
          <w:pPr>
            <w:pStyle w:val="Contents5"/>
            <w:tabs>
              <w:tab w:val="clear" w:pos="7892"/>
              <w:tab w:val="right" w:pos="9026" w:leader="dot"/>
            </w:tabs>
            <w:rPr/>
          </w:pPr>
          <w:hyperlink w:anchor="__RefHeading___Toc2580407_2870459653">
            <w:r>
              <w:rPr>
                <w:webHidden/>
                <w:rStyle w:val="IndexLink"/>
                <w:rtl w:val="true"/>
              </w:rPr>
              <w:t xml:space="preserve">مصادر السيد الحكيم </w:t>
            </w:r>
            <w:r>
              <w:rPr>
                <w:rStyle w:val="IndexLink"/>
                <w:rtl w:val="true"/>
              </w:rPr>
              <w:t>(</w:t>
            </w:r>
            <w:r>
              <w:rPr>
                <w:rStyle w:val="IndexLink"/>
                <w:rtl w:val="true"/>
              </w:rPr>
              <w:t>قدس سره</w:t>
            </w:r>
            <w:r>
              <w:rPr>
                <w:rStyle w:val="IndexLink"/>
                <w:rtl w:val="true"/>
              </w:rPr>
              <w:t xml:space="preserve">) </w:t>
            </w:r>
            <w:r>
              <w:rPr>
                <w:rStyle w:val="IndexLink"/>
                <w:rtl w:val="true"/>
              </w:rPr>
              <w:t>الرجالية</w:t>
            </w:r>
            <w:r>
              <w:rPr>
                <w:rStyle w:val="IndexLink"/>
                <w:rtl w:val="true"/>
              </w:rPr>
              <w:tab/>
            </w:r>
            <w:r>
              <w:rPr>
                <w:rStyle w:val="IndexLink"/>
              </w:rPr>
              <w:t>178</w:t>
            </w:r>
          </w:hyperlink>
        </w:p>
        <w:p>
          <w:pPr>
            <w:pStyle w:val="Contents4"/>
            <w:tabs>
              <w:tab w:val="clear" w:pos="8176"/>
              <w:tab w:val="right" w:pos="9026" w:leader="dot"/>
            </w:tabs>
            <w:rPr/>
          </w:pPr>
          <w:hyperlink w:anchor="__RefHeading___Toc2580409_2870459653">
            <w:r>
              <w:rPr>
                <w:webHidden/>
                <w:rStyle w:val="IndexLink"/>
                <w:rtl w:val="true"/>
              </w:rPr>
              <w:t>الباب الأول</w:t>
            </w:r>
            <w:r>
              <w:rPr>
                <w:rStyle w:val="IndexLink"/>
                <w:rtl w:val="true"/>
              </w:rPr>
              <w:t xml:space="preserve">: </w:t>
            </w:r>
            <w:r>
              <w:rPr>
                <w:rStyle w:val="IndexLink"/>
                <w:rtl w:val="true"/>
              </w:rPr>
              <w:t>قواعد الجرح والتعديل</w:t>
            </w:r>
            <w:r>
              <w:rPr>
                <w:rStyle w:val="IndexLink"/>
                <w:rtl w:val="true"/>
              </w:rPr>
              <w:tab/>
            </w:r>
            <w:r>
              <w:rPr>
                <w:rStyle w:val="IndexLink"/>
              </w:rPr>
              <w:t>184</w:t>
            </w:r>
          </w:hyperlink>
        </w:p>
        <w:p>
          <w:pPr>
            <w:pStyle w:val="Contents5"/>
            <w:tabs>
              <w:tab w:val="clear" w:pos="7892"/>
              <w:tab w:val="right" w:pos="9026" w:leader="dot"/>
            </w:tabs>
            <w:rPr/>
          </w:pPr>
          <w:hyperlink w:anchor="__RefHeading___Toc2580411_2870459653">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2580413_2870459653">
            <w:r>
              <w:rPr>
                <w:webHidden/>
                <w:rStyle w:val="IndexLink"/>
                <w:rtl w:val="true"/>
              </w:rPr>
              <w:t>أصحاب الإجماع</w:t>
            </w:r>
            <w:r>
              <w:rPr>
                <w:rStyle w:val="IndexLink"/>
                <w:rtl w:val="true"/>
              </w:rPr>
              <w:tab/>
            </w:r>
            <w:r>
              <w:rPr>
                <w:rStyle w:val="IndexLink"/>
              </w:rPr>
              <w:t>185</w:t>
            </w:r>
          </w:hyperlink>
        </w:p>
        <w:p>
          <w:pPr>
            <w:pStyle w:val="Contents5"/>
            <w:tabs>
              <w:tab w:val="clear" w:pos="7892"/>
              <w:tab w:val="right" w:pos="9026" w:leader="dot"/>
            </w:tabs>
            <w:rPr/>
          </w:pPr>
          <w:hyperlink w:anchor="__RefHeading___Toc2580415_2870459653">
            <w:r>
              <w:rPr>
                <w:webHidden/>
                <w:rStyle w:val="IndexLink"/>
                <w:rtl w:val="true"/>
              </w:rPr>
              <w:t>رواية من لا يروي إلا عن ثقة</w:t>
            </w:r>
            <w:r>
              <w:rPr>
                <w:rStyle w:val="IndexLink"/>
                <w:rtl w:val="true"/>
              </w:rPr>
              <w:tab/>
            </w:r>
            <w:r>
              <w:rPr>
                <w:rStyle w:val="IndexLink"/>
              </w:rPr>
              <w:t>188</w:t>
            </w:r>
          </w:hyperlink>
        </w:p>
        <w:p>
          <w:pPr>
            <w:pStyle w:val="Contents6"/>
            <w:tabs>
              <w:tab w:val="clear" w:pos="7609"/>
              <w:tab w:val="right" w:pos="9026" w:leader="dot"/>
            </w:tabs>
            <w:rPr/>
          </w:pPr>
          <w:hyperlink w:anchor="__RefHeading___Toc2580417_2870459653">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2580419_2870459653">
            <w:r>
              <w:rPr>
                <w:webHidden/>
                <w:rStyle w:val="IndexLink"/>
                <w:rtl w:val="true"/>
              </w:rPr>
              <w:t>أ</w:t>
            </w:r>
            <w:r>
              <w:rPr>
                <w:rStyle w:val="IndexLink"/>
                <w:rtl w:val="true"/>
              </w:rPr>
              <w:t xml:space="preserve">: </w:t>
            </w:r>
            <w:r>
              <w:rPr>
                <w:rStyle w:val="IndexLink"/>
                <w:rtl w:val="true"/>
              </w:rPr>
              <w:t>المشايخ الثلاثة</w:t>
            </w:r>
            <w:r>
              <w:rPr>
                <w:rStyle w:val="IndexLink"/>
                <w:rtl w:val="true"/>
              </w:rPr>
              <w:tab/>
            </w:r>
            <w:r>
              <w:rPr>
                <w:rStyle w:val="IndexLink"/>
              </w:rPr>
              <w:t>189</w:t>
            </w:r>
          </w:hyperlink>
        </w:p>
        <w:p>
          <w:pPr>
            <w:pStyle w:val="Contents6"/>
            <w:tabs>
              <w:tab w:val="clear" w:pos="7609"/>
              <w:tab w:val="right" w:pos="9026" w:leader="dot"/>
            </w:tabs>
            <w:rPr/>
          </w:pPr>
          <w:hyperlink w:anchor="__RefHeading___Toc2580421_2870459653">
            <w:r>
              <w:rPr>
                <w:webHidden/>
                <w:rStyle w:val="IndexLink"/>
                <w:rtl w:val="true"/>
              </w:rPr>
              <w:t>ب</w:t>
            </w:r>
            <w:r>
              <w:rPr>
                <w:rStyle w:val="IndexLink"/>
                <w:rtl w:val="true"/>
              </w:rPr>
              <w:t xml:space="preserve">: </w:t>
            </w:r>
            <w:r>
              <w:rPr>
                <w:rStyle w:val="IndexLink"/>
                <w:rtl w:val="true"/>
              </w:rPr>
              <w:t>غير المشايخ الثلاثة</w:t>
            </w:r>
            <w:r>
              <w:rPr>
                <w:rStyle w:val="IndexLink"/>
                <w:rtl w:val="true"/>
              </w:rPr>
              <w:tab/>
            </w:r>
            <w:r>
              <w:rPr>
                <w:rStyle w:val="IndexLink"/>
              </w:rPr>
              <w:t>194</w:t>
            </w:r>
          </w:hyperlink>
        </w:p>
        <w:p>
          <w:pPr>
            <w:pStyle w:val="Contents6"/>
            <w:tabs>
              <w:tab w:val="clear" w:pos="7609"/>
              <w:tab w:val="right" w:pos="9026" w:leader="dot"/>
            </w:tabs>
            <w:rPr/>
          </w:pPr>
          <w:hyperlink w:anchor="__RefHeading___Toc2580423_2870459653">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2580425_2870459653">
            <w:r>
              <w:rPr>
                <w:webHidden/>
                <w:rStyle w:val="IndexLink"/>
                <w:rtl w:val="true"/>
              </w:rPr>
              <w:t>الحسن بن محبوب</w:t>
            </w:r>
            <w:r>
              <w:rPr>
                <w:rStyle w:val="IndexLink"/>
                <w:rtl w:val="true"/>
              </w:rPr>
              <w:tab/>
            </w:r>
            <w:r>
              <w:rPr>
                <w:rStyle w:val="IndexLink"/>
              </w:rPr>
              <w:t>194</w:t>
            </w:r>
          </w:hyperlink>
        </w:p>
        <w:p>
          <w:pPr>
            <w:pStyle w:val="Contents6"/>
            <w:tabs>
              <w:tab w:val="clear" w:pos="7609"/>
              <w:tab w:val="right" w:pos="9026" w:leader="dot"/>
            </w:tabs>
            <w:rPr/>
          </w:pPr>
          <w:hyperlink w:anchor="__RefHeading___Toc2580427_2870459653">
            <w:r>
              <w:rPr>
                <w:webHidden/>
                <w:rStyle w:val="IndexLink"/>
                <w:rtl w:val="true"/>
              </w:rPr>
              <w:t>احمد بن محمد بن عيسى الاشعري</w:t>
            </w:r>
            <w:r>
              <w:rPr>
                <w:rStyle w:val="IndexLink"/>
                <w:rtl w:val="true"/>
              </w:rPr>
              <w:tab/>
            </w:r>
            <w:r>
              <w:rPr>
                <w:rStyle w:val="IndexLink"/>
              </w:rPr>
              <w:t>196</w:t>
            </w:r>
          </w:hyperlink>
        </w:p>
        <w:p>
          <w:pPr>
            <w:pStyle w:val="Contents5"/>
            <w:tabs>
              <w:tab w:val="clear" w:pos="7892"/>
              <w:tab w:val="right" w:pos="9026" w:leader="dot"/>
            </w:tabs>
            <w:rPr/>
          </w:pPr>
          <w:hyperlink w:anchor="__RefHeading___Toc2580429_2870459653">
            <w:r>
              <w:rPr>
                <w:webHidden/>
                <w:rStyle w:val="IndexLink"/>
                <w:rtl w:val="true"/>
              </w:rPr>
              <w:t>رواية الأجلاء</w:t>
            </w:r>
            <w:r>
              <w:rPr>
                <w:rStyle w:val="IndexLink"/>
                <w:rtl w:val="true"/>
              </w:rPr>
              <w:tab/>
            </w:r>
            <w:r>
              <w:rPr>
                <w:rStyle w:val="IndexLink"/>
              </w:rPr>
              <w:t>198</w:t>
            </w:r>
          </w:hyperlink>
        </w:p>
        <w:p>
          <w:pPr>
            <w:pStyle w:val="Contents5"/>
            <w:tabs>
              <w:tab w:val="clear" w:pos="7892"/>
              <w:tab w:val="right" w:pos="9026" w:leader="dot"/>
            </w:tabs>
            <w:rPr/>
          </w:pPr>
          <w:hyperlink w:anchor="__RefHeading___Toc2580431_2870459653">
            <w:r>
              <w:rPr>
                <w:webHidden/>
                <w:rStyle w:val="IndexLink"/>
                <w:rtl w:val="true"/>
              </w:rPr>
              <w:t>رواية بني فضّال</w:t>
            </w:r>
            <w:r>
              <w:rPr>
                <w:rStyle w:val="IndexLink"/>
                <w:rtl w:val="true"/>
              </w:rPr>
              <w:tab/>
            </w:r>
            <w:r>
              <w:rPr>
                <w:rStyle w:val="IndexLink"/>
              </w:rPr>
              <w:t>201</w:t>
            </w:r>
          </w:hyperlink>
        </w:p>
        <w:p>
          <w:pPr>
            <w:pStyle w:val="Contents5"/>
            <w:tabs>
              <w:tab w:val="clear" w:pos="7892"/>
              <w:tab w:val="right" w:pos="9026" w:leader="dot"/>
            </w:tabs>
            <w:rPr/>
          </w:pPr>
          <w:hyperlink w:anchor="__RefHeading___Toc2580433_2870459653">
            <w:r>
              <w:rPr>
                <w:webHidden/>
                <w:rStyle w:val="IndexLink"/>
                <w:rtl w:val="true"/>
              </w:rPr>
              <w:t>كون الراوي صاحب أصل</w:t>
            </w:r>
            <w:r>
              <w:rPr>
                <w:rStyle w:val="IndexLink"/>
                <w:rtl w:val="true"/>
              </w:rPr>
              <w:tab/>
            </w:r>
            <w:r>
              <w:rPr>
                <w:rStyle w:val="IndexLink"/>
              </w:rPr>
              <w:t>202</w:t>
            </w:r>
          </w:hyperlink>
        </w:p>
        <w:p>
          <w:pPr>
            <w:pStyle w:val="Contents5"/>
            <w:tabs>
              <w:tab w:val="clear" w:pos="7892"/>
              <w:tab w:val="right" w:pos="9026" w:leader="dot"/>
            </w:tabs>
            <w:rPr/>
          </w:pPr>
          <w:hyperlink w:anchor="__RefHeading___Toc2580435_2870459653">
            <w:r>
              <w:rPr>
                <w:webHidden/>
                <w:rStyle w:val="IndexLink"/>
                <w:rtl w:val="true"/>
              </w:rPr>
              <w:t xml:space="preserve">مشايخ الصدوق </w:t>
            </w:r>
            <w:r>
              <w:rPr>
                <w:rStyle w:val="IndexLink"/>
                <w:rtl w:val="true"/>
              </w:rPr>
              <w:t>(</w:t>
            </w:r>
            <w:r>
              <w:rPr>
                <w:rStyle w:val="IndexLink"/>
                <w:rtl w:val="true"/>
              </w:rPr>
              <w:t>قدس سره</w:t>
            </w:r>
            <w:r>
              <w:rPr>
                <w:rStyle w:val="IndexLink"/>
                <w:rtl w:val="true"/>
              </w:rPr>
              <w:t>)</w:t>
              <w:tab/>
            </w:r>
            <w:r>
              <w:rPr>
                <w:rStyle w:val="IndexLink"/>
              </w:rPr>
              <w:t>204</w:t>
            </w:r>
          </w:hyperlink>
        </w:p>
        <w:p>
          <w:pPr>
            <w:pStyle w:val="Contents5"/>
            <w:tabs>
              <w:tab w:val="clear" w:pos="7892"/>
              <w:tab w:val="right" w:pos="9026" w:leader="dot"/>
            </w:tabs>
            <w:rPr/>
          </w:pPr>
          <w:hyperlink w:anchor="__RefHeading___Toc2580437_2870459653">
            <w:r>
              <w:rPr>
                <w:webHidden/>
                <w:rStyle w:val="IndexLink"/>
                <w:rtl w:val="true"/>
              </w:rPr>
              <w:t>عدم استثناء ابن الوليد للراوي من كتاب نوادر الحكمة</w:t>
            </w:r>
            <w:r>
              <w:rPr>
                <w:rStyle w:val="IndexLink"/>
                <w:rtl w:val="true"/>
              </w:rPr>
              <w:tab/>
            </w:r>
            <w:r>
              <w:rPr>
                <w:rStyle w:val="IndexLink"/>
              </w:rPr>
              <w:t>204</w:t>
            </w:r>
          </w:hyperlink>
        </w:p>
        <w:p>
          <w:pPr>
            <w:pStyle w:val="Contents3"/>
            <w:tabs>
              <w:tab w:val="clear" w:pos="8459"/>
              <w:tab w:val="right" w:pos="9026" w:leader="dot"/>
            </w:tabs>
            <w:rPr/>
          </w:pPr>
          <w:hyperlink w:anchor="__RefHeading___Toc2580439_2870459653">
            <w:r>
              <w:rPr>
                <w:webHidden/>
                <w:rStyle w:val="IndexLink"/>
                <w:rtl w:val="true"/>
              </w:rPr>
              <w:t>مصادر البحث</w:t>
            </w:r>
            <w:r>
              <w:rPr>
                <w:rStyle w:val="IndexLink"/>
                <w:rtl w:val="true"/>
              </w:rPr>
              <w:tab/>
            </w:r>
            <w:r>
              <w:rPr>
                <w:rStyle w:val="IndexLink"/>
              </w:rPr>
              <w:t>210</w:t>
            </w:r>
          </w:hyperlink>
        </w:p>
        <w:p>
          <w:pPr>
            <w:pStyle w:val="Contents2"/>
            <w:tabs>
              <w:tab w:val="clear" w:pos="8743"/>
              <w:tab w:val="right" w:pos="9026" w:leader="dot"/>
            </w:tabs>
            <w:rPr/>
          </w:pPr>
          <w:hyperlink w:anchor="__RefHeading___Toc2580441_2870459653">
            <w:r>
              <w:rPr>
                <w:webHidden/>
                <w:rStyle w:val="IndexLink"/>
                <w:rtl w:val="true"/>
              </w:rPr>
              <w:t xml:space="preserve">الشرائع للفقیه الأقدم علی بن بابویة القمی قدس سره </w:t>
            </w:r>
            <w:r>
              <w:rPr>
                <w:rStyle w:val="IndexLink"/>
                <w:rtl w:val="true"/>
              </w:rPr>
              <w:t>(</w:t>
            </w:r>
            <w:r>
              <w:rPr>
                <w:rStyle w:val="IndexLink"/>
                <w:rtl w:val="true"/>
              </w:rPr>
              <w:t>المستخرج من المصادر الأخرى</w:t>
            </w:r>
            <w:r>
              <w:rPr>
                <w:rStyle w:val="IndexLink"/>
                <w:rtl w:val="true"/>
              </w:rPr>
              <w:t xml:space="preserve">) - </w:t>
            </w:r>
            <w:r>
              <w:rPr>
                <w:rStyle w:val="IndexLink"/>
                <w:rtl w:val="true"/>
              </w:rPr>
              <w:t>الشيخ كريم مسير و الشيخ شاكر المحمدي</w:t>
            </w:r>
            <w:r>
              <w:rPr>
                <w:rStyle w:val="IndexLink"/>
                <w:rtl w:val="true"/>
              </w:rPr>
              <w:tab/>
            </w:r>
            <w:r>
              <w:rPr>
                <w:rStyle w:val="IndexLink"/>
              </w:rPr>
              <w:t>213</w:t>
            </w:r>
          </w:hyperlink>
        </w:p>
        <w:p>
          <w:pPr>
            <w:pStyle w:val="Contents3"/>
            <w:tabs>
              <w:tab w:val="clear" w:pos="8459"/>
              <w:tab w:val="right" w:pos="9026" w:leader="dot"/>
            </w:tabs>
            <w:rPr/>
          </w:pPr>
          <w:hyperlink w:anchor="__RefHeading___Toc2580443_2870459653">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2580445_2870459653">
            <w:r>
              <w:rPr>
                <w:webHidden/>
                <w:rStyle w:val="IndexLink"/>
                <w:rtl w:val="true"/>
              </w:rPr>
              <w:t>المقدمة</w:t>
            </w:r>
            <w:r>
              <w:rPr>
                <w:rStyle w:val="IndexLink"/>
                <w:rtl w:val="true"/>
              </w:rPr>
              <w:tab/>
            </w:r>
            <w:r>
              <w:rPr>
                <w:rStyle w:val="IndexLink"/>
              </w:rPr>
              <w:t>215</w:t>
            </w:r>
          </w:hyperlink>
        </w:p>
        <w:p>
          <w:pPr>
            <w:pStyle w:val="Contents4"/>
            <w:tabs>
              <w:tab w:val="clear" w:pos="8176"/>
              <w:tab w:val="right" w:pos="9026" w:leader="dot"/>
            </w:tabs>
            <w:rPr/>
          </w:pPr>
          <w:hyperlink w:anchor="__RefHeading___Toc2580447_2870459653">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2580449_2870459653">
            <w:r>
              <w:rPr>
                <w:webHidden/>
                <w:rStyle w:val="IndexLink"/>
                <w:rtl w:val="true"/>
              </w:rPr>
              <w:t>منهج العمل</w:t>
            </w:r>
            <w:r>
              <w:rPr>
                <w:rStyle w:val="IndexLink"/>
                <w:rtl w:val="true"/>
              </w:rPr>
              <w:tab/>
            </w:r>
            <w:r>
              <w:rPr>
                <w:rStyle w:val="IndexLink"/>
              </w:rPr>
              <w:t>215</w:t>
            </w:r>
          </w:hyperlink>
        </w:p>
        <w:p>
          <w:pPr>
            <w:pStyle w:val="Contents4"/>
            <w:tabs>
              <w:tab w:val="clear" w:pos="8176"/>
              <w:tab w:val="right" w:pos="9026" w:leader="dot"/>
            </w:tabs>
            <w:rPr/>
          </w:pPr>
          <w:hyperlink w:anchor="__RefHeading___Toc2580451_2870459653">
            <w:r>
              <w:rPr>
                <w:webHidden/>
                <w:rStyle w:val="IndexLink"/>
                <w:rtl w:val="true"/>
              </w:rPr>
              <w:t>الفائدة المترتبة على هذا العمل</w:t>
            </w:r>
            <w:r>
              <w:rPr>
                <w:rStyle w:val="IndexLink"/>
                <w:rtl w:val="true"/>
              </w:rPr>
              <w:tab/>
            </w:r>
            <w:r>
              <w:rPr>
                <w:rStyle w:val="IndexLink"/>
              </w:rPr>
              <w:t>216</w:t>
            </w:r>
          </w:hyperlink>
        </w:p>
        <w:p>
          <w:pPr>
            <w:pStyle w:val="Contents4"/>
            <w:tabs>
              <w:tab w:val="clear" w:pos="8176"/>
              <w:tab w:val="right" w:pos="9026" w:leader="dot"/>
            </w:tabs>
            <w:rPr/>
          </w:pPr>
          <w:hyperlink w:anchor="__RefHeading___Toc2580453_2870459653">
            <w:r>
              <w:rPr>
                <w:webHidden/>
                <w:rStyle w:val="IndexLink"/>
                <w:rtl w:val="true"/>
              </w:rPr>
              <w:t>المنهج المتبع لتجميع الرسالة</w:t>
            </w:r>
            <w:r>
              <w:rPr>
                <w:rStyle w:val="IndexLink"/>
                <w:rtl w:val="true"/>
              </w:rPr>
              <w:tab/>
            </w:r>
            <w:r>
              <w:rPr>
                <w:rStyle w:val="IndexLink"/>
              </w:rPr>
              <w:t>218</w:t>
            </w:r>
          </w:hyperlink>
        </w:p>
        <w:p>
          <w:pPr>
            <w:pStyle w:val="Contents3"/>
            <w:tabs>
              <w:tab w:val="clear" w:pos="8459"/>
              <w:tab w:val="right" w:pos="9026" w:leader="dot"/>
            </w:tabs>
            <w:rPr/>
          </w:pPr>
          <w:hyperlink w:anchor="__RefHeading___Toc2580455_2870459653">
            <w:r>
              <w:rPr>
                <w:webHidden/>
                <w:rStyle w:val="IndexLink"/>
                <w:rtl w:val="true"/>
              </w:rPr>
              <w:t xml:space="preserve">قطعة من رسالة الشرائع </w:t>
            </w:r>
            <w:r>
              <w:rPr>
                <w:rStyle w:val="IndexLink"/>
                <w:rtl w:val="true"/>
              </w:rPr>
              <w:t xml:space="preserve">- </w:t>
            </w:r>
            <w:r>
              <w:rPr>
                <w:rStyle w:val="IndexLink"/>
                <w:rtl w:val="true"/>
              </w:rPr>
              <w:t>القسم الثانی</w:t>
            </w:r>
            <w:r>
              <w:rPr>
                <w:rStyle w:val="IndexLink"/>
                <w:rtl w:val="true"/>
              </w:rPr>
              <w:tab/>
            </w:r>
            <w:r>
              <w:rPr>
                <w:rStyle w:val="IndexLink"/>
              </w:rPr>
              <w:t>221</w:t>
            </w:r>
          </w:hyperlink>
        </w:p>
        <w:p>
          <w:pPr>
            <w:pStyle w:val="Contents4"/>
            <w:tabs>
              <w:tab w:val="clear" w:pos="8176"/>
              <w:tab w:val="right" w:pos="9026" w:leader="dot"/>
            </w:tabs>
            <w:rPr/>
          </w:pPr>
          <w:hyperlink w:anchor="__RefHeading___Toc2580457_2870459653">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2580459_2870459653">
            <w:r>
              <w:rPr>
                <w:webHidden/>
                <w:rStyle w:val="IndexLink"/>
                <w:rtl w:val="true"/>
              </w:rPr>
              <w:t>باب الصلاة</w:t>
            </w:r>
            <w:r>
              <w:rPr>
                <w:rStyle w:val="IndexLink"/>
                <w:rtl w:val="true"/>
              </w:rPr>
              <w:tab/>
            </w:r>
            <w:r>
              <w:rPr>
                <w:rStyle w:val="IndexLink"/>
              </w:rPr>
              <w:t>223</w:t>
            </w:r>
          </w:hyperlink>
        </w:p>
        <w:p>
          <w:pPr>
            <w:pStyle w:val="Contents5"/>
            <w:tabs>
              <w:tab w:val="clear" w:pos="7892"/>
              <w:tab w:val="right" w:pos="9026" w:leader="dot"/>
            </w:tabs>
            <w:rPr/>
          </w:pPr>
          <w:hyperlink w:anchor="__RefHeading___Toc2580461_2870459653">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2580463_2870459653">
            <w:r>
              <w:rPr>
                <w:webHidden/>
                <w:rStyle w:val="IndexLink"/>
                <w:rtl w:val="true"/>
              </w:rPr>
              <w:t>باب قضاء الصلاة</w:t>
            </w:r>
            <w:r>
              <w:rPr>
                <w:rStyle w:val="IndexLink"/>
                <w:rtl w:val="true"/>
              </w:rPr>
              <w:tab/>
            </w:r>
            <w:r>
              <w:rPr>
                <w:rStyle w:val="IndexLink"/>
              </w:rPr>
              <w:t>225</w:t>
            </w:r>
          </w:hyperlink>
        </w:p>
        <w:p>
          <w:pPr>
            <w:pStyle w:val="Contents5"/>
            <w:tabs>
              <w:tab w:val="clear" w:pos="7892"/>
              <w:tab w:val="right" w:pos="9026" w:leader="dot"/>
            </w:tabs>
            <w:rPr/>
          </w:pPr>
          <w:hyperlink w:anchor="__RefHeading___Toc2580465_2870459653">
            <w:r>
              <w:rPr>
                <w:webHidden/>
                <w:rStyle w:val="IndexLink"/>
                <w:rtl w:val="true"/>
              </w:rPr>
              <w:t>باب صلاة المسافر</w:t>
            </w:r>
            <w:r>
              <w:rPr>
                <w:rStyle w:val="IndexLink"/>
                <w:rtl w:val="true"/>
              </w:rPr>
              <w:tab/>
            </w:r>
            <w:r>
              <w:rPr>
                <w:rStyle w:val="IndexLink"/>
              </w:rPr>
              <w:t>226</w:t>
            </w:r>
          </w:hyperlink>
        </w:p>
        <w:p>
          <w:pPr>
            <w:pStyle w:val="Contents5"/>
            <w:tabs>
              <w:tab w:val="clear" w:pos="7892"/>
              <w:tab w:val="right" w:pos="9026" w:leader="dot"/>
            </w:tabs>
            <w:rPr/>
          </w:pPr>
          <w:hyperlink w:anchor="__RefHeading___Toc2580467_2870459653">
            <w:r>
              <w:rPr>
                <w:webHidden/>
                <w:rStyle w:val="IndexLink"/>
                <w:rtl w:val="true"/>
              </w:rPr>
              <w:t>الاستقبال في النافلة</w:t>
            </w:r>
            <w:r>
              <w:rPr>
                <w:rStyle w:val="IndexLink"/>
                <w:rtl w:val="true"/>
              </w:rPr>
              <w:tab/>
            </w:r>
            <w:r>
              <w:rPr>
                <w:rStyle w:val="IndexLink"/>
              </w:rPr>
              <w:t>227</w:t>
            </w:r>
          </w:hyperlink>
        </w:p>
        <w:p>
          <w:pPr>
            <w:pStyle w:val="Contents5"/>
            <w:tabs>
              <w:tab w:val="clear" w:pos="7892"/>
              <w:tab w:val="right" w:pos="9026" w:leader="dot"/>
            </w:tabs>
            <w:rPr/>
          </w:pPr>
          <w:hyperlink w:anchor="__RefHeading___Toc2580469_2870459653">
            <w:r>
              <w:rPr>
                <w:webHidden/>
                <w:rStyle w:val="IndexLink"/>
                <w:rtl w:val="true"/>
              </w:rPr>
              <w:t>باب أحكام صلاة الجماعة</w:t>
            </w:r>
            <w:r>
              <w:rPr>
                <w:rStyle w:val="IndexLink"/>
                <w:rtl w:val="true"/>
              </w:rPr>
              <w:tab/>
            </w:r>
            <w:r>
              <w:rPr>
                <w:rStyle w:val="IndexLink"/>
              </w:rPr>
              <w:t>228</w:t>
            </w:r>
          </w:hyperlink>
        </w:p>
        <w:p>
          <w:pPr>
            <w:pStyle w:val="Contents5"/>
            <w:tabs>
              <w:tab w:val="clear" w:pos="7892"/>
              <w:tab w:val="right" w:pos="9026" w:leader="dot"/>
            </w:tabs>
            <w:rPr/>
          </w:pPr>
          <w:hyperlink w:anchor="__RefHeading___Toc2580471_2870459653">
            <w:r>
              <w:rPr>
                <w:webHidden/>
                <w:rStyle w:val="IndexLink"/>
                <w:rtl w:val="true"/>
              </w:rPr>
              <w:t>باب صلاة الجمعة</w:t>
            </w:r>
            <w:r>
              <w:rPr>
                <w:rStyle w:val="IndexLink"/>
                <w:rtl w:val="true"/>
              </w:rPr>
              <w:tab/>
            </w:r>
            <w:r>
              <w:rPr>
                <w:rStyle w:val="IndexLink"/>
              </w:rPr>
              <w:t>231</w:t>
            </w:r>
          </w:hyperlink>
        </w:p>
        <w:p>
          <w:pPr>
            <w:pStyle w:val="Contents5"/>
            <w:tabs>
              <w:tab w:val="clear" w:pos="7892"/>
              <w:tab w:val="right" w:pos="9026" w:leader="dot"/>
            </w:tabs>
            <w:rPr/>
          </w:pPr>
          <w:hyperlink w:anchor="__RefHeading___Toc2580473_2870459653">
            <w:r>
              <w:rPr>
                <w:webHidden/>
                <w:rStyle w:val="IndexLink"/>
                <w:rtl w:val="true"/>
              </w:rPr>
              <w:t>من آداب يوم الجمعة</w:t>
            </w:r>
            <w:r>
              <w:rPr>
                <w:rStyle w:val="IndexLink"/>
                <w:rtl w:val="true"/>
              </w:rPr>
              <w:tab/>
            </w:r>
            <w:r>
              <w:rPr>
                <w:rStyle w:val="IndexLink"/>
              </w:rPr>
              <w:t>232</w:t>
            </w:r>
          </w:hyperlink>
        </w:p>
        <w:p>
          <w:pPr>
            <w:pStyle w:val="Contents5"/>
            <w:tabs>
              <w:tab w:val="clear" w:pos="7892"/>
              <w:tab w:val="right" w:pos="9026" w:leader="dot"/>
            </w:tabs>
            <w:rPr/>
          </w:pPr>
          <w:hyperlink w:anchor="__RefHeading___Toc2580475_2870459653">
            <w:r>
              <w:rPr>
                <w:webHidden/>
                <w:rStyle w:val="IndexLink"/>
                <w:rtl w:val="true"/>
              </w:rPr>
              <w:t>باب صلاة العيدين</w:t>
            </w:r>
            <w:r>
              <w:rPr>
                <w:rStyle w:val="IndexLink"/>
                <w:rtl w:val="true"/>
              </w:rPr>
              <w:tab/>
            </w:r>
            <w:r>
              <w:rPr>
                <w:rStyle w:val="IndexLink"/>
              </w:rPr>
              <w:t>232</w:t>
            </w:r>
          </w:hyperlink>
        </w:p>
        <w:p>
          <w:pPr>
            <w:pStyle w:val="Contents5"/>
            <w:tabs>
              <w:tab w:val="clear" w:pos="7892"/>
              <w:tab w:val="right" w:pos="9026" w:leader="dot"/>
            </w:tabs>
            <w:rPr/>
          </w:pPr>
          <w:hyperlink w:anchor="__RefHeading___Toc2580477_2870459653">
            <w:r>
              <w:rPr>
                <w:webHidden/>
                <w:rStyle w:val="IndexLink"/>
                <w:rtl w:val="true"/>
              </w:rPr>
              <w:t>باب صلاة الكسوف</w:t>
            </w:r>
            <w:r>
              <w:rPr>
                <w:rStyle w:val="IndexLink"/>
                <w:rtl w:val="true"/>
              </w:rPr>
              <w:tab/>
            </w:r>
            <w:r>
              <w:rPr>
                <w:rStyle w:val="IndexLink"/>
              </w:rPr>
              <w:t>233</w:t>
            </w:r>
          </w:hyperlink>
        </w:p>
        <w:p>
          <w:pPr>
            <w:pStyle w:val="Contents5"/>
            <w:tabs>
              <w:tab w:val="clear" w:pos="7892"/>
              <w:tab w:val="right" w:pos="9026" w:leader="dot"/>
            </w:tabs>
            <w:rPr/>
          </w:pPr>
          <w:hyperlink w:anchor="__RefHeading___Toc2580479_2870459653">
            <w:r>
              <w:rPr>
                <w:webHidden/>
                <w:rStyle w:val="IndexLink"/>
                <w:rtl w:val="true"/>
              </w:rPr>
              <w:t xml:space="preserve">باب صلاة جعفر </w:t>
            </w:r>
            <w:r>
              <w:rPr>
                <w:rStyle w:val="IndexLink"/>
                <w:rtl w:val="true"/>
              </w:rPr>
              <w:t>(</w:t>
            </w:r>
            <w:r>
              <w:rPr>
                <w:rStyle w:val="IndexLink"/>
                <w:rtl w:val="true"/>
              </w:rPr>
              <w:t>علیه السلام</w:t>
            </w:r>
            <w:r>
              <w:rPr>
                <w:rStyle w:val="IndexLink"/>
                <w:rtl w:val="true"/>
              </w:rPr>
              <w:t>)</w:t>
              <w:tab/>
            </w:r>
            <w:r>
              <w:rPr>
                <w:rStyle w:val="IndexLink"/>
              </w:rPr>
              <w:t>234</w:t>
            </w:r>
          </w:hyperlink>
        </w:p>
        <w:p>
          <w:pPr>
            <w:pStyle w:val="Contents5"/>
            <w:tabs>
              <w:tab w:val="clear" w:pos="7892"/>
              <w:tab w:val="right" w:pos="9026" w:leader="dot"/>
            </w:tabs>
            <w:rPr/>
          </w:pPr>
          <w:hyperlink w:anchor="__RefHeading___Toc2580481_2870459653">
            <w:r>
              <w:rPr>
                <w:webHidden/>
                <w:rStyle w:val="IndexLink"/>
                <w:rtl w:val="true"/>
              </w:rPr>
              <w:t>باب صلاة الليل</w:t>
            </w:r>
            <w:r>
              <w:rPr>
                <w:rStyle w:val="IndexLink"/>
                <w:rtl w:val="true"/>
              </w:rPr>
              <w:tab/>
            </w:r>
            <w:r>
              <w:rPr>
                <w:rStyle w:val="IndexLink"/>
              </w:rPr>
              <w:t>235</w:t>
            </w:r>
          </w:hyperlink>
        </w:p>
        <w:p>
          <w:pPr>
            <w:pStyle w:val="Contents5"/>
            <w:tabs>
              <w:tab w:val="clear" w:pos="7892"/>
              <w:tab w:val="right" w:pos="9026" w:leader="dot"/>
            </w:tabs>
            <w:rPr/>
          </w:pPr>
          <w:hyperlink w:anchor="__RefHeading___Toc2580483_2870459653">
            <w:r>
              <w:rPr>
                <w:webHidden/>
                <w:rStyle w:val="IndexLink"/>
                <w:rtl w:val="true"/>
              </w:rPr>
              <w:t>باب صلاة الخوف</w:t>
            </w:r>
            <w:r>
              <w:rPr>
                <w:rStyle w:val="IndexLink"/>
                <w:rtl w:val="true"/>
              </w:rPr>
              <w:tab/>
            </w:r>
            <w:r>
              <w:rPr>
                <w:rStyle w:val="IndexLink"/>
              </w:rPr>
              <w:t>235</w:t>
            </w:r>
          </w:hyperlink>
        </w:p>
        <w:p>
          <w:pPr>
            <w:pStyle w:val="Contents5"/>
            <w:tabs>
              <w:tab w:val="clear" w:pos="7892"/>
              <w:tab w:val="right" w:pos="9026" w:leader="dot"/>
            </w:tabs>
            <w:rPr/>
          </w:pPr>
          <w:hyperlink w:anchor="__RefHeading___Toc2580485_2870459653">
            <w:r>
              <w:rPr>
                <w:webHidden/>
                <w:rStyle w:val="IndexLink"/>
                <w:rtl w:val="true"/>
              </w:rPr>
              <w:t>باب صلاة الاستخارة</w:t>
            </w:r>
            <w:r>
              <w:rPr>
                <w:rStyle w:val="IndexLink"/>
                <w:rtl w:val="true"/>
              </w:rPr>
              <w:tab/>
            </w:r>
            <w:r>
              <w:rPr>
                <w:rStyle w:val="IndexLink"/>
              </w:rPr>
              <w:t>236</w:t>
            </w:r>
          </w:hyperlink>
        </w:p>
        <w:p>
          <w:pPr>
            <w:pStyle w:val="Contents5"/>
            <w:tabs>
              <w:tab w:val="clear" w:pos="7892"/>
              <w:tab w:val="right" w:pos="9026" w:leader="dot"/>
            </w:tabs>
            <w:rPr/>
          </w:pPr>
          <w:hyperlink w:anchor="__RefHeading___Toc2580487_2870459653">
            <w:r>
              <w:rPr>
                <w:webHidden/>
                <w:rStyle w:val="IndexLink"/>
                <w:rtl w:val="true"/>
              </w:rPr>
              <w:t>باب الصلاة على الميت</w:t>
            </w:r>
            <w:r>
              <w:rPr>
                <w:rStyle w:val="IndexLink"/>
                <w:rtl w:val="true"/>
              </w:rPr>
              <w:tab/>
            </w:r>
            <w:r>
              <w:rPr>
                <w:rStyle w:val="IndexLink"/>
              </w:rPr>
              <w:t>236</w:t>
            </w:r>
          </w:hyperlink>
        </w:p>
        <w:p>
          <w:pPr>
            <w:pStyle w:val="Contents5"/>
            <w:tabs>
              <w:tab w:val="clear" w:pos="7892"/>
              <w:tab w:val="right" w:pos="9026" w:leader="dot"/>
            </w:tabs>
            <w:rPr/>
          </w:pPr>
          <w:hyperlink w:anchor="__RefHeading___Toc2580489_2870459653">
            <w:r>
              <w:rPr>
                <w:webHidden/>
                <w:rStyle w:val="IndexLink"/>
                <w:rtl w:val="true"/>
              </w:rPr>
              <w:t>باب صلاة الحاجة</w:t>
            </w:r>
            <w:r>
              <w:rPr>
                <w:rStyle w:val="IndexLink"/>
                <w:rtl w:val="true"/>
              </w:rPr>
              <w:tab/>
            </w:r>
            <w:r>
              <w:rPr>
                <w:rStyle w:val="IndexLink"/>
              </w:rPr>
              <w:t>238</w:t>
            </w:r>
          </w:hyperlink>
        </w:p>
        <w:p>
          <w:pPr>
            <w:pStyle w:val="Contents4"/>
            <w:tabs>
              <w:tab w:val="clear" w:pos="8176"/>
              <w:tab w:val="right" w:pos="9026" w:leader="dot"/>
            </w:tabs>
            <w:rPr/>
          </w:pPr>
          <w:hyperlink w:anchor="__RefHeading___Toc2580491_2870459653">
            <w:r>
              <w:rPr>
                <w:webHidden/>
                <w:rStyle w:val="IndexLink"/>
                <w:rtl w:val="true"/>
              </w:rPr>
              <w:t>باب الصوم</w:t>
            </w:r>
            <w:r>
              <w:rPr>
                <w:rStyle w:val="IndexLink"/>
                <w:rtl w:val="true"/>
              </w:rPr>
              <w:tab/>
            </w:r>
            <w:r>
              <w:rPr>
                <w:rStyle w:val="IndexLink"/>
              </w:rPr>
              <w:t>240</w:t>
            </w:r>
          </w:hyperlink>
        </w:p>
        <w:p>
          <w:pPr>
            <w:pStyle w:val="Contents5"/>
            <w:tabs>
              <w:tab w:val="clear" w:pos="7892"/>
              <w:tab w:val="right" w:pos="9026" w:leader="dot"/>
            </w:tabs>
            <w:rPr/>
          </w:pPr>
          <w:hyperlink w:anchor="__RefHeading___Toc2580493_2870459653">
            <w:r>
              <w:rPr>
                <w:webHidden/>
                <w:rStyle w:val="IndexLink"/>
                <w:rtl w:val="true"/>
              </w:rPr>
              <w:t>باب رؤية الهلال</w:t>
            </w:r>
            <w:r>
              <w:rPr>
                <w:rStyle w:val="IndexLink"/>
                <w:rtl w:val="true"/>
              </w:rPr>
              <w:tab/>
            </w:r>
            <w:r>
              <w:rPr>
                <w:rStyle w:val="IndexLink"/>
              </w:rPr>
              <w:t>240</w:t>
            </w:r>
          </w:hyperlink>
        </w:p>
        <w:p>
          <w:pPr>
            <w:pStyle w:val="Contents5"/>
            <w:tabs>
              <w:tab w:val="clear" w:pos="7892"/>
              <w:tab w:val="right" w:pos="9026" w:leader="dot"/>
            </w:tabs>
            <w:rPr/>
          </w:pPr>
          <w:hyperlink w:anchor="__RefHeading___Toc2580495_2870459653">
            <w:r>
              <w:rPr>
                <w:webHidden/>
                <w:rStyle w:val="IndexLink"/>
                <w:rtl w:val="true"/>
              </w:rPr>
              <w:t>باب الصوم الحرام</w:t>
            </w:r>
            <w:r>
              <w:rPr>
                <w:rStyle w:val="IndexLink"/>
                <w:rtl w:val="true"/>
              </w:rPr>
              <w:tab/>
            </w:r>
            <w:r>
              <w:rPr>
                <w:rStyle w:val="IndexLink"/>
              </w:rPr>
              <w:t>240</w:t>
            </w:r>
          </w:hyperlink>
        </w:p>
        <w:p>
          <w:pPr>
            <w:pStyle w:val="Contents5"/>
            <w:tabs>
              <w:tab w:val="clear" w:pos="7892"/>
              <w:tab w:val="right" w:pos="9026" w:leader="dot"/>
            </w:tabs>
            <w:rPr/>
          </w:pPr>
          <w:hyperlink w:anchor="__RefHeading___Toc2580497_2870459653">
            <w:r>
              <w:rPr>
                <w:webHidden/>
                <w:rStyle w:val="IndexLink"/>
                <w:rtl w:val="true"/>
              </w:rPr>
              <w:t>باب ما يفطر الصائم وما لا يفطره</w:t>
            </w:r>
            <w:r>
              <w:rPr>
                <w:rStyle w:val="IndexLink"/>
                <w:rtl w:val="true"/>
              </w:rPr>
              <w:tab/>
            </w:r>
            <w:r>
              <w:rPr>
                <w:rStyle w:val="IndexLink"/>
              </w:rPr>
              <w:t>241</w:t>
            </w:r>
          </w:hyperlink>
        </w:p>
        <w:p>
          <w:pPr>
            <w:pStyle w:val="Contents5"/>
            <w:tabs>
              <w:tab w:val="clear" w:pos="7892"/>
              <w:tab w:val="right" w:pos="9026" w:leader="dot"/>
            </w:tabs>
            <w:rPr/>
          </w:pPr>
          <w:hyperlink w:anchor="__RefHeading___Toc2580499_2870459653">
            <w:r>
              <w:rPr>
                <w:webHidden/>
                <w:rStyle w:val="IndexLink"/>
                <w:rtl w:val="true"/>
              </w:rPr>
              <w:t>باب تقصير المسافر في الصوم</w:t>
            </w:r>
            <w:r>
              <w:rPr>
                <w:rStyle w:val="IndexLink"/>
                <w:rtl w:val="true"/>
              </w:rPr>
              <w:tab/>
            </w:r>
            <w:r>
              <w:rPr>
                <w:rStyle w:val="IndexLink"/>
              </w:rPr>
              <w:t>242</w:t>
            </w:r>
          </w:hyperlink>
        </w:p>
        <w:p>
          <w:pPr>
            <w:pStyle w:val="Contents5"/>
            <w:tabs>
              <w:tab w:val="clear" w:pos="7892"/>
              <w:tab w:val="right" w:pos="9026" w:leader="dot"/>
            </w:tabs>
            <w:rPr/>
          </w:pPr>
          <w:hyperlink w:anchor="__RefHeading___Toc2580501_2870459653">
            <w:r>
              <w:rPr>
                <w:webHidden/>
                <w:rStyle w:val="IndexLink"/>
                <w:rtl w:val="true"/>
              </w:rPr>
              <w:t>صوم النافلة</w:t>
            </w:r>
            <w:r>
              <w:rPr>
                <w:rStyle w:val="IndexLink"/>
                <w:rtl w:val="true"/>
              </w:rPr>
              <w:tab/>
            </w:r>
            <w:r>
              <w:rPr>
                <w:rStyle w:val="IndexLink"/>
              </w:rPr>
              <w:t>242</w:t>
            </w:r>
          </w:hyperlink>
        </w:p>
        <w:p>
          <w:pPr>
            <w:pStyle w:val="Contents5"/>
            <w:tabs>
              <w:tab w:val="clear" w:pos="7892"/>
              <w:tab w:val="right" w:pos="9026" w:leader="dot"/>
            </w:tabs>
            <w:rPr/>
          </w:pPr>
          <w:hyperlink w:anchor="__RefHeading___Toc2580503_2870459653">
            <w:r>
              <w:rPr>
                <w:webHidden/>
                <w:rStyle w:val="IndexLink"/>
                <w:rtl w:val="true"/>
              </w:rPr>
              <w:t>باب من یضعف عن الصیام</w:t>
            </w:r>
            <w:r>
              <w:rPr>
                <w:rStyle w:val="IndexLink"/>
                <w:rtl w:val="true"/>
              </w:rPr>
              <w:tab/>
            </w:r>
            <w:r>
              <w:rPr>
                <w:rStyle w:val="IndexLink"/>
              </w:rPr>
              <w:t>243</w:t>
            </w:r>
          </w:hyperlink>
        </w:p>
        <w:p>
          <w:pPr>
            <w:pStyle w:val="Contents5"/>
            <w:tabs>
              <w:tab w:val="clear" w:pos="7892"/>
              <w:tab w:val="right" w:pos="9026" w:leader="dot"/>
            </w:tabs>
            <w:rPr/>
          </w:pPr>
          <w:hyperlink w:anchor="__RefHeading___Toc2580505_2870459653">
            <w:r>
              <w:rPr>
                <w:webHidden/>
                <w:rStyle w:val="IndexLink"/>
                <w:rtl w:val="true"/>
              </w:rPr>
              <w:t>باب قضاء شهر رمضان</w:t>
            </w:r>
            <w:r>
              <w:rPr>
                <w:rStyle w:val="IndexLink"/>
                <w:rtl w:val="true"/>
              </w:rPr>
              <w:tab/>
            </w:r>
            <w:r>
              <w:rPr>
                <w:rStyle w:val="IndexLink"/>
              </w:rPr>
              <w:t>244</w:t>
            </w:r>
          </w:hyperlink>
        </w:p>
        <w:p>
          <w:pPr>
            <w:pStyle w:val="Contents5"/>
            <w:tabs>
              <w:tab w:val="clear" w:pos="7892"/>
              <w:tab w:val="right" w:pos="9026" w:leader="dot"/>
            </w:tabs>
            <w:rPr/>
          </w:pPr>
          <w:hyperlink w:anchor="__RefHeading___Toc2580507_2870459653">
            <w:r>
              <w:rPr>
                <w:webHidden/>
                <w:rStyle w:val="IndexLink"/>
                <w:rtl w:val="true"/>
              </w:rPr>
              <w:t>باب الوقت الذي يحل فيه الإفطار</w:t>
            </w:r>
            <w:r>
              <w:rPr>
                <w:rStyle w:val="IndexLink"/>
                <w:rtl w:val="true"/>
              </w:rPr>
              <w:tab/>
            </w:r>
            <w:r>
              <w:rPr>
                <w:rStyle w:val="IndexLink"/>
              </w:rPr>
              <w:t>246</w:t>
            </w:r>
          </w:hyperlink>
        </w:p>
        <w:p>
          <w:pPr>
            <w:pStyle w:val="Contents5"/>
            <w:tabs>
              <w:tab w:val="clear" w:pos="7892"/>
              <w:tab w:val="right" w:pos="9026" w:leader="dot"/>
            </w:tabs>
            <w:rPr/>
          </w:pPr>
          <w:hyperlink w:anchor="__RefHeading___Toc2580509_2870459653">
            <w:r>
              <w:rPr>
                <w:webHidden/>
                <w:rStyle w:val="IndexLink"/>
                <w:rtl w:val="true"/>
              </w:rPr>
              <w:t>باب الوقت الذي يؤخذ الصبي به بالصوم</w:t>
            </w:r>
            <w:r>
              <w:rPr>
                <w:rStyle w:val="IndexLink"/>
                <w:rtl w:val="true"/>
              </w:rPr>
              <w:tab/>
            </w:r>
            <w:r>
              <w:rPr>
                <w:rStyle w:val="IndexLink"/>
              </w:rPr>
              <w:t>246</w:t>
            </w:r>
          </w:hyperlink>
        </w:p>
        <w:p>
          <w:pPr>
            <w:pStyle w:val="Contents5"/>
            <w:tabs>
              <w:tab w:val="clear" w:pos="7892"/>
              <w:tab w:val="right" w:pos="9026" w:leader="dot"/>
            </w:tabs>
            <w:rPr/>
          </w:pPr>
          <w:hyperlink w:anchor="__RefHeading___Toc2580511_2870459653">
            <w:r>
              <w:rPr>
                <w:webHidden/>
                <w:rStyle w:val="IndexLink"/>
                <w:rtl w:val="true"/>
              </w:rPr>
              <w:t>باب من يجب عليه إتمام الصلاة والصيام في السفر</w:t>
            </w:r>
            <w:r>
              <w:rPr>
                <w:rStyle w:val="IndexLink"/>
                <w:rtl w:val="true"/>
              </w:rPr>
              <w:tab/>
            </w:r>
            <w:r>
              <w:rPr>
                <w:rStyle w:val="IndexLink"/>
              </w:rPr>
              <w:t>247</w:t>
            </w:r>
          </w:hyperlink>
        </w:p>
        <w:p>
          <w:pPr>
            <w:pStyle w:val="Contents5"/>
            <w:tabs>
              <w:tab w:val="clear" w:pos="7892"/>
              <w:tab w:val="right" w:pos="9026" w:leader="dot"/>
            </w:tabs>
            <w:rPr/>
          </w:pPr>
          <w:hyperlink w:anchor="__RefHeading___Toc2580513_2870459653">
            <w:r>
              <w:rPr>
                <w:webHidden/>
                <w:rStyle w:val="IndexLink"/>
                <w:rtl w:val="true"/>
              </w:rPr>
              <w:t>باب الفطرة</w:t>
            </w:r>
            <w:r>
              <w:rPr>
                <w:rStyle w:val="IndexLink"/>
                <w:rtl w:val="true"/>
              </w:rPr>
              <w:tab/>
            </w:r>
            <w:r>
              <w:rPr>
                <w:rStyle w:val="IndexLink"/>
              </w:rPr>
              <w:t>248</w:t>
            </w:r>
          </w:hyperlink>
        </w:p>
        <w:p>
          <w:pPr>
            <w:pStyle w:val="Contents4"/>
            <w:tabs>
              <w:tab w:val="clear" w:pos="8176"/>
              <w:tab w:val="right" w:pos="9026" w:leader="dot"/>
            </w:tabs>
            <w:rPr/>
          </w:pPr>
          <w:hyperlink w:anchor="__RefHeading___Toc2580515_2870459653">
            <w:r>
              <w:rPr>
                <w:webHidden/>
                <w:rStyle w:val="IndexLink"/>
                <w:rtl w:val="true"/>
              </w:rPr>
              <w:t>باب الزكاة</w:t>
            </w:r>
            <w:r>
              <w:rPr>
                <w:rStyle w:val="IndexLink"/>
                <w:rtl w:val="true"/>
              </w:rPr>
              <w:tab/>
            </w:r>
            <w:r>
              <w:rPr>
                <w:rStyle w:val="IndexLink"/>
              </w:rPr>
              <w:t>249</w:t>
            </w:r>
          </w:hyperlink>
        </w:p>
        <w:p>
          <w:pPr>
            <w:pStyle w:val="Contents5"/>
            <w:tabs>
              <w:tab w:val="clear" w:pos="7892"/>
              <w:tab w:val="right" w:pos="9026" w:leader="dot"/>
            </w:tabs>
            <w:rPr/>
          </w:pPr>
          <w:hyperlink w:anchor="__RefHeading___Toc2580517_2870459653">
            <w:r>
              <w:rPr>
                <w:webHidden/>
                <w:rStyle w:val="IndexLink"/>
                <w:rtl w:val="true"/>
              </w:rPr>
              <w:t>باب زكاة الابل</w:t>
            </w:r>
            <w:r>
              <w:rPr>
                <w:rStyle w:val="IndexLink"/>
                <w:rtl w:val="true"/>
              </w:rPr>
              <w:tab/>
            </w:r>
            <w:r>
              <w:rPr>
                <w:rStyle w:val="IndexLink"/>
              </w:rPr>
              <w:t>249</w:t>
            </w:r>
          </w:hyperlink>
        </w:p>
        <w:p>
          <w:pPr>
            <w:pStyle w:val="Contents5"/>
            <w:tabs>
              <w:tab w:val="clear" w:pos="7892"/>
              <w:tab w:val="right" w:pos="9026" w:leader="dot"/>
            </w:tabs>
            <w:rPr/>
          </w:pPr>
          <w:hyperlink w:anchor="__RefHeading___Toc2580519_2870459653">
            <w:r>
              <w:rPr>
                <w:webHidden/>
                <w:rStyle w:val="IndexLink"/>
                <w:rtl w:val="true"/>
              </w:rPr>
              <w:t>باب زكاة الغنم</w:t>
            </w:r>
            <w:r>
              <w:rPr>
                <w:rStyle w:val="IndexLink"/>
                <w:rtl w:val="true"/>
              </w:rPr>
              <w:tab/>
            </w:r>
            <w:r>
              <w:rPr>
                <w:rStyle w:val="IndexLink"/>
              </w:rPr>
              <w:t>249</w:t>
            </w:r>
          </w:hyperlink>
        </w:p>
        <w:p>
          <w:pPr>
            <w:pStyle w:val="Contents5"/>
            <w:tabs>
              <w:tab w:val="clear" w:pos="7892"/>
              <w:tab w:val="right" w:pos="9026" w:leader="dot"/>
            </w:tabs>
            <w:rPr/>
          </w:pPr>
          <w:hyperlink w:anchor="__RefHeading___Toc2580521_2870459653">
            <w:r>
              <w:rPr>
                <w:webHidden/>
                <w:rStyle w:val="IndexLink"/>
                <w:rtl w:val="true"/>
              </w:rPr>
              <w:t>باب زكاة البقر</w:t>
            </w:r>
            <w:r>
              <w:rPr>
                <w:rStyle w:val="IndexLink"/>
                <w:rtl w:val="true"/>
              </w:rPr>
              <w:tab/>
            </w:r>
            <w:r>
              <w:rPr>
                <w:rStyle w:val="IndexLink"/>
              </w:rPr>
              <w:t>250</w:t>
            </w:r>
          </w:hyperlink>
        </w:p>
        <w:p>
          <w:pPr>
            <w:pStyle w:val="Contents5"/>
            <w:tabs>
              <w:tab w:val="clear" w:pos="7892"/>
              <w:tab w:val="right" w:pos="9026" w:leader="dot"/>
            </w:tabs>
            <w:rPr/>
          </w:pPr>
          <w:hyperlink w:anchor="__RefHeading___Toc2580523_2870459653">
            <w:r>
              <w:rPr>
                <w:webHidden/>
                <w:rStyle w:val="IndexLink"/>
                <w:rtl w:val="true"/>
              </w:rPr>
              <w:t>باب زكاة الذهب</w:t>
            </w:r>
            <w:r>
              <w:rPr>
                <w:rStyle w:val="IndexLink"/>
                <w:rtl w:val="true"/>
              </w:rPr>
              <w:tab/>
            </w:r>
            <w:r>
              <w:rPr>
                <w:rStyle w:val="IndexLink"/>
              </w:rPr>
              <w:t>250</w:t>
            </w:r>
          </w:hyperlink>
        </w:p>
        <w:p>
          <w:pPr>
            <w:pStyle w:val="Contents5"/>
            <w:tabs>
              <w:tab w:val="clear" w:pos="7892"/>
              <w:tab w:val="right" w:pos="9026" w:leader="dot"/>
            </w:tabs>
            <w:rPr/>
          </w:pPr>
          <w:hyperlink w:anchor="__RefHeading___Toc2580525_2870459653">
            <w:r>
              <w:rPr>
                <w:webHidden/>
                <w:rStyle w:val="IndexLink"/>
                <w:rtl w:val="true"/>
              </w:rPr>
              <w:t>باب زكاة السبائك</w:t>
            </w:r>
            <w:r>
              <w:rPr>
                <w:rStyle w:val="IndexLink"/>
                <w:rtl w:val="true"/>
              </w:rPr>
              <w:tab/>
            </w:r>
            <w:r>
              <w:rPr>
                <w:rStyle w:val="IndexLink"/>
              </w:rPr>
              <w:t>250</w:t>
            </w:r>
          </w:hyperlink>
        </w:p>
        <w:p>
          <w:pPr>
            <w:pStyle w:val="Contents5"/>
            <w:tabs>
              <w:tab w:val="clear" w:pos="7892"/>
              <w:tab w:val="right" w:pos="9026" w:leader="dot"/>
            </w:tabs>
            <w:rPr/>
          </w:pPr>
          <w:hyperlink w:anchor="__RefHeading___Toc2580527_2870459653">
            <w:r>
              <w:rPr>
                <w:webHidden/>
                <w:rStyle w:val="IndexLink"/>
                <w:rtl w:val="true"/>
              </w:rPr>
              <w:t>باب زكاة مال اليتيم</w:t>
            </w:r>
            <w:r>
              <w:rPr>
                <w:rStyle w:val="IndexLink"/>
                <w:rtl w:val="true"/>
              </w:rPr>
              <w:tab/>
            </w:r>
            <w:r>
              <w:rPr>
                <w:rStyle w:val="IndexLink"/>
              </w:rPr>
              <w:t>250</w:t>
            </w:r>
          </w:hyperlink>
        </w:p>
        <w:p>
          <w:pPr>
            <w:pStyle w:val="Contents5"/>
            <w:tabs>
              <w:tab w:val="clear" w:pos="7892"/>
              <w:tab w:val="right" w:pos="9026" w:leader="dot"/>
            </w:tabs>
            <w:rPr/>
          </w:pPr>
          <w:hyperlink w:anchor="__RefHeading___Toc2580529_2870459653">
            <w:r>
              <w:rPr>
                <w:webHidden/>
                <w:rStyle w:val="IndexLink"/>
                <w:rtl w:val="true"/>
              </w:rPr>
              <w:t>باب تقديم الزكاة وتأخيرها</w:t>
            </w:r>
            <w:r>
              <w:rPr>
                <w:rStyle w:val="IndexLink"/>
                <w:rtl w:val="true"/>
              </w:rPr>
              <w:tab/>
            </w:r>
            <w:r>
              <w:rPr>
                <w:rStyle w:val="IndexLink"/>
              </w:rPr>
              <w:t>251</w:t>
            </w:r>
          </w:hyperlink>
        </w:p>
        <w:p>
          <w:pPr>
            <w:pStyle w:val="Contents5"/>
            <w:tabs>
              <w:tab w:val="clear" w:pos="7892"/>
              <w:tab w:val="right" w:pos="9026" w:leader="dot"/>
            </w:tabs>
            <w:rPr/>
          </w:pPr>
          <w:hyperlink w:anchor="__RefHeading___Toc2580531_2870459653">
            <w:r>
              <w:rPr>
                <w:webHidden/>
                <w:rStyle w:val="IndexLink"/>
                <w:rtl w:val="true"/>
              </w:rPr>
              <w:t>باب من يُعطى من الزكاة ومن لا يُعطى</w:t>
            </w:r>
            <w:r>
              <w:rPr>
                <w:rStyle w:val="IndexLink"/>
                <w:rtl w:val="true"/>
              </w:rPr>
              <w:tab/>
            </w:r>
            <w:r>
              <w:rPr>
                <w:rStyle w:val="IndexLink"/>
              </w:rPr>
              <w:t>251</w:t>
            </w:r>
          </w:hyperlink>
        </w:p>
        <w:p>
          <w:pPr>
            <w:pStyle w:val="Contents5"/>
            <w:tabs>
              <w:tab w:val="clear" w:pos="7892"/>
              <w:tab w:val="right" w:pos="9026" w:leader="dot"/>
            </w:tabs>
            <w:rPr/>
          </w:pPr>
          <w:hyperlink w:anchor="__RefHeading___Toc2580533_2870459653">
            <w:r>
              <w:rPr>
                <w:webHidden/>
                <w:rStyle w:val="IndexLink"/>
                <w:rtl w:val="true"/>
              </w:rPr>
              <w:t>باب العتق من الزكاة</w:t>
            </w:r>
            <w:r>
              <w:rPr>
                <w:rStyle w:val="IndexLink"/>
                <w:rtl w:val="true"/>
              </w:rPr>
              <w:tab/>
            </w:r>
            <w:r>
              <w:rPr>
                <w:rStyle w:val="IndexLink"/>
              </w:rPr>
              <w:t>251</w:t>
            </w:r>
          </w:hyperlink>
        </w:p>
        <w:p>
          <w:pPr>
            <w:pStyle w:val="Contents5"/>
            <w:tabs>
              <w:tab w:val="clear" w:pos="7892"/>
              <w:tab w:val="right" w:pos="9026" w:leader="dot"/>
            </w:tabs>
            <w:rPr/>
          </w:pPr>
          <w:hyperlink w:anchor="__RefHeading___Toc2580535_2870459653">
            <w:r>
              <w:rPr>
                <w:webHidden/>
                <w:rStyle w:val="IndexLink"/>
                <w:rtl w:val="true"/>
              </w:rPr>
              <w:t>باب زكاة المال إذا كان في تجارة</w:t>
            </w:r>
            <w:r>
              <w:rPr>
                <w:rStyle w:val="IndexLink"/>
                <w:rtl w:val="true"/>
              </w:rPr>
              <w:tab/>
            </w:r>
            <w:r>
              <w:rPr>
                <w:rStyle w:val="IndexLink"/>
              </w:rPr>
              <w:t>252</w:t>
            </w:r>
          </w:hyperlink>
        </w:p>
        <w:p>
          <w:pPr>
            <w:pStyle w:val="Contents5"/>
            <w:tabs>
              <w:tab w:val="clear" w:pos="7892"/>
              <w:tab w:val="right" w:pos="9026" w:leader="dot"/>
            </w:tabs>
            <w:rPr/>
          </w:pPr>
          <w:hyperlink w:anchor="__RefHeading___Toc2580537_2870459653">
            <w:r>
              <w:rPr>
                <w:webHidden/>
                <w:rStyle w:val="IndexLink"/>
                <w:rtl w:val="true"/>
              </w:rPr>
              <w:t>باب الزكاة في القرض</w:t>
            </w:r>
            <w:r>
              <w:rPr>
                <w:rStyle w:val="IndexLink"/>
                <w:rtl w:val="true"/>
              </w:rPr>
              <w:tab/>
            </w:r>
            <w:r>
              <w:rPr>
                <w:rStyle w:val="IndexLink"/>
              </w:rPr>
              <w:t>252</w:t>
            </w:r>
          </w:hyperlink>
        </w:p>
        <w:p>
          <w:pPr>
            <w:pStyle w:val="Contents5"/>
            <w:tabs>
              <w:tab w:val="clear" w:pos="7892"/>
              <w:tab w:val="right" w:pos="9026" w:leader="dot"/>
            </w:tabs>
            <w:rPr/>
          </w:pPr>
          <w:hyperlink w:anchor="__RefHeading___Toc2580539_2870459653">
            <w:r>
              <w:rPr>
                <w:webHidden/>
                <w:rStyle w:val="IndexLink"/>
                <w:rtl w:val="true"/>
              </w:rPr>
              <w:t>باب أقل ما يُعطى الفقير هو ما يجب في النصاب الأول</w:t>
            </w:r>
            <w:r>
              <w:rPr>
                <w:rStyle w:val="IndexLink"/>
                <w:rtl w:val="true"/>
              </w:rPr>
              <w:tab/>
            </w:r>
            <w:r>
              <w:rPr>
                <w:rStyle w:val="IndexLink"/>
              </w:rPr>
              <w:t>252</w:t>
            </w:r>
          </w:hyperlink>
        </w:p>
        <w:p>
          <w:pPr>
            <w:pStyle w:val="Contents4"/>
            <w:tabs>
              <w:tab w:val="clear" w:pos="8176"/>
              <w:tab w:val="right" w:pos="9026" w:leader="dot"/>
            </w:tabs>
            <w:rPr/>
          </w:pPr>
          <w:hyperlink w:anchor="__RefHeading___Toc2580541_2870459653">
            <w:r>
              <w:rPr>
                <w:webHidden/>
                <w:rStyle w:val="IndexLink"/>
                <w:rtl w:val="true"/>
              </w:rPr>
              <w:t>باب الحج</w:t>
            </w:r>
            <w:r>
              <w:rPr>
                <w:rStyle w:val="IndexLink"/>
                <w:rtl w:val="true"/>
              </w:rPr>
              <w:tab/>
            </w:r>
            <w:r>
              <w:rPr>
                <w:rStyle w:val="IndexLink"/>
              </w:rPr>
              <w:t>252</w:t>
            </w:r>
          </w:hyperlink>
        </w:p>
        <w:p>
          <w:pPr>
            <w:pStyle w:val="Contents5"/>
            <w:tabs>
              <w:tab w:val="clear" w:pos="7892"/>
              <w:tab w:val="right" w:pos="9026" w:leader="dot"/>
            </w:tabs>
            <w:rPr/>
          </w:pPr>
          <w:hyperlink w:anchor="__RefHeading___Toc2580543_2870459653">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2580545_2870459653">
            <w:r>
              <w:rPr>
                <w:webHidden/>
                <w:rStyle w:val="IndexLink"/>
                <w:rtl w:val="true"/>
              </w:rPr>
              <w:t>باب دخول مكة</w:t>
            </w:r>
            <w:r>
              <w:rPr>
                <w:rStyle w:val="IndexLink"/>
                <w:rtl w:val="true"/>
              </w:rPr>
              <w:tab/>
            </w:r>
            <w:r>
              <w:rPr>
                <w:rStyle w:val="IndexLink"/>
              </w:rPr>
              <w:t>254</w:t>
            </w:r>
          </w:hyperlink>
        </w:p>
        <w:p>
          <w:pPr>
            <w:pStyle w:val="Contents5"/>
            <w:tabs>
              <w:tab w:val="clear" w:pos="7892"/>
              <w:tab w:val="right" w:pos="9026" w:leader="dot"/>
            </w:tabs>
            <w:rPr/>
          </w:pPr>
          <w:hyperlink w:anchor="__RefHeading___Toc2580547_2870459653">
            <w:r>
              <w:rPr>
                <w:webHidden/>
                <w:rStyle w:val="IndexLink"/>
                <w:rtl w:val="true"/>
              </w:rPr>
              <w:t>باب محرمات الإحرام</w:t>
            </w:r>
            <w:r>
              <w:rPr>
                <w:rStyle w:val="IndexLink"/>
                <w:rtl w:val="true"/>
              </w:rPr>
              <w:tab/>
            </w:r>
            <w:r>
              <w:rPr>
                <w:rStyle w:val="IndexLink"/>
              </w:rPr>
              <w:t>254</w:t>
            </w:r>
          </w:hyperlink>
        </w:p>
        <w:p>
          <w:pPr>
            <w:pStyle w:val="Contents5"/>
            <w:tabs>
              <w:tab w:val="clear" w:pos="7892"/>
              <w:tab w:val="right" w:pos="9026" w:leader="dot"/>
            </w:tabs>
            <w:rPr/>
          </w:pPr>
          <w:hyperlink w:anchor="__RefHeading___Toc2580549_2870459653">
            <w:r>
              <w:rPr>
                <w:webHidden/>
                <w:rStyle w:val="IndexLink"/>
                <w:rtl w:val="true"/>
              </w:rPr>
              <w:t>باب بيان محل موضع النحر أو الذبح</w:t>
            </w:r>
            <w:r>
              <w:rPr>
                <w:rStyle w:val="IndexLink"/>
                <w:rtl w:val="true"/>
              </w:rPr>
              <w:tab/>
            </w:r>
            <w:r>
              <w:rPr>
                <w:rStyle w:val="IndexLink"/>
              </w:rPr>
              <w:t>257</w:t>
            </w:r>
          </w:hyperlink>
        </w:p>
        <w:p>
          <w:pPr>
            <w:pStyle w:val="Contents5"/>
            <w:tabs>
              <w:tab w:val="clear" w:pos="7892"/>
              <w:tab w:val="right" w:pos="9026" w:leader="dot"/>
            </w:tabs>
            <w:rPr/>
          </w:pPr>
          <w:hyperlink w:anchor="__RefHeading___Toc2580551_2870459653">
            <w:r>
              <w:rPr>
                <w:webHidden/>
                <w:rStyle w:val="IndexLink"/>
                <w:rtl w:val="true"/>
              </w:rPr>
              <w:t>باب الطواف</w:t>
            </w:r>
            <w:r>
              <w:rPr>
                <w:rStyle w:val="IndexLink"/>
                <w:rtl w:val="true"/>
              </w:rPr>
              <w:tab/>
            </w:r>
            <w:r>
              <w:rPr>
                <w:rStyle w:val="IndexLink"/>
              </w:rPr>
              <w:t>258</w:t>
            </w:r>
          </w:hyperlink>
        </w:p>
        <w:p>
          <w:pPr>
            <w:pStyle w:val="Contents5"/>
            <w:tabs>
              <w:tab w:val="clear" w:pos="7892"/>
              <w:tab w:val="right" w:pos="9026" w:leader="dot"/>
            </w:tabs>
            <w:rPr/>
          </w:pPr>
          <w:hyperlink w:anchor="__RefHeading___Toc2580553_2870459653">
            <w:r>
              <w:rPr>
                <w:webHidden/>
                <w:rStyle w:val="IndexLink"/>
                <w:rtl w:val="true"/>
              </w:rPr>
              <w:t>باب وقت الإحرام للحج</w:t>
            </w:r>
            <w:r>
              <w:rPr>
                <w:rStyle w:val="IndexLink"/>
                <w:rtl w:val="true"/>
              </w:rPr>
              <w:tab/>
            </w:r>
            <w:r>
              <w:rPr>
                <w:rStyle w:val="IndexLink"/>
              </w:rPr>
              <w:t>259</w:t>
            </w:r>
          </w:hyperlink>
        </w:p>
        <w:p>
          <w:pPr>
            <w:pStyle w:val="Contents5"/>
            <w:tabs>
              <w:tab w:val="clear" w:pos="7892"/>
              <w:tab w:val="right" w:pos="9026" w:leader="dot"/>
            </w:tabs>
            <w:rPr/>
          </w:pPr>
          <w:hyperlink w:anchor="__RefHeading___Toc2580555_2870459653">
            <w:r>
              <w:rPr>
                <w:webHidden/>
                <w:rStyle w:val="IndexLink"/>
                <w:rtl w:val="true"/>
              </w:rPr>
              <w:t>باب التلبية</w:t>
            </w:r>
            <w:r>
              <w:rPr>
                <w:rStyle w:val="IndexLink"/>
                <w:rtl w:val="true"/>
              </w:rPr>
              <w:tab/>
            </w:r>
            <w:r>
              <w:rPr>
                <w:rStyle w:val="IndexLink"/>
              </w:rPr>
              <w:t>260</w:t>
            </w:r>
          </w:hyperlink>
        </w:p>
        <w:p>
          <w:pPr>
            <w:pStyle w:val="Contents5"/>
            <w:tabs>
              <w:tab w:val="clear" w:pos="7892"/>
              <w:tab w:val="right" w:pos="9026" w:leader="dot"/>
            </w:tabs>
            <w:rPr/>
          </w:pPr>
          <w:hyperlink w:anchor="__RefHeading___Toc2580557_2870459653">
            <w:r>
              <w:rPr>
                <w:webHidden/>
                <w:rStyle w:val="IndexLink"/>
                <w:rtl w:val="true"/>
              </w:rPr>
              <w:t>باب المحصور والمصدود</w:t>
            </w:r>
            <w:r>
              <w:rPr>
                <w:rStyle w:val="IndexLink"/>
                <w:rtl w:val="true"/>
              </w:rPr>
              <w:tab/>
            </w:r>
            <w:r>
              <w:rPr>
                <w:rStyle w:val="IndexLink"/>
              </w:rPr>
              <w:t>260</w:t>
            </w:r>
          </w:hyperlink>
        </w:p>
        <w:p>
          <w:pPr>
            <w:pStyle w:val="Contents5"/>
            <w:tabs>
              <w:tab w:val="clear" w:pos="7892"/>
              <w:tab w:val="right" w:pos="9026" w:leader="dot"/>
            </w:tabs>
            <w:rPr/>
          </w:pPr>
          <w:hyperlink w:anchor="__RefHeading___Toc2580559_2870459653">
            <w:r>
              <w:rPr>
                <w:webHidden/>
                <w:rStyle w:val="IndexLink"/>
                <w:rtl w:val="true"/>
              </w:rPr>
              <w:t>باب الإفاضة من المشعر وعرفات</w:t>
            </w:r>
            <w:r>
              <w:rPr>
                <w:rStyle w:val="IndexLink"/>
                <w:rtl w:val="true"/>
              </w:rPr>
              <w:tab/>
            </w:r>
            <w:r>
              <w:rPr>
                <w:rStyle w:val="IndexLink"/>
              </w:rPr>
              <w:t>261</w:t>
            </w:r>
          </w:hyperlink>
        </w:p>
        <w:p>
          <w:pPr>
            <w:pStyle w:val="Contents5"/>
            <w:tabs>
              <w:tab w:val="clear" w:pos="7892"/>
              <w:tab w:val="right" w:pos="9026" w:leader="dot"/>
            </w:tabs>
            <w:rPr/>
          </w:pPr>
          <w:hyperlink w:anchor="__RefHeading___Toc2580561_2870459653">
            <w:r>
              <w:rPr>
                <w:webHidden/>
                <w:rStyle w:val="IndexLink"/>
                <w:rtl w:val="true"/>
              </w:rPr>
              <w:t>باب التحلل في الحج ومواضعه</w:t>
            </w:r>
            <w:r>
              <w:rPr>
                <w:rStyle w:val="IndexLink"/>
                <w:rtl w:val="true"/>
              </w:rPr>
              <w:tab/>
            </w:r>
            <w:r>
              <w:rPr>
                <w:rStyle w:val="IndexLink"/>
              </w:rPr>
              <w:t>262</w:t>
            </w:r>
          </w:hyperlink>
        </w:p>
        <w:p>
          <w:pPr>
            <w:pStyle w:val="Contents5"/>
            <w:tabs>
              <w:tab w:val="clear" w:pos="7892"/>
              <w:tab w:val="right" w:pos="9026" w:leader="dot"/>
            </w:tabs>
            <w:rPr/>
          </w:pPr>
          <w:hyperlink w:anchor="__RefHeading___Toc2580563_2870459653">
            <w:r>
              <w:rPr>
                <w:webHidden/>
                <w:rStyle w:val="IndexLink"/>
                <w:rtl w:val="true"/>
              </w:rPr>
              <w:t>مستحبات الزيارة والطواف</w:t>
            </w:r>
            <w:r>
              <w:rPr>
                <w:rStyle w:val="IndexLink"/>
                <w:rtl w:val="true"/>
              </w:rPr>
              <w:tab/>
            </w:r>
            <w:r>
              <w:rPr>
                <w:rStyle w:val="IndexLink"/>
              </w:rPr>
              <w:t>262</w:t>
            </w:r>
          </w:hyperlink>
        </w:p>
        <w:p>
          <w:pPr>
            <w:pStyle w:val="Contents5"/>
            <w:tabs>
              <w:tab w:val="clear" w:pos="7892"/>
              <w:tab w:val="right" w:pos="9026" w:leader="dot"/>
            </w:tabs>
            <w:rPr/>
          </w:pPr>
          <w:hyperlink w:anchor="__RefHeading___Toc2580565_2870459653">
            <w:r>
              <w:rPr>
                <w:webHidden/>
                <w:rStyle w:val="IndexLink"/>
                <w:rtl w:val="true"/>
              </w:rPr>
              <w:t>باب الهدي</w:t>
            </w:r>
            <w:r>
              <w:rPr>
                <w:rStyle w:val="IndexLink"/>
                <w:rtl w:val="true"/>
              </w:rPr>
              <w:tab/>
            </w:r>
            <w:r>
              <w:rPr>
                <w:rStyle w:val="IndexLink"/>
              </w:rPr>
              <w:t>263</w:t>
            </w:r>
          </w:hyperlink>
        </w:p>
        <w:p>
          <w:pPr>
            <w:pStyle w:val="Contents5"/>
            <w:tabs>
              <w:tab w:val="clear" w:pos="7892"/>
              <w:tab w:val="right" w:pos="9026" w:leader="dot"/>
            </w:tabs>
            <w:rPr/>
          </w:pPr>
          <w:hyperlink w:anchor="__RefHeading___Toc2580567_2870459653">
            <w:r>
              <w:rPr>
                <w:webHidden/>
                <w:rStyle w:val="IndexLink"/>
                <w:rtl w:val="true"/>
              </w:rPr>
              <w:t>باب رمي الجمار</w:t>
            </w:r>
            <w:r>
              <w:rPr>
                <w:rStyle w:val="IndexLink"/>
                <w:rtl w:val="true"/>
              </w:rPr>
              <w:tab/>
            </w:r>
            <w:r>
              <w:rPr>
                <w:rStyle w:val="IndexLink"/>
              </w:rPr>
              <w:t>264</w:t>
            </w:r>
          </w:hyperlink>
        </w:p>
        <w:p>
          <w:pPr>
            <w:pStyle w:val="Contents4"/>
            <w:tabs>
              <w:tab w:val="clear" w:pos="8176"/>
              <w:tab w:val="right" w:pos="9026" w:leader="dot"/>
            </w:tabs>
            <w:rPr/>
          </w:pPr>
          <w:hyperlink w:anchor="__RefHeading___Toc2580569_2870459653">
            <w:r>
              <w:rPr>
                <w:webHidden/>
                <w:rStyle w:val="IndexLink"/>
                <w:rtl w:val="true"/>
              </w:rPr>
              <w:t>باب النكاح</w:t>
            </w:r>
            <w:r>
              <w:rPr>
                <w:rStyle w:val="IndexLink"/>
                <w:rtl w:val="true"/>
              </w:rPr>
              <w:tab/>
            </w:r>
            <w:r>
              <w:rPr>
                <w:rStyle w:val="IndexLink"/>
              </w:rPr>
              <w:t>266</w:t>
            </w:r>
          </w:hyperlink>
        </w:p>
        <w:p>
          <w:pPr>
            <w:pStyle w:val="Contents4"/>
            <w:tabs>
              <w:tab w:val="clear" w:pos="8176"/>
              <w:tab w:val="right" w:pos="9026" w:leader="dot"/>
            </w:tabs>
            <w:rPr/>
          </w:pPr>
          <w:hyperlink w:anchor="__RefHeading___Toc2580571_2870459653">
            <w:r>
              <w:rPr>
                <w:webHidden/>
                <w:rStyle w:val="IndexLink"/>
                <w:rtl w:val="true"/>
              </w:rPr>
              <w:t>باب الطلاق</w:t>
            </w:r>
            <w:r>
              <w:rPr>
                <w:rStyle w:val="IndexLink"/>
                <w:rtl w:val="true"/>
              </w:rPr>
              <w:tab/>
            </w:r>
            <w:r>
              <w:rPr>
                <w:rStyle w:val="IndexLink"/>
              </w:rPr>
              <w:t>269</w:t>
            </w:r>
          </w:hyperlink>
        </w:p>
        <w:p>
          <w:pPr>
            <w:pStyle w:val="Contents4"/>
            <w:tabs>
              <w:tab w:val="clear" w:pos="8176"/>
              <w:tab w:val="right" w:pos="9026" w:leader="dot"/>
            </w:tabs>
            <w:rPr/>
          </w:pPr>
          <w:hyperlink w:anchor="__RefHeading___Toc2580573_2870459653">
            <w:r>
              <w:rPr>
                <w:webHidden/>
                <w:rStyle w:val="IndexLink"/>
                <w:rtl w:val="true"/>
              </w:rPr>
              <w:t>باب المكاسب والتجارات</w:t>
            </w:r>
            <w:r>
              <w:rPr>
                <w:rStyle w:val="IndexLink"/>
                <w:rtl w:val="true"/>
              </w:rPr>
              <w:tab/>
            </w:r>
            <w:r>
              <w:rPr>
                <w:rStyle w:val="IndexLink"/>
              </w:rPr>
              <w:t>272</w:t>
            </w:r>
          </w:hyperlink>
        </w:p>
        <w:p>
          <w:pPr>
            <w:pStyle w:val="Contents4"/>
            <w:tabs>
              <w:tab w:val="clear" w:pos="8176"/>
              <w:tab w:val="right" w:pos="9026" w:leader="dot"/>
            </w:tabs>
            <w:rPr/>
          </w:pPr>
          <w:hyperlink w:anchor="__RefHeading___Toc2580575_2870459653">
            <w:r>
              <w:rPr>
                <w:webHidden/>
                <w:rStyle w:val="IndexLink"/>
                <w:rtl w:val="true"/>
              </w:rPr>
              <w:t>باب الربا</w:t>
            </w:r>
            <w:r>
              <w:rPr>
                <w:rStyle w:val="IndexLink"/>
                <w:rtl w:val="true"/>
              </w:rPr>
              <w:tab/>
            </w:r>
            <w:r>
              <w:rPr>
                <w:rStyle w:val="IndexLink"/>
              </w:rPr>
              <w:t>274</w:t>
            </w:r>
          </w:hyperlink>
        </w:p>
        <w:p>
          <w:pPr>
            <w:pStyle w:val="Contents4"/>
            <w:tabs>
              <w:tab w:val="clear" w:pos="8176"/>
              <w:tab w:val="right" w:pos="9026" w:leader="dot"/>
            </w:tabs>
            <w:rPr/>
          </w:pPr>
          <w:hyperlink w:anchor="__RefHeading___Toc2580577_2870459653">
            <w:r>
              <w:rPr>
                <w:webHidden/>
                <w:rStyle w:val="IndexLink"/>
                <w:rtl w:val="true"/>
              </w:rPr>
              <w:t>باب الدين</w:t>
            </w:r>
            <w:r>
              <w:rPr>
                <w:rStyle w:val="IndexLink"/>
                <w:rtl w:val="true"/>
              </w:rPr>
              <w:tab/>
            </w:r>
            <w:r>
              <w:rPr>
                <w:rStyle w:val="IndexLink"/>
              </w:rPr>
              <w:t>274</w:t>
            </w:r>
          </w:hyperlink>
        </w:p>
        <w:p>
          <w:pPr>
            <w:pStyle w:val="Contents4"/>
            <w:tabs>
              <w:tab w:val="clear" w:pos="8176"/>
              <w:tab w:val="right" w:pos="9026" w:leader="dot"/>
            </w:tabs>
            <w:rPr/>
          </w:pPr>
          <w:hyperlink w:anchor="__RefHeading___Toc2580579_2870459653">
            <w:r>
              <w:rPr>
                <w:webHidden/>
                <w:rStyle w:val="IndexLink"/>
                <w:rtl w:val="true"/>
              </w:rPr>
              <w:t>باب اللقطة</w:t>
            </w:r>
            <w:r>
              <w:rPr>
                <w:rStyle w:val="IndexLink"/>
                <w:rtl w:val="true"/>
              </w:rPr>
              <w:tab/>
            </w:r>
            <w:r>
              <w:rPr>
                <w:rStyle w:val="IndexLink"/>
              </w:rPr>
              <w:t>275</w:t>
            </w:r>
          </w:hyperlink>
        </w:p>
        <w:p>
          <w:pPr>
            <w:pStyle w:val="Contents4"/>
            <w:tabs>
              <w:tab w:val="clear" w:pos="8176"/>
              <w:tab w:val="right" w:pos="9026" w:leader="dot"/>
            </w:tabs>
            <w:rPr/>
          </w:pPr>
          <w:hyperlink w:anchor="__RefHeading___Toc2580581_2870459653">
            <w:r>
              <w:rPr>
                <w:webHidden/>
                <w:rStyle w:val="IndexLink"/>
                <w:rtl w:val="true"/>
              </w:rPr>
              <w:t>باب القضاء والأحكام</w:t>
            </w:r>
            <w:r>
              <w:rPr>
                <w:rStyle w:val="IndexLink"/>
                <w:rtl w:val="true"/>
              </w:rPr>
              <w:tab/>
            </w:r>
            <w:r>
              <w:rPr>
                <w:rStyle w:val="IndexLink"/>
              </w:rPr>
              <w:t>276</w:t>
            </w:r>
          </w:hyperlink>
        </w:p>
        <w:p>
          <w:pPr>
            <w:pStyle w:val="Contents4"/>
            <w:tabs>
              <w:tab w:val="clear" w:pos="8176"/>
              <w:tab w:val="right" w:pos="9026" w:leader="dot"/>
            </w:tabs>
            <w:rPr/>
          </w:pPr>
          <w:hyperlink w:anchor="__RefHeading___Toc2580583_2870459653">
            <w:r>
              <w:rPr>
                <w:webHidden/>
                <w:rStyle w:val="IndexLink"/>
                <w:rtl w:val="true"/>
              </w:rPr>
              <w:t>باب الشفعة</w:t>
            </w:r>
            <w:r>
              <w:rPr>
                <w:rStyle w:val="IndexLink"/>
                <w:rtl w:val="true"/>
              </w:rPr>
              <w:tab/>
            </w:r>
            <w:r>
              <w:rPr>
                <w:rStyle w:val="IndexLink"/>
              </w:rPr>
              <w:t>281</w:t>
            </w:r>
          </w:hyperlink>
        </w:p>
        <w:p>
          <w:pPr>
            <w:pStyle w:val="Contents4"/>
            <w:tabs>
              <w:tab w:val="clear" w:pos="8176"/>
              <w:tab w:val="right" w:pos="9026" w:leader="dot"/>
            </w:tabs>
            <w:rPr/>
          </w:pPr>
          <w:hyperlink w:anchor="__RefHeading___Toc2580585_2870459653">
            <w:r>
              <w:rPr>
                <w:webHidden/>
                <w:rStyle w:val="IndexLink"/>
                <w:rtl w:val="true"/>
              </w:rPr>
              <w:t>باب الأيمان والنذور والكفارات</w:t>
            </w:r>
            <w:r>
              <w:rPr>
                <w:rStyle w:val="IndexLink"/>
                <w:rtl w:val="true"/>
              </w:rPr>
              <w:tab/>
            </w:r>
            <w:r>
              <w:rPr>
                <w:rStyle w:val="IndexLink"/>
              </w:rPr>
              <w:t>282</w:t>
            </w:r>
          </w:hyperlink>
        </w:p>
        <w:p>
          <w:pPr>
            <w:pStyle w:val="Contents4"/>
            <w:tabs>
              <w:tab w:val="clear" w:pos="8176"/>
              <w:tab w:val="right" w:pos="9026" w:leader="dot"/>
            </w:tabs>
            <w:rPr/>
          </w:pPr>
          <w:hyperlink w:anchor="__RefHeading___Toc2580587_2870459653">
            <w:r>
              <w:rPr>
                <w:webHidden/>
                <w:rStyle w:val="IndexLink"/>
                <w:rtl w:val="true"/>
              </w:rPr>
              <w:t>باب الصيد والذبائح</w:t>
            </w:r>
            <w:r>
              <w:rPr>
                <w:rStyle w:val="IndexLink"/>
                <w:rtl w:val="true"/>
              </w:rPr>
              <w:tab/>
            </w:r>
            <w:r>
              <w:rPr>
                <w:rStyle w:val="IndexLink"/>
              </w:rPr>
              <w:t>283</w:t>
            </w:r>
          </w:hyperlink>
        </w:p>
        <w:p>
          <w:pPr>
            <w:pStyle w:val="Contents4"/>
            <w:tabs>
              <w:tab w:val="clear" w:pos="8176"/>
              <w:tab w:val="right" w:pos="9026" w:leader="dot"/>
            </w:tabs>
            <w:rPr/>
          </w:pPr>
          <w:hyperlink w:anchor="__RefHeading___Toc2580589_2870459653">
            <w:r>
              <w:rPr>
                <w:webHidden/>
                <w:rStyle w:val="IndexLink"/>
                <w:rtl w:val="true"/>
              </w:rPr>
              <w:t>باب الزنا واللواط</w:t>
            </w:r>
            <w:r>
              <w:rPr>
                <w:rStyle w:val="IndexLink"/>
                <w:rtl w:val="true"/>
              </w:rPr>
              <w:tab/>
            </w:r>
            <w:r>
              <w:rPr>
                <w:rStyle w:val="IndexLink"/>
              </w:rPr>
              <w:t>284</w:t>
            </w:r>
          </w:hyperlink>
        </w:p>
        <w:p>
          <w:pPr>
            <w:pStyle w:val="Contents4"/>
            <w:tabs>
              <w:tab w:val="clear" w:pos="8176"/>
              <w:tab w:val="right" w:pos="9026" w:leader="dot"/>
            </w:tabs>
            <w:rPr/>
          </w:pPr>
          <w:hyperlink w:anchor="__RefHeading___Toc2580591_2870459653">
            <w:r>
              <w:rPr>
                <w:webHidden/>
                <w:rStyle w:val="IndexLink"/>
                <w:rtl w:val="true"/>
              </w:rPr>
              <w:t>باب شرب الخمر والغناء</w:t>
            </w:r>
            <w:r>
              <w:rPr>
                <w:rStyle w:val="IndexLink"/>
                <w:rtl w:val="true"/>
              </w:rPr>
              <w:tab/>
            </w:r>
            <w:r>
              <w:rPr>
                <w:rStyle w:val="IndexLink"/>
              </w:rPr>
              <w:t>287</w:t>
            </w:r>
          </w:hyperlink>
        </w:p>
        <w:p>
          <w:pPr>
            <w:pStyle w:val="Contents4"/>
            <w:tabs>
              <w:tab w:val="clear" w:pos="8176"/>
              <w:tab w:val="right" w:pos="9026" w:leader="dot"/>
            </w:tabs>
            <w:rPr/>
          </w:pPr>
          <w:hyperlink w:anchor="__RefHeading___Toc2580593_2870459653">
            <w:r>
              <w:rPr>
                <w:webHidden/>
                <w:rStyle w:val="IndexLink"/>
                <w:rtl w:val="true"/>
              </w:rPr>
              <w:t>باب الملاهي</w:t>
            </w:r>
            <w:r>
              <w:rPr>
                <w:rStyle w:val="IndexLink"/>
                <w:rtl w:val="true"/>
              </w:rPr>
              <w:tab/>
            </w:r>
            <w:r>
              <w:rPr>
                <w:rStyle w:val="IndexLink"/>
              </w:rPr>
              <w:t>289</w:t>
            </w:r>
          </w:hyperlink>
        </w:p>
        <w:p>
          <w:pPr>
            <w:pStyle w:val="Contents4"/>
            <w:tabs>
              <w:tab w:val="clear" w:pos="8176"/>
              <w:tab w:val="right" w:pos="9026" w:leader="dot"/>
            </w:tabs>
            <w:rPr/>
          </w:pPr>
          <w:hyperlink w:anchor="__RefHeading___Toc2580595_2870459653">
            <w:r>
              <w:rPr>
                <w:webHidden/>
                <w:rStyle w:val="IndexLink"/>
                <w:rtl w:val="true"/>
              </w:rPr>
              <w:t>باب الوصايا</w:t>
            </w:r>
            <w:r>
              <w:rPr>
                <w:rStyle w:val="IndexLink"/>
                <w:rtl w:val="true"/>
              </w:rPr>
              <w:tab/>
            </w:r>
            <w:r>
              <w:rPr>
                <w:rStyle w:val="IndexLink"/>
              </w:rPr>
              <w:t>290</w:t>
            </w:r>
          </w:hyperlink>
        </w:p>
        <w:p>
          <w:pPr>
            <w:pStyle w:val="Contents4"/>
            <w:tabs>
              <w:tab w:val="clear" w:pos="8176"/>
              <w:tab w:val="right" w:pos="9026" w:leader="dot"/>
            </w:tabs>
            <w:rPr/>
          </w:pPr>
          <w:hyperlink w:anchor="__RefHeading___Toc2580597_2870459653">
            <w:r>
              <w:rPr>
                <w:webHidden/>
                <w:rStyle w:val="IndexLink"/>
                <w:rtl w:val="true"/>
              </w:rPr>
              <w:t>باب المواريث</w:t>
            </w:r>
            <w:r>
              <w:rPr>
                <w:rStyle w:val="IndexLink"/>
                <w:rtl w:val="true"/>
              </w:rPr>
              <w:tab/>
            </w:r>
            <w:r>
              <w:rPr>
                <w:rStyle w:val="IndexLink"/>
              </w:rPr>
              <w:t>291</w:t>
            </w:r>
          </w:hyperlink>
        </w:p>
        <w:p>
          <w:pPr>
            <w:pStyle w:val="Contents4"/>
            <w:tabs>
              <w:tab w:val="clear" w:pos="8176"/>
              <w:tab w:val="right" w:pos="9026" w:leader="dot"/>
            </w:tabs>
            <w:rPr/>
          </w:pPr>
          <w:hyperlink w:anchor="__RefHeading___Toc2580599_2870459653">
            <w:r>
              <w:rPr>
                <w:webHidden/>
                <w:rStyle w:val="IndexLink"/>
                <w:rtl w:val="true"/>
              </w:rPr>
              <w:t>باب الديات</w:t>
            </w:r>
            <w:r>
              <w:rPr>
                <w:rStyle w:val="IndexLink"/>
                <w:rtl w:val="true"/>
              </w:rPr>
              <w:tab/>
            </w:r>
            <w:r>
              <w:rPr>
                <w:rStyle w:val="IndexLink"/>
              </w:rPr>
              <w:t>294</w:t>
            </w:r>
          </w:hyperlink>
        </w:p>
        <w:p>
          <w:pPr>
            <w:pStyle w:val="Contents4"/>
            <w:tabs>
              <w:tab w:val="clear" w:pos="8176"/>
              <w:tab w:val="right" w:pos="9026" w:leader="dot"/>
            </w:tabs>
            <w:rPr/>
          </w:pPr>
          <w:hyperlink w:anchor="__RefHeading___Toc2580601_2870459653">
            <w:r>
              <w:rPr>
                <w:webHidden/>
                <w:rStyle w:val="IndexLink"/>
                <w:rtl w:val="true"/>
              </w:rPr>
              <w:t>باب النّوادر</w:t>
            </w:r>
            <w:r>
              <w:rPr>
                <w:rStyle w:val="IndexLink"/>
                <w:rtl w:val="true"/>
              </w:rPr>
              <w:tab/>
            </w:r>
            <w:r>
              <w:rPr>
                <w:rStyle w:val="IndexLink"/>
              </w:rPr>
              <w:t>294</w:t>
            </w:r>
          </w:hyperlink>
        </w:p>
        <w:p>
          <w:pPr>
            <w:pStyle w:val="Contents3"/>
            <w:tabs>
              <w:tab w:val="clear" w:pos="8459"/>
              <w:tab w:val="right" w:pos="9026" w:leader="dot"/>
            </w:tabs>
            <w:rPr/>
          </w:pPr>
          <w:hyperlink w:anchor="__RefHeading___Toc2580603_2870459653">
            <w:r>
              <w:rPr>
                <w:webHidden/>
                <w:rStyle w:val="IndexLink"/>
                <w:rtl w:val="true"/>
              </w:rPr>
              <w:t>المصادر والمراجع المعتمدة</w:t>
            </w:r>
            <w:r>
              <w:rPr>
                <w:rStyle w:val="IndexLink"/>
                <w:rtl w:val="true"/>
              </w:rPr>
              <w:tab/>
            </w:r>
            <w:r>
              <w:rPr>
                <w:rStyle w:val="IndexLink"/>
              </w:rPr>
              <w:t>298</w:t>
            </w:r>
          </w:hyperlink>
        </w:p>
        <w:p>
          <w:pPr>
            <w:pStyle w:val="Contents2"/>
            <w:tabs>
              <w:tab w:val="clear" w:pos="8743"/>
              <w:tab w:val="right" w:pos="9026" w:leader="dot"/>
            </w:tabs>
            <w:rPr/>
          </w:pPr>
          <w:hyperlink w:anchor="__RefHeading___Toc2580605_2870459653">
            <w:r>
              <w:rPr>
                <w:webHidden/>
                <w:rStyle w:val="IndexLink"/>
                <w:rtl w:val="true"/>
              </w:rPr>
              <w:t xml:space="preserve">قطعة من كتاب الإجارة للشيخ الأعظم قدس سره </w:t>
            </w:r>
            <w:r>
              <w:rPr>
                <w:rStyle w:val="IndexLink"/>
                <w:rtl w:val="true"/>
              </w:rPr>
              <w:t xml:space="preserve">- </w:t>
            </w:r>
            <w:r>
              <w:rPr>
                <w:rStyle w:val="IndexLink"/>
                <w:rtl w:val="true"/>
              </w:rPr>
              <w:t>السيد آصف اللعيبي</w:t>
            </w:r>
            <w:r>
              <w:rPr>
                <w:rStyle w:val="IndexLink"/>
                <w:rtl w:val="true"/>
              </w:rPr>
              <w:tab/>
            </w:r>
            <w:r>
              <w:rPr>
                <w:rStyle w:val="IndexLink"/>
              </w:rPr>
              <w:t>309</w:t>
            </w:r>
          </w:hyperlink>
        </w:p>
        <w:p>
          <w:pPr>
            <w:pStyle w:val="Contents3"/>
            <w:tabs>
              <w:tab w:val="clear" w:pos="8459"/>
              <w:tab w:val="right" w:pos="9026" w:leader="dot"/>
            </w:tabs>
            <w:rPr/>
          </w:pPr>
          <w:hyperlink w:anchor="__RefHeading___Toc2580607_2870459653">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2580609_2870459653">
            <w:r>
              <w:rPr>
                <w:webHidden/>
                <w:rStyle w:val="IndexLink"/>
                <w:rtl w:val="true"/>
              </w:rPr>
              <w:t>المقدمة</w:t>
            </w:r>
            <w:r>
              <w:rPr>
                <w:rStyle w:val="IndexLink"/>
                <w:rtl w:val="true"/>
              </w:rPr>
              <w:tab/>
            </w:r>
            <w:r>
              <w:rPr>
                <w:rStyle w:val="IndexLink"/>
              </w:rPr>
              <w:t>311</w:t>
            </w:r>
          </w:hyperlink>
        </w:p>
        <w:p>
          <w:pPr>
            <w:pStyle w:val="Contents4"/>
            <w:tabs>
              <w:tab w:val="clear" w:pos="8176"/>
              <w:tab w:val="right" w:pos="9026" w:leader="dot"/>
            </w:tabs>
            <w:rPr/>
          </w:pPr>
          <w:hyperlink w:anchor="__RefHeading___Toc2580611_2870459653">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2580613_2870459653">
            <w:r>
              <w:rPr>
                <w:webHidden/>
                <w:rStyle w:val="IndexLink"/>
                <w:rtl w:val="true"/>
              </w:rPr>
              <w:t>نبذة عن المصنف</w:t>
            </w:r>
            <w:r>
              <w:rPr>
                <w:rStyle w:val="IndexLink"/>
                <w:rtl w:val="true"/>
              </w:rPr>
              <w:tab/>
            </w:r>
            <w:r>
              <w:rPr>
                <w:rStyle w:val="IndexLink"/>
              </w:rPr>
              <w:t>314</w:t>
            </w:r>
          </w:hyperlink>
        </w:p>
        <w:p>
          <w:pPr>
            <w:pStyle w:val="Contents4"/>
            <w:tabs>
              <w:tab w:val="clear" w:pos="8176"/>
              <w:tab w:val="right" w:pos="9026" w:leader="dot"/>
            </w:tabs>
            <w:rPr/>
          </w:pPr>
          <w:hyperlink w:anchor="__RefHeading___Toc2580615_2870459653">
            <w:r>
              <w:rPr>
                <w:webHidden/>
                <w:rStyle w:val="IndexLink"/>
                <w:rtl w:val="true"/>
              </w:rPr>
              <w:t>وصف النسخة</w:t>
            </w:r>
            <w:r>
              <w:rPr>
                <w:rStyle w:val="IndexLink"/>
                <w:rtl w:val="true"/>
              </w:rPr>
              <w:tab/>
            </w:r>
            <w:r>
              <w:rPr>
                <w:rStyle w:val="IndexLink"/>
              </w:rPr>
              <w:t>315</w:t>
            </w:r>
          </w:hyperlink>
        </w:p>
        <w:p>
          <w:pPr>
            <w:pStyle w:val="Contents4"/>
            <w:tabs>
              <w:tab w:val="clear" w:pos="8176"/>
              <w:tab w:val="right" w:pos="9026" w:leader="dot"/>
            </w:tabs>
            <w:rPr/>
          </w:pPr>
          <w:hyperlink w:anchor="__RefHeading___Toc2580617_2870459653">
            <w:r>
              <w:rPr>
                <w:webHidden/>
                <w:rStyle w:val="IndexLink"/>
                <w:rtl w:val="true"/>
              </w:rPr>
              <w:t>عملنا في النسخة</w:t>
            </w:r>
            <w:r>
              <w:rPr>
                <w:rStyle w:val="IndexLink"/>
                <w:rtl w:val="true"/>
              </w:rPr>
              <w:tab/>
            </w:r>
            <w:r>
              <w:rPr>
                <w:rStyle w:val="IndexLink"/>
              </w:rPr>
              <w:t>316</w:t>
            </w:r>
          </w:hyperlink>
        </w:p>
        <w:p>
          <w:pPr>
            <w:pStyle w:val="Contents3"/>
            <w:tabs>
              <w:tab w:val="clear" w:pos="8459"/>
              <w:tab w:val="right" w:pos="9026" w:leader="dot"/>
            </w:tabs>
            <w:rPr/>
          </w:pPr>
          <w:hyperlink w:anchor="__RefHeading___Toc2580619_2870459653">
            <w:r>
              <w:rPr>
                <w:webHidden/>
                <w:rStyle w:val="IndexLink"/>
                <w:rtl w:val="true"/>
              </w:rPr>
              <w:t>قطعة من كتاب الإجارة</w:t>
            </w:r>
            <w:r>
              <w:rPr>
                <w:rStyle w:val="IndexLink"/>
                <w:rtl w:val="true"/>
              </w:rPr>
              <w:tab/>
            </w:r>
            <w:r>
              <w:rPr>
                <w:rStyle w:val="IndexLink"/>
              </w:rPr>
              <w:t>321</w:t>
            </w:r>
          </w:hyperlink>
        </w:p>
        <w:p>
          <w:pPr>
            <w:pStyle w:val="Contents4"/>
            <w:tabs>
              <w:tab w:val="clear" w:pos="8176"/>
              <w:tab w:val="right" w:pos="9026" w:leader="dot"/>
            </w:tabs>
            <w:rPr/>
          </w:pPr>
          <w:hyperlink w:anchor="__RefHeading___Toc2580621_2870459653">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2580623_2870459653">
            <w:r>
              <w:rPr>
                <w:webHidden/>
                <w:rStyle w:val="IndexLink"/>
                <w:rtl w:val="true"/>
              </w:rPr>
              <w:t>الإجارة عقد لازم</w:t>
            </w:r>
            <w:r>
              <w:rPr>
                <w:rStyle w:val="IndexLink"/>
                <w:rtl w:val="true"/>
              </w:rPr>
              <w:tab/>
            </w:r>
            <w:r>
              <w:rPr>
                <w:rStyle w:val="IndexLink"/>
              </w:rPr>
              <w:t>323</w:t>
            </w:r>
          </w:hyperlink>
        </w:p>
        <w:p>
          <w:pPr>
            <w:pStyle w:val="Contents4"/>
            <w:tabs>
              <w:tab w:val="clear" w:pos="8176"/>
              <w:tab w:val="right" w:pos="9026" w:leader="dot"/>
            </w:tabs>
            <w:rPr/>
          </w:pPr>
          <w:hyperlink w:anchor="__RefHeading___Toc2580625_2870459653">
            <w:r>
              <w:rPr>
                <w:webHidden/>
                <w:rStyle w:val="IndexLink"/>
                <w:rtl w:val="true"/>
              </w:rPr>
              <w:t>انفساخ الإجارة بالتقايل</w:t>
            </w:r>
            <w:r>
              <w:rPr>
                <w:rStyle w:val="IndexLink"/>
                <w:rtl w:val="true"/>
              </w:rPr>
              <w:tab/>
            </w:r>
            <w:r>
              <w:rPr>
                <w:rStyle w:val="IndexLink"/>
              </w:rPr>
              <w:t>324</w:t>
            </w:r>
          </w:hyperlink>
        </w:p>
        <w:p>
          <w:pPr>
            <w:pStyle w:val="Contents4"/>
            <w:tabs>
              <w:tab w:val="clear" w:pos="8176"/>
              <w:tab w:val="right" w:pos="9026" w:leader="dot"/>
            </w:tabs>
            <w:rPr/>
          </w:pPr>
          <w:hyperlink w:anchor="__RefHeading___Toc2580627_2870459653">
            <w:r>
              <w:rPr>
                <w:webHidden/>
                <w:rStyle w:val="IndexLink"/>
                <w:rtl w:val="true"/>
              </w:rPr>
              <w:t>عدم بطلان الإجارة بموت المؤجر أو المستأجر</w:t>
            </w:r>
            <w:r>
              <w:rPr>
                <w:rStyle w:val="IndexLink"/>
                <w:rtl w:val="true"/>
              </w:rPr>
              <w:tab/>
            </w:r>
            <w:r>
              <w:rPr>
                <w:rStyle w:val="IndexLink"/>
              </w:rPr>
              <w:t>325</w:t>
            </w:r>
          </w:hyperlink>
        </w:p>
        <w:p>
          <w:pPr>
            <w:pStyle w:val="Contents4"/>
            <w:tabs>
              <w:tab w:val="clear" w:pos="8176"/>
              <w:tab w:val="right" w:pos="9026" w:leader="dot"/>
            </w:tabs>
            <w:rPr/>
          </w:pPr>
          <w:hyperlink w:anchor="__RefHeading___Toc2580629_2870459653">
            <w:r>
              <w:rPr>
                <w:webHidden/>
                <w:rStyle w:val="IndexLink"/>
                <w:rtl w:val="true"/>
              </w:rPr>
              <w:t>عدم بطلان الإجارة بالبيع</w:t>
            </w:r>
            <w:r>
              <w:rPr>
                <w:rStyle w:val="IndexLink"/>
                <w:rtl w:val="true"/>
              </w:rPr>
              <w:tab/>
            </w:r>
            <w:r>
              <w:rPr>
                <w:rStyle w:val="IndexLink"/>
              </w:rPr>
              <w:t>329</w:t>
            </w:r>
          </w:hyperlink>
        </w:p>
        <w:p>
          <w:pPr>
            <w:pStyle w:val="Contents4"/>
            <w:tabs>
              <w:tab w:val="clear" w:pos="8176"/>
              <w:tab w:val="right" w:pos="9026" w:leader="dot"/>
            </w:tabs>
            <w:rPr/>
          </w:pPr>
          <w:hyperlink w:anchor="__RefHeading___Toc2580631_2870459653">
            <w:r>
              <w:rPr>
                <w:webHidden/>
                <w:rStyle w:val="IndexLink"/>
                <w:rtl w:val="true"/>
              </w:rPr>
              <w:t>العين المستأجرة أمانة في يد المستأجر</w:t>
            </w:r>
            <w:r>
              <w:rPr>
                <w:rStyle w:val="IndexLink"/>
                <w:rtl w:val="true"/>
              </w:rPr>
              <w:tab/>
            </w:r>
            <w:r>
              <w:rPr>
                <w:rStyle w:val="IndexLink"/>
              </w:rPr>
              <w:t>330</w:t>
            </w:r>
          </w:hyperlink>
        </w:p>
        <w:p>
          <w:pPr>
            <w:pStyle w:val="Contents4"/>
            <w:tabs>
              <w:tab w:val="clear" w:pos="8176"/>
              <w:tab w:val="right" w:pos="9026" w:leader="dot"/>
            </w:tabs>
            <w:rPr/>
          </w:pPr>
          <w:hyperlink w:anchor="__RefHeading___Toc2580633_2870459653">
            <w:r>
              <w:rPr>
                <w:webHidden/>
                <w:rStyle w:val="IndexLink"/>
                <w:rtl w:val="true"/>
              </w:rPr>
              <w:t>اشتراط ضمان العين المستأجرة</w:t>
            </w:r>
            <w:r>
              <w:rPr>
                <w:rStyle w:val="IndexLink"/>
                <w:rtl w:val="true"/>
              </w:rPr>
              <w:tab/>
            </w:r>
            <w:r>
              <w:rPr>
                <w:rStyle w:val="IndexLink"/>
              </w:rPr>
              <w:t>332</w:t>
            </w:r>
          </w:hyperlink>
        </w:p>
        <w:p>
          <w:pPr>
            <w:pStyle w:val="Contents4"/>
            <w:tabs>
              <w:tab w:val="clear" w:pos="8176"/>
              <w:tab w:val="right" w:pos="9026" w:leader="dot"/>
            </w:tabs>
            <w:rPr/>
          </w:pPr>
          <w:hyperlink w:anchor="__RefHeading___Toc2580635_2870459653">
            <w:r>
              <w:rPr>
                <w:webHidden/>
                <w:rStyle w:val="IndexLink"/>
                <w:rtl w:val="true"/>
              </w:rPr>
              <w:t>ما يثبت وما لا يثبت من الخيار في الإجارة</w:t>
            </w:r>
            <w:r>
              <w:rPr>
                <w:rStyle w:val="IndexLink"/>
                <w:rtl w:val="true"/>
              </w:rPr>
              <w:tab/>
            </w:r>
            <w:r>
              <w:rPr>
                <w:rStyle w:val="IndexLink"/>
              </w:rPr>
              <w:t>337</w:t>
            </w:r>
          </w:hyperlink>
        </w:p>
        <w:p>
          <w:pPr>
            <w:pStyle w:val="Contents4"/>
            <w:tabs>
              <w:tab w:val="clear" w:pos="8176"/>
              <w:tab w:val="right" w:pos="9026" w:leader="dot"/>
            </w:tabs>
            <w:rPr/>
          </w:pPr>
          <w:hyperlink w:anchor="__RefHeading___Toc2580637_2870459653">
            <w:r>
              <w:rPr>
                <w:webHidden/>
                <w:rStyle w:val="IndexLink"/>
                <w:rtl w:val="true"/>
              </w:rPr>
              <w:t>وقت دفع الأُجرة</w:t>
            </w:r>
            <w:r>
              <w:rPr>
                <w:rStyle w:val="IndexLink"/>
                <w:rtl w:val="true"/>
              </w:rPr>
              <w:tab/>
            </w:r>
            <w:r>
              <w:rPr>
                <w:rStyle w:val="IndexLink"/>
              </w:rPr>
              <w:t>337</w:t>
            </w:r>
          </w:hyperlink>
        </w:p>
        <w:p>
          <w:pPr>
            <w:pStyle w:val="Contents4"/>
            <w:tabs>
              <w:tab w:val="clear" w:pos="8176"/>
              <w:tab w:val="right" w:pos="9026" w:leader="dot"/>
            </w:tabs>
            <w:rPr/>
          </w:pPr>
          <w:hyperlink w:anchor="__RefHeading___Toc2580639_2870459653">
            <w:r>
              <w:rPr>
                <w:webHidden/>
                <w:rStyle w:val="IndexLink"/>
                <w:rtl w:val="true"/>
              </w:rPr>
              <w:t>حكم تبين عيب في الأُجرة</w:t>
            </w:r>
            <w:r>
              <w:rPr>
                <w:rStyle w:val="IndexLink"/>
                <w:rtl w:val="true"/>
              </w:rPr>
              <w:tab/>
            </w:r>
            <w:r>
              <w:rPr>
                <w:rStyle w:val="IndexLink"/>
              </w:rPr>
              <w:t>338</w:t>
            </w:r>
          </w:hyperlink>
        </w:p>
        <w:p>
          <w:pPr>
            <w:pStyle w:val="Contents4"/>
            <w:tabs>
              <w:tab w:val="clear" w:pos="8176"/>
              <w:tab w:val="right" w:pos="9026" w:leader="dot"/>
            </w:tabs>
            <w:rPr/>
          </w:pPr>
          <w:hyperlink w:anchor="__RefHeading___Toc2580641_2870459653">
            <w:r>
              <w:rPr>
                <w:webHidden/>
                <w:rStyle w:val="IndexLink"/>
                <w:rtl w:val="true"/>
              </w:rPr>
              <w:t>اخلال الأجير بالعمل في الوقت المعين</w:t>
            </w:r>
            <w:r>
              <w:rPr>
                <w:rStyle w:val="IndexLink"/>
                <w:rtl w:val="true"/>
              </w:rPr>
              <w:tab/>
            </w:r>
            <w:r>
              <w:rPr>
                <w:rStyle w:val="IndexLink"/>
              </w:rPr>
              <w:t>339</w:t>
            </w:r>
          </w:hyperlink>
        </w:p>
        <w:p>
          <w:pPr>
            <w:pStyle w:val="Contents4"/>
            <w:tabs>
              <w:tab w:val="clear" w:pos="8176"/>
              <w:tab w:val="right" w:pos="9026" w:leader="dot"/>
            </w:tabs>
            <w:rPr/>
          </w:pPr>
          <w:hyperlink w:anchor="__RefHeading___Toc2580643_2870459653">
            <w:r>
              <w:rPr>
                <w:webHidden/>
                <w:rStyle w:val="IndexLink"/>
                <w:rtl w:val="true"/>
              </w:rPr>
              <w:t>حكم ما لو شرط على المكاري سقوط الأجرة إذا لم يوصله</w:t>
            </w:r>
            <w:r>
              <w:rPr>
                <w:rStyle w:val="IndexLink"/>
                <w:rtl w:val="true"/>
              </w:rPr>
              <w:tab/>
            </w:r>
            <w:r>
              <w:rPr>
                <w:rStyle w:val="IndexLink"/>
              </w:rPr>
              <w:t>341</w:t>
            </w:r>
          </w:hyperlink>
        </w:p>
        <w:p>
          <w:pPr>
            <w:pStyle w:val="Contents4"/>
            <w:tabs>
              <w:tab w:val="clear" w:pos="8176"/>
              <w:tab w:val="right" w:pos="9026" w:leader="dot"/>
            </w:tabs>
            <w:rPr/>
          </w:pPr>
          <w:hyperlink w:anchor="__RefHeading___Toc2580645_2870459653">
            <w:r>
              <w:rPr>
                <w:webHidden/>
                <w:rStyle w:val="IndexLink"/>
                <w:rtl w:val="true"/>
              </w:rPr>
              <w:t>وجوب تسليم العوضين</w:t>
            </w:r>
            <w:r>
              <w:rPr>
                <w:rStyle w:val="IndexLink"/>
                <w:rtl w:val="true"/>
              </w:rPr>
              <w:tab/>
            </w:r>
            <w:r>
              <w:rPr>
                <w:rStyle w:val="IndexLink"/>
              </w:rPr>
              <w:t>343</w:t>
            </w:r>
          </w:hyperlink>
        </w:p>
        <w:p>
          <w:pPr>
            <w:pStyle w:val="Contents4"/>
            <w:tabs>
              <w:tab w:val="clear" w:pos="8176"/>
              <w:tab w:val="right" w:pos="9026" w:leader="dot"/>
            </w:tabs>
            <w:rPr/>
          </w:pPr>
          <w:hyperlink w:anchor="__RefHeading___Toc2580647_2870459653">
            <w:r>
              <w:rPr>
                <w:webHidden/>
                <w:rStyle w:val="IndexLink"/>
                <w:rtl w:val="true"/>
              </w:rPr>
              <w:t>ما يحصل به تسليم العمل المستأجر عليه</w:t>
            </w:r>
            <w:r>
              <w:rPr>
                <w:rStyle w:val="IndexLink"/>
                <w:rtl w:val="true"/>
              </w:rPr>
              <w:tab/>
            </w:r>
            <w:r>
              <w:rPr>
                <w:rStyle w:val="IndexLink"/>
              </w:rPr>
              <w:t>346</w:t>
            </w:r>
          </w:hyperlink>
        </w:p>
        <w:p>
          <w:pPr>
            <w:pStyle w:val="Contents4"/>
            <w:tabs>
              <w:tab w:val="clear" w:pos="8176"/>
              <w:tab w:val="right" w:pos="9026" w:leader="dot"/>
            </w:tabs>
            <w:rPr/>
          </w:pPr>
          <w:hyperlink w:anchor="__RefHeading___Toc2580649_2870459653">
            <w:r>
              <w:rPr>
                <w:webHidden/>
                <w:rStyle w:val="IndexLink"/>
                <w:rtl w:val="true"/>
              </w:rPr>
              <w:t>الرجوع الى أُجرة المثل عند بطلان الإجارة</w:t>
            </w:r>
            <w:r>
              <w:rPr>
                <w:rStyle w:val="IndexLink"/>
                <w:rtl w:val="true"/>
              </w:rPr>
              <w:tab/>
            </w:r>
            <w:r>
              <w:rPr>
                <w:rStyle w:val="IndexLink"/>
              </w:rPr>
              <w:t>350</w:t>
            </w:r>
          </w:hyperlink>
        </w:p>
        <w:p>
          <w:pPr>
            <w:pStyle w:val="Contents4"/>
            <w:tabs>
              <w:tab w:val="clear" w:pos="8176"/>
              <w:tab w:val="right" w:pos="9026" w:leader="dot"/>
            </w:tabs>
            <w:rPr/>
          </w:pPr>
          <w:hyperlink w:anchor="__RefHeading___Toc2580651_2870459653">
            <w:r>
              <w:rPr>
                <w:webHidden/>
                <w:rStyle w:val="IndexLink"/>
                <w:rtl w:val="true"/>
              </w:rPr>
              <w:t>ضمان العين المستأجرة في الإجارة الفاسدة</w:t>
            </w:r>
            <w:r>
              <w:rPr>
                <w:rStyle w:val="IndexLink"/>
                <w:rtl w:val="true"/>
              </w:rPr>
              <w:tab/>
            </w:r>
            <w:r>
              <w:rPr>
                <w:rStyle w:val="IndexLink"/>
              </w:rPr>
              <w:t>354</w:t>
            </w:r>
          </w:hyperlink>
        </w:p>
        <w:p>
          <w:pPr>
            <w:pStyle w:val="Contents4"/>
            <w:tabs>
              <w:tab w:val="clear" w:pos="8176"/>
              <w:tab w:val="right" w:pos="9026" w:leader="dot"/>
            </w:tabs>
            <w:rPr/>
          </w:pPr>
          <w:hyperlink w:anchor="__RefHeading___Toc2580653_2870459653">
            <w:r>
              <w:rPr>
                <w:webHidden/>
                <w:rStyle w:val="IndexLink"/>
                <w:rtl w:val="true"/>
              </w:rPr>
              <w:t>صحة استئجار العين المستأجرة</w:t>
            </w:r>
            <w:r>
              <w:rPr>
                <w:rStyle w:val="IndexLink"/>
                <w:rtl w:val="true"/>
              </w:rPr>
              <w:tab/>
            </w:r>
            <w:r>
              <w:rPr>
                <w:rStyle w:val="IndexLink"/>
              </w:rPr>
              <w:t>356</w:t>
            </w:r>
          </w:hyperlink>
        </w:p>
        <w:p>
          <w:pPr>
            <w:pStyle w:val="Contents4"/>
            <w:tabs>
              <w:tab w:val="clear" w:pos="8176"/>
              <w:tab w:val="right" w:pos="9026" w:leader="dot"/>
            </w:tabs>
            <w:rPr/>
          </w:pPr>
          <w:hyperlink w:anchor="__RefHeading___Toc2580655_2870459653">
            <w:r>
              <w:rPr>
                <w:webHidden/>
                <w:rStyle w:val="IndexLink"/>
                <w:rtl w:val="true"/>
              </w:rPr>
              <w:t>حكم الأجير الخاص</w:t>
            </w:r>
            <w:r>
              <w:rPr>
                <w:rStyle w:val="IndexLink"/>
                <w:rtl w:val="true"/>
              </w:rPr>
              <w:tab/>
            </w:r>
            <w:r>
              <w:rPr>
                <w:rStyle w:val="IndexLink"/>
              </w:rPr>
              <w:t>359</w:t>
            </w:r>
          </w:hyperlink>
        </w:p>
        <w:p>
          <w:pPr>
            <w:pStyle w:val="Contents4"/>
            <w:tabs>
              <w:tab w:val="clear" w:pos="8176"/>
              <w:tab w:val="right" w:pos="9026" w:leader="dot"/>
            </w:tabs>
            <w:rPr/>
          </w:pPr>
          <w:hyperlink w:anchor="__RefHeading___Toc2580657_2870459653">
            <w:r>
              <w:rPr>
                <w:webHidden/>
                <w:rStyle w:val="IndexLink"/>
                <w:rtl w:val="true"/>
              </w:rPr>
              <w:t>وقت استقرار ملكية الأجرة</w:t>
            </w:r>
            <w:r>
              <w:rPr>
                <w:rStyle w:val="IndexLink"/>
                <w:rtl w:val="true"/>
              </w:rPr>
              <w:tab/>
            </w:r>
            <w:r>
              <w:rPr>
                <w:rStyle w:val="IndexLink"/>
              </w:rPr>
              <w:t>364</w:t>
            </w:r>
          </w:hyperlink>
        </w:p>
        <w:p>
          <w:pPr>
            <w:pStyle w:val="Contents4"/>
            <w:tabs>
              <w:tab w:val="clear" w:pos="8176"/>
              <w:tab w:val="right" w:pos="9026" w:leader="dot"/>
            </w:tabs>
            <w:rPr/>
          </w:pPr>
          <w:hyperlink w:anchor="__RefHeading___Toc2580659_2870459653">
            <w:r>
              <w:rPr>
                <w:webHidden/>
                <w:rStyle w:val="IndexLink"/>
                <w:rtl w:val="true"/>
              </w:rPr>
              <w:t>حكم تلف العين المستأجرة قبل قبض المستأجر</w:t>
            </w:r>
            <w:r>
              <w:rPr>
                <w:rStyle w:val="IndexLink"/>
                <w:rtl w:val="true"/>
              </w:rPr>
              <w:tab/>
            </w:r>
            <w:r>
              <w:rPr>
                <w:rStyle w:val="IndexLink"/>
              </w:rPr>
              <w:t>366</w:t>
            </w:r>
          </w:hyperlink>
        </w:p>
        <w:p>
          <w:pPr>
            <w:pStyle w:val="Contents4"/>
            <w:tabs>
              <w:tab w:val="clear" w:pos="8176"/>
              <w:tab w:val="right" w:pos="9026" w:leader="dot"/>
            </w:tabs>
            <w:rPr/>
          </w:pPr>
          <w:hyperlink w:anchor="__RefHeading___Toc2580661_2870459653">
            <w:r>
              <w:rPr>
                <w:webHidden/>
                <w:rStyle w:val="IndexLink"/>
                <w:rtl w:val="true"/>
              </w:rPr>
              <w:t>حكم آلات الركوب على الدابة المستأجرة</w:t>
            </w:r>
            <w:r>
              <w:rPr>
                <w:rStyle w:val="IndexLink"/>
                <w:rtl w:val="true"/>
              </w:rPr>
              <w:tab/>
            </w:r>
            <w:r>
              <w:rPr>
                <w:rStyle w:val="IndexLink"/>
              </w:rPr>
              <w:t>367</w:t>
            </w:r>
          </w:hyperlink>
        </w:p>
        <w:p>
          <w:pPr>
            <w:pStyle w:val="Contents3"/>
            <w:tabs>
              <w:tab w:val="clear" w:pos="8459"/>
              <w:tab w:val="right" w:pos="9026" w:leader="dot"/>
            </w:tabs>
            <w:rPr/>
          </w:pPr>
          <w:hyperlink w:anchor="__RefHeading___Toc2580663_2870459653">
            <w:r>
              <w:rPr>
                <w:webHidden/>
                <w:rStyle w:val="IndexLink"/>
                <w:rtl w:val="true"/>
              </w:rPr>
              <w:t>المصادر والمراجع</w:t>
            </w:r>
            <w:r>
              <w:rPr>
                <w:rStyle w:val="IndexLink"/>
                <w:rtl w:val="true"/>
              </w:rPr>
              <w:tab/>
            </w:r>
            <w:r>
              <w:rPr>
                <w:rStyle w:val="IndexLink"/>
              </w:rPr>
              <w:t>368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76_119576"/>
      <w:bookmarkStart w:id="1" w:name="pg9076_119576"/>
      <w:bookmarkEnd w:id="1"/>
    </w:p>
    <w:p>
      <w:pPr>
        <w:pStyle w:val="Heading2"/>
        <w:numPr>
          <w:ilvl w:val="1"/>
          <w:numId w:val="1"/>
        </w:numPr>
        <w:rPr/>
      </w:pPr>
      <w:bookmarkStart w:id="2" w:name="pg9076_119576"/>
      <w:bookmarkStart w:id="3" w:name="__RefHeading___Toc2580327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مجلة تعنى بالأبحاث التخصصية في الحوزة العلمية</w:t>
      </w:r>
    </w:p>
    <w:p>
      <w:pPr>
        <w:pStyle w:val="BookText"/>
        <w:rPr/>
      </w:pPr>
      <w:r>
        <w:rPr>
          <w:rFonts w:ascii="Amiri" w:hAnsi="Amiri" w:eastAsia="Amiri" w:cs="Amiri"/>
          <w:color w:val="111111"/>
          <w:sz w:val="28"/>
          <w:sz w:val="28"/>
          <w:szCs w:val="28"/>
          <w:rtl w:val="true"/>
          <w:lang w:bidi="ar-SA"/>
        </w:rPr>
        <w:t xml:space="preserve">نصف سنوية تصدر عن المدرسة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p>
    <w:p>
      <w:pPr>
        <w:pStyle w:val="BookText"/>
        <w:rPr/>
      </w:pPr>
      <w:r>
        <w:rPr>
          <w:rFonts w:ascii="IRNazanin" w:hAnsi="IRNazanin" w:eastAsia="IRNazanin"/>
          <w:color w:val="111111"/>
          <w:sz w:val="28"/>
          <w:sz w:val="28"/>
          <w:szCs w:val="28"/>
          <w:rtl w:val="true"/>
          <w:lang w:bidi="fa-IR"/>
        </w:rPr>
        <w:t>العدد الرابع</w:t>
      </w:r>
    </w:p>
    <w:p>
      <w:pPr>
        <w:pStyle w:val="BookText"/>
        <w:rPr/>
      </w:pPr>
      <w:r>
        <w:rPr>
          <w:rFonts w:ascii="IRNazanin" w:hAnsi="IRNazanin" w:eastAsia="IRNazanin"/>
          <w:color w:val="111111"/>
          <w:sz w:val="28"/>
          <w:sz w:val="28"/>
          <w:szCs w:val="28"/>
          <w:rtl w:val="true"/>
          <w:lang w:bidi="fa-IR"/>
        </w:rPr>
        <w:t xml:space="preserve">رجب الأصب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80329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 w:name="pg9076_119579"/>
    </w:p>
    <w:p>
      <w:pPr>
        <w:pStyle w:val="Heading2"/>
        <w:numPr>
          <w:ilvl w:val="1"/>
          <w:numId w:val="1"/>
        </w:numPr>
        <w:rPr/>
      </w:pPr>
      <w:bookmarkStart w:id="8" w:name="__RefHeading___Toc2580331_2870459653"/>
      <w:bookmarkStart w:id="9" w:name="_Toc3"/>
      <w:bookmarkEnd w:id="7"/>
      <w:bookmarkEnd w:id="8"/>
      <w:r>
        <w:rPr>
          <w:rtl w:val="true"/>
        </w:rPr>
        <w:t>الأسس المعتمدة للنشر</w:t>
      </w:r>
      <w:bookmarkEnd w:id="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ترحب المجلة بإسهامات الباحثين الأفاضل في مختلف المجالات التي تهم طالب الأبحاث العليا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 والأُصول والرجال والحديث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المادة المُراد نشرها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مستوفية لأُصول البحث العلمي على مختلف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المنهجية والتوثيق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الأبحاث مكتوبة بخط واضح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الهوامش في أسفل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يتراوح حجم البحث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الوزيري بخطٍ متوسط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عن ذلك يمكن تقسيمه الى أكثر من حلقة شريطة أن تتسلَّمَ المجلةُ البحثَ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البحث قد نُشر أو أُرسل للنشر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يُذيَّلَ البحث بذكر المصادر التي اعتمدها الباحث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يخضع البحث لمراجعة هيئة استشارية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يُعاد إلى صاحبه سواء نُشر أم لم يُنشر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للمجلة حق إعادة نشر البحوث التي نشرتها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يخضع ترتيب البحوث المنشورة في المجلة لاعتبارات فنية لا علاقة لها بمكانة الكاتب أو أهمية الموضوع</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يُنشر في المجلة لا يعدو كونه مطارحات علمية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يُعبر بالضرورة عن رأي المجلة</w:t>
      </w:r>
      <w:r>
        <w:rPr>
          <w:rFonts w:eastAsia="Amiri" w:cs="Amiri" w:ascii="Amiri" w:hAnsi="Amiri"/>
          <w:color w:val="111111"/>
          <w:sz w:val="28"/>
          <w:szCs w:val="28"/>
          <w:rtl w:val="true"/>
          <w:lang w:bidi="ar-SA"/>
        </w:rPr>
        <w:t xml:space="preserve">. </w:t>
      </w:r>
      <w:bookmarkStart w:id="10" w:name="pg9076_119580"/>
    </w:p>
    <w:p>
      <w:pPr>
        <w:pStyle w:val="Heading2"/>
        <w:numPr>
          <w:ilvl w:val="1"/>
          <w:numId w:val="1"/>
        </w:numPr>
        <w:rPr/>
      </w:pPr>
      <w:bookmarkStart w:id="11" w:name="__RefHeading___Toc2580333_2870459653"/>
      <w:bookmarkStart w:id="12" w:name="_Toc4"/>
      <w:bookmarkEnd w:id="10"/>
      <w:bookmarkEnd w:id="11"/>
      <w:r>
        <w:rPr>
          <w:rtl w:val="true"/>
        </w:rPr>
        <w:t>مقدِّمة الطَّبعة الثَّانية</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قديماً عن النجاح في الأهداف الطموحة لغير الأفراد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ثمرة تعاون الأيدي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السر في تنامي الشُّعور بالثقة والأمل بمواصلة السعي في العمل الدؤوب في أعداد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بدا هذا التعاون من قبل الكتاب وهيأتي الإدارة والتحرير واللجنة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من نسيج حاضرة الحوزة العلمية المباركة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يتبلور في أعداد لفتت انتباه المختصين والمهتمين فأشاروا بالتقدير إلى الجهد النوعي المبذول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ذلك الاهتمام قد انعكس في الأوساط العلمية في الرغبة في زيادة كمية النسخ المطبوعة من أ ن أعداد المجلة حتى تكرّر الطلب بعد نفاد النسخ فلم يسعنا إِلَّا أَنْ نعيد طباعتها ثانيةً مع تصحيح ما فاتنا في الطبعة الأولى من أخطاء طباعية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وكلنا أمل في أن تقع موضع الرضا من عين القارئ اللبيب ونكون قد وافينا المتشوق لما تطلع إليه من مضمونها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علمية</w:t>
      </w:r>
      <w:r>
        <w:rPr>
          <w:rFonts w:eastAsia="Amiri" w:cs="Amiri" w:ascii="Amiri" w:hAnsi="Amiri"/>
          <w:color w:val="111111"/>
          <w:sz w:val="28"/>
          <w:szCs w:val="28"/>
          <w:rtl w:val="true"/>
          <w:lang w:bidi="ar-SA"/>
        </w:rPr>
        <w:t xml:space="preserve">) </w:t>
      </w:r>
      <w:bookmarkStart w:id="13" w:name="pg9076_119581"/>
    </w:p>
    <w:p>
      <w:pPr>
        <w:pStyle w:val="Heading2"/>
        <w:numPr>
          <w:ilvl w:val="1"/>
          <w:numId w:val="1"/>
        </w:numPr>
        <w:rPr/>
      </w:pPr>
      <w:bookmarkStart w:id="14" w:name="__RefHeading___Toc2580335_2870459653"/>
      <w:bookmarkStart w:id="15" w:name="_Toc5"/>
      <w:bookmarkEnd w:id="13"/>
      <w:bookmarkEnd w:id="14"/>
      <w:r>
        <w:rPr>
          <w:rtl w:val="true"/>
        </w:rPr>
        <w:t>محتويات العدد</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العدد</w:t>
      </w:r>
    </w:p>
    <w:p>
      <w:pPr>
        <w:pStyle w:val="BookText"/>
        <w:rPr/>
      </w:pPr>
      <w:r>
        <w:rPr>
          <w:rFonts w:ascii="Amiri" w:hAnsi="Amiri" w:eastAsia="Amiri" w:cs="Amiri"/>
          <w:color w:val="111111"/>
          <w:sz w:val="28"/>
          <w:sz w:val="28"/>
          <w:szCs w:val="28"/>
          <w:rtl w:val="true"/>
          <w:lang w:bidi="ar-SA"/>
        </w:rPr>
        <w:t xml:space="preserve">إدارة المجلة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زواج البكر الرشيدة بغير إذن الولي</w:t>
      </w:r>
    </w:p>
    <w:p>
      <w:pPr>
        <w:pStyle w:val="BookText"/>
        <w:rPr/>
      </w:pPr>
      <w:r>
        <w:rPr>
          <w:rFonts w:ascii="Amiri" w:hAnsi="Amiri" w:eastAsia="Amiri" w:cs="Amiri"/>
          <w:color w:val="111111"/>
          <w:sz w:val="28"/>
          <w:sz w:val="28"/>
          <w:szCs w:val="28"/>
          <w:rtl w:val="true"/>
          <w:lang w:bidi="ar-SA"/>
        </w:rPr>
        <w:t xml:space="preserve">السيد محمد رضا السيستاني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العمد بين الفقه الإسلامي وقانون العقوبات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الشيخ يحيى السعداوي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حدود مرجعية العرف</w:t>
      </w:r>
    </w:p>
    <w:p>
      <w:pPr>
        <w:pStyle w:val="BookText"/>
        <w:rPr/>
      </w:pPr>
      <w:r>
        <w:rPr>
          <w:rFonts w:ascii="Amiri" w:hAnsi="Amiri" w:eastAsia="Amiri" w:cs="Amiri"/>
          <w:color w:val="111111"/>
          <w:sz w:val="28"/>
          <w:sz w:val="28"/>
          <w:szCs w:val="28"/>
          <w:rtl w:val="true"/>
          <w:lang w:bidi="ar-SA"/>
        </w:rPr>
        <w:t xml:space="preserve">السيد محمد البكاء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المستمسك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الشيخ علي الغزي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الأقدم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المستخرَج من المصادر الفقهية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كريم مسير والشيخ شاكر المحمدي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آصف اللعيبي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bookmarkStart w:id="16" w:name="pg9076_119582"/>
    </w:p>
    <w:p>
      <w:pPr>
        <w:pStyle w:val="Heading2"/>
        <w:numPr>
          <w:ilvl w:val="1"/>
          <w:numId w:val="1"/>
        </w:numPr>
        <w:rPr/>
      </w:pPr>
      <w:bookmarkStart w:id="17" w:name="__RefHeading___Toc2580337_2870459653"/>
      <w:bookmarkStart w:id="18" w:name="_Toc6"/>
      <w:bookmarkEnd w:id="16"/>
      <w:bookmarkEnd w:id="17"/>
      <w:r>
        <w:rPr>
          <w:rtl w:val="true"/>
        </w:rPr>
        <w:t>كلمة العدد</w:t>
      </w:r>
      <w:bookmarkEnd w:id="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اليوم وبعد نجاح الأعداد التجريبية الثلاثة من المجلة وهو ما لمسناه من عموم رأي العلماء والفضلاء في النجف الأشرف وخارجها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آخذين بنظر الاعتبار والتبجيل ملاحظاتهم وتصويباتهم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عازمين على متابعة ما رسمناه في مواصلة إخراج العمل إلى الصورة التي تمثل وجهاً مشرقاً لمدينة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تيسّر لنا فتح أبواب المجلة للعلماء والفضلاء والباحثين الكرام من خارج المدرسة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الآخوند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يرغب بنشر بحوثه الواقعة ضمن دائرة موضوعاتها التخصصية بعد أن كان النشر مختصاً ببحوث روادها في الأعداد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نرحب بالأفكار والأنظار ممن يرغب أن يرى في يوم من الأيام مثالاً لعمل متكامل في أهدافه ومضمونه وهيئته فيؤثرنا بفكرة نطور بها واقع عملنا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يرشدنا لجهة في المجلة غفلنا عنها في وجودها ترقية للبحث أو تأدية لحق العلم أو مراعاة لمنهج التحقيق وإثراء لفن النشر، ما دامت الغاية هي الخروج بعمل ناضج يعود ريع نجاحه على كل مشتغل بعلم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المناهج والأصول الصحيحة التي نقحت طيلة العصور الماضية، ولا يزال العلماء والباحثون يوطدون أطنابها ويتقنون رسم فروعها بالمنهج العلمي الدقيق الرصين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مستغرباً لو قلنا بأننا لاحظنا في الأعداد السابقة رغبة من القراء في تتبع البحوث ذات الموضوعات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تلك التي تلامس اهتمام المتلقي والمهتم برأي الشريعة في أحكام تلك الموضوعات</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واقع الثقة برصيد مؤسستنا العلمية من العلم والتحقيق وجدية الباحثين وطول مدة تحصيلهم نتوقع منهم النجاح في المضي نحو رسم معالم واضحة لأمثال تلك الموضوعات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نجد أنفسنا معنية بدعوة الباحثين إلى معالجة ذلك النوع من البحوث ذي الموضوعات المتصفة بأنها تعكس جانباً من تحديات مشكلات العصر المتأخر ومفاهيمه المستحدثة للقواعد والأحكام الشرعية التي نعتقد أنها قادرة على ترويض مستجدات العصور وتحليل واقعها بالبحث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ليتضح غثها من سمينها وما يثري المجتمع الديني والإنساني عما لا يعود عليه إلاّ بالضرر والمخالفة لثوابت الدين أو قوانينه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للبحث في تلك الموضوعات من تنبيه للمُطالِع والمهتم بالثقافة الدينية إلى واقعية التشريعات الإسلامية ومرونتها في السلوك العام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للمسلم بسببه يتفهم قيام نظام تشريعي متكامل لديه ليسهم في رفع مستوى وعيه بالمسؤولية تجاه المحافظة على الالتزام الديني عقيدة وعملاً، خصوصاً نحن نعيش عصر العولمة التي يراد بها إخضاع مختلف الثقافات وقهرها أو تجميدها بالتأثير في معتنقيها وتجهيلهم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تنفيرهم منها، إلى الحدّ الذي يتمكنون من تلوين بعض أفكارهم وتسويقها فيأخذها من يأخذها ولا يعلم أنها تتنافى مع جانب من جوانب التزاماته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جانب العناية بالموضوعات المستجدة أو الحديثة في البحث الفقهي، فإن أنظارنا تتطلع نحو الباحثين ليرفدونا بموضوعات لا غنى للبحث العلمي عنها من قبيل بعض موضوعات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فيها شيء كثير من البحوث التطبيقية مما تظهر ثمرته في البحث الفقهي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علم الرجال والحديث فكثير من مسائلهما تحتاج إلى متابعة وتنقيح وتتبع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أصول هذين العلمين مبثوثة في كلمات الأعلام إلا أنَّ الكتب والبحوث التي تعالج تلك الموضوعات على نحو التحقيق والإتقان قليلة، فحريّ بالباحثين تتبع مهمات مسائل هذين العلمين وتكريس البحوث فيها بحسب ما استفادوه من دروس الأعلام في تنقيح الأسانيد ومعرفة حال الرجال الذين يدور حولهم البحث غالباً، كما ننتظر ظهور دراسات جادة في جوامع حديثنا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طرق مؤلفيها في الوصول إلى المصادر التي جمعوا كتبهم منها وحال أسانيدهم إليها، والإلماع </w:t>
      </w:r>
    </w:p>
    <w:p>
      <w:pPr>
        <w:pStyle w:val="BookText"/>
        <w:rPr/>
      </w:pPr>
      <w:r>
        <w:rPr>
          <w:rFonts w:ascii="Amiri" w:hAnsi="Amiri" w:eastAsia="Amiri" w:cs="Amiri"/>
          <w:color w:val="111111"/>
          <w:sz w:val="28"/>
          <w:sz w:val="28"/>
          <w:szCs w:val="28"/>
          <w:rtl w:val="true"/>
          <w:lang w:bidi="ar-SA"/>
        </w:rPr>
        <w:t>إلى بعض الأسرار والعلل التي تتضمنها ثنايا هذه الكتب والتي لا تظهر إلا بالبحث والتمحيص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نرى أن مقتضى الإنصاف التقدم بالشكر التام لمقام الهيئة العلمية لما أولته من رعاية للبحوث العلمية المقدَّمة والنظر فيها وتقييم استيفائها للنصاب العلمي مع ما يقتضيه حرصهم العالي على إنضاج جهد الباحث من صرف أوقاتهم العزيزة في مراجعة البحوث وتقييمها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منهم بضرورة تشجيع وتبنّي مجهود الباحثين وتطويره ليواكب الحركة العلمية العامة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منَّا خالص الامتنان والدعاء بالموفقية وتسنّم مراقي العلم والعمل بما يرفع أقدارهم عند ربهم جزاء أنهم لم يبغوا بذلك غير وجهه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ننسى أن نشكر الأفاضل المساهمين بجزء من وقتهم وطاقاتهم من أصحاب البحوث المنشورة في هذا العدد من أجل ديمومة ظهور أعداد المجلة بالمستوى الذي تعوّد عليه المتابعون والقرّاء الكرام من خلال بحوثهم التي يطرزون بها صفحات المجلة لتكون ظاهرة معروفة لمحبي المعرفة ورواد الفضيلة، ونأمل أن نرى في الأعداد المقبلة كتابات أهل الفضل وأساتذة البحث الذين تؤم طلبة العلم بحوثهم وتستفيد من نمير علومهم لتكون مشاركتهم في المجلة حسنة من حسناتهم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وأثراً آخراً يتركونه من آثار سعيهم العلمي، كما يكونون بذلك قدوة لطلبتهم في الاهتمام بجانب الكتابة والبحث كما هم قدوة لهم في صالح توجهاتهم وأفعالهم، وليحرص أهل الفضل من الطلبة للعكوف على تنمية الاهتمام بالعلم والأفكار ما داموا يرون أساتذتهم ينحون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ويؤمّون هذا الشطر الذي ما انفككنا في كل مناسبة أن ننبه على أهميته وعظيم عائدته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إدارة المجلة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غرة رجب الأصب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9076_119586"/>
      <w:bookmarkStart w:id="20" w:name="pg9076_119586"/>
      <w:bookmarkEnd w:id="20"/>
    </w:p>
    <w:p>
      <w:pPr>
        <w:pStyle w:val="Heading2"/>
        <w:numPr>
          <w:ilvl w:val="1"/>
          <w:numId w:val="1"/>
        </w:numPr>
        <w:rPr/>
      </w:pPr>
      <w:bookmarkStart w:id="21" w:name="pg9076_119586"/>
      <w:bookmarkStart w:id="22" w:name="__RefHeading___Toc2580339_2870459653"/>
      <w:bookmarkStart w:id="23" w:name="_Toc7"/>
      <w:bookmarkEnd w:id="21"/>
      <w:bookmarkEnd w:id="22"/>
      <w:r>
        <w:rPr>
          <w:rtl w:val="true"/>
        </w:rPr>
        <w:t xml:space="preserve">زواج البكر الرشيدة بغير إذن الولي </w:t>
      </w:r>
      <w:r>
        <w:rPr>
          <w:rtl w:val="true"/>
        </w:rPr>
        <w:t xml:space="preserve">- </w:t>
      </w:r>
      <w:r>
        <w:rPr>
          <w:rtl w:val="true"/>
        </w:rPr>
        <w:t>السيد محمد رضا السيستاني</w:t>
      </w:r>
      <w:bookmarkEnd w:id="23"/>
    </w:p>
    <w:p>
      <w:pPr>
        <w:pStyle w:val="Heading3"/>
        <w:numPr>
          <w:ilvl w:val="2"/>
          <w:numId w:val="1"/>
        </w:numPr>
        <w:rPr/>
      </w:pPr>
      <w:bookmarkStart w:id="24" w:name="__RefHeading___Toc2580341_2870459653"/>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يتناول البحث مسألة مهمة من المسائل الفقهية التي هي محل ابتلاء المؤمنين وموضع اهتمام أهل العلم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 البكر الرشيدة بغير إذن 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اختلفت فيها الروايات الواردة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واختلفت لذلك أنظار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التعامل معها، فتعددت أقوالهم و رَبَت عمدتها على الخمسة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والبحث الذي بين أيدينا معنيّ في الأساس بتسليط الضوء على دليل التفصيل الذي تبنّاه بعض مراجع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البكر المستقلة في شؤون حياتها عن أبويها وبين غير المستقلة، والذي لم يسبقه إليه أحد فيما نعلم، وقد أُعدّ هذا البحث قبل سنوات 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واتيح لنا الاطلاع عليه في الآونة الأخيرة فاستأذنا في نشره تعميماً للفائدة</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اللهمّ عليكَ توكّلت وإليك أنبت وإليك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اختلف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ولاية الأب والجد من طرف الأب على البكر البالغة الرشيدة في أمر زواجها على أقوال أهمّها ما 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استقلالهما، أي الأب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الدوام والمتعة، باستقلالها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التشريك، بمعنى اعتبار إذن الولي والبنت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كل من الولي والبكر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تبنّاه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واختاره أيضاً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وأضاف أن للأب نقض نكاح البنت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النكاح صحيحاً في نفسه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أبداه سيدي الأستاذ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ما إذا كانت البكر مستقلة عن أبويها في شؤون حياتها، بحيث تتصدّى هي لأمورها فتكون لها الولاية في أمر زواجها أيضاً بلا حاجة إلى إذن الأب أو الجد، وبين أن لا تكون كذلك، فتكون الولاية لأبيها وجدّها ولا يعتبر إذنها</w:t>
      </w:r>
      <w:r>
        <w:rPr>
          <w:rFonts w:eastAsia="Amiri" w:cs="Amiri" w:ascii="Amiri" w:hAnsi="Amiri"/>
          <w:color w:val="111111"/>
          <w:sz w:val="28"/>
          <w:szCs w:val="28"/>
          <w:rtl w:val="true"/>
          <w:lang w:bidi="ar-SA"/>
        </w:rPr>
        <w:t xml:space="preserve">. </w:t>
      </w:r>
      <w:bookmarkStart w:id="26" w:name="pg9076_119589"/>
    </w:p>
    <w:p>
      <w:pPr>
        <w:pStyle w:val="BookText"/>
        <w:rPr/>
      </w:pPr>
      <w:bookmarkEnd w:id="26"/>
      <w:r>
        <w:rPr>
          <w:rFonts w:ascii="Amiri" w:hAnsi="Amiri" w:eastAsia="Amiri" w:cs="Amiri"/>
          <w:color w:val="111111"/>
          <w:sz w:val="28"/>
          <w:sz w:val="28"/>
          <w:szCs w:val="28"/>
          <w:rtl w:val="true"/>
          <w:lang w:bidi="ar-SA"/>
        </w:rPr>
        <w:t>ولبيان ما هو الحق من هذه الأقوال ينبغي البحث في مقامين</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580343_2870459653"/>
      <w:bookmarkStart w:id="28" w:name="_Toc9"/>
      <w:bookmarkEnd w:id="27"/>
      <w:r>
        <w:rPr>
          <w:rtl w:val="true"/>
        </w:rPr>
        <w:t>المقام الأوّل</w:t>
      </w:r>
      <w:bookmarkEnd w:id="28"/>
    </w:p>
    <w:p>
      <w:pPr>
        <w:pStyle w:val="BookText"/>
        <w:rPr/>
      </w:pPr>
      <w:r>
        <w:rPr>
          <w:rFonts w:ascii="Amiri" w:hAnsi="Amiri" w:eastAsia="Amiri" w:cs="Amiri"/>
          <w:color w:val="111111"/>
          <w:sz w:val="28"/>
          <w:sz w:val="28"/>
          <w:szCs w:val="28"/>
          <w:rtl w:val="true"/>
          <w:lang w:bidi="ar-SA"/>
        </w:rPr>
        <w:t>هل يحقّ للأب أو الجد من طرف الأب أن يزوّج البكر البالغة الرشيدة من دون إذنها، بل ولو كانت كارهة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يحق لهما ذلك إلاّ برضاها؟</w:t>
      </w:r>
    </w:p>
    <w:p>
      <w:pPr>
        <w:pStyle w:val="BookText"/>
        <w:rPr/>
      </w:pPr>
      <w:r>
        <w:rPr>
          <w:rFonts w:ascii="IRNazanin" w:hAnsi="IRNazanin" w:eastAsia="IRNazanin"/>
          <w:color w:val="111111"/>
          <w:sz w:val="28"/>
          <w:sz w:val="28"/>
          <w:szCs w:val="28"/>
          <w:rtl w:val="true"/>
          <w:lang w:bidi="fa-IR"/>
        </w:rPr>
        <w:t>اختار جمع من الفقهاء منهم صاحب الحدائق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أنّ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تزويج ابنته البكر من دون رضاها، واستندوا في ذلك إلى جملة من الروايات، وفيما يلي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الجارية يزوجها أبوها بغير رضا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لها مع أبيها أمر، إذا أنكحها جاز نكاحه وإن كانت كارهة</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تُستأمر الجارية إذا كانت بين أبويها، ليس لها مع الأب أمر،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يستأمرها كل أحد ما عدا الأب</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عبيد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سندها القاسم بن سليمان وهو لم يوثّق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تُستأمر الجارية في ذلك إذا كانت بين أبويها، فإذا كانت ثيّباً فهي أولى بنفسها</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فضل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تُستأمر الجارية التي بين أبويها إذا أراد أبوها أن يزوّجها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أنظر لها، وأمّا الثيّب فإنّها تُستأذن وإن </w:t>
      </w:r>
    </w:p>
    <w:p>
      <w:pPr>
        <w:pStyle w:val="BookText"/>
        <w:rPr/>
      </w:pPr>
      <w:r>
        <w:rPr>
          <w:rFonts w:ascii="Amiri" w:hAnsi="Amiri" w:eastAsia="Amiri" w:cs="Amiri"/>
          <w:color w:val="111111"/>
          <w:sz w:val="28"/>
          <w:sz w:val="28"/>
          <w:szCs w:val="28"/>
          <w:rtl w:val="true"/>
          <w:lang w:bidi="ar-SA"/>
        </w:rPr>
        <w:t>كانت بين أبويها إذا أرادا أن يزوّجاها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البكر إذا بلغت مبلغ النساء ألها مع أبيها أمر؟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لها مع أبيها أمر ما لم تكبر</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الصحيحة موردها البكر، كما أنّ مورد موثقة فضل بن عبد الملك ورواية عبيد بن زرارة أيضاً ذلك، بقرينة المقابلة مع الثيّب في ذيلهما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صحيحتا الحلبي ومحمد بن مسلم فهما مطلقتان تشملان البكر والثيب، فيجب تقييدهما بالروايات المتضافرة الدالة على عدم ولاية الأب على الثيّب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عمدة الروايات</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التي يمكن الاستدلال بها لصاحب الحدائق ومن وافقه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رواية أخرى أوردها الحرّ العاملي نقلاً عن الشيخ بإسناده الصحيح عن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البكر إذا بلغت مبلغ النساء ألها مع أبيها 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لها مع أبيها أمر مالم تثيب</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المُعلّق على الوسائل لم يعثر على هذه الرواية في التهذيب، كما لم أعثر عليها فيه، والظاهر أنها سهو من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المتن المذكور فيها بعينه هو المتن المذكور في رواية عبد الله بن الصلت المتقدمة، والمُلاحِظ للتهذيب يجد أن رواية ابن الصلت مذكورة فيه عقيب رواية الحلبي بالإسناد المذكور في الوسائل، فيطمأن بذلك أنّ الحرّ العاملي قد سها في المقام، فألحق هذا المتن بذلك السند، وأثبت الرواية 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ففي الروايات المتقدمة غنىً وكفاية لهذا القول، إلا أنه قد أورد على الاستدلال بها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الأستاذ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من أنّ هذه الروايات مُعارَضة بجملة من الروايات الدالّة على لزوم استشارة البكر وعدم استقلال الأب في أمرها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تُستأمر البكر وغيرها ولا تنكح إلا بأمرها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بها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ولكنّه تنبّه لاحقاً للمناقشة في هذا الاستدلال فأفاد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تصلح للاستدلال لكونها مطلقة فتقيّد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محمد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يستأمرها كل أحد عدا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معتبرة منصور وصحيحة محمد بن مسلم عموم من وجه كما لا يخفى، فلا تصلح الأخيرة لأن تكون مقيّدة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موثّقة فضل بن عبد الملك وصحيحة عبد الله بن الصلت تصلحان لذلك 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استشار عبد الرحمن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تزويج ابنته لابن أخيه،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ويكون ذلك برضاها، فإن لها في نفسها 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واستشار خالد بن داود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تزويج ابنته عليَّ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ويكون ذلك برضاها فإنّ لها في نفسها حظّاً</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لها في نفسها 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عدم استقلالية الأب وكون بعض الأمر بيدها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يمكن فرضه إلا في البكر </w:t>
      </w:r>
    </w:p>
    <w:p>
      <w:pPr>
        <w:pStyle w:val="BookText"/>
        <w:rPr/>
      </w:pPr>
      <w:r>
        <w:rPr>
          <w:rFonts w:ascii="Amiri" w:hAnsi="Amiri" w:eastAsia="Amiri" w:cs="Amiri"/>
          <w:color w:val="111111"/>
          <w:sz w:val="28"/>
          <w:sz w:val="28"/>
          <w:szCs w:val="28"/>
          <w:rtl w:val="true"/>
          <w:lang w:bidi="ar-SA"/>
        </w:rPr>
        <w:t>الرشيدة البالغة، فإنّ الثيّب تمام أمرها بيدها، كما أنّ القاصرة ليس لها من الأمر شيء، فيتعيّن أن يكون مورد الصحيحة هي البكر الرشيدة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معارضة لصحيحة الحلبي وما ضاهاها من الروايات الدالة على استقلالية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الرجوع إلى ما تقتضيه قواعد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تعذّر الجمع الدلالي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معتبرة صفوان موافقة للكتاب ومخالفة لما هو المشهور بين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مرجّحة على تلك الروايات مع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ترجّحها عليها فالجميع يسقط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النوبة إلى الأصل ومقتضاه عدم نفوذ تصرف أحد بالنسبة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يلاحظ على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الدلالي بين الطائفتين ممكن، فلا يصل الأمر إلى إعمال المرجّحات، لأنّ دلالة صحيحة الحلبي على استقلالية الأب بالنصوصية، ودلالة معتبرة صفوان على التشريك بالظهور</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الفارق بين النص والظاهر هو أنّ الظاهر يمكن صرفه عن معناه إلى معنى آخر بقرينة متصلة بخلاف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دلّ دليل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بأكل الجري وإن كان مكروهاً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نصّاً في كراهته، ولكن لو كان الدليل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 أن تأكله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ظاهراً في هذا المعنى، لإمكان صرف ظهوره من الإباحة على كراهة إلى التحريم لو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عقبه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عليّاً قد حرّمه وعاقب على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والمقام من هذا القبيل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الحلبي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نكحها جاز نكاحه وإن كانت كارهة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في استقلال الأب، وأمّا قوله في معتبرة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ويكون ذلك برضاها فإن لها في نفسها 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صريحاً في التشريك، بل ظاهر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لإمكان صرفه عن المعنى المذكور لو تعقبه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فيحسن بك أن لا تخالف هواها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رفع اليد عن ظهور الثانية بصراحة الأولى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الملاحظة لا تتم على مبنى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فإنّه يشترط في الجمع الدلالي المقبول ان يفرض الدليلان المنفصلان متصلين ومجتمعين في كلام واحد، فإن </w:t>
      </w:r>
    </w:p>
    <w:p>
      <w:pPr>
        <w:pStyle w:val="BookText"/>
        <w:rPr/>
      </w:pPr>
      <w:r>
        <w:rPr>
          <w:rFonts w:ascii="IRNazanin" w:hAnsi="IRNazanin" w:eastAsia="IRNazanin"/>
          <w:color w:val="111111"/>
          <w:sz w:val="28"/>
          <w:sz w:val="28"/>
          <w:szCs w:val="28"/>
          <w:rtl w:val="true"/>
          <w:lang w:bidi="fa-IR"/>
        </w:rPr>
        <w:t xml:space="preserve">كان في نظر العرف بمثابة القرينة و ذيها، فكان احدهما مانعاً عن انعقاد الظهور في الآخر وشارحاً للمراد منه كما في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ثمّة معارضة وكانت القرينية محفوظة في ظرف الانفصال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عُدّا في نظر العرف متباينين وكان الصدر والذيل متهافتين فلا جرم تستقر المعارضة في البين لدى الانفصال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أنّه لو جمع بين ما ورد في صحيحة الحلبي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أنكحها جاز نكاحه وإن كانت كارهة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معتبرة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ذلك برضاها فإن لها في نفسها 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الكلام في نظر العرف متهافتاً ومتناقضاً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معتبرة صفوان رواية واحدة تدلّ على عدم استقلالية الأب، وفي مقابلها روايات كثيرة تدلّ على الاستقلالية، بحيث يقطع بصدور بعضها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رفع اليد عن مظنون الصدور في مقابل مقطوعه، ولا تصل النوبة الى إعمال المرجحات كما بنى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الأصول</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الجواب عن هذه 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الروايات الدالّة على استقلاليّة الأب منها ما دلّت على ذلك بالصراحة كصحيحة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دلّت عليه بالإطلاق، وهي ما تضمنت نفي الأمر عنها، وأنه ليس لها مع أبيها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أعم من نفي استقلالها في الأمر ونفي مشاركتها فيه، فتقيّد بمعتبرة صفوان الدالّة على اشتراكهما في الأمر، فلا يبقى إلا ما دلّت على استقلالية الأب وليست هي من الكثرة بحدّ يقطع بصدور بعضها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ولكنّ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لأنّ ما دلّ على أنّه ليس لها مع أبيها أمر ظاهرٌ ظهوراً لا يقبل التأويل في أنّه لا يحقّ لها معارضة أبيها في أمر زواجها، فكيف يحمل على اشتراكهما في الأمر؟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الأولى أن يقال ان الروايات الدالة على استقلالية الأب لا تتجاوز السبع ولا قطع بصدور بعضها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تبلغ حد التضافر فضلاً عن التواتر </w:t>
      </w:r>
    </w:p>
    <w:p>
      <w:pPr>
        <w:pStyle w:val="BookText"/>
        <w:rPr/>
      </w:pP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صحيحة زرارة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ينقض النكاح إلاّ الأب</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وصحيحة محمد بن مسلم التي هي بمضمونها أيضاً</w:t>
      </w:r>
      <w:r>
        <w:rPr>
          <w:rStyle w:val="FootnoteAnchor"/>
          <w:rtl w:val="true"/>
        </w:rPr>
        <w:footnoteReference w:id="21"/>
      </w:r>
      <w:r>
        <w:rPr>
          <w:rFonts w:ascii="IRNazanin" w:hAnsi="IRNazanin" w:eastAsia="IRNazanin"/>
          <w:color w:val="111111"/>
          <w:sz w:val="28"/>
          <w:sz w:val="28"/>
          <w:szCs w:val="28"/>
          <w:rtl w:val="true"/>
          <w:lang w:bidi="fa-IR"/>
        </w:rPr>
        <w:t>وقال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المراد بالنقض فيهما ما يقابل الإبرام الشأني لا الإبرام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استنتج من ذلك دلالتهما على اشتراك الأب والبنت في أمر زواجهما، ولم يوضّح كيفية ترتّب هذه النتيجة على ذلك الأساس، فإنّ الصحّة التأهلية الشأنية لا تختص بعقد البكر على تقدير مشاركتها مع أبيها في أمر زواجها، بل هذه الشأنية ثابتة لعقدها حتى مع استقلال الأب، شأنه شأن كل عقد 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على القول باستقلال الأب، أم مشاركته معها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فضولي بالنسبة إلى الأب، ويحتاج في صحّته إلى إجازته، فإن كان هذا المقدار كافياً في صدق النقض على ردّه لم يفرق بين القولين، وإن لم يكن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فالتفريق بينهما تحكّم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سيدي الاستاذ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بعض تلكم الروايات الدالّة على استقلالية الأب وإن دلّت على استقلاله مطلقاً كصحيحتي الحلبي، وعبد الله بن الصلت، إلاّ أن بعضها الآخر كصحيحة محمد بن مسلم، وموثّقه فضل بن عبد الملك، ورواية عبيد بن زرارة دلّت على ولايته بالاستقلال في خصوص البكر التي بين أبويها لا مطلقاً، فيجب تقييد صحيحتي الحلبي وابن الصلت بمفهوم الشرط في صحيحة محمد بن مسلم، ورواية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الوصف في موثقة فضل بن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ونتيجة ذلك هي التفصيل بين البكر التي بين أبويها، فتثبت للأب الولاية في تزويجها وإن كانت كارهة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البكر التي لا تكون كذلك، فلا ولاية للأب عليها على 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الولاية عليها مشاركة معها أم أن البنت مستقلّة حينئذٍ؟</w:t>
      </w:r>
    </w:p>
    <w:p>
      <w:pPr>
        <w:pStyle w:val="BookText"/>
        <w:rPr/>
      </w:pPr>
      <w:r>
        <w:rPr>
          <w:rFonts w:ascii="Amiri" w:hAnsi="Amiri" w:eastAsia="Amiri" w:cs="Amiri"/>
          <w:color w:val="111111"/>
          <w:sz w:val="28"/>
          <w:sz w:val="28"/>
          <w:szCs w:val="28"/>
          <w:rtl w:val="true"/>
          <w:lang w:bidi="ar-SA"/>
        </w:rPr>
        <w:t>هذه الروايات ساكتة عن ذلك، فينبغي الرجوع إلى سائر روايات الباب، ليرى هل أنّ فيها ما يعيّن أحد الوجهين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لذلك في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أنّ مبنى التفصيل المذكور هو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جملة من نصوص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كموثقه الفضل بن عبد الملك ورواية عبيد بن زرارة وصحيحة محمد بن مسلم ورواية ابراهيم بن ميمون ومرسلة ابي سعيد وروايته الاخرى ورواية الحلبي</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استقلال البكر عن أبويها في شؤون حياتها في مقابل المالكة لأمرها، وهذا ما يحتاج الى التوضيح،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المقصود بالتعبير المذكور عدّة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الفتاة التي يكون أبواها على قيد الحياة في مقابل التي فقدت أبويها، فاللفظ المذكور نظير قوله في معتبرة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البكر التي لها 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الفتاة البكر في مقابل الثيّب والمزوجة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الفتاة التي تعيش تحت رعاية أبويها، ولا تستقل عنهما في شؤونها الحياتية في مقابل المستقلّة عنهما في 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الاحتمال الأول هو الذي فهمه جمهور الفقهاء والمحدّثين من التعبير المذكور، ولكنّ هذا الاحتمال ضعيف من عدّة وجوه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كون الفتاة بين أبويها معنى أخصّ من كون أبويها على قيد الحياة؛ لأنّ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أبويها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معنى الرعاية والحضانة، ومن هنا ورد في معتبرة داود بن الحصين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دام الولد في الرضاع فهو بين الأبوين بالسوية</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أي تكون حضانته مشتركة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فالفتاة التي تعيش مستقلّة عن أبويها ولا تشملها رعايتهما في شؤون معيشتها، لا يصدق عليها أنها بين أبويها، فلا يكون هذا تعبيراً مناسباً عن كون أبويها حيّين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 لا دخل لها في أمر زواج البنت بلا إشكال، فأيّ وجه لاعتبار حياتها فيما رتبت من الأحكام في هذه 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الاحتمال لا ينسجم مع بعض تلكم الروايات،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الفضل بن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تُستأمر الجارية التي بين أبويها إذا أراد أبوها أن يزوجّها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الموثّقة بناءً على الاحتمال المذكور تتضمّن تكراراً غير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يكفي أن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تُستأمر الجارية إذا أراد أبوها أن يزوّجها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الاحتمال الثاني فهو الذي تناسبه روايتا عبيد بن زرارة وابراهيم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تُستأمر الجارية في ذلك إذا كانت بين 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ثيّباً فهي أولى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الجارية بين أبويها فليس لها مع أبويها أمر، وإذا كانت قد تزوجت لم يزوجها إلا برضاها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المقابلة في الروايتين كون المراد بالجارية التي بين أبويها هي البكر في مقابل الثيّب والمزوّجة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يضعّف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الروايتين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لموثقة الفضل، فإنّه قد ورد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الثيّب فإنّها تستأذن وإن كانت بين أبويها إذا أرادا أن يزوّجاها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تنسجم معه روايتا أبي سعيد ورواية الحلبي فإنّ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الأبكار اللواتي بين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بكر بين 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 إذا كانت بين أبويها</w:t>
      </w:r>
      <w:r>
        <w:rPr>
          <w:rFonts w:eastAsia="Amiri" w:cs="Amiri" w:ascii="Amiri" w:hAnsi="Amiri"/>
          <w:color w:val="111111"/>
          <w:sz w:val="28"/>
          <w:szCs w:val="28"/>
          <w:rtl w:val="true"/>
          <w:lang w:bidi="ar-SA"/>
        </w:rPr>
        <w:t xml:space="preserve">). </w:t>
      </w:r>
      <w:bookmarkStart w:id="29" w:name="pg9076_119597"/>
    </w:p>
    <w:p>
      <w:pPr>
        <w:pStyle w:val="BookText"/>
        <w:rPr/>
      </w:pPr>
      <w:bookmarkEnd w:id="29"/>
      <w:r>
        <w:rPr>
          <w:rFonts w:ascii="Amiri" w:hAnsi="Amiri" w:eastAsia="Amiri" w:cs="Amiri"/>
          <w:color w:val="111111"/>
          <w:sz w:val="28"/>
          <w:sz w:val="28"/>
          <w:szCs w:val="28"/>
          <w:rtl w:val="true"/>
          <w:lang w:bidi="ar-SA"/>
        </w:rPr>
        <w:t xml:space="preserve">وأمّا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استقلالها عنهما في شؤون حياتها، وكونها في كنف رعايتهما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مضافاً إلى تعينه بالنظر إلى بطلان الاحتمالين الأولين على ما سبق وعدم وجود احتمال آخر يناسب الروايات المذكورة مما تقتضيه المقابلة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المالكة لأمرها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الوجه الصحيح في تفسيره كما سيأتي</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580345_2870459653"/>
      <w:bookmarkStart w:id="31" w:name="_Toc10"/>
      <w:bookmarkEnd w:id="30"/>
      <w:r>
        <w:rPr>
          <w:rtl w:val="true"/>
        </w:rPr>
        <w:t>المقام الثاني</w:t>
      </w:r>
      <w:bookmarkEnd w:id="31"/>
    </w:p>
    <w:p>
      <w:pPr>
        <w:pStyle w:val="BookText"/>
        <w:rPr/>
      </w:pPr>
      <w:r>
        <w:rPr>
          <w:rFonts w:ascii="Amiri" w:hAnsi="Amiri" w:eastAsia="Amiri" w:cs="Amiri"/>
          <w:color w:val="111111"/>
          <w:sz w:val="28"/>
          <w:sz w:val="28"/>
          <w:szCs w:val="28"/>
          <w:rtl w:val="true"/>
          <w:lang w:bidi="ar-SA"/>
        </w:rPr>
        <w:t>هل يحق للبكر البالغة الرشيدة أن تتزوّج من دون إذن أبيها وجدّها لأبيها، أوليس لها ذلك إلا بإذن أحدهما؟</w:t>
      </w:r>
    </w:p>
    <w:p>
      <w:pPr>
        <w:pStyle w:val="BookText"/>
        <w:rPr/>
      </w:pPr>
      <w:r>
        <w:rPr>
          <w:rFonts w:ascii="Amiri" w:hAnsi="Amiri" w:eastAsia="Amiri" w:cs="Amiri"/>
          <w:color w:val="111111"/>
          <w:sz w:val="28"/>
          <w:sz w:val="28"/>
          <w:szCs w:val="28"/>
          <w:rtl w:val="true"/>
          <w:lang w:bidi="ar-SA"/>
        </w:rPr>
        <w:t xml:space="preserve">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ذلك، أي أنّها مستقلّة في أمر زواجها كما هي كذلك في سائر شؤون حياتها، وقد استدلّ لذلك بعدّة 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سعدان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بتزويج البكر إذا رضيت بغير إذن أبيها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وسعدان هذا لم يوثّق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روى عنه صفوان كتابه</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فهو موثق بناء على ما ذكره الشيخ في العدة</w:t>
      </w:r>
      <w:r>
        <w:rPr>
          <w:rStyle w:val="FootnoteAnchor"/>
          <w:rtl w:val="true"/>
        </w:rPr>
        <w:footnoteReference w:id="27"/>
      </w:r>
      <w:r>
        <w:rPr>
          <w:rFonts w:ascii="Amiri" w:hAnsi="Amiri" w:eastAsia="Amiri" w:cs="Amiri"/>
          <w:color w:val="111111"/>
          <w:sz w:val="28"/>
          <w:sz w:val="28"/>
          <w:szCs w:val="28"/>
          <w:rtl w:val="true"/>
          <w:lang w:bidi="ar-SA"/>
        </w:rPr>
        <w:t>من أن صفوان ممن عُرفوا بأنﻫم لا يروون ولا يُرسلون إلا عن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يبقى الاشكال في سند الرواية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يخلو عن شائبة الارسال؛ لأنها مروية في موضعين من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يحرز كون الرواية مسندة ليعتمد عليها، وأما احتمال التعدد فهو ضعيف جداً كما لا يخفى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أبي سعيد القماط عمن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جارية بكر بين أبويها تدعوني إلى نفسها سرّاً من أبويها فأفعل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 موضع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رضيت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رضيت فإنه عار على الأبكار</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التمتع من البكر إذا كانت بين أبويها بلا إذن أبويها؟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يقتض ما هناك لتعف بذلك</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بالروايتين الأخيرتين مبنيّ على التعدّي عن موردهما وهو المتعة</w:t>
      </w:r>
      <w:r>
        <w:rPr>
          <w:rStyle w:val="FootnoteAnchor"/>
          <w:rtl w:val="true"/>
        </w:rPr>
        <w:footnoteReference w:id="31"/>
      </w:r>
      <w:r>
        <w:rPr>
          <w:rFonts w:ascii="Amiri" w:hAnsi="Amiri" w:eastAsia="Amiri" w:cs="Amiri"/>
          <w:color w:val="111111"/>
          <w:sz w:val="28"/>
          <w:sz w:val="28"/>
          <w:szCs w:val="28"/>
          <w:rtl w:val="true"/>
          <w:lang w:bidi="ar-SA"/>
        </w:rPr>
        <w:t>إلى الدائم، 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منع التعدي إذ لا جزم بعدم الخصوصية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هاتين الروايتين لا يمكن الاعتماد عليهما بوجه لضعف سندهما من جهة محمد بن سنان الراوي عن أبي سعيد</w:t>
      </w:r>
      <w:r>
        <w:rPr>
          <w:rStyle w:val="FootnoteAnchor"/>
          <w:rtl w:val="true"/>
        </w:rPr>
        <w:footnoteReference w:id="3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غير موثّق على الصحيح، مضافاً إلى إرسال </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ظنّ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أنّ سند الرواية الثانية التي ابتدأها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سعيد غير سند الرواية الأولى، فأشكل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بجهالة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بجهالة الطريق إليه، ولكن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 لاحظ الوسائل</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ولو رجع إلى التهذيب لبان له أنّ سند الثانية معلّق على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الروايتين ضعيفتا السند فلا عبرة بهما، مضافاً إلى معارضتهما</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جواز النكاح من البكر بلا إذن أبويها بشرط عدم الدخول إلى أحد الأمور الأربعة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تحقق العلقة الزوجية مشروطاً بعدم تحقق الدخول على 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أنّه لو تم الدخول بعد العقد برضا الزوجة أو من دون رضاها كشف ذلك عن عدم تحقق العلقة الزوجية من الأول، وهذا مما يبعد الالتزام به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تحقق العلقة الزوجية منوطاً باشتمال العقد على اشتراط 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أنّه إذا اشترطت المرأة على الرجل عدم الدخول بها صحّ العقد وإلا لم يصح، ولا فرق في صحة العقد على الاشتراط بين تحقق الدخول بعد العقد برضا الزوجة وتنازلها عن شرطها، أو من دون رضاها، وبين عدم تحقق الدخول رعاية للشرط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تحقق العلقة الزوجية منوطاً بشيء، ولكن يحرم على الزوج الدخول بالمتمتع بها إذا كانت بكراً وإن رضيت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السابق نفسه مع كون الدخول بها مكروهاً لا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الحلبي توافق الاحتمال الأول كما أنّ مرسلة أبي سعيد القماط توافق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غضّ النظر عمّا ورد في ذيل الأولى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ذيل الثانية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عارٌ على الأبكار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بالنظر إلى الذيلين المذكورين فالأنسب بالروايتين هو الاحتمال الرابع، فيستقر التعارض بينهما و بين صحيحة البزنطي و معتبرة أبي مريم، وأمّا الاحتمال الثاني فلا يناسبه شيء من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موردهما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بصحيحة البزنطي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البكر لا تتزوج</w:t>
      </w:r>
    </w:p>
    <w:p>
      <w:pPr>
        <w:pStyle w:val="BookText"/>
        <w:rPr/>
      </w:pPr>
      <w:r>
        <w:rPr>
          <w:rFonts w:ascii="Amiri" w:hAnsi="Amiri" w:eastAsia="Amiri" w:cs="Amiri"/>
          <w:color w:val="111111"/>
          <w:sz w:val="28"/>
          <w:sz w:val="28"/>
          <w:szCs w:val="28"/>
          <w:rtl w:val="true"/>
          <w:lang w:bidi="ar-SA"/>
        </w:rPr>
        <w:t>متعة إلا بإذن أبيها</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ومعتبرة أبي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العذراء التي لها أب لا تتزوج متعة إلا بإذن أبيها</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الفضلاء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المرأة التي قد ملكت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السفيهة ولا المولّى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تزويجها بغير ولي جائز</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سندها عن مناقشة</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ويمكن الجواب عنه بأنّه ممدوح مدحاً معتدّاً به، فقد 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وجوه المتكلمين من أصحابنا، وهذا المقدار يكفي في الاعتماد على روايته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مشايخ ابن أبي عمير وصفوان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إمارات الوثاقة على ما حقّق في محلّه، ولكنه مخدوش بأنهما أقدم طبقة من أن يرويا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الثابت روايته عن أولهما أي ابن أبي عمير في عدّة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1509</w:t>
      </w:r>
      <w:r>
        <w:rPr>
          <w:rFonts w:ascii="Amiri" w:hAnsi="Amiri" w:eastAsia="Amiri" w:cs="Amiri"/>
          <w:color w:val="111111"/>
          <w:sz w:val="28"/>
          <w:sz w:val="28"/>
          <w:szCs w:val="28"/>
          <w:rtl w:val="true"/>
          <w:lang w:bidi="ar-SA"/>
        </w:rPr>
        <w:t>، نعم ظاهر سند رواية منصور بن حازم المروية في الوسائل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أبي عمير عن علي بن إسماعيل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الصحيح كما يعلم بمراجعة مصدرها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عنه فيها هو الحسين بن سعيد الذي له عنه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مقتضى سند الصدوق في المشيخة إلى علي بن إسماعيل الميثمي ثبوت رواية صفوان بن يحيى عنه، ولكنه غير تام أيضاً كما سيتضّح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هذه الراوية في التهذيب مبتدئاً باسم علي بن إسماعيل الميثمي ولم يذكر سنده إليه في المشيخة ولا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مرسلة لا عبرة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العروة الوثقى كتاب الاجارة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هذه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للصدوق طريقاً صحيحاً إليه في مشيخة الفقيه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سعد بن عبد الله عن محمد بن الحسين بن أبي الخطاب عن صفوان بن يحيى عن علي بن إسماعيل الميثمي،</w:t>
      </w:r>
      <w:r>
        <w:rPr>
          <w:rFonts w:eastAsia="Amiri" w:cs="Amiri" w:ascii="Amiri" w:hAnsi="Amiri"/>
          <w:color w:val="111111"/>
          <w:sz w:val="28"/>
          <w:szCs w:val="28"/>
          <w:rtl w:val="true"/>
          <w:lang w:bidi="ar-SA"/>
        </w:rPr>
        <w:t xml:space="preserve">&gt; &lt; </w:t>
      </w:r>
      <w:r>
        <w:rPr>
          <w:rFonts w:ascii="Amiri" w:hAnsi="Amiri" w:eastAsia="Amiri" w:cs="Amiri"/>
          <w:color w:val="111111"/>
          <w:sz w:val="28"/>
          <w:sz w:val="28"/>
          <w:szCs w:val="28"/>
          <w:rtl w:val="true"/>
          <w:lang w:bidi="ar-SA"/>
        </w:rPr>
        <w:t>كما أنّ طريق الشيخ إلى مرويات الصدوق معتبر، فيكون للشيخ طريق معتبر إلى علي بن إسماعيل الميثمي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مخدوش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طريق الصدوق في المشيخة إلى أيّ راوٍ إنّما هو طريق إلى مرويات ذلك الراوي في الفقيه، وليس إلى جميع كتبه ومصنفاته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طريق للشيخ إلى ما رواه عنه الصدوق في الفقيه لا يصحح روايته الأخرى المروية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الظاهر أن الطريق المذكور في المشيخة إنّما هو طريق إلى علي بن اسماعيل الدغشي لا الميثمي، أي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المشيخة مصحفة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 صفوان بن يحيى أعلى طبقة من علي بن اسماعيل الميثمي، فلا يناسب روايته عنه، ولم نجد ذلك فيما بأيدينا من مصادر الحديث إلا في السند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فإنّه قد وردت رواية صفوان بن يحيى عن علي بن اسماعيل الدغشي في بعض الموارد، منها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 ومنها في 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يظنّ قويّاً 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 الفقيه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وفي 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التصحيف وقع في مصدر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بالذكر أنّ رواية الفقيه المشار إليها قد أوردها في الوسائل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عقاب الاعمال بسند آخر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التقييد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النسخة المطبوعة من 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القيد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كونه إضافة من بعض النساخ بملاحظة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عدم معلومية سند الشيخ إلى علي بن إسماعيل الميثمي مبنيّ على أنّه أخذ الرواية المذكورة وغيرها ممّا ابتدأ أسانيدها باسمه في بابي النكاح والطلاق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تزيد على عشرين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كتابي علي بن اسماعيل في هذين الموضوعين، وقد ذكرهما النجاشي في ترجمته وإن لم يذكرهما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الاحتمال لا يخلو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الملاحظ أنّ الشيخ قد ذكر في المشيخة أسانيده إلى ما كان لديه من الكتب حين تأليف التهذيب، وما ابتدأ فيه بأسماء رواة لم يذكر طرقه إليهم في المشيخة إنّما أخذه من سائر المصادر التي كانت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 للممارس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والمظنون قويّاً أنّه أخذ روايات علي بن إسماعيل الميثمي من كتاب الحسين بن سعيد الذي روى عنه عن علي بن إسماعيل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وربّما أخذ بعضها من كتاب محمد بن أحمد بن يحيى الذي روى عنه عن علي بن إسماعيل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إلى كلا الكتابين معتبر، و يحتمل بعيداً أنه أخذ بعضها من كتب محمد ابن علي بن محبوب أو سعد بن عبد الله أو محمد بن الحسن الصفار الذين أخذ بعض روايات علي ابن إسماعيل من كتبهم كما يظهر بتتبع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طرقه إلى كتب هؤلاء معتبرة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يبعد تمامية سند الشيخ إلى علي بن إسماعيل الميثمي فيما ابتدأ باسمه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الملاحظ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اغفل احياناً ذكر طريقه في المشيخة الى بعض المصادر التي اعتمد عليها في ابواب معينة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كنوادر الحج ليعقوب بن يزيد الذي روى عنه في باب الحج على ما تقتضيه 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يحتمل أنّه اعتمد على كتاب علي بن اسماعيل في باب النكاح والطلاق وإن لم يذكر طريقه اليه في المشيخة، فلا سبيل الى اعتبار سند ما يرويه مبتدءاً باسمه في هذين البابين فليتأمل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كانت المرأة مالكة أمرها، تبيع وتشتري، وتعتق وتشهد، وتعطي من مالها ما شاءت،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فإنّ أمرها جائز، تزوج إن شاءت بغير إذن وليّها، وإن لم تكن كذلك فلا يجوز تزويجها إلا بأمر وليّها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الرحمن بن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المرأة من شاءت إذا كانت مالكة لأمرها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شاءت جعلت وليّاً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سندها المعلى بن محمد وسيأتي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الجواب عن هذه الروايات الثلاث موقفان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وآخرين،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للحكم بجواز التزويج من دون إذن الوليّ في هذه الروايات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أعمّ من البكر والثيّب، فيجب تخصيص الروايات الثلاث بصحيحة ابن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تنكح ذوات الآباء من الأبكار إلا بإذن آبائهن</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مبنيٌّ على أن يكون المقصود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مالكة لأمرها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يتراءى منه في بادئ النظر، أي المرأة التي قد ملكت أمرها ونفسها شرعاً بأن لا يكون عليها وليّ في غير النكاح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ما سيأتي من سيدي الأستاذ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الكلمة فلا تكون النسبة بين الروايات المذكورة وصحيحة ابن أبي يعفور عموماً وخصوصاً مطلقاً كما سيتّضح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بنى عليه سيدي الأستاذ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ملكت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مالكة لأمرها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ما ورد في جملة من النصوص كصحيحة محمد بن مسلم وموثقة فضل بن عبد الملك من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التي بين 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وأفاد أنّ المراد بالمالكة لأمرها هي التي ملكت نفسها عملاً وممارسةً لا شرعاً فقط، أي أنها التي تكون مستقلّة في أمور حياتها، وتتصدّى لها بنفسها فتبيع وتشتري وتعتق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المعنى الذي أبداه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النسبة بين الروايات الثلاث المتقدمة، وصحيحة ابن أبي يعفور عموماً وخصوصاً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فتتعارضان في البكر التي قد ملكت نفسها، فإنّ مقتضى تلكم الروايات صحّة زواجها بدون إذن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صحيحة ابن أبي يعفور عدم الصحّة، وحينئذٍ يمكن تقديم الروايات الثلاث على هذه الصحيحة في المجمع، نظراً إلى القاعدة الأصولية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متى ما كان إلحاق مورد التعارض بين العامين من وجه بأحدهما موجباً لإلغاء العنوان المأخوذ في الثاني عن الموضوعية لزم أن يفعل العكس، ومقامنا من هذا القبيل فإنّه إذا حكم بلزوم الاستئذان من الأب في البكر التي قد ملكت نفسها، فلا محالة يسقط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مالكة لأمرها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الموضوعية بالمرة، إذ تكون العبرة إمّا بكون المرأة بكراً فلا يصح نكاحها إلا بإذن أبيها سواءا كانت مالكة لأمرها أم لا، أو بكونها ثيّباً فيكون أمرها بيدها سواء أكانت مالكة لنفسها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يتعيّن تقديم صحيحة الفضلاء وما ضاهاها من الروايات على صحيحة ابن أبي يعفور في مورد الاجتماع، فتكون النتيجة استقلال البكر التي قد ملكت نفسها من دون ولاية الأب عليها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ومع الغض عمّا ذكر وفرض عدم وجود مرجح دلالي في المقام، فالمرجحات الخارجية من موافقة الكتاب ومخالفة العامّة تقتضي ترجيح صحيحة </w:t>
      </w:r>
    </w:p>
    <w:p>
      <w:pPr>
        <w:pStyle w:val="BookText"/>
        <w:rPr/>
      </w:pPr>
      <w:r>
        <w:rPr>
          <w:rFonts w:ascii="Amiri" w:hAnsi="Amiri" w:eastAsia="Amiri" w:cs="Amiri"/>
          <w:color w:val="111111"/>
          <w:sz w:val="28"/>
          <w:sz w:val="28"/>
          <w:szCs w:val="28"/>
          <w:rtl w:val="true"/>
          <w:lang w:bidi="ar-SA"/>
        </w:rPr>
        <w:t xml:space="preserve">الفضلاء وما ماثلها، ومع الغض عن ذلك أيضاً فان المرجع بعد التساقط هو الاطلاقات المقتضية لصحة العقد و لو من دون إذن الأب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هناك موقفان في الجواب عن صحيحة الفضلاء وما ضاهاها من الروايات الدالة على إن للمرأة إذا كانت مالكة لأمرها أن تتزوج من دون إذن أبيها، وترجيح أحد الموقفين على الآخر يتوقف على تعيين ما هو الصحيح في تفسير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مالكة لأمرها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فيه 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المراد به من لا وليّ عليها في سائر أمورها عدا النكاح، وهي البالغة الرشيدة، والوجه في استثناء النكاح منها أنه لولا ذلك لكان ثبوت الحكم فيها ضرورياً ولم تكن حاجة إلى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أيضاً من أنّ المقصود به من تتصدّى عملياً لأمور حياتها مستقلّة عن أبويها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بعضهم من أنّ المراد به من لا أب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آخر من أنّ المراد به الثيّب، ولعلّه بقرينة الروايات الدالّة على أنّ الثيّب أملك بنفسها، أو أن أمرها إليها كما في صحيح الحلبي</w:t>
      </w:r>
      <w:r>
        <w:rPr>
          <w:rStyle w:val="FootnoteAnchor"/>
          <w:rtl w:val="true"/>
        </w:rPr>
        <w:footnoteReference w:id="44"/>
      </w:r>
      <w:r>
        <w:rPr>
          <w:rFonts w:ascii="Amiri" w:hAnsi="Amiri" w:eastAsia="Amiri" w:cs="Amiri"/>
          <w:color w:val="111111"/>
          <w:sz w:val="28"/>
          <w:sz w:val="28"/>
          <w:szCs w:val="28"/>
          <w:rtl w:val="true"/>
          <w:lang w:bidi="ar-SA"/>
        </w:rPr>
        <w:t>وصحيح ابن أبي نصر</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ومعتبرة عبد الرحمن بن أبي عبد الله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هذا الاحتمال الأخير ضعيف جداً و لاسيما في صحيحة الفضلاء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التي قد ملكت نفسها غير السفيهة ولا المولّى عليها إنّ تزويجها بغير ولي جائز</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 بناء عليه تصبح هذه الصحيحة من قبيل القضايا الضروريّة بشرط المحمول كقولنا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الكاتب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في ذلك أن التعبير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قد ملكت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بعناية عدم وجود وليّ عليها في أمر الزواج، فكأن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التي لا وليّ عليها في أمر زواجها يصحّ زواجها بغير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يمكن الالتزام به، فإنّه يفسد معنى الرواية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ترجيح الاحتمال المذكور استناداً إلى ما ذكره بعض اللغويين من أنّ العرب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مُلكّت أو أُملكت فلانة أمرها إذا طلّقت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فلا يمكن المساعدة عليه أيضاً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كون المراد بالمطلّقة في النص اللغوي المذكور المرأة الثيّب وهو غير مناسب، لأنّ النسبة بينهما عموم وخصوص من وجه، فقد يجتمعان كما في المطلّقة بعد الدخول، وقد يفترقان كما في البكر إذا طلّقت قبل الدخول، وفي المتوفّى عنها زوجها 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أن تفسّر المالكة لأمرها بالثيّب استناداً إلى النص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المالكة لأمرها على المطلّقة إنّما هو بعناية أنّها قد خرجت عن سلطان الزوج، واستعادت حريتها بالطلاق، وليس بعناية أنّها حرّة في أن تتزوج ممّن تشاء، فإنه قد تكون المطلّقة غير مدخول بها فتكون بكراً عرفاً وشرعاً، ولا يجوز لمثلها الزواج من غير إذن أبيها أو جدّها لأبيها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ويوضّح هذا بجلاء رواية عبد الرحمن بن أبي عبد الله؛ فإنّ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عجل الدم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أيام قرئها؟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قبل عشرة أيّام فهو أملك بها، وهو من الحيضة التي طهرت منها، وإن كان الدم بعد العشرة أيّام فهو من الحيضة الثالثة وهي أملك بنفسها</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المقابلة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 </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أملك بنفسها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كالنص في أن هذه الملكية ملكية نسبية إضافية لا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ذلك فلا يمكن أن يفسّر بالمطلّقة ما ورد في نصوص الباب من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ملكت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المالكة لأمرها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ملكية المرأة أمرها قد تحدث بفعل الزوج، كما في موارد الطلاق وما 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 بفعل المرأة نفسها كما في مورد فسخها النكاح لعيب أو نحوه، وقد تحدث بعامل خارجي كما في مورد وفاة الزوج وصيرورة المرأة 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 اللغوي المذكور ناظر إلى المورد الأول؛ لأنه ورد في تفسير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امرأة أمرها، أو أُملكت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التعدّي عنه إلى مطلق الموارد التي تملك المرأة نفسها، أو تصبح مالكة لأمرها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مطلق المرأة الثيّب الخلية عن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التعبيرين المذكورين الواردين في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يتجلّى أن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ملكت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الفضلاء بالثيّب كما تبناه بعضهم مّما لا يمكن المساعدة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أرجح الاحتمالات الأربعة المتقدمة هو الاحتمال الثاني لوجهين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زرارة المار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منها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تبيع وتشتري وتعتق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مالكة لأمرها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،فيبطل الاحتمالان الثالث و الرابع كما يبطل الاحتمال الأول أيضاً ويتعيّن الاحتمال الثاني، نظراً إلى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التصدي الخارجي للبيع والشراء والعتق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موضّحاً للمراد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مالكة لأمرها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استحقاقها لذلك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لها أن تبيع وتشتري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يقتضيه الاحتمال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أبي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الجارية البكر التي لها أب لا تتزوّج إلا بإذن أبيها،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مالكة لأمرها تزوجت متى شاءت</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الاستشهاد بها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ظاهرها أن مرجع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البكر التي لها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وحينئذٍ فلا يمكن أن يُراد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مالكة لأمرها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التي لا أب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الاحتمالين الثالث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يصح أن يُراد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البالغة الرشيدة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الاحتمال الأول، وذلك لاستلزامه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البكر التي لها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الصغيرة أو السفيهة أو المجنونة، وهذا غير ممكن؛ لأنّه يستلزم إلغاء خصوصيّة البكر المأخوذة فيه نظراً إلى أنّ أمر الصغيرة والسفيهة والمجنونة إلى أبيها سواء أكانت بكراً أم ثيّباً، فيتعيّن إذاً أن يكون المقصود به ما ذكر في الاحتمال الثاني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يناقش في سند رواية أبي مريم هذه نظراً إلى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وهو ممن لم يوثق، بل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مضطرب الحديث والمذهب، 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حديثه وينكر ويروي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يبعد الاعتماد على رواياته، فإنّ النجاشي وصف كتبه بأنّها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يخرّج –أي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الأرجح من الأقوال المتقدمة هو ما اختاره سيدي الاستاذ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المستقلّة في شؤون حياتها عن أبويها وغيرها، فيجوز للمستقلة أن تتزوج من دون إذن أبيها، ولا يجوز لأبيها أن يزوجها من دون رضاها، وأمّا غير المستقلة فلا يجوز لها أن تتزوج من دون إذن أبيها، ويجوز لأبيها أن يزوجها من دون رضاها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احتاط لزوماً بأن لا تتزوج المستقلة من دون إذن أبيها، وأن لا يزوّج الأب غير المستقلّة من دون 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يوجّه الاحتياط في الموردين بالنظر إلى معتبرة صفوان التي ورد فيها أن لها في نفسها نصيباً، حيث يدلّ على اشتراك الأمر بينها وبين أبيها، فلا يجوز للأب أن يزوّجها من دون رضاها، كما أنه ليس لها أن تتزوج من 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هذه المعتبرة تحكي قضيتين في واقعتين ولا إطلاق لهما، فيحتمل أن يكون موردهما غير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يكون موردهما المستقلة، ويحتمل أيضاً أن يكون مورد إحداهما المستقلة والأخرى غير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التقدير الأول تعارض ما دلّ على استقلال الأب في غير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 الثاني تعارض ما دلّ على ولاية المستقلة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 الثالث تعارض كلتا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لم يثبت مرجّح واضح للطائفتين على المعتبرة، وكان الاحتياط في الفروج أمراً مطلوباً شرعاً بشكل مؤكد يتّجه الاحتياط في المسألة على النحو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معتبرة صفوان ليست نصاً في التشريك بل أقصى الأمر ظهورها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يمكن أن تحمل على مورد كون البكر غير مستقلة في شؤونها ويبنى على استحباب استحصال الاب رضاها لو أراد أن يزوجها وذلك من جهة صحيحة محمد بن مسلم وغيرها مما هي نص في عدم اعتبار رضاها إذا كان ابوها هو الذي يزوجها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تقدّم عن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ضابط الجمع الدلالي المقبول من اشتراط امكان الجمع بين الروايتين في كلام واحد فهو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يعدّ من قبيل القرينة الشارحة لمراد المتكلم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ينصبه المتكلم للقرينية فيكون ناظراً الى كلامه الآخر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ومبيناً للمراد منه ولأجل ذلك لا يتنافران لو اجتمعا في كلام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يعتبره العرف قرينة على مراد المتكلم من كلامه الآخر من دون أن يكون ناظراً إليه ولذلك لا يشترط صحّة الجمع بينهما في كلام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النحو الاول وجود مزية دلالية للقرينة على ذي القرينة فتتقدم عليه وإن كانت اضعف ظهوراً بخلاف النحو الثاني فإنه منوط بوجود المزية الدلالية بأحد النحوين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الدليل الأول ظاهراً في مدلوله مع إمكان صرفه عنه وحمله على معنى غير مُستبعَد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الثاني نصاً في مدلوله بحيث لا يمكن تأويله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الدليل الأول ظاهراً على النحو المذكور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الدليل الثاني ظاهراً في مدلوله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بنحو غير قابل للتأويل إلا بوجه مُستبعَد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هذين الموردين يجعل الدليل الثاني قرينة على التصرف في الدليل الأول ولا يبقى العرف متحيّراً في استكشاف مراد المُتكلم من الدليلين، بخلاف ما إذا كان كل من الدليلين نصاً في مدلوله او كان كلاهما ظاهراً بنحو قابل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الجمع بين القرينة وذي القرينة في كلام واحد من خصائص القرينة المنصوبة من قبل المتكلم للقرينية ولا تجري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تقدم أن مقتضى الصناعة حمل معتبرة صفوان على ما لا ينافي الذي ُنصّ عليه في صحيحة محمد بن مسلم وغيرها من استقلال الاب في تزويج البكر غير المستقلة في شؤونها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فإنّ احتياط سيدي الاستاذ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تتزوج البكر المستقلة من دون اذن أبيها و أن لا يُزوّج الاب غير المستقلة من دون رضاها كان ينبغي أن يكون احتياطاً استحبابياً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احتاط وجوباً تجنّباً عن الفتوى بالتفصيل المذكور الذي لم يظهر قائل به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جمعاً من الفقهاء منهم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قد ذهب إلى صحّة نكاح البكر الرشيدة من دون إذن وليّها،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للأب حق النقض استناداً إلى ما ورد في صحيحتي زرارة ومحمد بن مسلم</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من أنّه لا ينقض النكاح إلاّ الأب، بتقريب أن النقض لا يكون إلا بالنسبة إلى الأمر المبرم، فمفاد الصحيحتين صحّة نكاح البنت من دون إذن الأب، وإنّما يحقّ للأب نقض النكاح وإبطاله بعد أن كان صحيحاً، ويظهر الفرق بينه وبين القول باعتبار إذن الأب فيما إذا لم يبطل الأب نكاح بنته البكر لأيّ سبب كان، سواء لم يطّلع على وقوعه لغيبة أو غيرها، أم اطّلع لكن لم يردّه من دون أن يوافق عليه، فإنّه يصحّ على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الرأي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عن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بالأمر المبرم في المقام لا يمكن أن يكون العقد الصحيح أي المبرم حقيقة، بل المراد به المبرم شأناً، فلا يدلّ على صحّة عقد البنت من دون إذن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الصحيح ليس قابلاً للنقض مطلقاً، إذ ليس لأحد الخيار في فسخ النكاح الصحيح جزماً وإجماعاً من المسلمين قاطبةً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المراد به العقد الصحيح لكان مقتضى إطلاق الصحيحتين الشامل للولد والبنت البكر والثيّب هو أنّ للأب أن ينقض كل عقد صحيح صادر من ابنه أو بنته البكر أو الثيّب، وهو مقطوع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موجب لحملهما على خصوص البكر، إذ لا قرينة تساعد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لو كان المراد به المبرم شأناً </w:t>
      </w:r>
    </w:p>
    <w:p>
      <w:pPr>
        <w:pStyle w:val="BookText"/>
        <w:rPr/>
      </w:pPr>
      <w:r>
        <w:rPr>
          <w:rFonts w:ascii="Amiri" w:hAnsi="Amiri" w:eastAsia="Amiri" w:cs="Amiri"/>
          <w:color w:val="111111"/>
          <w:sz w:val="28"/>
          <w:sz w:val="28"/>
          <w:szCs w:val="28"/>
          <w:rtl w:val="true"/>
          <w:lang w:bidi="ar-SA"/>
        </w:rPr>
        <w:t>فإنهما يختصان حينئذٍ بالبكر، ولا تعمّان الولد والثيب لكون عقدهما محكوماً بالصحّة والإبرام الفعليين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كلٍّ من الاستدلال وما أجيب به عنه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الاستدلال فيلاحظ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الشك في أنه لا يراد بالنقض في الصحيحتين ما يقابل المبرم الحقيقي؛ لأنّ هذه الجملة مسوقة للردّ على العامّة القائلين بثبوت الولاية لغير الأب والجد على البنت البكر الرشيدة من الأخوة والأعمام وغيرهم، ومعلوم أن العامة لا يرون صحّة نكاح البنت من دون إذن الولي، مع ثبوت حق النقض له، بل يرون عدم صحته رأساً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لازم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إبطال الأب نكاح بنته البكر إذا اطّلع عليه ولو بعد مدة طويلة، مع إنجابها من زوجها عدّة أولاد ولا أظنّ أن يلتزم به 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محيص إذاً من كون المراد بالمبرم في الروايتين هو المبرم شأناً، نظير ما ورد في رواية زياد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تهيّأ للإحرام وفرغ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وجميع الشروط إلا أنه لم يلبّ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ينقض ذلك ويواقع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أنّ المقصود هو المبرم الفعلي، إلا أنّه ليس مفاد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النكاح إلاّ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حق النقض للأب في كل نكاح، ليستفاد منه صحّة نكاح البنت في مطلق الأحوال مع ثبوت حق النقض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الاستثناء من النفي لا يفيد إلاّ الإيجاب الجزئي، فلو قال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أطالع إلاّ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أحضر إلاّ مجالس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على مطالعته جميع الكتب الفقهية، أو حضور مجالس جميع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فغاية ما يستفاد من الصحيحتين صحّة نكاح البنت مع ثبوت </w:t>
      </w:r>
    </w:p>
    <w:p>
      <w:pPr>
        <w:pStyle w:val="BookText"/>
        <w:rPr/>
      </w:pPr>
      <w:r>
        <w:rPr>
          <w:rFonts w:ascii="Amiri" w:hAnsi="Amiri" w:eastAsia="Amiri" w:cs="Amiri"/>
          <w:color w:val="111111"/>
          <w:sz w:val="28"/>
          <w:sz w:val="28"/>
          <w:szCs w:val="28"/>
          <w:rtl w:val="true"/>
          <w:lang w:bidi="ar-SA"/>
        </w:rPr>
        <w:t>حق النقض للأب في بعض الموارد على سبيل الموجبة الجزئية، وليس القدر المتيقن لها هي البكر الرشيدة؛ لأنها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المستقلة في شؤون حياتها، وغير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ثبوت الحكم المذكور في أحد القسمين دون الآخر، كأن يكون عقد غير المستقلة باطلاً من دون إذن أبيها ويصح عقد المستقلة من دون إذنه، ولكن مع ثبوت حق النقض له، كما يحتمل أن يكون عقد غير المستقلة صحيحاً مع ثبوت حق النقض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عقد المستقلة، حيث يكون صحيحاً بلا ثبوت حق النقض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البكر الرشيدة قد تتزوّج بمن هو كفؤها عرفاً، وقد تتزوج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صحّة نكاحها من الكفؤ من دون ثبوت حق النقض لأبيها، بخلاف نكاحها من غير الكفؤ فيصح مع ثبوت حق النقض له، كما يحتمل بطلان نكاحها من غير الكفؤ من دون إذنه أو إجازته، بخلاف نكاحها من الكفؤ فيصح إلا أن ينقضه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يتبيّن أنّه لا يمكن الحكم بصحّة عقدها مع ثبوت حق النقض لأبيها في أي مورد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يتعلق بأصل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به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فيلاحظ على ما ذكره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الصحيح ليس قابلاً للنقض جزماً وبإجماع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دعوى الجزم غير مقبولة وعهدتها على مدّعيها، كما أنّ إجماع المسلمين ممّا لم أتحقّقه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ما ذكره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للروايتين إطلاق ليرد ما ذكره من الإشكال كما اتضح ممّا تقدّم آنفاً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صحّة تزويج الأب ابنته البكر الرشيدة من دون 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أو في خصوص التي تكون بين أبويها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يحكم بالصحّة فيما إذا راعى فيه مصلحة البنت، أي زوّجها على أساس أن مصلحتها تقتضي ذلك، وأمّا إذا لم يكن الزواج على وفق مصلحتها، فلا ينبغي الشك في فساده وعدم ولاية للأب عليها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ولاية الأب على البنت إنّما هي لها لا عليها، ومن الواضح أنّ هذا يقتضي النظر في أمرها ومراعاة مصلحتها فيما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أفاد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w:t>
      </w:r>
      <w:r>
        <w:rPr>
          <w:rStyle w:val="FootnoteAnchor"/>
          <w:rtl w:val="true"/>
        </w:rPr>
        <w:footnoteReference w:id="55"/>
      </w:r>
      <w:r>
        <w:rPr>
          <w:rFonts w:ascii="Amiri" w:hAnsi="Amiri" w:eastAsia="Amiri" w:cs="Amiri"/>
          <w:color w:val="111111"/>
          <w:sz w:val="28"/>
          <w:sz w:val="28"/>
          <w:szCs w:val="28"/>
          <w:rtl w:val="true"/>
          <w:lang w:bidi="ar-SA"/>
        </w:rPr>
        <w:t>ولكنّه لا يخلو من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الجارية يريد أبوها أن يزوّجها من رجل، ويريد جدّها أن يزوجها من 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أولى بذلك ما لم يكن مضاراً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تقييد نفوذ تصرّف الجد بعدم كونه ضررياً على البنت، يكشف عن تقييد نفوذ تصرف الأب أيضاً بذلك لوحدة المناط، ولكنه لا يخلو عن تأمل أيضاً، مضافاً إلى أنّه أخصّ من المدعى فإنّ اعتبار عدم كون التصرّف ضرريّاً أخص من اعتبار كونه في مصلحة البنت كما لا يخفى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موثقة فضل بن عبد الملك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تُستأمر الجارية التي بين أبويها إذا أراد أبوها أن يزوّجها، هو أنظر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أنظر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كالصريح في لزوم رعاية مصلحتها في تزويجها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بحقائق أحكامه</w:t>
      </w:r>
      <w:r>
        <w:rPr>
          <w:rFonts w:eastAsia="IRNazanin" w:cs="IRNazanin"/>
          <w:color w:val="111111"/>
          <w:sz w:val="28"/>
          <w:szCs w:val="28"/>
          <w:rtl w:val="true"/>
          <w:lang w:bidi="fa-IR"/>
        </w:rPr>
        <w:t xml:space="preserve">. </w:t>
      </w:r>
      <w:bookmarkStart w:id="32" w:name="pg9076_119614"/>
    </w:p>
    <w:p>
      <w:pPr>
        <w:pStyle w:val="Heading3"/>
        <w:numPr>
          <w:ilvl w:val="2"/>
          <w:numId w:val="1"/>
        </w:numPr>
        <w:rPr/>
      </w:pPr>
      <w:bookmarkStart w:id="33" w:name="__RefHeading___Toc2580347_2870459653"/>
      <w:bookmarkStart w:id="34" w:name="_Toc11"/>
      <w:bookmarkEnd w:id="32"/>
      <w:bookmarkEnd w:id="33"/>
      <w:r>
        <w:rPr>
          <w:rtl w:val="true"/>
        </w:rPr>
        <w:t>المصادر</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فيما اختلف من الأخبار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الاسلامية –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من جواهر القاموس للزبيدي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في أحكام العترة الطاهرة للشيخ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في أصول الفقه للشيخ الطوسي مطبعة ستارة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الاعمال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كتب الشيعة واصولهم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 للحميري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الوثقى تقرير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السيد محمد تقي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مدرسة دار العلم –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علي بن جعفر ومستدركاتها، الناشر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الوثقى للسيد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 النجف الأشرف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الشيعة في أحكام الشريعة للشيخ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الأصول تقرير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السيد محمد سرور الحسيني البهسودي – 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 بقم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للشيخ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bookmarkStart w:id="35" w:name="pg9076_119616"/>
    </w:p>
    <w:p>
      <w:pPr>
        <w:pStyle w:val="Heading2"/>
        <w:numPr>
          <w:ilvl w:val="1"/>
          <w:numId w:val="1"/>
        </w:numPr>
        <w:rPr/>
      </w:pPr>
      <w:bookmarkStart w:id="36" w:name="__RefHeading___Toc2580349_2870459653"/>
      <w:bookmarkStart w:id="37" w:name="_Toc12"/>
      <w:bookmarkEnd w:id="35"/>
      <w:bookmarkEnd w:id="36"/>
      <w:r>
        <w:rPr>
          <w:rtl w:val="true"/>
        </w:rPr>
        <w:t xml:space="preserve">قتل العمد بين الفقه الإسلامي وقانون العقوبات العراقي </w:t>
      </w:r>
      <w:r>
        <w:rPr>
          <w:rtl w:val="true"/>
        </w:rPr>
        <w:t>(</w:t>
      </w:r>
      <w:r>
        <w:rPr>
          <w:rtl w:val="true"/>
        </w:rPr>
        <w:t>الحلقة الثانية</w:t>
      </w:r>
      <w:r>
        <w:rPr>
          <w:rtl w:val="true"/>
        </w:rPr>
        <w:t xml:space="preserve">) - </w:t>
      </w:r>
      <w:r>
        <w:rPr>
          <w:rtl w:val="true"/>
        </w:rPr>
        <w:t>الشيخ يحيى السعداوي</w:t>
      </w:r>
      <w:bookmarkEnd w:id="37"/>
    </w:p>
    <w:p>
      <w:pPr>
        <w:pStyle w:val="Heading3"/>
        <w:numPr>
          <w:ilvl w:val="2"/>
          <w:numId w:val="1"/>
        </w:numPr>
        <w:rPr/>
      </w:pPr>
      <w:bookmarkStart w:id="38" w:name="__RefHeading___Toc2580351_2870459653"/>
      <w:bookmarkStart w:id="39" w:name="_Toc13"/>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دراسة مقارنة بين المذاهب الفقهية الإسلامية وقانون العقوبات العراقي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تُعرّفنا بالتشريع الجنائي الإسلامي ومدى مواكبته مع المستحدثات ووقائع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مدى ارتكاز قانون العقوبات العراقي عليه أو مفارقته بالكامل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ويتضح من خلالها إنْ كان قانون العقوبات العراقي قد جعل التشريع الجنائي الإسلامي مصدراً اساسياً في تشريعاته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مطابقاً لما نص عليه الدستور العراقي الجديد في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9076_119618"/>
      <w:bookmarkStart w:id="41" w:name="pg9076_119618"/>
      <w:bookmarkEnd w:id="41"/>
    </w:p>
    <w:p>
      <w:pPr>
        <w:pStyle w:val="Heading3"/>
        <w:numPr>
          <w:ilvl w:val="2"/>
          <w:numId w:val="1"/>
        </w:numPr>
        <w:rPr/>
      </w:pPr>
      <w:bookmarkStart w:id="42" w:name="pg9076_119618"/>
      <w:bookmarkStart w:id="43" w:name="__RefHeading___Toc2580353_2870459653"/>
      <w:bookmarkStart w:id="44" w:name="_Toc14"/>
      <w:bookmarkEnd w:id="42"/>
      <w:bookmarkEnd w:id="43"/>
      <w:r>
        <w:rPr>
          <w:rtl w:val="true"/>
        </w:rPr>
        <w:t>المبحث الثالث</w:t>
      </w:r>
      <w:r>
        <w:rPr>
          <w:rtl w:val="true"/>
        </w:rPr>
        <w:t xml:space="preserve">: </w:t>
      </w:r>
      <w:r>
        <w:rPr>
          <w:rtl w:val="true"/>
        </w:rPr>
        <w:t>العقوبات الشرعية للقتل العمد عند المذاهب الفقهية الإسلامية</w:t>
      </w:r>
      <w:bookmarkEnd w:id="44"/>
    </w:p>
    <w:p>
      <w:pPr>
        <w:pStyle w:val="BookText"/>
        <w:rPr/>
      </w:pPr>
      <w:r>
        <w:rPr>
          <w:rFonts w:ascii="Amiri" w:hAnsi="Amiri" w:eastAsia="Amiri" w:cs="Amiri"/>
          <w:color w:val="111111"/>
          <w:sz w:val="28"/>
          <w:sz w:val="28"/>
          <w:szCs w:val="28"/>
          <w:rtl w:val="true"/>
          <w:lang w:bidi="ar-SA"/>
        </w:rPr>
        <w:t>العقوبة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هنا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القصاص عند المذاهب الفقهية، وحجته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والقصاص</w:t>
      </w:r>
      <w:r>
        <w:rPr>
          <w:rStyle w:val="FootnoteAnchor"/>
          <w:rtl w:val="true"/>
        </w:rPr>
        <w:footnoteReference w:id="57"/>
      </w:r>
      <w:r>
        <w:rPr>
          <w:rFonts w:ascii="Amiri" w:hAnsi="Amiri" w:eastAsia="Amiri" w:cs="Amiri"/>
          <w:color w:val="111111"/>
          <w:sz w:val="28"/>
          <w:sz w:val="28"/>
          <w:szCs w:val="28"/>
          <w:rtl w:val="true"/>
          <w:lang w:bidi="ar-SA"/>
        </w:rPr>
        <w:t>عندهم هو فعال من قص أثره إذا تتبعه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استيفاء أثر الجناية من قتل، أو قطع، أو جرح، أو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يفعل به مثل فعله من الضرب، أو الجرح، أو القتل، وهو من الأمور النظامية بين جميع الطوائف والأمم على اختلاف في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والقَوَد هو قتل القاتل قصاصاً</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يقتص منه ولي الدم على ما فعله من القتل العمدي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عندهم شهرة عظيمة، بل عليه الإجماع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القتل العمدي عليه القود دون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في قتل العمد القصاص</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فعقوبة القتل العمد عندهم هي القصاص دون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 الأول المشهور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القصاص واجب تعيّني وليس واجباً تخييرياً بينه وبين الدية، ولذا يقول السيد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العمد يوجب القصاص تعييناً</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ويشترطون في مطالبة القاتل بالدية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يسقط عنه القود وتثبت الدية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والرأي الثاني عند بعض الإمامية، كالعماني والإسكافي حيث حكي عنهما في المسألة التخيير بين الاقتصاص والدية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واستدلا بصحيحة عبد الله بن سنان، وابن بكير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المؤمن يقتل المؤمن متعمداً؟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علم به انطلق إلى أولياء المقتول فأقرّ عندهم بقتل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عفوا عنه فلم يقتلوه أعطاهم 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وأعتق 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وصام شهرين متتابعين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وأطعم ستين مسكيناً توبة إلى الله عز وجل</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وهاتان الصحيحتان وإن دلتا بظاهرهما على القول بالتخيير، إلا أن الصحيح ما ذهب إليه المشهور؛ وذلك لمعارضة الصحيحتين بصحيحة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مؤمناً متعمداً قيد منه، إلا أن يرضى أولياء المقتول أن يقبلوا بالدية، فإن رضوا بالدية وأحب ذلك القاتل فالدية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الصحيحة تقدم على الصحيحتين؛ لأنها تعارضهما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السند للصحاح الثلاثة لا إشكال فيه فنرجع الى مرجحات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أن نأخذ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والصحيحة التي استدل بها المشهور موافقة لإطلاق الكتاب المجيد من ناحية أن ظاهره ثبوت الولاية على القصاص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تكون له المطالبة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القصاص ثابت عندهم لاعتباره عقوبة على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يفرض من قبل ولي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يحتاج إلى رضا الجاني به؛ فلا يكون ولي الدم مخيراً بين القصاص والدية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ولي الدم متمكناً من </w:t>
      </w:r>
    </w:p>
    <w:p>
      <w:pPr>
        <w:pStyle w:val="BookText"/>
        <w:rPr/>
      </w:pPr>
      <w:r>
        <w:rPr>
          <w:rFonts w:ascii="Amiri" w:hAnsi="Amiri" w:eastAsia="Amiri" w:cs="Amiri"/>
          <w:color w:val="111111"/>
          <w:sz w:val="28"/>
          <w:sz w:val="28"/>
          <w:szCs w:val="28"/>
          <w:rtl w:val="true"/>
          <w:lang w:bidi="ar-SA"/>
        </w:rPr>
        <w:t>الاقتصاص منه، أما إذا لم يتمكن ولي الدم من القصاص فالدية بحسب التفصيل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لمشهور الإمامية على أن القصاص واجب تعييني لا تخييري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عَلَيْهِمْ فِيهَا أَنَّ النَّفْسَ بِالنَّفْسِ</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أَصَابَهُمْ الْبَغْيُ هُمْ يَنْتَصِرُونَ وَجَزَاءُ سَيِّئَةٍ سَيِّئَةٌ مِثْلُهَا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 الْحُرُّ بِالْحُرِّ وَالْعَبْدُ بِالْعَبْدِ وَالأُنثَى بِالأُنثَى</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ما استدَّل به المشهور من صحيحة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كانت معارَضة بصحيحتين إلا أن التعارض يوجب ترجيحها كما بيّنا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كذلك بقول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عذر لك عند الله ولا عندي في قتل العمد، لأن فيه قود البدن</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ادعي عليه الإجماع أي أن القتل العمدي عليه القود دون الدية، فليس لولي المقتول مطالبة القاتل بالدية، إلا إذا رضي بذلك وعندئذ يسقط عنه القود</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الاستدلال بحكم العقل أيضا في تنظيمه النظام الأحسن، فإنه يحكم بقتله قطعاً لمادة الفساد في العباد، وإزالة البغي والطغيان عن البلاد، فتتم الأدلة الأربعة عليه في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ويتولى القصاص من يرث المال من الرجال دون الزوج، ومن يتقرّب بالأم، وأما النساء فليس لهن عفو ولا قود</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المذاهب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قتل الجاني بمثل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عندنا أنه يقتل في العمد الرجال الأحرار بالرجل الحر الواحد، والنساء بالمرأة كذلك</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جعل القصاص تعييناً لا تخييراً، وأوجب رضا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فيتوافق مع رأي الإمامية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الشافعي</w:t>
      </w:r>
      <w:r>
        <w:rPr>
          <w:rStyle w:val="FootnoteAnchor"/>
          <w:rtl w:val="true"/>
        </w:rPr>
        <w:footnoteReference w:id="7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وأحمد فالواجب عندهما أن في القتل العمد القصاص والدية، وللولي أن يختار بينهما، ولا يتوقف اختيار الدية على رضا الجاني خلافاً للإمامية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أبو حنيفة فعلى أن القصاص واجب تعييني لا تخييري، ويشترط رضا الجاني في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فالمذاهب التي تتفق في كون القصاص واجباً تعيينياً لا تخييرياً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 الشافعي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ويوافقهما من الإمامية العماني والإسكافي على أن القصاص واجب تخييري بينه وبين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إلى رضا الجاني، بل هو موكول إلى ولي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استدلال الإمامية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مالك فإنه يستدل لما حدثه يحيى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حسين مولى عائشة بنت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الملك بن مروان أقاد ولي رجل قتله بعصا فقتله وليه بعصا</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عن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بلغه أن مروان بن الحكم كتب إلى معاوية بن أبي سفيان يذكر أنه أتي بسكران قد قتل رجلاً فكتب إليه معاوية أن اقتله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ومالك وإن وافق الإمامية إلا أن دليله غير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اعتباره حجّة علينا؛ لعدم كون ما ذكره من السنة؛ فإن عبد الملك بن مروان ومعاوية بن أبي سفيان ليسا ممن يحتج به عند عامة المسلمين، بالإضافة إلى أنها مخالفة بما استدل به الشافعي وأحمد حيث استدلا على كون القصاص تخييري بينه وبين الدية، بما روى عمر بن شعيب عن أبيه عن جده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متعمداً دفع إلى أولياء المقتول فإن شاؤوا قتلوه وإن شاؤوا أخذوا الدية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 الرواية التخيير لأولياء المقتول بين القصاص والدية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تصلح للاستدلال؛ لكونها عن الرسول الأعظم فهو إستدلال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المذاهب الإسلامية اختلفت في عقوبة القصاص في كونه واجباً تعيينياً أو تخييرياً بينه وبين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مذهب يستدل بدليل يصلح للاستدلال به وفق مبانيه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رغم ذلك يمكن مناقشة القائلين بالتخيير لكونه مخالفاً لظاهر الكتاب الدال على القصاص من دون 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مالك وأبو حنيفة موافقين لظاهر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بإسقاط ما تعارض من السنة فيسقط دليل الشافعي وأحمد مقابل سقوط دليل مالك وأبي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إما أن نقول بترجيح رأيهما لموافقته ظاهر الكتاب، أو نقول إن من مرجحات باب التعارض موافقة ظاهر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نقول الأرجح هو أن القصاص واجب تعييني لا تخييري كما عليه الإمامية ومالك وأبي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بديل له في عرضه، وأن كان له بديل في طوله فهو رضائي لا تخييري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القصاص من حق من؟</w:t>
      </w:r>
    </w:p>
    <w:p>
      <w:pPr>
        <w:pStyle w:val="BookText"/>
        <w:rPr/>
      </w:pPr>
      <w:r>
        <w:rPr>
          <w:rFonts w:ascii="Amiri" w:hAnsi="Amiri" w:eastAsia="Amiri" w:cs="Amiri"/>
          <w:color w:val="111111"/>
          <w:sz w:val="28"/>
          <w:sz w:val="28"/>
          <w:szCs w:val="28"/>
          <w:rtl w:val="true"/>
          <w:lang w:bidi="ar-SA"/>
        </w:rPr>
        <w:t>تقدم أن الإمامية ذكروا أن القصاص من حق من يرث المال مطلقاً، ماعدا الزوج والزوجة كما عليه الأكثر، بلا فرق بين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عموم آية الأرحام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ضميمة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جَعَلْنَا لِوَلِيِّهِ سُلْطَاناً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بناءً على إرادة الوارث من الولي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فالزوج والزوجة إما أنهما خارجان عن الأرحام بالتخصص؛ لكونهما ليسا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داخلان في الأرحام فيخرجان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للولي الواحد المبادرة إلى الاقتصاص من الجاني من غير إذن الإمام؛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جَعَلْنَا لِوَلِيِّهِ سُلْطَاناً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حقه والأصل براءة الذمة من توقف استيفاء الحق على استئذان غير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استئذانه أولى لخطره واحتياجه إلى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عليه أكثر المتأخرين من فقهاء الإمامية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الورثة جماعة، توقف الاستيفاء على إذنهم أجمع، إما بالوكالة أو بالإذن الواحد، سواء أكانوا حاضرين أم لا؛ لتساويهم في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ولاشتراك الحق </w:t>
      </w:r>
    </w:p>
    <w:p>
      <w:pPr>
        <w:pStyle w:val="BookText"/>
        <w:rPr/>
      </w:pPr>
      <w:r>
        <w:rPr>
          <w:rFonts w:ascii="Amiri" w:hAnsi="Amiri" w:eastAsia="Amiri" w:cs="Amiri"/>
          <w:color w:val="111111"/>
          <w:sz w:val="28"/>
          <w:sz w:val="28"/>
          <w:szCs w:val="28"/>
          <w:rtl w:val="true"/>
          <w:lang w:bidi="ar-SA"/>
        </w:rPr>
        <w:t>فلا يستوفيه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القصاص موضوع للتشفي وموافقة النفس، ولا يحصل بفعل البعض كما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يخالف ويذهب إلى أن للحاضر من الأولياء الاستيفاء من غير ارتقاب حضور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ولااستئذانه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 المستوفي حصص الباقين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عليه الأكثر أنه لو كان الولي صغيراً وله أب أو جد تراعى المصلحة في تعجيل القصاص؛ لأن مصالح الطفل منوطة بنظر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ويخالف البعض في ذلك ويقول بانتظار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التوكيل في استيفائه؛ لأنه من الأفعال التي تدخلها النيابة، إذ لا تعلق لغرض الشارع فيه بشخص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مالك وأبو حنيفة فعندهما أيضاً أن القصاص حق كل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سبيل الكمال لا على سبيل الشراكة إذا كان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كانوا جماعة فهو حقهم أيضا على سبيل الكمال لا على سبيل الشراكة، أي لا ينتظر بلوغ الصغير، أو عودة الغائب كي يستوفي الحاضر والبالغ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الشافعي وأحمد فإن القصاص عندهما حق كل وارث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سبيل الشراكة فيوافق رأيهما رأي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فيجب انتظار الغائب أو الصبي؛ لاستيفاء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الخلاف راجع إلى وجهات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مذهب ينظر إلى جهة بحسب ما يراه صحيحاً طبق مبانيه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أبا حنيفة ومالك يعتبران القصاص هو التشفي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حقهم ابتداءً لا حق الميت، حيث أن القصاص لا يثبت ما دام المقتول حياً ويثبت بوفاته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مات لا يكون أهلاً لتملك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حينئذ حق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واحد منهم يملك الحق كأن ليس معه غيره؛ لأنه حق لا يتجزأ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والشراكة فيما لا يتجزأ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لكل واحد منهم على سبيل الكمال كولاية النكاح</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الشافعي وأحمد فالقصاص عندهما حق كل وارث على سبيل الشراكة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وحجتهم أن القصاص يجب بالجناية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وقعت على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ما يجب لها </w:t>
      </w:r>
    </w:p>
    <w:p>
      <w:pPr>
        <w:pStyle w:val="BookText"/>
        <w:rPr/>
      </w:pPr>
      <w:r>
        <w:rPr>
          <w:rFonts w:ascii="Amiri" w:hAnsi="Amiri" w:eastAsia="Amiri" w:cs="Amiri"/>
          <w:color w:val="111111"/>
          <w:sz w:val="28"/>
          <w:sz w:val="28"/>
          <w:szCs w:val="28"/>
          <w:rtl w:val="true"/>
          <w:lang w:bidi="ar-SA"/>
        </w:rPr>
        <w:t>حق له، إلا أنه بالموت عجز عن استيفاء حقه بنفسه، فيقوم الورثة مقامه بطريق الإرث ويكون القصاص مشتركاً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فالبالغ ينتظر الصغير حتى يبلغ؛ لأنه حق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له ولي فالحاكم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الولي صغيراً أو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فالشافعي وأحمد رأيهما انتظار بلوغ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وإفاقة المجنون، إلا إذا كانت ميؤساً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وليه مقامه؛ والسبب في الانتظار لكون القصاص تشفياً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حنيفة، فيرى أن الأب والجد للصغير والمجنون كونهما وليين له يستوفيان القصاص الواجب للصغير دون الوصي عليه؛ لأن ولايتهما ولاية نظر ومصلحة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يوافق رأي المذهب الإمامي الذي 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القصاص أو موانعه عند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 الأمامية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والشروط عندهم خمسة على النحو الآتي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الحرية أو الرق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 الحر بالحر، سواء أكان القاتل ناقص الأطراف، عادم الحواس، والمقتول صحيحاً أو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 وَالْعَبْدُ بِالْعَبْدِ</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أتساويا في العلم والشرف والغنى والفقر والصحة والمرض، والقوة والضعف والكبر والصغر أم تفاوتا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أشرف المريض على الهلاك، أو كان الطفل مولوداً في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 الحر بالحرة مع رد وليها عليه نصف الدية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ديته ضعف ديتها؛ وتدل عليه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يقتل المرأة متعمداً، فأراد أهل المرأة أن يقتلوه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w:t>
      </w:r>
    </w:p>
    <w:p>
      <w:pPr>
        <w:pStyle w:val="BookText"/>
        <w:rPr/>
      </w:pPr>
      <w:r>
        <w:rPr>
          <w:rFonts w:ascii="Amiri" w:hAnsi="Amiri" w:eastAsia="Amiri" w:cs="Amiri"/>
          <w:color w:val="111111"/>
          <w:sz w:val="28"/>
          <w:sz w:val="28"/>
          <w:szCs w:val="28"/>
          <w:rtl w:val="true"/>
          <w:lang w:bidi="ar-SA"/>
        </w:rPr>
        <w:t>لهم إذا أدوا إلى أهله نصف الدية، وإن قبلوا الدية فلهم نصف دية الرجل</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الصحاح في نفس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الخنثى فيقتل مع رد ربع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التفاوت بين الديتين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وتقتل الخنثى بالأنثى مع رد الربع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التفاوت بين الديتين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والحرة بالحرة ولا رد، والحرة تقتل بالحر ولا رد لأولياء الحر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عليه صحيحة الحلبي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قتلت المرأة الرجل قتلت به ليس لهم إلا نفسها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والجاني لا يجني على أكثر من نفسه، 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المرأة بالخنثى ولا رد، وقتل الخنثى بالرجل ولا 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ويقتل العبد بالحر، والحرة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زادت قيمته عن الدية ولا يرد على مولاه الزائد لو فرض، كما لا يلزمه الإكمال لو نقص، ويقتل العبد بالعبد والأمة، سواء أكانا لمالك واحد أم مالكين، وسواء أتساوت قيمتهما أم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قتله بالعبد؛ فظاهر الكتاب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وَالْعَبْدُ بِالْعَبْدِ</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قتله بالأمة؛ فظاهر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مطلقة غير مقيدة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وتقتل الأمة بالحر والحرة، وبالعبد والأمة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أكانا لمالك أم مالكين مع تفاوت القيمة وعدمه؛ لإطلاق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يقتل مسلم بكافر حربياً كان أم ذمياً أم معاهداً أم لا، ولكن يعزر القاتل بقتل الذمي والمعاهد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لتحريم 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ويغرم دية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يجوز قتل الحربي بغير إذن الإمام وإن توقف جواز جهاده عليه؛ وذلك للفرق بين قتله وقتاله جهاداً باعتبار الجهاد من وظائف الإمام بخلاف قتل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من وظائف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في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جهادهم يترتب عليه </w:t>
      </w:r>
    </w:p>
    <w:p>
      <w:pPr>
        <w:pStyle w:val="BookText"/>
        <w:rPr/>
      </w:pPr>
      <w:r>
        <w:rPr>
          <w:rFonts w:ascii="Amiri" w:hAnsi="Amiri" w:eastAsia="Amiri" w:cs="Amiri"/>
          <w:color w:val="111111"/>
          <w:sz w:val="28"/>
          <w:sz w:val="28"/>
          <w:szCs w:val="28"/>
          <w:rtl w:val="true"/>
          <w:lang w:bidi="ar-SA"/>
        </w:rPr>
        <w:t>أحكام غير القتل تتوقف على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غيرهم فليس في جهاده إلا القتل أو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خلاف فيه؛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وحيث إننا إذا سلمنا المسلم القاتل إلى ولي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كافراً فهذا يعني جعل السبيل للكافر على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الأخبار المصرحة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خبر محمد بن قيس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يقاد مسلم بذمي في القتل، ولا في الجراحات</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لو اعتاد المسلم قتل أهل الذمة، اقتص منه بعد رد فاضل 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عليه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المشهور؛ لصحيح إسماعيل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دماء المجوس واليهود والنصارى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عليهم وعلى من قتلهم شيء إذا غشوا المسلمين وأظهروا العداوة لهم والغش؟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إن يكون متعوداً لقتلهم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المسلم هل يُقتل بأهل الذمة وأهل الكتاب إذا قتلهم؟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إن يكون معتاداً لذلك لا يدع قتلهم فيقتل وهو صاغر</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 إسماعيل بن الفضل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رجل قتل رجلاً من أهل الذمة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يقتل به إلا أن يكون متعوداً للقتل</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المسلم النصراني فأراد أهل النصراني أن يقتلوه قتلوه، وأدّوا فضل ما بين الديتين</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بحمله على المتعود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فاضل الدية فلمعتبرة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يعطي الذمي دية المسلم ثم يقتل به المسلم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والاعتياد يرجع به إلى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في الثالثة؛ لأن الاعتياد شرط في القصاص، فلابد من تقدمه على استحقاقه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ويقتل الذمي بالذمي؛ لظاهر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ولخبر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يقتص اليهودي والنصراني والمجوسي بعضهم من بعض، ويقتل بعضهم بعضاً إذا قتلوا عمداً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وادعى السيد السبزواري ظهور الإجماع</w:t>
      </w:r>
      <w:r>
        <w:rPr>
          <w:rStyle w:val="FootnoteAnchor"/>
          <w:rtl w:val="true"/>
        </w:rPr>
        <w:footnoteReference w:id="90"/>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ويقتل الذمي بالذمية مع رد فاضل ديته؛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وظهور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معتبرة السكوني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ويقتل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ولصحيح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يقتل المرأة متعمداً فأراد أهل المرأة أن يقتلوه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لهم إذا أدوا إلى أهله نصف الدية، وأن قبلوا الدية فلهم نصف دية الرجل</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نظير قتل المسلم للمسلمة، فيجري في المقام الفحوى وهو الأولوية؛ لأن المسلم أشرف من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عليه بالقتل إذا قتل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فالذمي أولى من المسلم في القتل إذا قتل المرأة مع رد فاضل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الفارق بين دية الرجل ودية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ويقتل الذمي بالمسلم ويدفع هو وماله إلى أولياء المقتول، ويتخيرون بين قتله واسترقاقه، بلا فرق بين كون المال عيناً أو ديناً منقولاً، أو لا، ولا بين كونه مساوياً لدية المسلم أو زائداً عليه أو مساوياً لأصل الدية أو زائداً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عليه الإجماع، كما ادعاه السبزواري</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اتفق عليه الفقهاء ووردت به النصوص، ومنها معتبرة ضريس الكناسي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نصراني قتل </w:t>
      </w:r>
    </w:p>
    <w:p>
      <w:pPr>
        <w:pStyle w:val="BookText"/>
        <w:rPr/>
      </w:pPr>
      <w:r>
        <w:rPr>
          <w:rFonts w:ascii="Amiri" w:hAnsi="Amiri" w:eastAsia="Amiri" w:cs="Amiri"/>
          <w:color w:val="111111"/>
          <w:sz w:val="28"/>
          <w:sz w:val="28"/>
          <w:szCs w:val="28"/>
          <w:rtl w:val="true"/>
          <w:lang w:bidi="ar-SA"/>
        </w:rPr>
        <w:t>مسلماً فلما أخذ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به قيل وإن لم يسلم؟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 إلى أولياء المقتول فإن شاؤوا قتلوا، وإن شاؤوا عفوا، وإن شاؤوا استرقوا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معه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إلى أولياء المقتول هو وماله</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أسلم فالقتل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ماله باقٍ على التقديرين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قتل الكافر مثله ثم أسلم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فالدية عليه لا غير، إن كان المقتول ذمياً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المقتول الكافر غير ذمي فلا قتل على قاتله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أكان مسلماً أم معاهداً أم ذمياً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دية عليه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الزنا إذا بلغ وعقل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الإسلام مسلم يقتل به ولد الرشيدة؛ لتساويهما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لو قتله قبل البلوغ لم يقتل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 الذمي بالمرتد فطرياً كان أم ملياً؛ لأنه محقون الدم بالنسبة للذمي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لبقاء علقة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العكس؛ لتساويهما في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رجع الذمي إلى الإسلام فلا 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دية الذمي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يقتل المسلم بالمرتد وإن أساء بقتله؛ لأن أمره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ولا إشكال، لعدم التساوي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واستغرب الفقهاء عدم الدية أيضاً وذلك؛ لأن المرتد مباح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بإذن الإمام، فإذا قتله من دون إذن الإمام يوجب الإثم ولكن لا يوجب الدية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الأبوة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الأب الذي يقتل ولده لا يقتل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وإن علا، والابن وإن نزل؛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يقتل والد بولده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وروايات إخرى في هذا الصدد، بالإضافة إلى إجماع</w:t>
      </w:r>
      <w:r>
        <w:rPr>
          <w:rStyle w:val="FootnoteAnchor"/>
          <w:rtl w:val="true"/>
        </w:rPr>
        <w:footnoteReference w:id="96"/>
      </w:r>
      <w:r>
        <w:rPr>
          <w:rFonts w:ascii="Amiri" w:hAnsi="Amiri" w:eastAsia="Amiri" w:cs="Amiri"/>
          <w:color w:val="111111"/>
          <w:sz w:val="28"/>
          <w:sz w:val="28"/>
          <w:szCs w:val="28"/>
          <w:rtl w:val="true"/>
          <w:lang w:bidi="ar-SA"/>
        </w:rPr>
        <w:t>المسلمين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والبنت كالابن إجماعاً</w:t>
      </w:r>
      <w:r>
        <w:rPr>
          <w:rStyle w:val="FootnoteAnchor"/>
          <w:rtl w:val="true"/>
        </w:rPr>
        <w:footnoteReference w:id="9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بطريق أولى سواء أتساويا في الدين والحرية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ويعزر الوالد بقتل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ويكفرّ وتجب الدية لغيره من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باقي الأقارب فيقتل بعضهم ببعض كالولد بوالده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 بابنها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والأجداد من قبلها، أي من طرف الأم كالجد الذي هو أب الأم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كانت لأب كأم الأب والجدات مطلقاً، أي لأم أو لأب والأخوة والأعمام والأخوال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يقتل الولد المسلم بالأب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الحر بالعبد؛ لعدم التكافؤ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يقتل المجنون بعاقل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مجنون؛ لقول نبينا</w:t>
      </w:r>
    </w:p>
    <w:p>
      <w:pPr>
        <w:pStyle w:val="BookText"/>
        <w:rPr/>
      </w:pPr>
      <w:r>
        <w:rPr>
          <w:rFonts w:ascii="IRNazanin" w:hAnsi="IRNazanin" w:eastAsia="IRNazanin"/>
          <w:color w:val="111111"/>
          <w:sz w:val="28"/>
          <w:sz w:val="28"/>
          <w:szCs w:val="28"/>
          <w:rtl w:val="true"/>
          <w:lang w:bidi="fa-IR"/>
        </w:rPr>
        <w:t xml:space="preserve">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القلم يرفع عن ثلاثة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المجنون حتى يفيق</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حيث ذكر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عندما أراد عمر أن يرجم المجنونة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ومعتبرة السكوني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محمد بن أبي بكر كتب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عن رجل مجنون قتل رجلاً عمداً،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الدية على قومه، وجعل عمده وخطأه سواء</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الإجماع كما ادعاه السيد السبزواري</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يقتل العاقل بالمجنون، بل 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صال عليه المجنون فدمه هدر بلا خلاف؛ لصحيح أبي بصير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مجنوناً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شيء عليه</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والصبي لا يقتل بصبي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وعمده وخطأه واحد، وتكون الدية على عاقلته إجماعاً ونصوصاً عامة وخاصة؛ لقول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القلم يرفع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الصبي حتى يبلغ</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الصبي وخطأه واحد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ويقتل البالغ بالصبي كما عليه المشهور، بل المذهب لعموم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بن فضّال عن بعض </w:t>
      </w:r>
    </w:p>
    <w:p>
      <w:pPr>
        <w:pStyle w:val="BookText"/>
        <w:rPr/>
      </w:pP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قتل شيئاً صغيراً أو كبيراً بعد أن يتعمد فعليه القود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وفرّقوا بين قتل المجنون، حيث لا قود عليه، وإذا صال على القاتل فدمه هدر، وبين من قتل صبياً فعليه القود، وذلك لان المجنون خرج عن العمومات بدليل خارج، وإلا كانت الآية متناولة له بخلاف الصبي، مع أن الفارق بينهما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العاقل من يثبت عليه بقتله القصاص ثم جنّ اقتص منه ولو في حال الجنون لثبوت الحق في ذمته عاقلاً، فيستصحب كغيره من الحقوق للإجماع كما ادعاه السيد السبزواري</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بريد بن معاوية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عمداً فلم يقم عليه الحد ولم تصح الشهادة عليه حتى خولط وذهب عقله، ثم إن قوماً آخرين شهدوا عليه بعدما خولط أنه قتله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شهدوا عليه أنه قتله حين قتله وهو صحيح ليس به علة من فساد عقل 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يشهدوا عليه بذلك وكان له مال يعرف، دفع إلى ورثة المقتول الدية من مال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له مال أعطى الدية من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يبطل دم امرئ مسلم</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المقتول محقون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غير مباح القتل شرعاً، فلا قود في القتل السائغ شرعاً، كقتل سابّ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المرتد الفطري ولو بعد توبته، والمحارب والمهاجم القاصد للنفس أو العرض أو المال، وكذا من يقتل بحد أو قصاص كاللواط والزنا والكفر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في جميع ذلك هو كون القتل سائغاً 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قاتله وان لم يستأذن الإمام فهو قتل من كان مباحاً دمه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توقفت المباشرة على إذن الحاكم فيأثم القاتل بدون الإذن خاصة، ولا فرق بين أن يكون الشارع حكم عليه بالرجم أو السيف أو نحو ذلك؛ لأن المطلوب هو إزهاق الروح</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الشروط المعتبرة عند المذاهب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الإسلام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يشترط مالك والشافعي وأحمد أن يكون المجني عليه مكافئاً للجاني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مكافئاً للجاني امتنع الحكم بالقصاص، ولذا سميت عندهم بموانع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تساويا في الإسلام والحرية فهما متكافئان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بعد ذلك بما بينهما من فروق أخرى، فلا يشترط التساوي في كمال الذات، ولا سلامة الأعضاء، ولا الشرف والفضائل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فيقتل سليم الأطراف بمقطوعها، والصحيح بالمريض، والكبير بالصغير، والقوي بالضعيف، والعالم بالجاهل، والعاقل بالمجنون، والأمير بالمأمور، والذكر بالأنثى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ولا خلاف بينهم في قتل الرجل بالرجل والأنثى بالأنثى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الْقَتْلَى الْحُرُّ بِالْحُرِّ وَالْعَبْدُ بِالْعَبْدِ وَالأُنثَى بِالأُنثَى</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يرون أن الرجل يقتل بالمرأة وبالعكس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وحجتهم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تتكافأ 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أهل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فيها أن الرجل يقتل بالمرأة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يختلف المذهب الإمامي عنهم في مسألة قتل الرجل بالمرأة، حيث يقول فقهاؤه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المرأة إن شاؤوا قتلوا الرجل مع رد فاضل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إذا لم تكافئ الرجل فكيف تقتل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هو رواية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قد ضرب امرأة حاملاً بعمود الفسطاط، فقتلها، فخيّر رسول الله أولياءها أن يأخذوا الدية خمسة آلاف درهم وغرة وصيف أو وصيفة للذي في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يدفعوا إلى أولياء القاتل خمسة آلاف ويقتلوه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وظاهرها أن دية المرأة النصف، كما أن إرثها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يتفق عليه المسلمون سواء منهم فقهاء الإمامية، أم فقهاء العامة، حيث استدلوا بما نسب </w:t>
      </w:r>
    </w:p>
    <w:p>
      <w:pPr>
        <w:pStyle w:val="BookText"/>
        <w:rPr/>
      </w:pP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في كتاب عمرو بن حزم دية المرأة على النصف من دية الرجل</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إجماع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دية المرأة في القتل نصف دية الرجل فعندئذ إذا قتل الرجل المرأة وأراد أهل المقتول قتله ردوا فاضل ديته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دماء المسلمين متكافئة من جهة القصاص، حيث يقتل الرجل بالمرأة وأما الدية فإجماع المسلمين على أنها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قتلنا الرجل بها أرجعنا النصف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الفقهاء الأربعة فيقولون بأن الذكر يقتل بالأنثى وبالعكس بدون رد فاضل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يقتل المسلم بالكافر لعدم التكافؤ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يقتل الحر بالعبد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جهة شرط التكافؤ في المجني عليه لا في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قتل العبد الحر قتل به، وكذلك الكافر إذا قتل مسلماً قتل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الشافعي وأحمد ومالك أن الحر لا يقتل بالعبد؛ لما روى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يقتل حر بعبد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والعبد يقتل بالحر بخلاف أبي حنيفة فإنه يساوي بين العبيد والأحرار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 الحر بالعبد وبالعكس؛ لان القصاص عنده واجب الحكم به على الجاني في الحالين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ويستثنى من ذلك أن السيد لا يقتل بعبده؛ لقول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يقاد الوالد بولده ولا السيد بعبده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التساوي في الإسلام، فيرى مالك والشافعي أن المسلم لا يقتل بالكافر أياً كان، إذا قتله المسلم، ولكن الكافر يقتل بالمسلم؛ لعدم التكافؤ</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ويتفق هذان المذهبان مع الإمامية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ومستندهما ما نسب</w:t>
      </w:r>
    </w:p>
    <w:p>
      <w:pPr>
        <w:pStyle w:val="BookText"/>
        <w:rPr/>
      </w:pPr>
      <w:r>
        <w:rPr>
          <w:rFonts w:ascii="IRNazanin" w:hAnsi="IRNazanin" w:eastAsia="IRNazanin"/>
          <w:color w:val="111111"/>
          <w:sz w:val="28"/>
          <w:sz w:val="28"/>
          <w:szCs w:val="28"/>
          <w:rtl w:val="true"/>
          <w:lang w:bidi="fa-IR"/>
        </w:rPr>
        <w:t xml:space="preserve">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تتكافؤ دماؤهم ويسعى بذمتهم أدناهم ولا يقتل مؤمن بكافر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أكان ذمياً أم مستأمناً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حنيفة فيرى أنّ المسلم لا يقاد بالمستأمن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أيضاً أن المسلم يقتل بالذمي، وكذلك الذمي بالمسلم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ويحتج باطلاقات الآيات القرآنية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هذه الآيات مطلقة لا تخصيص فيها ولا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بالتخصيص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 بلا دليل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مالك فإنه يرى قتل المسلم بالذمي في حالة أنه قتله غيلة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ومالك يقيسه على الحرابة؛ ويحتج بما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أقاد مؤمناً بكافر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من وفى بذمته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ورأي أبي حنيفة يتفق مع القوانين الوضعية الحديثة، حيث يرى أبو حنيفة أنه إذا قتل مسلم حربياً أسلم وبقى في دار الحرب، فلا قصاص على القاتل؛ لأنه وإن قتل مسلماً إلا أن المقتول من أهل دار الحرب، فيورث شبهة في عصمته ويعتبر مكثر سواد الكفار، ويستدل برواية عن الرسول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كثر سواد قوم فهو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لم يكن منهم ديناً فهو منهم داراً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كانا مسلمين تاجرين أو أسيرين في دار الحرب فقتل أحدهما صاحبه فلا قصاص أيضاً؛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مالك والشافعي وأحمد فإنهم يرون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p>
    <w:p>
      <w:pPr>
        <w:pStyle w:val="BookText"/>
        <w:rPr/>
      </w:pPr>
      <w:r>
        <w:rPr>
          <w:rFonts w:ascii="Amiri" w:hAnsi="Amiri" w:eastAsia="Amiri" w:cs="Amiri"/>
          <w:color w:val="111111"/>
          <w:sz w:val="28"/>
          <w:sz w:val="28"/>
          <w:szCs w:val="28"/>
          <w:rtl w:val="true"/>
          <w:lang w:bidi="ar-SA"/>
        </w:rPr>
        <w:t>كان القتل في دار الحرب أم في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أهاجر أم لم يهاجر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قتل الذمي مسلماً قتل به اتفاقاً لأنه في رأي أبي حنيفة قتل داخل تحت النصوص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الثلاثة يقتل به مع وجود التفاوت؛ لأنه تفاوت مع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القصاص إلا تفاوت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قتل الذمي للحربي جريمة اتفاقاً؛ لأن الحربي مباح الدم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يقتل الذمي بالمستأمن عند أبي حنيفة؛ لأن عصمة المستأمن ليست مطلقة، بل هي مؤقتة إلى غاية مقامه في دار الإسلام؛ ولأن في عصمته شبهة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ويقتل المستأمن بالمستأمن عند أبي حنيفة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 قياساً لقيام المبيح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مالك والشافعي وأحمد أن الكفار يقتلون بعضهم ببعض دون 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فالذمي يقتل بأي كتابي أو مجوسي أو 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اختلفت دياناتهم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فتتفق المذاهب الثلاثة مع الإمامية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اختلفت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الشرطان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الدين، والتساوي في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أراء الفقهاء فيهما، وما هو محل الخلاف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أن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 والمالكي والشافعي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متفقة في أصل هذين الشرطين ومختلفة في بعض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وينفرد أبو حنيفة في عدم اشتراطهما، ولكنه يشترط أن يكون القتل في دار الإسلام فالعصمة عنده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الملاحظ أن رأي أبي حنيفة وإن اختلف مع المذاهب الأخرى، إلا إنه يتفق مع القوانين الحديثة التي لا تشترط في القصاص الإسلام ولا الحرية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القتيل جزءاً من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الشرط يتوافق مع اشتراط الإمامية عدم كون القاتل أباً للمقتول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يخرج من القصاص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يقاد الوالد بولده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ويتفق مع رأي الإمامية أبو حنيفة والشافعي وأحمد؛ فإنهم يرون أن لا قصاص على الوالد في قتل أبنه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لقول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يقاد والد بولده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ويخالف مالك في ذلك استناداً إلى قاعدته في القتل العمد، حيث إنه يشترط في عدم القصاص على الوالد إذا ضربه للتأديب، وأما إذا ضربه للعدوان فإنه يقتل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يقتل الولد بوالده، سواء أكان أباً أم أماً إذا قتله طبقاً للنصوص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ويلحقون الأم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قتلت ولدها فلا يقتص منها، ويستدلون بأن النص جاء بلفظ الوالد الشامل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ما ذهبت إليه الإمامية من اختصاص عدم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 دون الأم، ولكنهم يحكمون بعدم القصاص للأب وإن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 والجدة وغيرهما، فلا تدخل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الوالد خرج بالتخصيص فيقتصر فيه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دخول الأب دون الأم والجدة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ويلحقون الجدة بالأم، كما أنهم يتفقون مع الإمامية بأن الوالد لا يقتل بالولد، سواء أكان مساوياً للولد في الدين والحرية أم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التخصيص لشرف الأبوة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موجود في كل هذه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 مالك الفقهاء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والزوجان يقتل كل واحد منهما بالآخر؛ لأنهما متكافئان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استيفاء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 إلا بالسيف، ولا يجوز المثلة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بل ادعي عليه الإجماع</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الروايات الواردة بهذا الخصوص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صحيحة الحلبي والكناني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عن رجل ضرب رجلاً بعصا فلم يقلع عنه الضرب حتى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أيدفع إلى ولي المقتول فيقتله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ولكن لا يترك يعبث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يجيز عليه بالسيف</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معتبرة موسى بن بكر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وجوز بعض الفقهاء</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بالأسهل كالاتصال بالأسلاك الكهربائية، أو بعض الإشعاعات الخاصة المشعة على المخ بحيث لا يحس الجاني بالقتل، ولكن مشروط برضا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ويتفق مع مشهور الإمامية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فالقصاص عنده لا يستوفي إلا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بقول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قود إلا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مالك والشافعي وأحمد فعندهم أن القاتل بالسيف يقتص منه بالسيف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والسيف أسرع الآلات فيقتص منه به، وإلا كان فوق الحق الذي عليه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القاتل بالحرق والغرق وغير ذلك، فيقتص منه كذلك بالمثل،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حرق حرقناه ومن غرق غرقناه</w:t>
      </w:r>
      <w:r>
        <w:rPr>
          <w:rFonts w:eastAsia="IRNazanin" w:cs="IRNazanin"/>
          <w:color w:val="111111"/>
          <w:sz w:val="28"/>
          <w:szCs w:val="28"/>
          <w:rtl w:val="true"/>
          <w:lang w:bidi="fa-IR"/>
        </w:rPr>
        <w:t>)</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ولكنهم يجوزون للولي أن يقتص بالسيف في هذه الأحوال؛ لأنه قد وجب له القتل والتعذيب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عدل إلى السيف فقد ترك بعض حقه وهو جائز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الإمامية فالروايات حددت السيف، ولكن لم تشر إلى حصر القصاص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حصره بالسيف، ورغم ذلك فقد جوز السيد عبد الأعلى السبزواري</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يكون أسهل بدعوى الأولوية القطعية من قتله بالسيف بعد إذن صاحب الحق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ما نسب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حرق حرقناه ومن غرق غرقناه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فسنده قاصر وغير معمول به عند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يبقى الكلام في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الآيتان الكريمتان يمكن المناقشة فيهما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منهما واردة في القتال، لا في القتل، فتكون خارجة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فتدل على أن العقوبة بمثلها، حيث فسرها السيد عبد الله شبر في تفسيره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أردتم عقوبة جانٍ قصاصاً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فَعَاقِبُوا بِمِثْلِ مَا عُوقِبْتُمْ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فالآيات المباركة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والكتاب العزيز يخصص بالسنة القطعية المتواترة كما هو معلوم في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تخصيصه بما روي في الصحاح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يمكن مخالفة الإجماع في حالة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إن تفسير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 مَا عُوقِبْتُمْ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المراد به أن القاتل يقتل، وقاطع اليد تقطع يده والذي يجرح شخصاً يجرح وهكذا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فالمسألة خلافية لا بسبب الآيات القرآنية وعمومها، وإنما لما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قود إلا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استدل به أبو حنيفة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ما استدل به مالك والشافعي وأحمد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حرق حرقناه ومن غرق غرقناه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فيحصل التعارض بين الروايتين، فنجري أصول 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 من ناحية السند، وثانياً من ناحية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ثبتت صحة السند كما هو عند غيرنا من المذاهب الأخرى، فيعرض على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وافقه 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الشافعي وأحمد ومالك موافقة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عُوقِبْتُمْ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تقديمها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بالنسبة للإمامية فسند هاتين الروايتين قاصر عن الاستدلال به؛ لأنهما نبويتان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سلمنا صحة سندهما فإنهما لا تقاومان ما عندنا من الصحاح المروية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أجمعوا على أن القصاص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وافقه أبو حنيفة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العقوبة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المؤبد مع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الفقه الإسلامي ذكر السجن المؤبد، ولكن في حالات خاصة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الأمامية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ممسك المجني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الشخص الذي أمسك شخصاً لآخر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بالقتل فهذا يحكم بالسجن المؤبد حتى الموت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المكرَه على القتل يحكم بالسجن المؤبد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المكرِه بالغاً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يعتبر ظرفاً مخففاً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ذكرته كتب الفقه الإمامي، حيث يقول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أمسكه وقتله آخر قتل القاتل، وحبس الممسك مؤبداً حتى يموت بعد ضرب جنبيه، ويجلد كل سنة خمسين جلدة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السيد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أمسكه شخص وقتله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القاتل ويحبس الممسك أبداً حتى الموت</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الحكم إجماعاً ونصوصاً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معتبرة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أمسك أحدهما وقتل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القاتل ويحبس الآخر حتى يموت غماً كما حبسه حتى مات غماً</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الآمر، فيقول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أكراه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أكره على قتل شخص فالقود على المباشر إن كان بالغاً عاقلاً دون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يحبس الآمر حتى يموت</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ومستنده صحيح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 أمر رجلاً بقتل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به الذي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ويحبس الآمر بقتله في الحبس حتى يموت</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يظهر عدم الفرق بين السجن والحبس في الفقه الإمامي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المكرَه على القتل فيقول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أكرهه على القتل، فإن كان ما توعد به دون القتل فلا ريب في عدم جواز القتل ولو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القود، وعلى المكرَه الحبس المؤبد</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المذاهب الأخرى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أمسك شخصاً وقتله آخر ففي مذهب أحمد يحبس الممسك حتى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بما روي عن ابن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أمسك الرجل الرجل وقتله الآخر يقتل الذي قتل ويحبس الذي أمسك لأنه حبسه إلى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علياً رضي الله عنه قضى بقتل القاتل وحبس الممسك حتى يموت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تذهب بقية المذاهب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ذهبوا إلى عقوبات أخرى، حيث يرى مالك القصاص على الممسك أيضاً، إذا أمسك القتيل لأجل القتل، وهو يعلم أن الطالب سيقتله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أبو حنيفة والشافعي تعزير الممسك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مالك القصاص عليه إذا حضر القتل، والتعزيز إذا لم 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حنيفة يرى أن لا قصاص عليه، ويرى الشافعي وأحمد أنَّ على الآمر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المكره على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مالك والشافعي وأحمد أن القصاص 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أبو حنيفة القصاص عليه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توافق بين المذاهب الأربعة والإمامية في هذه الجرائم، إلا الإمام أحمد في مسألة الممسك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المال المفروض في الجناية على النفس أو الطرف أو الجرح أو نحو ذلك</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المشروع في القتل العمدي هو القصاص، وأما الدية فهي غير مشروعة فيه</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والقصاص واجب تعييناً</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ولا يوجب الدية لا تعييناً ولا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تكون الدية عقوبة العمد في حالة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عقوبة رضائية بالنسبة للقتل العمد عندما يعفو الولي بشرط الدية، فيكون الجاني بالخيار بين القبول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تثبت الدية إلا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رضي بها سقط القود، وثبتت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رضائية بدلية، وأما إذا عفا الولي عن القصاص فليس له مطالبة الجاني بالدية، إلا أن يشترط ذلك بالعفو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فالدية تثبت بالعرض لا بالأصالة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فرضها في قتل لا يوجب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كقتل الوالد ولده، أو موت القاتل، أو كون القاتل عاقلاً والمقتول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تبقى الدية عقوبة بدلية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واستدلوا بعدة روايات نذكر منها صحيحة عبد الله بن سنان والحلبي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مؤمناً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رضوا بالدية وأحب ذلك القاتل فالدية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الإجماع الذي نقله السيد الخوئي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لا خلاف بين الأصحاب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المذاهب الأخرى</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يذهب مالك وأبو حنيفة إلى ما ذهب إليه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القصاص واجب تعييني لا 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فالدية ليست واجباً تخييرياً، ويشترطان رضا الجاني فهي رضائية عندهما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الشافعي وأحمد فإنهما يذهبان إلى أن الدية واجب تخييري؛ لأن ولي الدم مخيّر بين القصاص والدية، ولا يحتاج إلى رضا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فالدية واجب تخييري وليس رضائياً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ووافقهما من الإمامية العماني والإسكافي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واستدلوا بقول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في النفس مائة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وادعوا الإجماع على وجوب الدية في الجملة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الإمامية أنّها مخيرة 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بعير فحل من مسان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دينار ثلاثة أرباع المثقال الصيرفي من الذهب المسكوك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حلّة ثوبان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يتخير الجاني في إعطاء أي صنف من هذه الأصناف الستة، وليس لولي المقتول إجباره على صنف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وتستوفى الدية خلال سنة واحدة في القتل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خلاف فيه عند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ادعي عليه الإجماع مضافاً لما دلّت عليه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بن أبي ليلى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الدية في الجاهلية مائة من الإبل فأقرّها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فرض على أهل البقر مائتي بقرة، وفرض على أهل الشاة ألف شاة ثنية، وعلى أهل الذهب ألف دينار، وعلى أهل الورق عشرة آلاف درهم، وعلى أهل اليمن الحلل مائتي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روى ابن أبي ليلى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الدية ألف دينار، وقيمة الدينار عشرة دراهم، وعشرة آلاف لأهل الأمصار، وعلى أهل البوادي مائة من الإبل، ولأهل السواد مائتا بقرة، أو ألف شاة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الحلّة فإنها وردت في صحيحة ابن أبي عمير عن جميل بن دراج في الدية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ويؤخذ من أصحاب الحلل الحلل</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كون الحلّة ثوبان فهذا ما نص عليه الفقهاء وأهل اللغة، بل صرّح في الجواهر بأن الحكم مفروغ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فتفسير أهل اللغة واتفاقه مع الفقهاء يوجب الاطمئنان، بالإضافة إلى أن القول بالحلّة وأنها من أفراد الدية مجمع عليه ومتسالم مقطوع به بين فقهاء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كونها تُستوفى خلال سنة في العمد فلصحيحة أبي ولاّد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تستأدى دية الخطأ في ثلاث سنين وتستأدى دية العمد في سنة</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ويوافق الإمامية مذهب أحمد، حيث يرى أن الدية تجب في الأجناس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والذهب والفضة والبقر والغنم والحلل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بما روي من عمل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قضى بالدية من هذه الأجناس جميعاً حين كانت الديات على العواقل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عمر بن شعيب أنه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الإبل قد غلت، فقوم على أهل الذهب ألف دينار، وعلى أهل الورق اثني عشر ألفاً، وعلى أهل البقر مائتي بقرة، وعلى أهل الشاة ألفي شاة، وعلى أهل الحلل مائتي حلة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في حين يذهب مالك وأبو حنيفة والشافعي في رأيه الأول إلى أن الأجناس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والذهب والفضة؛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النفس المؤمنة مائة من الإبل وانه جعل دية كل ذي عهد على عهده ألف دينار</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عدل الشافعي عن رأيه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الدية تجب في جنس واحد هو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وأساس قوله هذا، أن الإبل هي الأصل في الدية وما عداها أبدال عنها لكل أهل 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أراء المذاهب في الأصناف وأما مقاديرها فلا خلاف في مقدار الإبل والبقر والذهب والحلل بأنها مائة من الإبل، وألف دينار من الذهب ومئتا 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الخلاف وقع في مقدار الغنم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فالإمامية ترى أنَّ مقدار الغنم ألف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المذاهب تراه ألفي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الخلاف اختلاف الروايات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منشأ الخلاف في الفضة وكون مقدارها عشرة آلاف كما ذهب الإمامية وأبو حنيفة؛ فلأنهم يرون أن قيمة الدينار هي 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مالك والشافعي وأحمد فإنهم يرون أن الفضة اثنا عشر ألف درهم؛ وذلك لأنهم يرون أن قيمة الدينار اثنا عشر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الوقت الذي تستوفى فيه دية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فالإمامية يرونه سنة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مالك والشافعي وأحمد فالدية عندهم حالة غير مؤجلة، إلا إذا رضي ولي الدم بالتأجيل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وحجتهم أن الدية بدل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حالّ، فتكون مثله حالّة، ولأن في التأجيل تخفيفاً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والعامد لا يستحق التخفيف</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أبو حنيفة فعنده تستوفى دية العمد بثلاث سنين، ويكفي العامد تغليظاً تثبيت الدية وجعلها في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بقيت هنا أمور في الدية نذكرها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ديتها نصف دية الرجل لإختلاف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خلاف فيه بين المذاهب الإسلامية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مجمع</w:t>
      </w:r>
      <w:r>
        <w:rPr>
          <w:rStyle w:val="FootnoteAnchor"/>
          <w:rtl w:val="true"/>
        </w:rPr>
        <w:footnoteReference w:id="142"/>
      </w:r>
      <w:r>
        <w:rPr>
          <w:rFonts w:ascii="Amiri" w:hAnsi="Amiri" w:eastAsia="Amiri" w:cs="Amiri"/>
          <w:color w:val="111111"/>
          <w:sz w:val="28"/>
          <w:sz w:val="28"/>
          <w:szCs w:val="28"/>
          <w:rtl w:val="true"/>
          <w:lang w:bidi="ar-SA"/>
        </w:rPr>
        <w:t>عليه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 فقهاء المسلمين لإجماع الصحابة وهو المروي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 ديته عند الإمامية ثمانمائة درهم إذا كان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مالك والشافعي وأحمد أن ديته نصف دية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نسائهم نصف دياتهم باتفاق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الكفار فلا دية لهم كما لا قصاص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ويخالف أبو حنيفة في ذلك حيث يجعل الديات متساوية بين المسلمين وغيرهم حتى عباد الوثن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ديته عند الإمامية قيمته ما لم تتجاوز دية الحر، فلا يجبر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وديته عند المذاهب الأخرى أيضاً قيمته، ولكن حتى لو زادت على دية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ابن الزنا في مشهور الأمامية</w:t>
      </w:r>
      <w:r>
        <w:rPr>
          <w:rStyle w:val="FootnoteAnchor"/>
          <w:rtl w:val="true"/>
        </w:rPr>
        <w:footnoteReference w:id="143"/>
      </w:r>
      <w:r>
        <w:rPr>
          <w:rFonts w:ascii="Amiri" w:hAnsi="Amiri" w:eastAsia="Amiri" w:cs="Amiri"/>
          <w:color w:val="111111"/>
          <w:sz w:val="28"/>
          <w:sz w:val="28"/>
          <w:szCs w:val="28"/>
          <w:rtl w:val="true"/>
          <w:lang w:bidi="ar-SA"/>
        </w:rPr>
        <w:t>أنه إذا كان محكوماً بالإسلام فدية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الجلد بما دون الحد وربما 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عقوبة كل من فعل محرماً أو ترك واجباً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عقوبة بديلة عن القصاص، وتكون عند امتناعه وعدم توفر شروطه، أو </w:t>
      </w:r>
    </w:p>
    <w:p>
      <w:pPr>
        <w:pStyle w:val="BookText"/>
        <w:rPr/>
      </w:pPr>
      <w:r>
        <w:rPr>
          <w:rFonts w:ascii="Amiri" w:hAnsi="Amiri" w:eastAsia="Amiri" w:cs="Amiri"/>
          <w:color w:val="111111"/>
          <w:sz w:val="28"/>
          <w:sz w:val="28"/>
          <w:szCs w:val="28"/>
          <w:rtl w:val="true"/>
          <w:lang w:bidi="ar-SA"/>
        </w:rPr>
        <w:t>سقوطه لسبب من الأسباب الموجبة لذلك خلا الموت، كعفو الولي عنه بدية أو بدونها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عندنا عقوبة الوالد الذي يقتل ولده، والسيد يقتل عبده، أو عبداً كما يدل عليه ما 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يقتل ابنه أو عبده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يقتل به ولكن يضرب ضرباً شديداً</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إذا لم يكن عبده، فعليه التعزير أيضاً لما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قتل مملوكاً متعمداً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يغرم قيمته ويضرب ضرباً شديداً</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المذاهب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أوجب مالك أن يعاقب القاتل تعزيراً في امتناع القصاص، أو سقوطه سواء أبقيت الدية أم سقطت هي أيضاً، ويرى أن تكون العقوبة الحبس لمدة سنة، والجلد مائة جلدة، وأما الشافعي وأحمد وأبو حنيفة فيرون عند سقوط القصاص أن التعزير حق لله تعالى وهو حق للجماعة بعد سقوط القصاص، وهو تأديب للقاتل يرجع نفعه للناس كافة، ولا يوجبون عقوبة معينة على القاتل إذا سقط القصاص، أو عفا الولي عنه، ولكن ليس عندهم ما يمنع من عقاب القاتل عقوبة تعزيرية بالقدر الذي تراه الهيئة التشريعية صالحاً لتأديبه وزجره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يتفق مع ما ذهبت إليه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تكليف محض لا تعلُّق لها بالحقوق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ويُكلَّف بها القاتل بعد سقوط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ثبوت القصاص على القاتل فلا تجب عليه، ولا تستخرج من ماله بعد القصاص؛ لعدم وجوبها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والكفارة من العقوبات المترتبة على القتل العمدي بعد سقوط القصاص بالعفو، أو امتناعه أو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خلاف فيه بين الإمامية، بل ادعي عليه الإجماع </w:t>
      </w:r>
    </w:p>
    <w:p>
      <w:pPr>
        <w:pStyle w:val="BookText"/>
        <w:rPr/>
      </w:pPr>
      <w:r>
        <w:rPr>
          <w:rFonts w:ascii="Amiri" w:hAnsi="Amiri" w:eastAsia="Amiri" w:cs="Amiri"/>
          <w:color w:val="111111"/>
          <w:sz w:val="28"/>
          <w:sz w:val="28"/>
          <w:szCs w:val="28"/>
          <w:rtl w:val="true"/>
          <w:lang w:bidi="ar-SA"/>
        </w:rPr>
        <w:t>بقسميه المنقول والمحصل</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فالإجماع هو الحجة على ثبوتها في القتل العمدي، وكونها بدلية عن القصاص عند العفو، أو أخذ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تكليفاً في طول القصاص وفي عرض الدية والتعزير والحبس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تجب مع وجوبهما وبدونهما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الإجماع فالنصوص تصرح بذلك، بل المتيقن</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من النصوص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يقتل الرجل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ثلاث كفارات يعتق رقبة، ويصوم شهرين متتابعين، ويطعم ستين مسكيناً</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والواضح من بعض النصوص أن الكفارة إنما تجب بعد القتل على 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 أو مات بسبب آخر فلا 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وجوب الكفارة بقتل المسلم بين البالغ وغيره، والعاقل والمجنون، والذكر والأنثى، والحر والعبد، وإن كان العبد عبد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وجوب الكفارة في قتل الجنين بعد ولوج الروح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الكفار فلا كفارة في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الذمي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اشترك جماعة في قتل مؤمن فعلى كل واحد منهم الكفارة؛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الكفارة على الصبي، ولا المجنون إذا قتلا مسلماً، لأنها تكليف محض وقد رفع القلم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المذاهب الأخرى فاختلفوا في وجوبها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حيث يرى الشافعي أن الكفارة تجب وتغلظ على قاتل العمد؛ لما رواه وائلة بن الأسقع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بصاحب لنا قد أستوجب النار بالقتل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اعتقوا </w:t>
      </w:r>
    </w:p>
    <w:p>
      <w:pPr>
        <w:pStyle w:val="BookText"/>
        <w:rPr/>
      </w:pPr>
      <w:r>
        <w:rPr>
          <w:rFonts w:ascii="Amiri" w:hAnsi="Amiri" w:eastAsia="Amiri" w:cs="Amiri"/>
          <w:color w:val="111111"/>
          <w:sz w:val="28"/>
          <w:sz w:val="28"/>
          <w:szCs w:val="28"/>
          <w:rtl w:val="true"/>
          <w:lang w:bidi="ar-SA"/>
        </w:rPr>
        <w:t>عنه رقبة يعتق الله تعالى بكل عضو فيها عضواً منه من النار</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ويرى أحمد رأياً مشابهاً للشافعي، ويتفق معه، ولكن مشهور مذهبه أن لا كفارة في القتل العمد، باعتبار أن النص الخاص بالقتل العمد خلو منها، وجزاء العمد هو القصاص، وأن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القود على سويد ولم يوجب الكفارة، وأن عمرو بن أمية قتل رجلين فوداهما ولم يوجب الكفارة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ويرى أبو حنيفة أن لا كفارة في القتل العمد لأنها دائرة بين العبادة والعقوبة، فلابد من أن يكون سببها دائراً بين الحظر والإباحة، لتعلق العبادة بالمباح، والقتل بالمحظور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العمد كبيرة محضة فلا تناظر به كفارة؛ ولأن الكفارة من العقوبات المقدرة، فلا يجوز إثباتها بالقياس، بل لابد من النص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ويذهب مالك إلى ما ذهب إليه أبو حنيفة، إلا أنه يقول بإنها مندوبة للذي لم يقتص منه سواء أكان ذلك لعدم القصاص أم لمانع شرعي أم 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فيمكننا القول أن أحمد ومالكاً وأبا حنيفة لا يرون الكفارة في القتل العمد إذا اقتص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فالقصاص لا غير، ولا يجب على ورثته إخراجها من ماله وهذا يتفق مع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ويخالف الشافعي حيث يقول بالكفارة مع القصاص، ولكل منهم دليله في ذلك وكما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بروايات صحيحة وصريحة مضافاً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 منها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المذاهب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استدلوا بأدلة يعارض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والتعارض بين الدليلين نرجع فيه إلى أدلة الترجيح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فالأقوى سنداً يقدّم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غضضنا النظر عن السند ولجأنا إلى الجمع العرفي الدلالي بحمل </w:t>
      </w:r>
    </w:p>
    <w:p>
      <w:pPr>
        <w:pStyle w:val="BookText"/>
        <w:rPr/>
      </w:pPr>
      <w:r>
        <w:rPr>
          <w:rFonts w:ascii="Amiri" w:hAnsi="Amiri" w:eastAsia="Amiri" w:cs="Amiri"/>
          <w:color w:val="111111"/>
          <w:sz w:val="28"/>
          <w:sz w:val="28"/>
          <w:szCs w:val="28"/>
          <w:rtl w:val="true"/>
          <w:lang w:bidi="ar-SA"/>
        </w:rPr>
        <w:t>الرواية التي استدل بها الشافعي وهي رواية وائلة بن الأسقع على الندب، أي أن الكفارة مستحبة مع القصاص لا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الروايات الأخرى الدالة على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فنكون أمام إلزام بالكفارة كما في رواية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وترخيص بتركها كما في الروايات الأخرى التي استدل بها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ذهب إليه مالك، إلا أنه اشترط كون الندب مع عدم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 بهذا الرأي نكون قد وفقنا بين آراء جميع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ويوافق أبو حنيفة رأي الإمامية حيث يرى عدم وجوب الكفارة إلا على المسلم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على الصبي ولا المجنون ولا غير المسلم؛ لأنها عبادة لا يخاطبون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فيرون أن الكفار يخاطبون ولكن لا يصح منهم؛ لفقد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الشافعي وأحمد فإنها تجب عندهم على القاتل أياً كان بالغاً أم غير بالغ، عاقلاً أم مجنوناً، مسلماً أم غير مسلم، ولا يستثنى إلا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مالك فإنه يرى أنها تجب على الصبي والبالغ والعاقل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مسلماً ولا تجب على غير المسلم؛ لأنها عقوبة 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وتذهب الإمامية إلى كون خصال الكفارة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كفارة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الشافعي وأحمد يذهبان إلى كون خصال الكفارة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وصيام شهرين متتابعين وإطعام ستين مسكيناً، ولكنهما يقولان بأنها كفارة مرتبة لا كفارة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عليه أولاً عتق رقبة فإن لم يستطع فصيام شهرين متتابعين فإن لم يستطع فإطعام ستين مسكيناً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ودليلهما قياساً على كفارة الظهار التي نصّ فيها على الإطعام بخلاف مالك وأبي حنيفة، حيث يذهبان إلى أن خصال الكفارة اثنتان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كفارة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فإن لم يستطع، فصيام شهرين متتابعين، فإن لم يستطع لا يجب عليه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عندهما عدم النص على الإطعام في روايات الكفارة للقتل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لا يصح في الكفارة لأنها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والعبادات تحتاج إلى نص فهي 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انتهت العقوبات للقتل العمد وهناك عقوبات تبعية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 من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فالقاتل يحرم من الإرث إذا قتل من يورثه، و يحرم من الوصية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فالأب القاتل لأبنه وأن عفي عن القصاص فإنه يعاقب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التعزير والكفارة والدية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 من إرث المقتول ووصيته، إلا إذا كان قد أوصى له</w:t>
      </w:r>
      <w:r>
        <w:rPr>
          <w:rFonts w:eastAsia="Amiri" w:cs="Amiri" w:ascii="Amiri" w:hAnsi="Amiri"/>
          <w:color w:val="111111"/>
          <w:sz w:val="28"/>
          <w:szCs w:val="28"/>
          <w:rtl w:val="true"/>
          <w:lang w:bidi="ar-SA"/>
        </w:rPr>
        <w:t xml:space="preserve">. </w:t>
      </w:r>
      <w:bookmarkStart w:id="45" w:name="pg9076_119652"/>
    </w:p>
    <w:p>
      <w:pPr>
        <w:pStyle w:val="Heading3"/>
        <w:numPr>
          <w:ilvl w:val="2"/>
          <w:numId w:val="1"/>
        </w:numPr>
        <w:rPr/>
      </w:pPr>
      <w:bookmarkStart w:id="46" w:name="__RefHeading___Toc2580355_2870459653"/>
      <w:bookmarkStart w:id="47" w:name="_Toc15"/>
      <w:bookmarkEnd w:id="45"/>
      <w:bookmarkEnd w:id="46"/>
      <w:r>
        <w:rPr>
          <w:rtl w:val="true"/>
        </w:rPr>
        <w:t>الفصل الثاني</w:t>
      </w:r>
      <w:r>
        <w:rPr>
          <w:rtl w:val="true"/>
        </w:rPr>
        <w:t xml:space="preserve">: </w:t>
      </w:r>
      <w:r>
        <w:rPr>
          <w:rtl w:val="true"/>
        </w:rPr>
        <w:t>القتل العمد في قانون العقوبات العراقي</w:t>
      </w:r>
      <w:bookmarkEnd w:id="47"/>
    </w:p>
    <w:p>
      <w:pPr>
        <w:pStyle w:val="Heading4"/>
        <w:numPr>
          <w:ilvl w:val="3"/>
          <w:numId w:val="1"/>
        </w:numPr>
        <w:rPr/>
      </w:pPr>
      <w:bookmarkStart w:id="48" w:name="__RefHeading___Toc2580357_2870459653"/>
      <w:bookmarkStart w:id="49" w:name="_Toc16"/>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ذكره قانون العقوبات من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شرحه بعدّة شروحات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المقارنة بين ما جاء فيه عن القتل العمد، وبين المذاهب الفقهية لابد من استعراضه في مباحث تشابه المباحث التي تم بحثها في الفصل الأول في رؤية المذاهب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ستكون مباحث الفصل الثاني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القتل العمد في القانون، وتعريفه وتوضيحه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القتل العمد وشرح نصوصه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تطبيقاته وعقوباته</w:t>
      </w:r>
      <w:r>
        <w:rPr>
          <w:rFonts w:eastAsia="Amiri" w:cs="Amiri" w:ascii="Amiri" w:hAnsi="Amiri"/>
          <w:color w:val="111111"/>
          <w:sz w:val="28"/>
          <w:szCs w:val="28"/>
          <w:rtl w:val="true"/>
          <w:lang w:bidi="ar-SA"/>
        </w:rPr>
        <w:t xml:space="preserve">. </w:t>
      </w:r>
      <w:bookmarkStart w:id="50" w:name="pg9076_119653"/>
    </w:p>
    <w:p>
      <w:pPr>
        <w:pStyle w:val="Heading4"/>
        <w:numPr>
          <w:ilvl w:val="3"/>
          <w:numId w:val="1"/>
        </w:numPr>
        <w:rPr/>
      </w:pPr>
      <w:bookmarkStart w:id="51" w:name="__RefHeading___Toc2580359_2870459653"/>
      <w:bookmarkStart w:id="52" w:name="_Toc17"/>
      <w:bookmarkEnd w:id="50"/>
      <w:bookmarkEnd w:id="51"/>
      <w:r>
        <w:rPr>
          <w:rtl w:val="true"/>
        </w:rPr>
        <w:t>المبحث الأول</w:t>
      </w:r>
      <w:r>
        <w:rPr>
          <w:rtl w:val="true"/>
        </w:rPr>
        <w:t xml:space="preserve">: </w:t>
      </w:r>
      <w:r>
        <w:rPr>
          <w:rtl w:val="true"/>
        </w:rPr>
        <w:t>تقسيمات وتعريف القتل العمد</w:t>
      </w:r>
      <w:bookmarkEnd w:id="5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القتل في قانون العقوبات العراقي</w:t>
      </w:r>
    </w:p>
    <w:p>
      <w:pPr>
        <w:pStyle w:val="BookText"/>
        <w:rPr/>
      </w:pPr>
      <w:r>
        <w:rPr>
          <w:rFonts w:ascii="Amiri" w:hAnsi="Amiri" w:eastAsia="Amiri" w:cs="Amiri"/>
          <w:color w:val="111111"/>
          <w:sz w:val="28"/>
          <w:sz w:val="28"/>
          <w:szCs w:val="28"/>
          <w:rtl w:val="true"/>
          <w:lang w:bidi="ar-SA"/>
        </w:rPr>
        <w:t xml:space="preserve">يظهر من مراجعة تبويب ونصوص قانون العقوبات 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وتعديلاته أن المشرع العراقي نص على ثلاثة أقسام للقتل أشار إليها من المادة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المادة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العمد حيث نصّ عليه في المواد من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المفضي إلى الموت ونصّ عليه بالمادة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الخطأ ونصّ عليه بالمادة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أقسام القتل التي نصّ عليها المشرّع العراقي حيث قسمها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القتل العمد في قانون العقوبات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أن قانون العقوبات العراقي لم يذكر تعريفاً للقتل العمد، واكتفى بذكر أركانه في نص المادة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الشراح</w:t>
      </w:r>
      <w:r>
        <w:rPr>
          <w:rStyle w:val="FootnoteAnchor"/>
          <w:rtl w:val="true"/>
        </w:rPr>
        <w:footnoteReference w:id="151"/>
      </w:r>
      <w:r>
        <w:rPr>
          <w:rFonts w:ascii="Amiri" w:hAnsi="Amiri" w:eastAsia="Amiri" w:cs="Amiri"/>
          <w:color w:val="111111"/>
          <w:sz w:val="28"/>
          <w:sz w:val="28"/>
          <w:szCs w:val="28"/>
          <w:rtl w:val="true"/>
          <w:lang w:bidi="ar-SA"/>
        </w:rPr>
        <w:t xml:space="preserve">أن هذا لا يثير أية صعوبة، وادعى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القتل العمد هو كل إزهاق لروح إنسان عمداً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بمثابة تعريف للقتل العمد كما سوف يتضح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ذلك سوف نعتبر التعريف المجمع عليه هو العمدة في مناقشة التعريف ومقارنته بتعريف المذاهب الفقهية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فالقتل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كل إزهاق لروح إنسان 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إزهاق 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علمنا سابقاً أن إزهاق الروح يعني في اللغة إخراجها، فيحمل عليه ويكون كل إخراج روح مشمول بالتعريف ويصدق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والإخراج يحتاج إلى فعل أو وسيلة من الفاعل، وإلا فالقانون لا يعاقب على النيات أو المقاصد الشريرة، بل لابد من فعل أو وسيلة من الوسائل تكون سبباً لإخراج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والوسائل منها ما يكون قاتلاً بطبيعته كالسلاح الناري، والحرق، والإلقاء من مرتفع، والخنق والسم، والتيار الكهربائي،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قاتلاً بطبيعته ولكنه يؤدي إلى القتل استثناءً وفي ظروف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الوسائل كلها مشمولة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إزهاق 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التعريف أطلق ولم يقيد، ولم يبيّن الوسيلة المستعملة في استخراج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الوسائل مشمولة بالتعريف ونص المادة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أكثر من ذلك فهي تشمل حتى الوسيلة المعنوية، باعتبار الوسائل النفسية من وسائل القتل كمن يختلق نبأً مؤلماً بغتة على شيخ مريض بقصد قتله، أو مثل وضع طفل صغير في حالة ذعر للقضاء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الأمور وإن كان يصعب جعلها من القتل العمد إلا أنه يمكن ذلك إذا تحققت علاقة السببية بينها وبين الوفاة، وتوفر القصد للقتل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يشترط المشرّع العراقي إن يكون إخراج الروح بفعل، بل يمكن حصوله بالامتناع والترك ويشمله التعريف، بل نص المشرع على ذلك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الجريمة عمدية إذا توفر القصد الجرمي لدى فاعلها وتعد الجريمة عمدية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القانون أو الاتفاق واجباً على شخص، وأمتنع عن أدائه قاصداً إحداث الجريمة التي نشأت مباشرة عن هذا الامتناع</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الجريمة المستحيلة مشمولة؟ لا يعدها المشرع العراقي 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هذا هو 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وقوع فعل مادي باتخاذ الوسائل المؤدية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ركناً ثانياً في جريمة القتل العمد في القانون العراقي؛ لأنه محل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يتحقق القتل العمد إلا بوقوعه على إنسان، والمقصود به الإنسان الحي أي على قيد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وتبدأ الحياة في القانون العراقي بعد تمام الولادة، وتنتهي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ذكره القانون المدني منه في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لا يحصل للميت ولا للجنين قبل تمام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هذه الأفعال تعد جريمة، لكنها ليست جريمة القتل العمد، بل جرائم أخرى كالإجهاض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ويخرج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الحيوان حيث اعتبره المشرع العراقي جريمة عالجها في المادتين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ويخرج أيضاً ما قبل الولادة فيسمى إجهاضاً أشار إليه المشرع العراقي في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Style w:val="FootnoteAnchor"/>
          <w:rtl w:val="true"/>
        </w:rPr>
        <w:footnoteReference w:id="153"/>
      </w:r>
      <w:r>
        <w:rPr>
          <w:rFonts w:ascii="IRNazanin" w:hAnsi="IRNazanin" w:eastAsia="IRNazanin"/>
          <w:color w:val="111111"/>
          <w:sz w:val="28"/>
          <w:sz w:val="28"/>
          <w:szCs w:val="28"/>
          <w:rtl w:val="true"/>
          <w:lang w:bidi="fa-IR"/>
        </w:rPr>
        <w:t>من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وقانون العقوبات العراقي يكتفي بذكر الإنسان من دون أي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يفرق بين طفل وكهل وشيخ، ولا بين ذكر أو أنثى، ولا مواطن أو أجنبي، ولا بين متمدن وغيره، ولا بين عالم أو جاهل، أو غني أو فقير، إذ الناس كلهم سواسية أمام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ويحميهم بدرجة واحدة وأن اختلفت منزلتهم الذاتية أو نفعهم للهيئة الاجتماعية، سواء أكان مسلماً أم يهودياً أم نصرانياً أم ملحداً أم مؤمناً أم مرتداً أم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بالعمد هو الركن الثالث في جريمة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القصد الجنائي الجرمي الذي عرّفه في 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 الجرمي هو توجيه نية الفاعل إرادته إلى ارتكاب الفعل المكون للجريمة هادفاً إلى نتيجة الجريمة التي وقعت، أو أي نتيجة جرمية أخرى</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ويقصد به نية القتل وهي المائز بين القتل العمد وغيره، وإثبات هذه النية الداخلية من اختصاص قاضي الموضوع، يستنبطها من ظروف كل قضية ودلائلها الخارجية، إما من طبيعة الفعل ذاته، أو من السلاح المستعمل، أو خطورة الإصابة وموقعها من جسم المجني عليه، أو من تكرار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فالقصد الجنائي لدى الفاعل وهو تعمد إزهاق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والقتل جريمة عمدية يلزم لقيامها توافر القصد الجنائي ابتدءاً، أي انصراف إرادة الجاني إلى تحقيق وقائع الجريمة مع العلم بأركانها، كما يتطلبها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تسميته بالقصد الجنائي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قصد إزهاق الروح للمجني عليه قصداً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وبدون القصد الخاص يختلط العمد بشبه العمد أو الضرب المفضي إلى الموت أو الشروع فيه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وسواء أكان محدوداً كإزهاق روح شخص معين بذاته، أم غير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يضع قنبلة في طريق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عبرة بالباعث للجريمة ما دامت الإرادة متوفرة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العنصر الأول من عناصر القصد الجرمي وهو توجيه الفاعل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هذا العنصر إخراج المكرَه الذي فعل الجريمة من دون إرادته الحرة المختارة، مكرَهاً بقوة قاهرة أو تحت تأثير التنويم المغناطيسي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قتل الأم رضيعها وهي نائمة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شخص سقط من شاهق على آخر فقتله، أو من يصوب بندقيته على آخر تحت تأثير 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الأفعال لا تسمى جريمة قتل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الركن الثالث وهو القصد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والعنصر الثاني للقصد الجنائي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إرادة الفعل وحدها لا تكفي لقيام القصد الجرمي، إذ لابد من انصراف نية الفاعل إلى تحقيق النتيجة الجرمية، أي أن تنصرف إرادته إلى وفاة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يتطلب إن يكون الجاني عالماً بأن محل الجريمة هو إنسان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فالعلم بحياة المجني عليه شرط أساسي لتحقيق القصد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فقد هذا الشرط لا يعد الجاني قاتلاً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فالطبيب الذي يبدأ بعملية التشريح معتقداً بأن الشخص الذي بين يديه قد فارق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به يلفظ أنفاسه الأخيرة، وتحدث الوفاة نتيجة للتشريح، لا يعد قاتلاً عمداً، لعدم علمه بحياة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تكون هذه الجريمة قتلاً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يتحقق العمد قانوناً، يحتاج إلى إرادة الفعل وإرادة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يريد النتيجة ما لم يكن عالماً بالحياة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من يرى شبحاً يعتقد أنه حيوان، فيضربه فيموت وإذا به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 قاتلاً عمداً، لعدم إرادة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فالذي يصوب نحو إنسان فيصيب أحد المارة </w:t>
      </w:r>
    </w:p>
    <w:p>
      <w:pPr>
        <w:pStyle w:val="BookText"/>
        <w:rPr/>
      </w:pPr>
      <w:r>
        <w:rPr>
          <w:rFonts w:ascii="Amiri" w:hAnsi="Amiri" w:eastAsia="Amiri" w:cs="Amiri"/>
          <w:color w:val="111111"/>
          <w:sz w:val="28"/>
          <w:sz w:val="28"/>
          <w:szCs w:val="28"/>
          <w:rtl w:val="true"/>
          <w:lang w:bidi="ar-SA"/>
        </w:rPr>
        <w:t>ويرديه قتيلاً، يسأل عن جريمة قتل عمد؛ لأنه أراد الفعل وإرادة النتيجة وأخطأ الشخص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المقصود من القتل العمد قانوناً، ويتبين إن هناك اختلافاً بينه وبين المقصود من القتل العمد في الفقه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 تعريف شراح القانون العراقي يعرفون القتل العمد بأنه حقيقة مستقلة، سواء أوجب القصاص أم 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نبهت عليه عند مناقشتي لتعريف الفقه الإسلامي الذي يعرف القتل العمد بأنه موجب للقصاص</w:t>
      </w:r>
      <w:r>
        <w:rPr>
          <w:rFonts w:eastAsia="Amiri" w:cs="Amiri" w:ascii="Amiri" w:hAnsi="Amiri"/>
          <w:color w:val="111111"/>
          <w:sz w:val="28"/>
          <w:szCs w:val="28"/>
          <w:rtl w:val="true"/>
          <w:lang w:bidi="ar-SA"/>
        </w:rPr>
        <w:t xml:space="preserve">. </w:t>
      </w:r>
      <w:bookmarkStart w:id="53" w:name="pg9076_119659"/>
    </w:p>
    <w:p>
      <w:pPr>
        <w:pStyle w:val="Heading4"/>
        <w:numPr>
          <w:ilvl w:val="3"/>
          <w:numId w:val="1"/>
        </w:numPr>
        <w:rPr/>
      </w:pPr>
      <w:bookmarkStart w:id="54" w:name="__RefHeading___Toc2580361_2870459653"/>
      <w:bookmarkStart w:id="55" w:name="_Toc18"/>
      <w:bookmarkEnd w:id="53"/>
      <w:bookmarkEnd w:id="54"/>
      <w:r>
        <w:rPr>
          <w:rtl w:val="true"/>
        </w:rPr>
        <w:t>المبحث الثاني</w:t>
      </w:r>
      <w:r>
        <w:rPr>
          <w:rtl w:val="true"/>
        </w:rPr>
        <w:t xml:space="preserve">: </w:t>
      </w:r>
      <w:r>
        <w:rPr>
          <w:rtl w:val="true"/>
        </w:rPr>
        <w:t>أركان القتل العمد وشرح مواده القانونية</w:t>
      </w:r>
      <w:bookmarkEnd w:id="5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القتل العمد في قانون العقوبات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تظهر أركان جريمة القتل العمد من نص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عقوبات التي نصت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عمداً يعاقب بالسجن المؤبد أو المؤقت</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يتبيّن من هذا النص، كما تمّ توضيح تعريفه المجمع عليه والشامل لبعض فقرات هذه المادة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تقابل في تعريف الشراح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إزهاقٍ 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ذكرته عن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إزهاق 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هنا؛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إزهاق الروح يعني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فالتعريف عبّر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إزهاق 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عبّر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التعبيرين إلا بالإجمال والتفصيل بين اللفظ وتعريفه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تعريف القتل العمد هو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تجريدها عن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في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إزهاق للروح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الركن الأول للقتل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وقوع فعل مادي بإتخاذ الوسائل المؤدية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الركن المادي للقتل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توضيح ما يتعلق بهذا الركن في توضيح فقرات التعريف فلا نعيد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 لم يبيّن نوع هذا الفعل، ولم يحدد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فعل غير محدد لا بطبيعته ولا بوسيلته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فيشمل كل وسيلة مادية، أو معنوية قاتلة بطبيعتها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وقع القتل بفعل واحد، أو بعدة أفعال سواء أوقع الفعل مباشرة من الجاني أم من دون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حصلت الوفاة فوراً أم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بالركن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النص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المقصود به هناك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الركن الثاني وهو محل الجريمة إنسان على قيد الحياة، ويصدق عليه من بعد تمام الولادة حتى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يخص هذا الركن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نية الجاني إلى إحداث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النص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يخص هذه اللفظة، فلا 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يتكون من عناصر ذكرناها هناك ومُلخصها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الفعل المادي، أي الفاعل يريد الفعل الذي ارتكب به الجريمة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النتيجة الجرمية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يريد وفاة المجني عليه وإزهاق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ذكر الأركان المحققة للقتل العمد نحاول تطبيقها على ما ذكرنا من جرائم في تطبيقات أركان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شرح النصوص الواردة في القتل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فقرات النصوص القانونية في القتل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التعريف شرح المادة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تشتمل على تعريف القتل العمد، ولكن الفارق كما قلنا هو إجمال وتفصيل، حيث ذكرت المادة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والتعريف ذكر تعريف القتل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إزهاق 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المشرّع العراقي ذكر تعريف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يقول بعض الشراح</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المشرع العراقي لم يذكر تعريف القتل العمد ويقصد التعريف التفصيلي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فالمادة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شرحها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يعاقب بالسجن المؤبد أو 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 المواد التي سوف نشرحها نترك شرح العقوبات المذكورة في المواد إلى موضوع العقوبات، حيث نقوم بذكر كل عقوبة وشرحها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نكون قد وصلنا إلى شرح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تتكون من عدة حالات وفقرات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سوف نذكر نص كل فقرة مع شرحها وعلى النحو الآتي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يعاقب بالإعدام من قتل نفساً في إحدى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القتل مع سبق الإصرار أو الترصد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توضيح هذه الحالة نتطرق إلى توضيح سبق الإصرار، ثم توضيح الترصد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سبق الإصرار فقد عرفته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جاء فيها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الإصرار هو التفكير المصمم عليه في ارتكاب الجريمة قبل تنفيذها، بعيداً عن ثورة الغضب أو الهياج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أن سبق الإصرار يتكون من عنصرين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التصميم السابق وهو العنصر الزمني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هدوء البال وهو العنصر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يتحقق سبق الإصرار إلا بمضي مدة من الزمن كافية بين عقد النية على ارتكاب الجريمة، وبين تنفيذها، حيث يزن فيها الفاعل خطورة الفعل الذي سيقدم عليه، ويقدر نتائجه، ويصمم على تنفيذه بالرغم مما سيترتب عليه من خرق للنصوص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يجري بنزو وتأمل تحيطه الطمأنينة وهدوء البال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دلالة واضحة على النفسية الشريرة لدى الجاني، فتكون أشد خطراً من نفسية الجاني الذي ينزلق إلى الجريمة تحت تأثير ثورة غضب آني تضعف من سلطانه على ذاته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يحدد ويقرر وجود سبق الإصرار من 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قاضي الموضوع لدخول ذلك في سلطة محكمة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ويتوفر سبق الإصرار سواء أكان الجاني عيّن شخص المجني عليه أم لم يعين، كما نصت عليه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يتحقق سبق الإصرار سواء أكان قصد الفاعل من الجريمة موجهاً إلى شخص معين أو إلى شخص غير معين وجده أو صادفه، وسواء أكان ذلك القصد معلقاً على حدوث أمر، أو موقوفاً على شرط</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تظهر الصورة الأولى في قضايا الأخذ بالثأر، إذ يقرر الجاني بينه وبين نفسه أن يقتل كل من يصادفه من العشيرة الفلانية، 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تحقق سبق الإصرار ولو كان قصد القتل معلقاً على حدوث أمر أو متوقفاً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كأن يعزم المدين على قتل أي موظف يحضر إلى محله، ليضع الحجز على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يحدث الأمر ويأتي الموظف ليحجز، فيطلق عليه المدين النار ويرديه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يسأل هذا المدين عن جريمة قتل مصحوبة بسبق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بعض الشراح</w:t>
      </w:r>
      <w:r>
        <w:rPr>
          <w:rStyle w:val="FootnoteAnchor"/>
          <w:rtl w:val="true"/>
        </w:rPr>
        <w:footnoteReference w:id="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بالرغم من أن القانون لم ينص صراحة على عدم تأثير الغلط في الشخصية على توافر سبق الإصرار، إلا أن الأمر واضح من روح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أصاب الجاني غريمه أو أخطأه، وأصاب شخصاًً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القصد متوفر والظرف المشدد أيضاً متوفر إذا كان هناك تصميم سابق مصحوب بهدوء البال على القتل بالرغم من الحيدة في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يقتضيه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لا يؤثر الخطأ في الشخصية، ولا الخطأ في التصويب على قيام القصد الجرمي، لذا فإنهما لا يؤثران أيضاً على قيام الظرف المشدد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وسبق الإصرار هو ظرف مشدد من الظروف الشخصية التي تتعلق بشخص الجاني، لذا فهو لا يسري على كل من اشترك في الجريمة، أو ساهم بها، لكنه يسري على من تحقق لديه أو علم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يعرفه المشرع العراقي، ولكن عرفه بعض الشراح</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انتظار الجاني في مكان المجني عليه بغية الإجهاز عليه، ويتم الترصد بمباغتة المجني عليه، ومفاجأته بالاعتداء، بحيث لا يتيسر له الدفاع عن نفسه، لذلك يعتبر ظرفاً مشدداً لما يتضمنه من جبن وخبث، وعدم إفساح المجال أمام الضحية للدفاع 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 يسهل عملية الاعتداء وعملية هرب الجاني لعدوه على أثر ثورة نفسية انتابته عقب مشاجرة حصلت بينهما، فيقتله قبل إن تهدأ ثورة الغضب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يسأل الجاني عن جريمة قتل عمد مقترن بظرف الترصد فقط دون سبق الإصرار والترصد في اللغة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المفهوم اللغوي وتطبيقات القضاء، ومما ذهب إليه الفقه يقول بعض</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الشراح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نستنتج أن لتحقق الترصد لابد من توفر شرطين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ينتظر القاتل المجني عليه في مكان ما، فترة من الزمن متخفياً أو غير متخف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الانتظار لا يتحقق الترصد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الترصد لغرض القتل حصراً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لغرض آخر وتطور الموضوع إلى شجار انتهى بالقتل فلا يمكن اعتبار هذا القتل قد حصل بالترصد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الترصد حتى لو يقصد شخصاً محدداً أو موقوفاً على شرط، كمن يترصد لقتل أول قادم للقبض عليه، سواء أوقعت النتيجة على الغريم المراد قتله بالترصد، أم على شخص آخر نتيجة خطأ في التصويب أو في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والترصد ظرف عيني</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متعلق بالركن المادي للجريمة ولذا يسري على جميع </w:t>
      </w:r>
    </w:p>
    <w:p>
      <w:pPr>
        <w:pStyle w:val="BookText"/>
        <w:rPr/>
      </w:pPr>
      <w:r>
        <w:rPr>
          <w:rFonts w:ascii="Amiri" w:hAnsi="Amiri" w:eastAsia="Amiri" w:cs="Amiri"/>
          <w:color w:val="111111"/>
          <w:sz w:val="28"/>
          <w:sz w:val="28"/>
          <w:szCs w:val="28"/>
          <w:rtl w:val="true"/>
          <w:lang w:bidi="ar-SA"/>
        </w:rPr>
        <w:t>المساهمين في الجريمة، علموا أو 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سبق الإصرار الذي يعتبر ظرفاً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المقصود من سبق الإصرار والترصد اللذين هما سببان للظرف المشدد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عبرت بالعطف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كل واحد منهما مستقلاً في كونه ظرفاً مشدداً يستحق الجاني عليه 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المادة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حصل القتل باستعمال مادة سامَّة أو مفرقعة أو منفجرة</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المشرع في هذه الفقرة يقصد بالمادة السامة التي تتسبب بالموت عاجلاً أو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مواد سامَّة بطبيعتها، سواء أكانت حيوانية أم عضوية أم معدنية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من أجبر شخصاً على شرب دواء كثير فسبَّب تسممه لا يعد عمله قتلاً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هو كون المواد السامة لها قابلية إماتة الخلايا وشل الأعصاب بخلاف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تحديد أن المادة سامة أو لا؟ أمر علمي يحدده أهل الفن طبقاً لسلطة محكمة الموضوع في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المواد التي لا تكون سامة بطبيعتها فيمكن في ظروف معينة أن تؤدي إلى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يكون داسُّ السم قاتلاً عمداً لابد من توفر أركان القتل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دسّ المادة السامة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الفعل الذي يزهق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على إنسان حي وهو محل الجريمة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الجنائي وهو متوفر؛ لاستخدام وسيلة قاتلة بطبيعتها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توفرت هذه الشروط احتاجت إلى علاقة السببية بين دس السم والوفاة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نكون أمام قتل عمد يوجب الإعدام بحسب النص القانوني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ألحق النص المادة المفرقعة والمنفجرة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وتسترشد المحكمة بأهل الخبرة من الكيمائيين والأطباء العدليين لتعيين طبيعة المادة المستعملة، ليقرروا هل هي مادة متفجرة أو مفرقعة وهي من سلطة محكمة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فمثالها استدراج الجاني للمجني عليه بواسطة عمل من أعمال التخريب، كوضعه قنبلة أو أية مادة مفرقعة أو متفجرة في سيارته أو في درج مكتبة، أو في أية سيارة أو طائرة أو درج مكتب أو في حفر خندق مثلاً ليقع فيه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الفقرة ج من 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تناولت القتل العمد لدافع دنيء أو مقابل أجر، أو إذا استعمل الجاني طرقاً وحشيّة في ارتكاب الفعل، حيث نصت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إذا كان القتل لدافع دنيء أو مقابل أجر، أو إذا استعمل الجاني طرقاً وحشية في ارتكاب الفعل</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وشرح هذه الفقرة يعتمد على الباعث الذي قد يكون شريفاً ونبيلاً، وقد يكون شريراً منطوياً على الغدر والخبث والدناءة، حيث يرتكب المجرم جريمته ضد المجني عليه بدناءة أما طمعاً في ماله أو للثأر منه، أو أنه يرتكبها مقابل أجر تافه يتقاضاه ممن يحرضه على ذلك فيقدم على إزهاق روح بريئة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اشترطت هذه الفقرة في التشديد وقوع القتل باستعمال طرق وحشية، فيدل على قسوة طباع الجاني وعدم مبالاته بحياة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والقسوة تدل على شراسة في المجرم وعدم اكتراثه بأرواح الناس مما يجعل وجوده خطراً على المجتمع</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حكم المشرع بالإعدام عند توفر أركان هذه الجريمة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المقتول من أصول القاتل</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وكلمة الأصول تعني أصل الشيء وهو منشأه وما يبتني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يشمل الأب وأصوله من الجهتين وان علوا، كأبيه وأمه، وأصول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يشمل الأم وأصولها كأبيها وأمها، وأصل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 يعني أن يكون المقتول من أصول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أباً أو جداً له، أو أمَّاً أو جدَّة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يسري هذا الحكم ولا يتوافر ظرف التشديد إذا كان القاتل ابناً بالتبني أوابناً غير شرعي لأحد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الأمر إذا قتل الجاني زوج أمه أو زوجة أبيه؛ لأن هؤلاء ليسوا من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تعدد الفاعلون وكان القتيل أصلاً لأحدهم، طبقت القواعد العامة في الاشتراك والتعدد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تعدد الفاعلون الأصليون، فلا يتعدى أثر هذا الظرف المشدد إلى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ثمَّة فاعل أصلي هو القاتل لأصله وشريك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الظرف المشدد لا يسري على الشريك إلا إذا كان عالماً به وقت اشتراكه، أي إذا كان علم الشريك أنه يشترك مع شخص يريد قتل أبيه أو أمه أو جده أو جدته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الشريك هو ابن المجني عليه، والفاعل الأصلي شخصاً أجنبياً عنه، فلا يعاقب الشريك إلا على اشتراك في قتل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الشريك يستمد إجراميته من الفاعل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وجريمة قتل الأصول ذات صفة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والمشرع العراقي يعتبرها ظرفاً مشدداً شأنها شأن باقي الظروف المشددة وعقوبتها الإعدام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تنص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القتل على موظف أو مكلف خدمة عامة أثناء تأدية </w:t>
      </w:r>
    </w:p>
    <w:p>
      <w:pPr>
        <w:pStyle w:val="BookText"/>
        <w:rPr/>
      </w:pPr>
      <w:r>
        <w:rPr>
          <w:rFonts w:ascii="Amiri" w:hAnsi="Amiri" w:eastAsia="Amiri" w:cs="Amiri"/>
          <w:color w:val="111111"/>
          <w:sz w:val="28"/>
          <w:sz w:val="28"/>
          <w:szCs w:val="28"/>
          <w:rtl w:val="true"/>
          <w:lang w:bidi="ar-SA"/>
        </w:rPr>
        <w:t>وظيفته أو خدمته أو بسبب ذلك</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هذه الفقرة القتل الواقع على موظف أو مكلف بخدمة عامة أثناء تأديته وظيفته أو خدمته أو بسبب ذلك، ظرفاً مشدداً للقتل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والقصد من ذلك حماية الموظف العمومي، أو المكلف بخدمة عامة، وتمكينه من القيام بواجباته الرسمية على الوجه الأكمل؛ لأن الموظف هو الممثل الحقيقي للدولة، وهو المكلف بإدارة أمورها للنفع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إن يكون الموظف قد قتل أثناء تأدية وظيفته، بل يكفي لتطبيق النص أيضاً إذا كان القتل بسبب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وجوب تحقيق توافر الظرفين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الموظف؟ ومن هو المكلَّف بخدمة عامة؟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المشرّع العراقي إلى تعريف الموظف في مجال تطبيق أغلب التشريعات التي تتعلق بالوظيفة العامة، إلا أنه لا يوجد تعريف عام يعتبر أصلاً للرجوع إليه في تعريف 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الفقه عرف الموظف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شخص عهدت إليه وظيفة داخلة في الملاك الدائم للمرفق العام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المكلف بخدمة عامة فقد تعرضت له 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العقوبات 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وتعديلاته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بخدمة عامة كل موظف أو مستخدم، أو عامل أنيطت به مهمة عامة في خدمة الحكومة ودوائرها الرسمية وشبه الرسمية والمصالح التابعة لها، أو الموضوعة تحت رقابتها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ذلك رئيس الوزراء ونوابه والوزراء، وأعضاء المجالس النيابية والإدارية والبلدية، كما يشمل المحكمين والخبراء والوكلاء الدائميين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والمصنفين والحراس والقضائيين وأعضاء مجالس إدارة، ومديري ومستخدمي المؤسسات والشركات والجمعيات والمنظمات والمنشآت التي </w:t>
      </w:r>
    </w:p>
    <w:p>
      <w:pPr>
        <w:pStyle w:val="BookText"/>
        <w:rPr/>
      </w:pPr>
      <w:r>
        <w:rPr>
          <w:rFonts w:ascii="Amiri" w:hAnsi="Amiri" w:eastAsia="Amiri" w:cs="Amiri"/>
          <w:color w:val="111111"/>
          <w:sz w:val="28"/>
          <w:sz w:val="28"/>
          <w:szCs w:val="28"/>
          <w:rtl w:val="true"/>
          <w:lang w:bidi="ar-SA"/>
        </w:rPr>
        <w:t>تساهم الحكومة، أو إحدى دوائرها الرسمية أو شبه الرسمية في مالها بنصيب ما بأية صفة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العموم كل من يقوم بخدمة عامة بأجر أو بغير أجر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يطرح سؤال وهو أن المحامي أثناء تأديته وظيفته هل يعتبر بمنزلة الموظف العام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المحاماة ينص على عقاب من يعتدي على محام أثناء تأدية أعمال مهنته، أو بسب تأديتها بنفس العقوبة المقررة لمن يعتدي على موظف عام أثناء تأدية وظيفته أو بسبب تأديتها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ما إذا كان الموظف يؤدي وظيفته أم لا؟</w:t>
      </w:r>
    </w:p>
    <w:p>
      <w:pPr>
        <w:pStyle w:val="BookText"/>
        <w:rPr/>
      </w:pPr>
      <w:r>
        <w:rPr>
          <w:rFonts w:ascii="Amiri" w:hAnsi="Amiri" w:eastAsia="Amiri" w:cs="Amiri"/>
          <w:color w:val="111111"/>
          <w:sz w:val="28"/>
          <w:sz w:val="28"/>
          <w:szCs w:val="28"/>
          <w:rtl w:val="true"/>
          <w:lang w:bidi="ar-SA"/>
        </w:rPr>
        <w:t>يجب الرجوع إلى القوانين والأنظمة والتعليمات التي تحدد مركز هذا الموظف، وتحدد واجباته واختصاصات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إذا ادعى موظف إن له اختصاصاً ليس له في الحقيقة، وأراد مزاولته، فقتل، فلا يسري هنا الظرف المشدد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وتطبق القواعد العامة المقررة للاشتراك في القانون إذا قتل أحد موظفاً عمومياً أو مكلفاً بخدمة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عالم بصفته أثناء تأديته لأعمال وظيفته أو بسببها، واشترك معه شخص أو أشخاص في ارتكاب هذه الجريمة مع علمهم جميعاً بهذه الصفة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وقع القتل على الموظف العام، أو المكلف بالخدمة العامة من قبل فاعلين أصليين، وكان أحدهم يعلم بهذه الصفة، أو ارتكب الجريمة فاعل أصلي يعلم بهذه الصفة، وشريك لا يعلم بها، أو العكس بالعكس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الشراح إلى إن ظرف التشديد لا يسري إلا على من كان عالماً بهذه الصفة ولا يسري على الباقين الذين يجهلونها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الفاعل الأصلي يعلم، فالشريك إما أن يكون عالماً بشخصية الموظف أو بسبب الجريمة، أو يكون جاهلاً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عالماً فعقابه عقاب الفاعل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عالم فلا يسري عليه ظرف </w:t>
      </w:r>
    </w:p>
    <w:p>
      <w:pPr>
        <w:pStyle w:val="BookText"/>
        <w:rPr/>
      </w:pPr>
      <w:r>
        <w:rPr>
          <w:rFonts w:ascii="Amiri" w:hAnsi="Amiri" w:eastAsia="Amiri" w:cs="Amiri"/>
          <w:color w:val="111111"/>
          <w:sz w:val="28"/>
          <w:sz w:val="28"/>
          <w:szCs w:val="28"/>
          <w:rtl w:val="true"/>
          <w:lang w:bidi="ar-SA"/>
        </w:rPr>
        <w:t>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الشريك وحده هو الذي يعلم بصفة الموظف، أو يسر في نفسه سبب الحادثة الناشئة عن أداء الوظيفة فظرف التشديد يسري عليه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يسري هذا الظرف المشدد في حالتي الخطأ في الشخصية أو الخطأ في التصويت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وعقوبة هذا الظرف الإعدام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قصد الجاني قتل شخصين، أو أكثر فتم ذلك بفعل واحد</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اقترن القتل عمداً بجريمة أو أكثر من جرائم القتل عمداً أو الشروع فيه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ارتكبت القتل تمهيداً لارتكابه جناية أو جنحة معاقب عليها بالحبس مدة لا تقل عن سنة أو تسهيلاً لارتكابها أو تنفيذاً لها أو تمكينها لمرتكبها أو شريكه على الفرار أو التخلص من العقاب</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الفقرات الثلاث بحثت عن صورتي التعدد للجرائم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وتعدد الجرائم على قسمين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يكون صورياً معنوياً، أو ذهنياً، وهذا ما عنته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الحقيقي أي التعدد المادي أو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عنته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تنفيذاً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الجاني محكوماً عليه بالسجن المؤبد عن جريمة قتل عمدي، وارتكب جريمة قتل عمدي، أو شرع فيه خلال مدة تنفيذ العقوبة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والعلّة في التشديد في هذا الظرف ترجع إلى أن الشخص المحكوم عليه بالأشغال الشاقة المؤبدة، إنما يعتبر من المجرمين الخطرين الذين ارتكبوا جرماً خطيراً، وحكم عليه بأقصى عقوبة بعد الإعدام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أقدم بعد ذلك على ارتكاب جريمة قتل عمدي أو شرع في ارتكابها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يثبت أنه شخص لا أمل ولا رجاء في إصلاحه، وأن بقاءه يعتبر خطراً على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إذن من استئصاله من المجتمع بتنفيذ عقوبة الإعدام علنية لكون هذه العقوبة رادعاً لأمثاله من المجرمين الخطرين ولتجعل حداً لإجرامهم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يطبق عليه ذلك الظرف المشدد إذا ثبت حكمه المؤبد على نحو البتات، أي اكتسب الدرجة النهائية، وأن القتل العمدي قد وقع بعد الحكم 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الحكم قد أصبح نهائياً وارتكب القتل، أو الشروع فيه، فلا ينطبق هذا الظرف المشدد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الجائز أن يقدم المتهم طعناً في الحكم، ويقبل طعنه ويبرأ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فرضنا إن المحاكمة عن القتل أو الشروع فيه لم تبدأ إلا بعد أن رفض الطعن وأصبح الحكم نهائياً، فلا يطبق هذا الظرف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العبرة في قيامه بوقت ارتكاب الجريمة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فتنص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العقوبة الإعدام أو السجن المؤبد في الأحوال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الجاني قتل شخص واحد فأدّى فعله إلى قتل شخصين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مثل الجاني بجثة المجني عليه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الجاني محكوماً عليه بالسجن المؤبد في غير الحالة المذكورة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المادة، وارتكب جريمة قتل عمدي خلال مدة تنفيذ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تعنيان التعدد الصوري أو الحقيقي للجرائم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أشرنا إليه عند شرحنا للفقرتين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و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تختلف في شرحها عن الفقرة ط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أقول إن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تتكلم عن المثلة بالجثة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والمثلة إنما تصدق إذا كان الفعل بعد الموت، وأما ما قبل الموت فيصدق عليه تعذيب لا تمثيل؛ لأن التمثيل بالجثة يصدق بعد الموت كأن يسمل عيونه أو يقطع أذنه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فأنها تذكر جرائم القتل العمد المقترنة بعذر قانوني مخفف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تعاقب بالسجن مدّة لا تزيد على عشر سنين، أو بالحبس مدّة لا تقل عن سنة الأم التي تقتل طفلها حديث الولادة اتقاءً للعار إذا كانت قد حملت به سفاحاً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الطفل الحديث العهد بالولادة هو الصغير بعد الولادة لمدة معقولة لا تتجاوز مدة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إن تكون قد حملت به سفاحاً، فلأجل إن تخفي خطيئتها قامت بقتل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فالمشرع جعل هذا العذر وهو اتقاء العار ظرفاً مخففاً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مبني على </w:t>
      </w:r>
    </w:p>
    <w:p>
      <w:pPr>
        <w:pStyle w:val="BookText"/>
        <w:rPr/>
      </w:pPr>
      <w:r>
        <w:rPr>
          <w:rFonts w:ascii="Amiri" w:hAnsi="Amiri" w:eastAsia="Amiri" w:cs="Amiri"/>
          <w:color w:val="111111"/>
          <w:sz w:val="28"/>
          <w:sz w:val="28"/>
          <w:szCs w:val="28"/>
          <w:rtl w:val="true"/>
          <w:lang w:bidi="ar-SA"/>
        </w:rPr>
        <w:t>شرفية حياة الأم على المولود فهي لكي تحافظ على نفسها وبقائها ارتكبت هذا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فالمشرع اعتبر هذا عذراً قانونياً مخففاً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لتطبيق هذا النص الأركان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من الأم على الطفل حديث العهد بالولادة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توافر شرط غسل العار إذا كانت قد حملت به سفاحاً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اختلال أي من هذه الأركان لا يجوز تطبيق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والمادة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يعاقب بالسجن مدة لا تزيد على سبع سنوات من حرض شخصاً، أو ساعده بأية وسيلة على الانتحار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الانتحار 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العقوبة الحبس إذا لم يتم الانتحار، ولكن شرع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المنتحر لم يتم الثامنة عشرة من عمره، أو كان ناقص الإدراك أو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ذلك ظرفاً مشدداً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ويعاقب الجاني بعقوبة القتل عمداً أو الشروع فيه بحسب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المنتحر فاقد الإدراك أو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عقاب على من شرع في الانتحار</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الانتحار هو أن يقتل الشخص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لتحقق القتل إذاً وقوع الانتحار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الانتحار هو التحريض أو المساعدة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الانتحار والمعاونة والتحريض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والمشرع عاقب على ذلك؛ لأنه ليس هناك فرق كبير بين من يقتل الشخص تلبية لطلبه، وبين من يحرضه ويساعده على الانتحار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والانتحار كالقتل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في جوهرهما اعتداء على الحياة وإهدار لحياة الإنسان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التحريض سبباً للانتحار، وتم الانتحار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فعقاب المحرض جريمة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الانتحار 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ينجح، أي لم يتم الانتحار، فيعاقب الشريك بعقاب الشروع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يتم الانتحار، ولكن شرع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ولتحقق العقاب يجب إن يكون الانتحار الذي وقع نتيجة للتحريض والمساعدة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المنتحر هو الذي قام بالانتحار، أو شرع فيه دون مساعدة أو تحريض فلا 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ظرف مخفف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يعاقب بالحبس مدَّة لا تزيد على ثلاثة سنوات من فاجأ زوجته، أو إحدى محارمه في حالة تلبسها بالزنا، أو وجودها في فراش واحد مع شريكها فقتلهما في الحال، أو قتل أحدهما، أو اعتدى عليهما أو على أحدهما اعتداءً أفضى إلى الموت أو إلى عاهة مستديمة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المشرع العراقي القتل في سبيل الشرف غسلاً للعار، واعتبره ظرفاً مخففاً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المرء لا شك أعز شيء في حياته وهو بمستوى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الأرواح والأموال رخيصة أمامه، وحتى في الدول المتقدمة في الحضارة كسويسرا وانكلترا وفرنسا قد أخذت بهذه الناحية وأولتها عظيم اهتمامها في تشريعاتها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الزوجة فالظاهر هي الزوجة الدائمة دون الزوجة بالعقد المؤقت، ولكن هل يشمل هذا النص الزوجة التي عقد عليها شرعاً ولم يعقد عليها قانوناً، أو هل يشمل الزوجة عرفاً</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التي لم تعقد شرعاً ولا قانوناً، أو عقدت قانوناً ولم تعقد شرعاً؟</w:t>
      </w:r>
    </w:p>
    <w:p>
      <w:pPr>
        <w:pStyle w:val="BookText"/>
        <w:rPr/>
      </w:pPr>
      <w:r>
        <w:rPr>
          <w:rFonts w:ascii="Amiri" w:hAnsi="Amiri" w:eastAsia="Amiri" w:cs="Amiri"/>
          <w:color w:val="111111"/>
          <w:sz w:val="28"/>
          <w:sz w:val="28"/>
          <w:szCs w:val="28"/>
          <w:rtl w:val="true"/>
          <w:lang w:bidi="ar-SA"/>
        </w:rPr>
        <w:t>بالتأكيد يشمل الزوجة التي عقدت قانوناً ولم تعقد شرعاً، هذا من جهة، ومن جهة أخرى إذا كان القانون لا يقر بالزوجية العرفية والشرعية، فالنص لا يشملهما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يبدو لي في هذه الحالة هو ثبوت الزوجية سواء أكانت عقدت قانوناً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المشرّع العراقي لا يعتبر العقد الشرعي غير قانوني، وإنما يحتاج إلى مصادقة لتثبيت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فالنص يشمل هذه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بالزوجية المطلقة أي صدق الزوجية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زف أمام الناس ولم يعقد لا شرعاً ولا قانوناً فهو زوج بحكم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إثباته قانوناً يحتاج إلى بينة؛ لإعطائه حجة 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تصدق على المطلقة رجعياً التي ما زالت في العدة، وأما قوله محارمه فالمحارم منها ما يكون أصلاً وذاتاً، ومنها ما يكون عرضاً، فالمحارم النسبية أصلية، وأما السببية كالرضاع والزواج فهما عرضيان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النص يشملهما أم لا؟</w:t>
      </w:r>
    </w:p>
    <w:p>
      <w:pPr>
        <w:pStyle w:val="BookText"/>
        <w:rPr/>
      </w:pPr>
      <w:r>
        <w:rPr>
          <w:rFonts w:ascii="Amiri" w:hAnsi="Amiri" w:eastAsia="Amiri" w:cs="Amiri"/>
          <w:color w:val="111111"/>
          <w:sz w:val="28"/>
          <w:sz w:val="28"/>
          <w:szCs w:val="28"/>
          <w:rtl w:val="true"/>
          <w:lang w:bidi="ar-SA"/>
        </w:rPr>
        <w:t>فمن جمع أخت زوجته التي هي محرّم عليه جمعها مع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يشمله النص أم لا؟</w:t>
      </w:r>
    </w:p>
    <w:p>
      <w:pPr>
        <w:pStyle w:val="BookText"/>
        <w:rPr/>
      </w:pPr>
      <w:r>
        <w:rPr>
          <w:rFonts w:ascii="Amiri" w:hAnsi="Amiri" w:eastAsia="Amiri" w:cs="Amiri"/>
          <w:color w:val="111111"/>
          <w:sz w:val="28"/>
          <w:sz w:val="28"/>
          <w:szCs w:val="28"/>
          <w:rtl w:val="true"/>
          <w:lang w:bidi="ar-SA"/>
        </w:rPr>
        <w:t>النص لم يشر إلى ذلك إما اعتماداً على العرف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اعتماداً على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به أن يقيد المحارم بالنسبية، لتخرج أم الزوجة وأختها وزوجة الأب وزوجة الابن والأم المرضعة وابنتها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النص فإنه يشمل كل المحارم السببية والنسبية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والتلبس بالزنا معروف وهو دخول الميل في المكحلة أي في حالة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حالة دقيقة يصعب إثباتها، ولذلك توسع المشرّع العراقي في ذلك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وجودها </w:t>
      </w:r>
    </w:p>
    <w:p>
      <w:pPr>
        <w:pStyle w:val="BookText"/>
        <w:rPr/>
      </w:pPr>
      <w:r>
        <w:rPr>
          <w:rFonts w:ascii="Amiri" w:hAnsi="Amiri" w:eastAsia="Amiri" w:cs="Amiri"/>
          <w:color w:val="111111"/>
          <w:sz w:val="28"/>
          <w:sz w:val="28"/>
          <w:szCs w:val="28"/>
          <w:rtl w:val="true"/>
          <w:lang w:bidi="ar-SA"/>
        </w:rPr>
        <w:t>في فراش واحد مع شريكها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النص يشمل من رأى حالة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ير ذلك، وإنما وجدهما في فراش واحد سواء أكان قد جامعها أم لا؟</w:t>
      </w:r>
    </w:p>
    <w:p>
      <w:pPr>
        <w:pStyle w:val="BookText"/>
        <w:rPr/>
      </w:pPr>
      <w:r>
        <w:rPr>
          <w:rFonts w:ascii="Amiri" w:hAnsi="Amiri" w:eastAsia="Amiri" w:cs="Amiri"/>
          <w:color w:val="111111"/>
          <w:sz w:val="28"/>
          <w:sz w:val="28"/>
          <w:szCs w:val="28"/>
          <w:rtl w:val="true"/>
          <w:lang w:bidi="ar-SA"/>
        </w:rPr>
        <w:t>ثم فصل فعل الجاني سواء أكان قتلاً فهو ظرف مخفف، أو جعل فيهما أو في أحدهما عاهة مستديمة فهو ظرف مخفف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بعد هذا أن نذكر أن المشرّع العراقي وإن أعطى حق الدفاع عن الشرف والعرض غاية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 دفاعه أدى إلى إزهاق الروح لإنسان حي، إلا أنه قيده بشرائط قانونية معينة حتى لا يتجاوز في استعماله هذا الحق حدود الإنسانية والخلق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فاشترط لتطبيق هذا النص توافر ثلاثة 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القاتل زوجاً أو محرماً والمقتول زوجته أو إحدى محارمه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القتل في الحال عند المفاجأة بالزنا، وعند التلبس به، أو حال وجود الزوجة، أو إحدى المحارم في فراش واحد مع عشيقها أو شريكها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يحدد المشرع العراقي الوسيلة التي تؤدي إلى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من استعمل سلاحاً نارياً أو سكيناً أو الضرب بالعصا أو المسحاة، أو بالخنق أو غير ذلك من وسائل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ظرف مشدد لأي وسيلة من هذه الوسائل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وسواء أدى ذلك إلى الوفاة أم إلى عاهة مستديمة، فهو ظرف مخفف، وهذا آخر نص في القتل العمد</w:t>
      </w:r>
      <w:r>
        <w:rPr>
          <w:rFonts w:eastAsia="Amiri" w:cs="Amiri" w:ascii="Amiri" w:hAnsi="Amiri"/>
          <w:color w:val="111111"/>
          <w:sz w:val="28"/>
          <w:szCs w:val="28"/>
          <w:rtl w:val="true"/>
          <w:lang w:bidi="ar-SA"/>
        </w:rPr>
        <w:t xml:space="preserve">. </w:t>
      </w:r>
      <w:bookmarkStart w:id="56" w:name="pg9076_119676"/>
    </w:p>
    <w:p>
      <w:pPr>
        <w:pStyle w:val="Heading3"/>
        <w:numPr>
          <w:ilvl w:val="2"/>
          <w:numId w:val="1"/>
        </w:numPr>
        <w:rPr/>
      </w:pPr>
      <w:bookmarkStart w:id="57" w:name="__RefHeading___Toc2580363_2870459653"/>
      <w:bookmarkStart w:id="58" w:name="_Toc19"/>
      <w:bookmarkEnd w:id="56"/>
      <w:bookmarkEnd w:id="57"/>
      <w:r>
        <w:rPr>
          <w:rtl w:val="true"/>
        </w:rPr>
        <w:t>المصادر والمراجع</w:t>
      </w:r>
      <w:bookmarkEnd w:id="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لأعمال الأبرار في فقه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يوسف الأردبيلي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الجنائي الإسلامي مقارناً بالقانون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الكاتب العربي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ثالثة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تنوير الحوالك على 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المتعالية في الأسفار العقلية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صدر الدين محمد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رابعة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العاملي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ثامن الحجج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 الفقهية في شرح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حسن ترحيني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الهادي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الزهراء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قانون العقوبات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المعارف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قانون العقوبات العراقي وتعديلاته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نديم مرعشلي وأسامة مرعشلي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العقوبات القسم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واثبة داود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العقوبات 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وتعديلاته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نبيل عبد الرحمن حياوي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ثانية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 مط المكتبة القانونية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الخاص في قانون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رمسيس بهنام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أولى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المعارف في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من لا يحضره الفقيه –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برزكر بفروبي ط 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مط تكي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العامة في قانون العقوبات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حسين خلف و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عبد القادر الشاوي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المكتبة القانونية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 الحوزة العلمية السيد أبو القاسم الموسوي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في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العاملي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باسدار إسلام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الموضوعي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اويس كريم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قدامة موفق الدين أبو محمد عبد الله بن احمد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الحديث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لويس اليسوعي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تاسعة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الكاثوليكية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الأحكام في بيان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الأعلى الموسوي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 xml:space="preserve">. </w:t>
      </w:r>
      <w:bookmarkStart w:id="59" w:name="pg9076_119678"/>
    </w:p>
    <w:p>
      <w:pPr>
        <w:pStyle w:val="Heading2"/>
        <w:numPr>
          <w:ilvl w:val="1"/>
          <w:numId w:val="1"/>
        </w:numPr>
        <w:rPr/>
      </w:pPr>
      <w:bookmarkStart w:id="60" w:name="__RefHeading___Toc2580365_2870459653"/>
      <w:bookmarkStart w:id="61" w:name="_Toc20"/>
      <w:bookmarkEnd w:id="59"/>
      <w:bookmarkEnd w:id="60"/>
      <w:r>
        <w:rPr>
          <w:rtl w:val="true"/>
        </w:rPr>
        <w:t xml:space="preserve">حدود مرجعية العرف </w:t>
      </w:r>
      <w:r>
        <w:rPr>
          <w:rtl w:val="true"/>
        </w:rPr>
        <w:t xml:space="preserve">- </w:t>
      </w:r>
      <w:r>
        <w:rPr>
          <w:rtl w:val="true"/>
        </w:rPr>
        <w:t>السيد محمد البكاء</w:t>
      </w:r>
      <w:bookmarkEnd w:id="61"/>
    </w:p>
    <w:p>
      <w:pPr>
        <w:pStyle w:val="Heading3"/>
        <w:numPr>
          <w:ilvl w:val="2"/>
          <w:numId w:val="1"/>
        </w:numPr>
        <w:rPr/>
      </w:pPr>
      <w:bookmarkStart w:id="62" w:name="__RefHeading___Toc2580367_2870459653"/>
      <w:bookmarkStart w:id="63" w:name="_Toc21"/>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لاشك ان من أبرز البحوث التي تدور حولها سجالات كثيرة في المحافل الدينية والقانونيّة هو موضوع العرف، بل لا تكاد مسألة أو موضوع فقهي أو أصولي إلاّ والكلام حول ثنايا العرف أو الاستدلال به له الحظ الأوفر منها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الدراسة تتضمن مبحثين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موجز عن حقيقة العرف والارتكاز العرفي ومبنى حجيّته، والثاني تفصيليّ في تحديد المجالات العامة للتدخّل العرفي، حيث ان للعرف تدخّلاً في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التشريع، والاعتبار العرفي، والفهم العرفي، ومجال النظر العرفي وسعة حدوده </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9076_119680"/>
      <w:bookmarkStart w:id="65" w:name="pg9076_119680"/>
      <w:bookmarkEnd w:id="65"/>
    </w:p>
    <w:p>
      <w:pPr>
        <w:pStyle w:val="Heading3"/>
        <w:numPr>
          <w:ilvl w:val="2"/>
          <w:numId w:val="1"/>
        </w:numPr>
        <w:rPr/>
      </w:pPr>
      <w:bookmarkStart w:id="66" w:name="pg9076_119680"/>
      <w:bookmarkStart w:id="67" w:name="__RefHeading___Toc2580369_2870459653"/>
      <w:bookmarkStart w:id="68" w:name="_Toc22"/>
      <w:bookmarkEnd w:id="66"/>
      <w:bookmarkEnd w:id="67"/>
      <w:r>
        <w:rPr>
          <w:rtl w:val="true"/>
        </w:rPr>
        <w:t>تمهيد</w:t>
      </w:r>
      <w:bookmarkEnd w:id="68"/>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والحمد لله ربّ العالمين، وصلى الله على سيدنا ونبينا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يمثّل النص عنصراً أساسياً مقوماً لعملية الاستنباط الفقهي والقانوني، وحيث كانت النصوص متناهية والوقائع لا متناهية كان لابد وأن تخرج هذه النصوص عن خصوصيتها في مواردها لتمثّل عنصراً مشتركاً في استنباط أحكام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هو أحد عوامل التعميم في النص لغير المورد الذي ورد فيه النص، والذي يعتمد على الظهور العرفي بشكل أساس دون أن يكون هذا التعميم معتمداً على وسائل التعميم المتعارفة عند الفقهاء والأصوليين كالعموم والإطلاق اللفظي أو المقامي، بل هو عامل آخر يسهم إسهاماً حقيقياً في الدراسات والبحوث الفقهيّة التي يكون الفقيه فيها بصدد إحراز الملاكات واستنباط الأحكام، كما أنه يغيّر من موقف الفقيه إزاء التعاطي مع النصوص، بل قد يكون تغيّر الأعراف والسيرة موجباً 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كثير من الناظرين في الأخبار والآثار في الخطأ والاشتباه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الى ذلك أن جملة من المفاهيم كانت تتغير باستمرار تحت وطأة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جعلها سبباً لاختلاف الفقهاء والأصوليين والقانونيين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ولاشك أن من أبرز البحوث التي تدور حولها سجالات كثيرة في المحافل الفقهيّة والقانونيّة هو موضوع العرف، بل لا تكاد مسألة أو موضوع فقهي أو أصولي إلاّ والكلام حول ثنايا العرف أو الاستدلال به له الحظ الأوفر منها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البحث المتواضع وإن لم يأت بالجديد، ولكنه قد 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تسليط الضوء على أهم المسائل المتعلقة بالعرف وحدود مرجعيته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معقود لبيان آراء علمائنا الذين يرون حجية العرف في الجملة، لا بالجملة كما هو رأي أكثر العامة والجماعة الذين جعلوه أصلاً أصيلاً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يشتمل على مبحثين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تمهيديّ، ويتضمن 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معنى الارتكاز العرفي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بحث كبروي موجز عن مبنى حجيّة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المبحث الثاني، فهو حول المجالات العامة للتدخّل العرفي، وهي على الإجمال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العرفي، والاعتبار العرفي، والفهم العرفي، والنظر العرفي من حيث سعة حدود مرجعيّته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توفيقي الاّ بالله عليه توكلت وإليه أنيب</w:t>
      </w:r>
      <w:r>
        <w:rPr>
          <w:rFonts w:eastAsia="Amiri" w:cs="Amiri" w:ascii="Amiri" w:hAnsi="Amiri"/>
          <w:color w:val="111111"/>
          <w:sz w:val="28"/>
          <w:szCs w:val="28"/>
          <w:rtl w:val="true"/>
          <w:lang w:bidi="ar-SA"/>
        </w:rPr>
        <w:t xml:space="preserve">. </w:t>
      </w:r>
      <w:bookmarkStart w:id="69" w:name="pg9076_119682"/>
    </w:p>
    <w:p>
      <w:pPr>
        <w:pStyle w:val="Heading3"/>
        <w:numPr>
          <w:ilvl w:val="2"/>
          <w:numId w:val="1"/>
        </w:numPr>
        <w:rPr/>
      </w:pPr>
      <w:bookmarkStart w:id="70" w:name="__RefHeading___Toc2580371_2870459653"/>
      <w:bookmarkStart w:id="71" w:name="_Toc23"/>
      <w:bookmarkEnd w:id="69"/>
      <w:bookmarkEnd w:id="70"/>
      <w:r>
        <w:rPr>
          <w:rtl w:val="true"/>
        </w:rPr>
        <w:t xml:space="preserve">المبحث الأول </w:t>
      </w:r>
      <w:r>
        <w:rPr>
          <w:rtl w:val="true"/>
        </w:rPr>
        <w:t>(</w:t>
      </w:r>
      <w:r>
        <w:rPr>
          <w:rtl w:val="true"/>
        </w:rPr>
        <w:t>تمهيدي</w:t>
      </w:r>
      <w:r>
        <w:rPr>
          <w:rtl w:val="true"/>
        </w:rPr>
        <w:t xml:space="preserve">): </w:t>
      </w:r>
      <w:r>
        <w:rPr>
          <w:rtl w:val="true"/>
        </w:rPr>
        <w:t>في حقيقة العرف عند الأصوليين</w:t>
      </w:r>
      <w:bookmarkEnd w:id="71"/>
    </w:p>
    <w:p>
      <w:pPr>
        <w:pStyle w:val="Heading4"/>
        <w:numPr>
          <w:ilvl w:val="3"/>
          <w:numId w:val="1"/>
        </w:numPr>
        <w:rPr/>
      </w:pPr>
      <w:bookmarkStart w:id="72" w:name="__RefHeading___Toc2580373_2870459653"/>
      <w:bookmarkStart w:id="73" w:name="_Toc24"/>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ذكرت للعرف تعاريف مختلفة، ولعل أفضلها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الأستاذ 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 ما تعارفه الناس وساروا عليه من قول أو فعل أو ترك</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ما اعتاده الناس وساروا عليه باعتباره قانوناً غيرَ مدوّن من فعل شاع بينهم أو قول تعارفوا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تعارف عليه الناس وجروا عليه وفق طباعهم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عاداتهم أو إدراكهم للأشياء من غير أن يختصّ به شخص أو أشخاص معدودون، بل يكون ذلك ظاهرة نوعيّة واجتماعية باختلاف مستوياتها وعلى نحو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العرف بهذا المعنى ذا أصول ضاربة في نفوس تلك 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أثر الغرائز والعادات والتلقيات التي تربّوا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قد يعبّر عن العرف في كلمات المتأخرين بالارتكاز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ضوء ما تقدم ينبغي التمهيد ببيان المقصود من الارتكاز لغةً واصطلاحاً</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2580375_2870459653"/>
      <w:bookmarkStart w:id="75" w:name="_Toc25"/>
      <w:bookmarkEnd w:id="74"/>
      <w:r>
        <w:rPr>
          <w:rtl w:val="true"/>
        </w:rPr>
        <w:t>المطلب الأول</w:t>
      </w:r>
      <w:r>
        <w:rPr>
          <w:rtl w:val="true"/>
        </w:rPr>
        <w:t xml:space="preserve">: </w:t>
      </w:r>
      <w:r>
        <w:rPr>
          <w:rtl w:val="true"/>
        </w:rPr>
        <w:t>في بيان المقصود من الارتكاز عند الأصوليين</w:t>
      </w:r>
      <w:bookmarkEnd w:id="7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للبحث عن الارتكاز موطن خاص عند الأعلام، لأن الأصوليين لم يبحثوا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اعتبروه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الفقهية والأصولية، ومن جملة </w:t>
      </w:r>
    </w:p>
    <w:p>
      <w:pPr>
        <w:pStyle w:val="BookText"/>
        <w:rPr/>
      </w:pPr>
      <w:r>
        <w:rPr>
          <w:rFonts w:ascii="Amiri" w:hAnsi="Amiri" w:eastAsia="Amiri" w:cs="Amiri"/>
          <w:color w:val="111111"/>
          <w:sz w:val="28"/>
          <w:sz w:val="28"/>
          <w:szCs w:val="28"/>
          <w:rtl w:val="true"/>
          <w:lang w:bidi="ar-SA"/>
        </w:rPr>
        <w:t>ذلك البحث عنه في دليلية السيرة على حجية الخبر الواحد وموضوع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الارتكاز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الصوت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تسمع لهم ركزا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دفين أهل الجاهلية، كأنه ركز في الأرض ركزا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أركز الرجل، إذا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ركزت الرمح،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غرزته في الأرض، وركز شيئا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أقره وأثبته فيه، ولذلك يقال للمعدن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ركاز</w:t>
      </w:r>
    </w:p>
    <w:p>
      <w:pPr>
        <w:pStyle w:val="BookText"/>
        <w:rPr/>
      </w:pPr>
      <w:r>
        <w:rPr>
          <w:rFonts w:ascii="Amiri" w:hAnsi="Amiri" w:eastAsia="Amiri" w:cs="Amiri"/>
          <w:color w:val="111111"/>
          <w:sz w:val="28"/>
          <w:sz w:val="28"/>
          <w:szCs w:val="28"/>
          <w:rtl w:val="true"/>
          <w:lang w:bidi="ar-SA"/>
        </w:rPr>
        <w:t>لأنه ثابت ومستقر في باطن الأرض، ويقال للثابت في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مركوز فيها، والارتكازي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المركوز في العقول</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والارتكاز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ارتكاز مفهوم خاص في ذهن طائفة من الناس أو أغلبهم أو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فالمفهوم المرتكز في الأذهان قد يكون مفهوما نظرياً صرفاً، مثل ارتكاز أن الاثنين أكثر من الواحد، وقد يكون مفهوماً نظرياً يبتني عليه العمل، مثل ارتكاز حجية قول الثقة وإخباره عند عقلاء العالم، فإنهم يبنون حياتهم المعيشية وأعمالهم على هذا الأصل المرتكز في أذهانهم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ارتكاز حرمة الكعبة والقرآن عند المسلمين قاطبة، فإنهم يعملون طبقا لهذا الارتكاز، ويلومون أشد اللوم من يهتك حرمتهما ولم يحفظها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حرمة الأئمة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منشأ 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منشأ الارتكاز أحد الأمرين التاليين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والغريزة، فهناك أمور فطرية وغريزية مركوزة في أذهان جميع أفراد الإنسان،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إلى معرفة الأشياء أربعة لا خامس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يعلم الشيء ضرورة، لكونه مركوزا في العقول، كالعلم بأن الاثنين أكثر من واحد</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قبح التكليف بما لا يطاق مما هو مركوز في </w:t>
      </w:r>
    </w:p>
    <w:p>
      <w:pPr>
        <w:pStyle w:val="BookText"/>
        <w:rPr/>
      </w:pPr>
      <w:r>
        <w:rPr>
          <w:rFonts w:ascii="Amiri" w:hAnsi="Amiri" w:eastAsia="Amiri" w:cs="Amiri"/>
          <w:color w:val="111111"/>
          <w:sz w:val="28"/>
          <w:sz w:val="28"/>
          <w:szCs w:val="28"/>
          <w:rtl w:val="true"/>
          <w:lang w:bidi="ar-SA"/>
        </w:rPr>
        <w:t>الأذهان أيضَا</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بالنسبة إلى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مركوز في جبلة العقلاء، حتى أن الإنسان لا يكاد يفعل فعلا خالياً عن القصد والداعي</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على الحالة السابقة أمر مركوز في النفوس حتى الحيوانات</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يحصل الارتكاز على أثر القوة التشريعية، ومهما كانت هذه القوة أكثر نفوذا في القلوب كان الارتكاز أكثر عمقاً ودواماً، وأما لو كانت قوة قهرية غير نافذة في القلوب فلا تتحقق الأرضية المناسبة للارتكاز، بل ربما يسير الناس وفق القوة القهرية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دون حصول ارتكاز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الأمرين معاً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مبدأ الطريقة العقلائية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لقهر قاهر وجبر سلطان جائر قهر جميع عقلاء عصره على تلك الطريقة واتخذها العقلاء في الزمان المتأخر طريقة لهم واستمرت إلى أن صارت من مرتكزاتهم، وإما أن يكون مبدؤها أمر نبي من الأنبياء بها في عصر حتى استمرت، وإما أن تكون ناشئة من فطرتهم المرتكزة في أذهانهم حسب ما أودعها الله تعالى في طباعهم بمقتضى الحكمة البالغة حفظا للنظام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 الوجه الأول، بل استحالته عادة، وكذا الوجه الثاني، فالمتعين هو الوجه الثالث</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ومقصوده من نفي أن يكون النبي سبباً للارتكاز إنما هو بالنسبة للمرتكزات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محل الكلام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المرتكزات الشرعية فإنها لا بد من أن تنتهي إلى تشريع الأنبياء كما هو واضح</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منشأ ارتكاز المتشرعة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وتكوين الارتكاز في نفوس الرأي العام لا يحتاج من وجهة نفسية إلى أكثر من إمرار فتوى ما في جيلين أو ثلاثة على الحرمة مثلاً، ليصبح ارتكازاً في نفوس العاملين عليها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أنهم يريدون به بالإضافة إلى توفر السيرة على الفعل أو الترك بالنسبة إلى شيء ما، شعور معمق بنوع الحكم الذي يصدر عن فعله أو تركه المتشرعون لا يعلم مصدره على التحقيق</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أن بعض الارتكازات قد تمثّل مادة تشريعيّة مستقلة، وأخرى قد تكون عاملاً مساعداً على فهم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في مناسبات الحكم والموضوع الارتكازية التي يتداولها الفقهاء والأصوليون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القرائن ذات الشعور المعمق بنوع الحكم المتوافق والمتناسب مع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يمكن تقسيم الارتكاز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من يتحقق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ارتكاز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كان من تحقق فيهم الارتكاز هم العقلاء بما هم عقلاء، مع غض النظر عن دينهم كارتكاز قبول خبر الثقة عندهم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ارتكاز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بما هم عقلاء أو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في نشوء الارتكاز عن عوامل أخرى توجب تكوّن العادات والتقاليد الجارية عندهم، سواء أكانت تلك العوامل قانوناً سابقاً أم مشاعر أم عواطف انسانيّة أم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ارتكاز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ذلك فيما إذا كان المرتكز عند المسلمين بما هم مسلمون مع غض النظر عن مذاهبهم الخاصة بهم، كارتكاز لزوم استقبال القبلة عند الصلاة عندهم، فهذا الارتكاز موجود مع غض النظر عن الأدلة القائمة على ذلك، وكارتكاز حرمة هتك القرآن والكعبة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ارتكاز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مناسبات الحكم والموضوع الارتكازية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ما هو المرتكز عند خصوص الملتزمين بالمذهب والمتشرعين، كارتكاز مطلوبية استقبال القبلة حال النوم، ومذمومية حلق اللحية عندهم</w:t>
      </w:r>
      <w:r>
        <w:rPr>
          <w:rFonts w:eastAsia="Amiri" w:cs="Amiri" w:ascii="Amiri" w:hAnsi="Amiri"/>
          <w:color w:val="111111"/>
          <w:sz w:val="28"/>
          <w:szCs w:val="28"/>
          <w:rtl w:val="true"/>
          <w:lang w:bidi="ar-SA"/>
        </w:rPr>
        <w:t xml:space="preserve">. </w:t>
      </w:r>
      <w:bookmarkStart w:id="76" w:name="pg9076_119686"/>
    </w:p>
    <w:p>
      <w:pPr>
        <w:pStyle w:val="Heading4"/>
        <w:numPr>
          <w:ilvl w:val="3"/>
          <w:numId w:val="1"/>
        </w:numPr>
        <w:rPr/>
      </w:pPr>
      <w:bookmarkStart w:id="77" w:name="__RefHeading___Toc2580377_2870459653"/>
      <w:bookmarkStart w:id="78" w:name="_Toc26"/>
      <w:bookmarkEnd w:id="76"/>
      <w:bookmarkEnd w:id="77"/>
      <w:r>
        <w:rPr>
          <w:rtl w:val="true"/>
        </w:rPr>
        <w:t>المطلب الثاني</w:t>
      </w:r>
      <w:r>
        <w:rPr>
          <w:rtl w:val="true"/>
        </w:rPr>
        <w:t xml:space="preserve">: </w:t>
      </w:r>
      <w:r>
        <w:rPr>
          <w:rtl w:val="true"/>
        </w:rPr>
        <w:t>في حجية العرف</w:t>
      </w:r>
      <w:r>
        <w:rPr>
          <w:rtl w:val="true"/>
        </w:rPr>
        <w:t xml:space="preserve">: </w:t>
      </w:r>
      <w:r>
        <w:rPr>
          <w:rtl w:val="true"/>
        </w:rPr>
        <w:t>سيرة العقلاء، سيرة المتشرعة، ارتكاز المتشرعة</w:t>
      </w:r>
      <w:bookmarkEnd w:id="78"/>
    </w:p>
    <w:p>
      <w:pPr>
        <w:pStyle w:val="BookText"/>
        <w:rPr/>
      </w:pPr>
      <w:r>
        <w:rPr>
          <w:rFonts w:ascii="Amiri" w:hAnsi="Amiri" w:eastAsia="Amiri" w:cs="Amiri"/>
          <w:color w:val="111111"/>
          <w:sz w:val="28"/>
          <w:sz w:val="28"/>
          <w:szCs w:val="28"/>
          <w:rtl w:val="true"/>
          <w:lang w:bidi="ar-SA"/>
        </w:rPr>
        <w:t>لا خلاف بين الأعلام في حجية العرف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متمثلاً بسيرة العقلاء أم بسيرة المتشرعة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فحجيته إنما تتم إذا تمّ كشفه عن مشاركة المعصوم لهم في هذا الصدور فيما تمكن فيه المشاركة، أو إقراره لهم على ذلك فيما لم تمكن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احتياجنا إلى الكشف عن مشاركة المعصوم، أو إقراره ولو من طريق عدم الردع فيما يمكنه الردع عنه مع اطلاعه عليه، أن هذا البناء ليس من الحجج القطعية في مقام كشفه عن الواقع، لجواز تخطئة الشارع لهم في هذا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إذا حكم في مورد فإن حكمه فيه ناشىء عن اطلاع على المصلحة أو المفسدة الواقعية، وهذا بخلاف بناء العقلاء فإنه لا يشترط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 يصدرون عنه صدوراً تلقائياً غير معلل، فهو لا يكشف عن واقع متعلقه من حيث الصلاح والفساد، ولعل قسماً كبيراً من الظواهر الإجتماعية منشؤها هذا النوع من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كشفه عن الواقع فهو لا يصلح للاحتجاج به على المولى لكونه غير ملزم له، ومع إقراره أو عدم ردعه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صدوره هو عنه يقطع الإنسان بصحة الاحتجاج به عليه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إنما تكون بعد إثبات امتدادها تأريخيا إلى زمن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مشاركته لهم في السلوك فيما يمكن صدوره منه أو إقرارها من قبله، ولو من قبيل عدم ردعه عنها مع إمكان الردع والاطلاع عليها فيما لم يمكن صدورها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إثبات ذلك لا مجال للتمسك بها بحال، وما أكثر السير المنقطعة من وجهة تأريخية لكونها حادثة، أو لا يمكن إثبات امتدادها لذلك الزمن، والمقياس في حجيتها كشفها عن فعل المعصوم أو إقراره كشفاً قطعياً ليصح الاحتجاج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ندرك قيمة ما يحتج به أحيانا من ادعاء قيام السيرة القطعية على فعل شيء </w:t>
      </w:r>
    </w:p>
    <w:p>
      <w:pPr>
        <w:pStyle w:val="BookText"/>
        <w:rPr/>
      </w:pPr>
      <w:r>
        <w:rPr>
          <w:rFonts w:ascii="Amiri" w:hAnsi="Amiri" w:eastAsia="Amiri" w:cs="Amiri"/>
          <w:color w:val="111111"/>
          <w:sz w:val="28"/>
          <w:sz w:val="28"/>
          <w:szCs w:val="28"/>
          <w:rtl w:val="true"/>
          <w:lang w:bidi="ar-SA"/>
        </w:rPr>
        <w:t>أو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إمكان إثبات امتدادها تأريخياً إلى زمن المعصوم، وقد يكون منشؤها فتوى سائدة يمر عليها جيل أو جيلان، تتخذ طابع السيرة لدى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وكثير من الأعراف والعادات التي تشيع في بلد ما، أو بيئة معينة حسابها نفس هذا الحساب، وإن أصبح لها في نفوس العوام طابع الشعار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فما كشف عن السنة منها قولاً أو فعلاً أو إقراراً، كان حجة، وإلا فلا دليل على حجيته قطعاً، لوضوح أن كل حجة لا تنتهي إلى القطع فهي ليست بحجة، وأن الشك في حجية شيء ما كاف للقطع بعدمها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سيرة العقلاء وسيرة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المتشرعية لا احتمال للردع فيها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إذا كانت صادرة عن منشأ شرعي فيها فهو منتف، وهذا بخلاف السيرة العقلائيّة لأن المنشأ فيها ليس شرعياً فاحتمال الردع فيها يبقى وارداً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حكم السيرة من حيث الحجية، فإذا كان الارتكاز متصلاً بزمان أحد المعصومين وكان بمرأى ومسمع منه ولم ينه عنه مع تمكنه منه يكون حجة، وإلاّ فالارتكاز الحاصل بعد زمان المعصومين لا يكون حجة إلا إذا أحرز رضاه بذلك بطريق ما، وهو بعيد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وشأن الارتكاز شأن سائر الأدلة اللبية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كالإجماع والسيرة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إنها لا تدل إلاّ على القدر المتيقن، وليس فيها إطلاق</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الفارق بين الارتكاز وبين سيرة العقلاء والمتشرعة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سيرة العقلاء أو المتشرعة بحكم كونها فعلاً أو تركاً لا لسان لها، فهي مجملة من حيث تعيين نوع الحكم، وإن دلت على جوازه بالمعنى العام عند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وجوبه عند الترك، لكن ارتكاز المتشرعة بمقتضى مناسبات الحكم والموضوع يعين نوعه من وجوب أو حرمة أو غيرهما</w:t>
      </w:r>
      <w:r>
        <w:rPr>
          <w:rFonts w:eastAsia="Amiri" w:cs="Amiri" w:ascii="Amiri" w:hAnsi="Amiri"/>
          <w:color w:val="111111"/>
          <w:sz w:val="28"/>
          <w:szCs w:val="28"/>
          <w:rtl w:val="true"/>
          <w:lang w:bidi="ar-SA"/>
        </w:rPr>
        <w:t xml:space="preserve">. </w:t>
      </w:r>
      <w:bookmarkStart w:id="79" w:name="pg9076_119688"/>
    </w:p>
    <w:p>
      <w:pPr>
        <w:pStyle w:val="Heading3"/>
        <w:numPr>
          <w:ilvl w:val="2"/>
          <w:numId w:val="1"/>
        </w:numPr>
        <w:rPr/>
      </w:pPr>
      <w:bookmarkStart w:id="80" w:name="__RefHeading___Toc2580379_2870459653"/>
      <w:bookmarkStart w:id="81" w:name="_Toc27"/>
      <w:bookmarkEnd w:id="79"/>
      <w:bookmarkEnd w:id="80"/>
      <w:r>
        <w:rPr>
          <w:rtl w:val="true"/>
        </w:rPr>
        <w:t>المبحث الثاني</w:t>
      </w:r>
      <w:r>
        <w:rPr>
          <w:rtl w:val="true"/>
        </w:rPr>
        <w:t xml:space="preserve">: </w:t>
      </w:r>
      <w:r>
        <w:rPr>
          <w:rtl w:val="true"/>
        </w:rPr>
        <w:t>المجالات العامة للتدخّل العرفي</w:t>
      </w:r>
      <w:bookmarkEnd w:id="81"/>
    </w:p>
    <w:p>
      <w:pPr>
        <w:pStyle w:val="BookText"/>
        <w:rPr/>
      </w:pPr>
      <w:r>
        <w:rPr>
          <w:rFonts w:ascii="Amiri" w:hAnsi="Amiri" w:eastAsia="Amiri" w:cs="Amiri"/>
          <w:color w:val="111111"/>
          <w:sz w:val="28"/>
          <w:sz w:val="28"/>
          <w:szCs w:val="28"/>
          <w:rtl w:val="true"/>
          <w:lang w:bidi="ar-SA"/>
        </w:rPr>
        <w:t>إن الانطباعات التي لها نحو عموم سواء أكانت نظريّة أم عمليّة مما تتعلق بمختلف مجالات الحياة كلها تندرج تحت عنوان العرف بالمعنى العام، ولكن المقصود هنا بالعرف هو قيمة النظر العرفي في ما يتعلق بالتشريع والتقنين في أحد مجالات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القوانين التي يبني عليها العرف ويأخذ بها وإليه يستند الأخذ بسيرة العقلاء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الانطباع العرفي في شؤون الأمور الاعتبارية وملابساتها من قبيل تلقي العوارض المأخوذة في موضوع الحكم كحيثيات تعليليّة، كما بحث عنه في تحديد موضوع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التلقي العرفي لأحد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التلقي للمفهوم الأفرادي للنص وهو ما يعبّر عنه بالمفهوم العرفي أو الحقيقة العرفيّة في مقابل الحقيقة اللغوية أو الشرعيّة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 لفهم النص بحسب مناسبات الحكم والموضوع وهو ما يعبّر عنه بالفهم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 من حيث تعامل الشارع الاجتماعي فيما يتكون في بيئة شرعيّة محاطة بتوجهات الشارع وإرشاداته، وهو ما يعبّر عنه بسيرة المتشرعة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تشخيص العرف لمصاديق المفهوم العام وانطباعه في ما يدخل فيه ويخرج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التشريع العرفي المعبّر عنه ببناء العرف والعقلاء أو سيرة العقلاء فقد مرّ الكلام حوله في ضمن حجيّة 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تحكيم نظر العرف في شؤون الأمور الاعتبارية وملابساتها من قبيل تلقي العوارض المأخوذة في موضوع الحكم كحيثيات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الأعلام من محققي الأصول في باب الاستصحاب أن تحديد موضوع الحكم يختلف باختلاف المعيار فيه، فقد يكون المعيار فيه أحد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لسان الدليل،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ومقتضاه رجوع جميع القيود المأخوذة أو الواردة في الخطاب إلى الموضوع بحيث ينتفي بانتفائها، لأنه ليس في القضية الشرعية سوى المحمول والموضوع، فترجع القيود إلى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ذكر عن المحقق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جميع القيود والجهات بنظر العقل جهات تقييدية لا تعليلية، فيتعين أن تكون قيوداً للموضوع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القيود ما يكون سبباً لعروض العرض على معروضه من دون أن يكون مقوماً للمعروض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كالعلل الغائية، فعدمها يوجب تخلف عدم العروض من دون مساس بنفس المعروض، وقس على ذلك العوارض والمعروضات الخارجية من الأجسام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سلِّم فإنما يسلَّم في الاحكام العقلية المبتنية على التحسين والتقبيح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الأحكام الشرعية الصرفة غير المبتنية على الأحكام العقلية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مسلّم في الأحكام العقلية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أفيد من رجوع جميع القيود إلى الموضوع غير مسلم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فمقصودهم من النظر العقلي هو ما ذكر في مقابل الأمرين الآتيين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يكون الميزان ما يفهمه العرف من الدليل وان الموضوع هو هذا، فيفرق بين ما إذا أخذ الوصف بنحو الشرط،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إذا تغير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إذا أخذ بنحو النعت،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المتغير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الموضوع في الأول هو ذات الماء، وفي الثاني هو الماء المتلبس بالتغير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به ما يفهمه العرف بحسب مرتكزاته من قياسات الأحكام والموضوعات في قبال ما يفهمه بحسب متفاهم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مقام المحاورة الذي هو مفاد تحكيم الدليل، فقد يفهم العرف بحسب لفظ الدليل كون الموضوع للحكم هو الأمر الكذائي، ولكن بحسب مرتكزاته من مناسبة الحكم وموضوعه، يرى عدم تبدل الموضوع عند زوال بعض صفاته المقومة بحسب الدليل، وأن الحكم ثابت للأعم، فهو يرى بحسب الدليل أن الحنطة هي موضوع الحلية، ولكنه بحسب مرتكزاته يرى ان عروض الحلية لا يختص بالحنطة بل يعمها ويعم الدقيق، كما يرى بحسب مرتكزاته ان موضوع النجاسة هو ذات الماء وان التغير يؤثر فيه بنحو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للعرف 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من أهل المحاورة وفي مقام التفاهم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يرتكز لديه من مناسبات الأحكام وموضوعاتها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قد يختلفان في تعيين الموضوع وقد يتفقان، وأن المراد من تحكيم الدليل هو تحكيم العرف بنظره الأول، ومن تحكيم العرف تحكيمه بالنظر الثاني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نظر العقل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وجهيه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البرهان العقلي طريقاً إلى ثبوت الحكم لموضوع خاص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 الدليل بحسب المتفاهم العرفي طريقاً إلى ثبوته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المناسبة المرتكزة في ذهن العرف مثلاً طريقاً إلى ثبوته له واقعاً، إلا أن هذه المناسبة الارتكازية ليست بحد تكون قرينة عقلية ولا عرفية تمنع عن انعقاد الظهورية أو تقتضي صرف الظهور ورفع اليد عنه، بل بحد لو خلي العرف وطبعه لحكم بأن الحكم المتيقن أصله ثابت لمثل هذا الموضوع، فالشخص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عاقل برهاني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بثبوت الحكم لموضوع خاص واقعاً، وبما هو من أهل فهم الكلام يقطع بثبوت الحكم </w:t>
      </w:r>
    </w:p>
    <w:p>
      <w:pPr>
        <w:pStyle w:val="BookText"/>
        <w:rPr/>
      </w:pPr>
      <w:r>
        <w:rPr>
          <w:rFonts w:ascii="Amiri" w:hAnsi="Amiri" w:eastAsia="Amiri" w:cs="Amiri"/>
          <w:color w:val="111111"/>
          <w:sz w:val="28"/>
          <w:sz w:val="28"/>
          <w:szCs w:val="28"/>
          <w:rtl w:val="true"/>
          <w:lang w:bidi="ar-SA"/>
        </w:rPr>
        <w:t>لموضوع آخر متخصص بخصوصية أخرى، وبما ارتكز من المناسبات في ذهنه وبطبعه يقطع بثبوت الحكم لموضوع ثالث مثلاً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واشترط الأعلام في هذا التقسيم بأن لا يكون الفهم العرفي المذكور من القوة بحيث يكون من القرائن المتصلة أو المنفصلة الموجبة لانقلاب ظهور اللفظ من معناه وانعقاده في المفهوم العرفي، أو المانعة عن حجيته في ما هو ظاهر فيه، والاّ رجع الى 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ذلك فإن جملة من المحققين لم يرتضوا 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وأنكروا المقابلة بحيث يكون للعرف نظران أحدهما بحسب لسان الدليل والآخر بحسب مرتكزاته، بل عدّوهما نظراً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فقد أشكلوا على المقابلة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نظر العرف في تعيين موضوع الحكم إن بلغ حدّاً يقطع بأنه المراد للشارع، فهو يوجب التصرف في حجية لسان الدليل، لأن الظاهر إنما يكون حجة فيما إذا لم يحصل القطع بخلافه، أو كان بمنزلة القرينة الحالية، فهو يوجب التصرف في ظهور الدليل وبالتالي فهو راجع الى لسان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يبلغ حد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ظنياً، فلا دليل على اعتبار هذا الظن لا شرعاً ولا عقلائياً، إذ لا دليل على اعتبار العقلاء للنظر العرفي في المصداق المبتني على الظن في تعين الموضوع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يقرب صورته المحقق العراقي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أريد من الرجوع إلى العرف الرجوع إليه في مقام تعين مفهوم اللفظ، فهذا يرجع إلى تحكيم الدليل وليس قسما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منه الرجوع إليه في مقام التطبيق وصدق المفهوم على مصاديقه، فلا عبرة بالعرف في هذا المقام كي يحتمل انه المحكم والمرجع في تعين الموضوع</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ومثله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ناهجاً به ما ذكره شيخه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أجود التقريرات</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المقابلة بين الأنظار والذي قرره بما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من نظر العرف إن كان ما يفهمه من الدليل الشرعي بمعونة القرائن، فهو المراد من لسان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ما يتسامح به في تطبيق الكلي على مطابقه الخارجي، فلا ريب في عدم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ظاهراً من منكري المقابلة ان نظر العرف الثاني إن لم يرجع الى تحكيم لسان الدليل فأقصى ما يدل عليه هو الظن وهو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أشكل على هذه المقابلة بوجه آخر، بما حاصله</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المناسبات الارتكازية ليست في مقابل ظهور الألفاظ في معانيها بالنظر العرفي الواقعي، بل إن هذه المناسبات الارتكازية في أذهان العرف والعقلاء في المرتبة السابقة قد تغير مجرى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المتبادر من اللفظ عند الإطلاق قد يكون معنى بقطع النظر عن المناسبات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بالرجوع الى تلك المناسبات المرتكزة في الأذهان وملاحظة الحال والمقام يزول هذا التبادر البدوي ويستقر ظهوره في معنى على طبق هذه المرتكزات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السر في اعتبار الفهم العرفي المذكور في قبال لسان الدليل الظاهر في خلافه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توقف وتأمل المحقق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فيما أفاده المحقق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التقسيم والمقابلة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ولننظر الى حالنا أو حال ذلك العاقل الذي حصل له القطع بأن موضوع الحكم الشرعي هو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فقد تثلّث موضوع ذلك الحكم الشرعي عنده، وهو قاطع بكل من الثلاثة، فهل بقي على هذا الحال من التناقض، أو أن ما أحاط بذلك العاقل من عقل برهاني وفهم لساني </w:t>
      </w:r>
    </w:p>
    <w:p>
      <w:pPr>
        <w:pStyle w:val="BookText"/>
        <w:rPr/>
      </w:pPr>
      <w:r>
        <w:rPr>
          <w:rFonts w:ascii="Amiri" w:hAnsi="Amiri" w:eastAsia="Amiri" w:cs="Amiri"/>
          <w:color w:val="111111"/>
          <w:sz w:val="28"/>
          <w:sz w:val="28"/>
          <w:szCs w:val="28"/>
          <w:rtl w:val="true"/>
          <w:lang w:bidi="ar-SA"/>
        </w:rPr>
        <w:t>وذوق طبعي استحساني قد غلب بعضها على بعض، أو انه لا تناقض بين هذه الأقطاع، وليست لي القدرة على الجواب عن هذه الأسئلة</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يكن فالظاهر أن النزاع بينهم ثبوتي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هل يثبت للعرف هذان النظران أو لا يثبت له الاّ نظر واحد ؟</w:t>
      </w:r>
    </w:p>
    <w:p>
      <w:pPr>
        <w:pStyle w:val="BookText"/>
        <w:rPr/>
      </w:pPr>
      <w:r>
        <w:rPr>
          <w:rFonts w:ascii="Amiri" w:hAnsi="Amiri" w:eastAsia="Amiri" w:cs="Amiri"/>
          <w:color w:val="111111"/>
          <w:sz w:val="28"/>
          <w:sz w:val="28"/>
          <w:szCs w:val="28"/>
          <w:rtl w:val="true"/>
          <w:lang w:bidi="ar-SA"/>
        </w:rPr>
        <w:t>يبقى التنبيه 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ما طرح من النظر العرفي في هذا المجال إنما يتحقق في موضوعات الأحكام دون متعلقاتها كما أوضح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المسامحة</w:t>
      </w:r>
      <w:r>
        <w:rPr>
          <w:rStyle w:val="FootnoteAnchor"/>
          <w:rtl w:val="true"/>
        </w:rPr>
        <w:footnoteReference w:id="199"/>
      </w:r>
      <w:r>
        <w:rPr>
          <w:rFonts w:ascii="Amiri" w:hAnsi="Amiri" w:eastAsia="Amiri" w:cs="Amiri"/>
          <w:color w:val="111111"/>
          <w:sz w:val="28"/>
          <w:sz w:val="28"/>
          <w:szCs w:val="28"/>
          <w:rtl w:val="true"/>
          <w:lang w:bidi="ar-SA"/>
        </w:rPr>
        <w:t xml:space="preserve">المعتبرة عند العرف هي المسامحة في موضوعات الأحكام دون المسامحة في متعلقات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بالمسامحة العرفية والنظر العرفي هو ما يراه العرف بحسب مرتكزاته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ربطه بين الحكم وموضوعه موضوعاً للحكم، فهو يرى ان الموضوع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العالم، وجهة العلم جهة تعليلية، إذ لا ربط للإطعام بجهة العلم، بل يرتبط بالذات نفسها، فإذا زال العلم لا يزول الموضوع بنظر العرف، وانما يرى أنه قد زالت بعض 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يرى ان الموضوع العالم بما هو عالم، لارتباط التقليد وأخذ الأحكام بجهة علمه لا بذاته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زوال العلم يزول الموضوع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الاختلاف في النظر انما يتأتى في موضوعات الأحكام، إذ ارتباط الحكم بها بلحاظ متعلقه وارتباط المتعلق بها ارتباط تكويني، فيمكن ان يختلف نظر العرف في تشخيصه بحسب اختلاف الموارد وان اتحد لسان الدليل كما عرفت في المثالين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متعلقات الأحكام، فلا يتأتى فيها المسامحة العرفية، إذ ارتباط الحكم بمتعلقه جعلي يرتبط بالمولى الجاعل نفسه وان كان المولى عرفياً، فإذا أثبت </w:t>
      </w:r>
    </w:p>
    <w:p>
      <w:pPr>
        <w:pStyle w:val="BookText"/>
        <w:rPr/>
      </w:pPr>
      <w:r>
        <w:rPr>
          <w:rFonts w:ascii="Amiri" w:hAnsi="Amiri" w:eastAsia="Amiri" w:cs="Amiri"/>
          <w:color w:val="111111"/>
          <w:sz w:val="28"/>
          <w:sz w:val="28"/>
          <w:szCs w:val="28"/>
          <w:rtl w:val="true"/>
          <w:lang w:bidi="ar-SA"/>
        </w:rPr>
        <w:t>الحكم لمركب ذي أجزاء عشرة لا يرى العرف وجوب التسعة وان متعلق الحكم هو الجامع بين العشرة والتسعة، بل نظر العرف هاهنا يتبع ما قرره المولى داعياً إلى أي مقدار كان من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أوجب المولى المركب ذا الأجزاء العشرة، كان المركب ذو الأجزاء التسعة مبايناً لمتعلق الحكم عرفاً لا متحداً معه، وإن كان الجزء المفقود ضئيلاً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يؤخذ قيداً للموضوع قد يعدّ عرفاً من مقوماته بحيث ينتفي معروض الحكم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يعدّ من حالاته وعوارضه فلا ينتفي عرفاً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يختلف بحسب اختلاف ارتباط الحكم بالقيد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نظير وجوب تقليد العالم، فان جهة العلم من مقومات وجوب التقليد عرفاً، لأن التقليد إنما هو لجهة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نظير وجوب الصلاة خلف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أطعم العالم، فإن العلم لا يعدّ عرفاً من مقومات الموضوع، بل يعد من حالاته، لأن جهة العلم عرفاً من الجهات التعليلية للحكم بوجوب الصلاة خلفه او إطعامه، ولكنها تعدّ من الجهات التقييدية بالنسبة إلى الحكم بوجوب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إنما يأتي في موضوعات الأحكام لاختلاف نسبة الحكم وكيفية ارتباطه بالقيد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متعلق الحكم، فكل قيد فيه يكون مقوماً بنظر العرف، إذ متعلق الحكم ما أخذ الحكم داعياً إليه ومحركاً نحوه، فإذا كان المدعو إليه هو الفعل الخاص كانت الخصوصية مقومة عرفا، فمع انتفائها ينتفي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بنظر العرف هو الفعل بخصوصياته لا ذات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فالقيد إن كان قيداً للمتعلق فهو قيد مقوم احترازي دائماً، فمع تخلفه وانتفائه ولو يسيراً لا يحصل الامتثال الاّ مجازاً وادعاءً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العرفي، فتفصيل الكلام فيه يقع بأموره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التلقي للمفهوم الأفرادي للنص وهو ما يعبّر عنه بالمفهوم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المورد لا إشكال عند الفقهاء والأصوليين في أن المرجع في مفاهيم الألفاظ ومداليلها إنما هو العرف العام، لأن الخطابات الشرعية في القرآن الكريم والسنة </w:t>
      </w:r>
    </w:p>
    <w:p>
      <w:pPr>
        <w:pStyle w:val="BookText"/>
        <w:rPr/>
      </w:pPr>
      <w:r>
        <w:rPr>
          <w:rFonts w:ascii="Amiri" w:hAnsi="Amiri" w:eastAsia="Amiri" w:cs="Amiri"/>
          <w:color w:val="111111"/>
          <w:sz w:val="28"/>
          <w:sz w:val="28"/>
          <w:szCs w:val="28"/>
          <w:rtl w:val="true"/>
          <w:lang w:bidi="ar-SA"/>
        </w:rPr>
        <w:t>الشريفة لمّا كانت موجهة الى العرف فهي محمولة على ما هو المتفاهم العرفي من الألفاظ المستخدمة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أوافقت عرف اللغة أم خالفته، ولا عبرة باللغة إذا كان العرف العام على خلافها، فان الألفاظ تنصرف إلى مفاهيمها العرفية بحسب ما ارتكز في أذهان أهل المحاورات، فعند تعارض العرف واللغة في مفهوم اللفظ يحمل على المفهوم العرفي، سواء أكان أعم من المفهوم اللغوي أو أخص منه، بل ولو كان مبايناً معه لو اتفق ذلك، فمثلاً مفهوم الموت الذي هو موضوع لأحكام كثيرة من الغسل والكفن والدفن والأرث وغيرها لا يتحقق عرفاً الاّ مع توقف القلب والرئتين عن العمل توقفاً نهائياً، ولكن المناط في الموت عند الأطباء هو تلف خلايا الدماغ وإن استمر القلب والرئتان في العمل عن طريق تركيب أجهزة الإنعاش الصناعية، وكذلك الجنون الذي هو أحد أسباب الحجر وأحد العيوب التي يسمح لأجلها أن يفسخ الزوج عقد النكاح وله العديد من الأحكام الأخرى يشمل بحسب الفهم والتعريف الطبي قائمة طويلة من ضروب الاختلال الفكري والنفسي والعصبي مع أنه لا يصدق الجنون عرفاً على جملة منها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موارد كثيرة أخرى، كمفهوم الحنطة والزبيب والعنب والحطب وغير ذلك من الموضوعات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الرجوع إلى العرف في تشخيصها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فالعبرة في الجميع بالصدق العرفي للعنوان المأخوذ موضوعاً أو متعلقاً في لسان الدليل لا صدقه بحسب المقاييس العلميّة ومصطلحاتها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 لفهم النص بحسب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مناسبات الحكم والموضوع الارتكازية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المصطلحات الأكثر تداولاً بين الفقهاء والأصوليين هو قرينيّة مناسبة الحكم والموضوع الارتكازية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القرينة اللبيّة التي ببركتها يمكن للفقيه من خلالها تعدية الحكم لغير مورد النص الذي ورد فيه بمقتضى الارتكاز، سواء أكان هذا الإرتكاز عقلائياً أم شرعياً أم متشرعيّاً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والعبرة في هذا الارتكاز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يفهمه الفقهاء ؛ لأن ملاك الاستظهار من الخطابات الشرعية هو فهم الفقهاءِ بحسب ذوقهم العرفي، نظراً إلى قدرتهم على تحليل فهم أهل العرف وتوجيه ملاك فهمهم وتشخيص سرّ ارتكاز المعنى المعيّن من الموضوع المأخوذ في الخطاب في أذهانهم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لا اعتبار بفهم أيّ فرد سوقي أو عاديّ من عوام الناس في الاستظهار من الخطابات وفهم موضوعات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الفقيه هو الذي يفهم بذوقه العرفي الأحكام الشرعية للأنس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ووقوفه على شدّة مناسبة ارتباطها بموضوعاتها وهو لا يتيّسر لغيره،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ذلك فإن المناسبة أوالتوافقية أو قل السنخيّّة بين الحكم والموضوع تحتّم على الفقيه توخي الحذر وتوجيه النظر وفق نوعية الارتكاز سلباً وإيجاباً، لأن بعضاً من مناسبات الحكم والموضوع ربما تشتبه بظواهر فكرية غير مقبولة لدى الإماميّة من وجوه الاجتهاد بالرأي من القياس والاستحسان والمصالح المرسلة وغيرها، مما يحتاج الى اعمال دقّة من الفقيه في الفصل بين ما يكون مناسبة حكم وموضوع مساعدة على الاستظهار من النص، وبين ما يكون ضرباً من الاستنباط العقلي غير الموثوق به في تناول مبادئ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في قرينيّة مناسبة الحكم والموضوع الارتكازية من حيث قوتها وصلاحيتها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تكون بمثابة القرينة المتصلة أو المنفصلة فتكون مقيّدة للسان الدليل وعدمه، ولعل الخلاف يرجع إلى أن نظر العرف وفق ارتكازاته ما لم يصل الى درجة من القوة هل يصلح لأن يكون قرينة متصلة أو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هذا النظر ذا قيمة لأنه نظر مسامحي لا عبرة به؟</w:t>
      </w:r>
    </w:p>
    <w:p>
      <w:pPr>
        <w:pStyle w:val="BookText"/>
        <w:rPr/>
      </w:pPr>
      <w:r>
        <w:rPr>
          <w:rFonts w:ascii="Amiri" w:hAnsi="Amiri" w:eastAsia="Amiri" w:cs="Amiri"/>
          <w:color w:val="111111"/>
          <w:sz w:val="28"/>
          <w:sz w:val="28"/>
          <w:szCs w:val="28"/>
          <w:rtl w:val="true"/>
          <w:lang w:bidi="ar-SA"/>
        </w:rPr>
        <w:t>بخلاف النظر العرفي الذي يصلح لأن يكون بمثابة القرينة المتصلة أو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نظر عرفي واقعي يعيّن مدلول اللفظ من حاقه وظهوره فيه، وهو حجة ما لم تقم قرينة على خلافه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الخلاف يبتني على نفس الخلاف في أصل ثبوت النظرين للعرف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مورد النظر العرفي في تحديد موضوع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بما هو من أهل </w:t>
      </w:r>
    </w:p>
    <w:p>
      <w:pPr>
        <w:pStyle w:val="BookText"/>
        <w:rPr/>
      </w:pPr>
      <w:r>
        <w:rPr>
          <w:rFonts w:ascii="Amiri" w:hAnsi="Amiri" w:eastAsia="Amiri" w:cs="Amiri"/>
          <w:color w:val="111111"/>
          <w:sz w:val="28"/>
          <w:sz w:val="28"/>
          <w:szCs w:val="28"/>
          <w:rtl w:val="true"/>
          <w:lang w:bidi="ar-SA"/>
        </w:rPr>
        <w:t>المحاورة وفي مقام التفاهم، والآخر بحسب ما يرتكز لديه من مناسبات الحكم والموضوع، وكذلك يبتني على أصل اشتراط ألاّ يكون الفهم العرفي المذكور من القوة بحيث يكون من القرائن المتصلة أو المنفصلة الموجبة لانقلاب ظهور اللفظ من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وانعقاده في المفهوم العرفي، أو المانعة عن حجيته في ما هو ظاهر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الخصوصيّة وتنقيح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نوع آخر من وسائل التعميم عند الفقهاء والأصوليين ينتمي الى مناسبات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عنه بإلغاء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إطار الفهم العرفي يمكن للفقيه أن يستعين به وبشكل مستقل لتعدية الحكم لمورد آخر دون الاعتماد على أدوات العموم المعروفة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كأدوات العموم أو الإطلاق اللفظي أو المقامي، بل هو عامل يساعد الفقيه وبمناسبة الحكم والموضوع الارتكازية على إلغاء الخصوصية عن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يشتبه بينه وبين تنقيح المناط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تنقيح المناط فهو بمعنى استخراج علّة الشيء، فالتنقيح معناه تهذيب الشيء أو تشذيبه أو تقشيره أو استخراجه</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الإناطة، والإناطة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 الشيء ينوطه نوطاً وإناطة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لغة تهذيب العلة أو استخراجها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عرّف تنقيح المناط عند الأصوليين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يضيف الشارع الحكم إلى سببه فتقترن به أوصاف لا مدخل لها في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حذفها عن الاعتبار ليتسع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تهذيب العلة وتصفيتها بإلغاء ما لا يصلح للتعليل واعتبار الصالح 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ومثلوا له بقصة الأعرابي الذي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هلكت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على أهلي في نهار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استفادوا عدم الخصوصية في كونه أعرابياً، فألحقوا به جميع المكلفين، ولا في كون المرأة التي وقع عليها أهلاً له فألحقوا به الزنا، ولا خصوصية لخصوص شهر رمضان الذي وقع </w:t>
      </w:r>
    </w:p>
    <w:p>
      <w:pPr>
        <w:pStyle w:val="BookText"/>
        <w:rPr/>
      </w:pPr>
      <w:r>
        <w:rPr>
          <w:rFonts w:ascii="Amiri" w:hAnsi="Amiri" w:eastAsia="Amiri" w:cs="Amiri"/>
          <w:color w:val="111111"/>
          <w:sz w:val="28"/>
          <w:sz w:val="28"/>
          <w:szCs w:val="28"/>
          <w:rtl w:val="true"/>
          <w:lang w:bidi="ar-SA"/>
        </w:rPr>
        <w:t>فيه على أهله فألحقوا به جميع أشهر الصيام، إلى ما هنالك من الخصوصيات التي يعلم بعدم مدخليتها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التعميمات وأمثالها مما تقتضيها مناسبة الحكم والموضوع، وهناك تعميمات مظنونة وقعت موقع الخلاف، كالقول بأن النكاح لا خصوصية له، فلا بد ان يعمم إلى كل مفطر، وهي مبنية على حجية القياس المظنون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المعتبر من تنقيح المناط هو القطعي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وتحصيله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غير ممكن في الشرعيات، وغاية ما يحصل منه الظن، إذ ربما يكون الذي يفهمه الفقيه بسبب ما رسخ في ذهنه يكون مبنياً على قاعدة ليست بحجة عنده، إذ الخطأ غير مأمون على الظنون، و كل مجتهد مكلف بما أدى إليه ظنه بعد ما استفرغ وسعه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مورد إلغاء الخصوصية فإن التعدي والخروج عن مورد النص إلى الموارد الأخرى بحاجة إلى الاستظهار من نفس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ما تمليه 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به في كل موضوع وجدت فيه تلك المناسبة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وحصر المحقق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الذي يتعدّى به عن النص بالإجماع والعقل،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والدليل الذي يخرج بسببه عن النص بأن يتعدّى عنه، أو يحمل على خلاف ظاهره، لا بملاحظة نص هو الإجماع غالباً بسيطاً أو مركباً، فلا بد من ملاحظة دليل الإجماع و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يخرج عن النص بحكم العقل،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في امرأة اشتبه دم حيضها بالعذرة إن خرجت القطنة مطوقة فهو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نجزم أن هذه حالة جميع النساء، لأن خلقتهن واحدة، لا خصوصية لامرأة فيه، و ربما يخرج بقاعدة تنقيح المناط، وهو مثل القياس، إلا أن العلة المستنبطة فيه يقينية، بناءً على القاعدة المسلمة عند الشيعة من كون الحسن والقبح عقليين، وعدم جواز تخلف المعلول عن العلة التامة، و التنقيح لا يحصل إلا بدليل يقيني شرعي، فينحصر دليله في الإجماع والعقل، ومن هذا لا يذكر فقهاؤنا في كتبهم الاستدلالية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المناط غالباً لأن الحجة في الحقيقة هي تنقيح المناط بعنوان اليقين، وهو منحصر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بعنوان اليقين، لان 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بغير النص فهو بعينه القياس الحرام، وإن كان النص فهو القياس المنصوص العلة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ويشبه إلغاء الخصوصيّة مفهوم الموافقة، إلا أن الفرق بينهما أن مفهوم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ظهور الكلام في نفسه في ذكر الخصوصيّة على سبيل أدنى ما يستوجب الحكم، فلا يحتاج الوقوف عليه على تعمّل إضافي من الواقف على الكلام، وهذا بخلاف إلغاء الخصوصيّة على أساس مناسبات الحكم والموضوع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إلغاء الخصوصية له عوامل أخرى كثيرة يمكن للفقيه من خلالها بمقتضى مناسبات الحكم والموضوع الارتكازية ان يعمّم الحكم لغير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إلغاء الخصوصية في مناسبات متعددة قد يكون من جهة السائل أو الواقعة، أو من جهة موضوع الحكم وقيوده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المحدّث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مدار الاستدلال في جلّ الأحكام الشرعية على ذلك، إذ لو لوحظ خصوصية السائل أو الواقعة لم يثبت حكم كلي في مسألة شرعية الاّ نادراً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ومما يساعد على إلغاء الخصوصية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حمل النص على النظر الى مورد الغالب، أو مورد التمثيل، وملاحظة النصوص الواردة في موارد متعددة فالنظر في هذه الموارد يساعد على إلغاء الخصوصية، وكذلك النظر الى موارد الجمع العرفي بين النصوص المتعارضة يساعد بمجموعه على تكوين فهم متكامل للموقف الشرعي وإلغاء الخصوصية في بعض تلك النصوص</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إلغاء الخصوصية هو أحد الأدوات العرفية التي يمكن بها للفقيه توسعة وتعميم الموارد بمقتضى مناسبات الحكم والموضوع الارتكازية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بيد أنه ليس لذلك ضابط معين، بل يختلف رصده من فقيه الى آخر بحسب اختلاف الارتكازات لديهم الناشئة من التفاوت في الطبيعة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منهج التفكير أو من حيث اختلاف تراكم الرصيد الفكري، أومن حيث فهم كبريات ملاكات الأحكام أو مذاق الشارع أو ما يسمى عند البعض الأخر بمقاصد الشريعة، وقد يكون الاختلاف ناشئاً عن فهم لقراءتين مختلفتين للنص الديني ومن رؤيتين مختلفتين للدين والشريعة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الاختلاف ما نرى من بعضهم الالتزام بالتعميم اعتماداً على صغرى تنقيح المناط، بينما ينكر عليه آخر ذلك، ولذا اشتهر لدى الفقهاء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تنقيح المناط عهدتها على مدعيها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تسليمهم الأخذ بكبرويته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 العرفي من حيث تعامل الشارع الاجتماعي فيما يتكون في بيئة شرعيّة محاطة بتوجهات الشارع وإرشاداته، وهو ما يعبّر عنه بسيرة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الكلام حولها في ضمن البحث عن حجية سيرة المتشرعة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مرجعيّته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وتمييزه عن النظر المسامحي العرفي، والنظر الدقيق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النظر ينقسم الى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عرفي، ونظر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الخلاف في أن العبرة في تشخيص المصاديق هل هو بالنظر العرفي أو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الإلتفات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تحريراً لمحل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الخوض في الخلاف المذكور الى أن المقصود بالنظر العرفي المختلف في الاعتماد عليه إنما هو النظر العرفي الدقّي دون المسامحي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ولبيان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الدقيق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الدقيق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المسامحي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التمييز بين هذه الأنظار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ذلك بملاحظة المثال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وضع شخص كمية من الحناء على يده فتلونت بلونها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يده ولكن بقيت أجزاء صغيرة جداً من مادة الحناء في بعض شقوق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نفي بقاء الحناء فيها إلاّ وفق النظر المسامحي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يتسامح في الأجزاء الصغيرة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وجودها وعدمها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مقتضى النظر الدقيق العرفي هو بقاء قليل من الحنّاء في الموضع، فلو كان مانعاً عن وصول الماء الى البشرة لم يصح الوضوء إلاّ بعد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 يؤخذ بالمسامحات العرفية في سائر مواردها كالماء الذي يقلّ عن مقدار الكر ولو بقدر غرفة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صدق عليه الكر بالنظر المسامحي العرفي إلاّ أنه لا عبرة به ولا يترتّب عليه حكم الكر من حيث كونه معتصماً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فرض في المثال المذكور أنه قام الشخص بغسل يده جيداً حتى أزال الأجزاء الصغيرة جداً من الحنّاء من بين شقوق الكف أمكن عندئذٍ نفي بقاء الحنّاء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بالنظر الدقيق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بالنظر الدقيق العقلي لفرض بقاء لون الحنّاء في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واللون من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والثابت في محله استحالة انتقال العرض من محله الى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وجود اللون في الكف دليل عقلي على بقاء جزيئات من الحنّاء على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تعطي لها هذا 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بالنظر الدقيق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العرف فلا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بالنظر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شيء من الحنّاء في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يرى بقاء لونها فقط</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يتضح الفرق بين النظر الدقيق العرفي والنظر المسامحي العرفي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 وبين النظر الدقيق العقلي من جانب آخر، ومن المعلوم أن ما به العبرة في تشخيص موضوعات الأحكام الشرعية وما يتعلق بها من جوانب أخرى إنما هو النظر الدقيق العرفي، وأما المسامحات العرفية فلا عبرة بها كما تقدّم، وكذلك ما تقتضيه الدّقة العقلية والعلمية ويكون بعيداً عن الأذهان العرفية فإنه لا يؤخذ به في هذا الباب</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ولكن يبدو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المسامحي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أفرط في استعماله من البعض بما يعمّ النظر الدقيق العرفي، مما أوجب لبساً وخطأً في التطبيق بين الأعلام، بل وربما طعن البعض منهم بمن تمسك بالنظر العرفي لتسامحه، ولكنه في مقام الاستدلال استشهد بالمسامحة الادعائية غير المعتبرة عند العرف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غير 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الوقوف على اصطلاح المسامحة المتداول بينهم، والتركيز على هذا الأمر ورفع الالتباس فيه يسهم اسهاماً حقيقياً في كشف ملابسات النزاع عند الفقهاء والاصوليين كما سيظهر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النظر المسامحي العرفي غير معتبر حتى عند العرف نفسه؛ لأنه أدعائي مجازي وليس بحقيقي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مثال الحناء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تسامح النظر الدقيق العرفي فهو معتبر عند العرف نفسه؛ لأنه حقيقي وهو مما تقتضيه طبيعة النظر العرفي في مقابل لسان الدليل ونظر العقل كما مرّ في مجال الاعتبار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بتسامح النظر الدقيق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ان العرف يعمّم الموضوع من باب الحقيقة الادعائية والمجازية، بل المراد من المسامحة بنظر العرف هو ان الموضوع إذا كان بحسب لسان الدليل أو نظر العقل خاصاً، فتعميمه بنظر العرف هو تسامحه فيما كان موضوعاً بحسب نظر العقل ولسان الدليل، وانه يتسامح عمّا هو الموضوع فيهما، لأنه يرى بحسب ارتكازه ان الموضوع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بتسامح العرف هو تسامحه في مقابل نظر العقل ولسان الدليل لا مطلقاً بحيث يشمل الحقيقة الادعائية والمجازية، لوضوح ان العرف لا يرى ثبوت الموضوع إدعاءً ومجازاً؛ لأنه من قبيل اطلاقهم الأسد على الرجل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التسامح العرفي المقصود هو تعميم الموضوع بحسب ارتكازات نظر العرف، في مقابل نظر العقل ولسان الدليل اللذين لا يسمحان بالتعميم لخصوصيته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تبيّن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مرجعية النظر العرفي في باب التطبيق يقع في موردين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ينبغي الإشكال في إمكان التعويل على النظر العرفي في تحقق مصداق المفهوم الاعتباري إذا لم ينبّه الشارع على مخالفة نظره مع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أن النظر العرفي في الأمور الاعتبارية كالبيع ونحوه إنما هو ضرب من التقنيين العرفي، وعليه فإذا رتّب الشارع أحكاماً على المفهوم من غير بيان خلافه في التقنيين حول موارد تحققه مع العرف دلّ ذلك على إقرار القانون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ذكر جميع الأصوليين المتأخرين جواز التمسك بالإطلاق المقامي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بالوضع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ظهور الدليل في التعويل على النظر العرفي في الأمور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من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ذهب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عدم صحة الاعتماد على العرف في مرحلة التطبيق انما يكون في الأمور الواقعية التي يحتمل خطأ العرف في تشخيصها، كما في تطبيق الكرّ على الماء الخارجي، بخلاف الأمور الاعتبارية التي لامانع من الرجوع فيها الى العرف بمقتضى الإطلاقات المقامية كما في تطبيق مفهوم البيع على مصاديقه الخارجية،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مقتضى الإطلاق المقامي للكلام الوارد في مقام البيان الذي لا طريق إلى معرفة موضوعه إلا نظر العرف هو إمضاء نظرهم كما هو الحال في أمثال المقام</w:t>
      </w:r>
      <w:r>
        <w:rPr>
          <w:rStyle w:val="FootnoteAnchor"/>
          <w:rtl w:val="true"/>
        </w:rPr>
        <w:footnoteReference w:id="206"/>
      </w:r>
      <w:r>
        <w:rPr>
          <w:rFonts w:ascii="IRNazanin" w:hAnsi="IRNazanin" w:eastAsia="IRNazanin"/>
          <w:color w:val="111111"/>
          <w:sz w:val="28"/>
          <w:sz w:val="28"/>
          <w:szCs w:val="28"/>
          <w:rtl w:val="true"/>
          <w:lang w:bidi="fa-IR"/>
        </w:rPr>
        <w:t xml:space="preserve">ونظائره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اشتهر من أن نظر العرف إنما يتبع في تنقيح المفهوم لا في تنقيح المصداق يختص بما له واقع محفوظ في نفسه يخطؤه العرف تارة ويصيبه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إذا لم يكن له واقع محفوظ ويختلف اعتباره باختلاف الأنظار، وما ذكرنا يطرد في جميع </w:t>
      </w:r>
    </w:p>
    <w:p>
      <w:pPr>
        <w:pStyle w:val="BookText"/>
        <w:rPr/>
      </w:pPr>
      <w:r>
        <w:rPr>
          <w:rFonts w:ascii="Amiri" w:hAnsi="Amiri" w:eastAsia="Amiri" w:cs="Amiri"/>
          <w:color w:val="111111"/>
          <w:sz w:val="28"/>
          <w:sz w:val="28"/>
          <w:szCs w:val="28"/>
          <w:rtl w:val="true"/>
          <w:lang w:bidi="ar-SA"/>
        </w:rPr>
        <w:t>الاعتباريات التي تؤخذ موضوعاً للأحكام الشرعية في لسان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الإطلاق فيها إمضاء الأسباب العرفية فلاحظ</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الميزان في تشخيص الخطأ والتسامح هو وجود الواقعية 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الأمور الاعتبارية التي لا واقع لها خارج دائرة الاعتبار فهي موكولة بمقتضى الإطلاقات المقامية الى العرف تشخيصاً وتطبيقاً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عندهم ان معيار الأمور الواقعية في تشخيص الخطأ هو خصوص العقل النظري الذي يدرك الواقعيات، فلابد وان يكون الحكم العقلي مطابقاً للواقع ولا يمكنه الحكم خلاف الواقع والخارج ؛ وذلك لأن العقل النظري انعكاس لنفس ما في الواقع والخارج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ذكره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تقريراته، والذي قد حصر حجية العرف في باب التطبيق إذا كان نظره إنشائياً لا إخبارياً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نظر العرف المسامحي إنما يكون حجة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المفاهيم وتحديد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التطبيق إذا كان نظره إنشائياً لا إخبارياً كما إذا قلنا بان أسامي المعاملات وضعت بإزاء المسببات لا الأسباب، فان العرف لو شخص صحة معاملة المعاطاة مثلا كانت بيعاً، وأما في المقام فحيث إن النّظر العرفي إخباري في مجال التطبيق فمع خطئه دقة وعقلاً لا حجية لنظره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ويقصد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حجية الأصل المثبت مع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 لخطأ العرف في باب الإخبار في موضع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تصور العرف نتيجة نظرته المسامحية أن زيداً مصداق للعالم باللَّه لمجرد كونه معتقداً بوجوده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w:t>
      </w:r>
    </w:p>
    <w:p>
      <w:pPr>
        <w:pStyle w:val="BookText"/>
        <w:rPr/>
      </w:pPr>
      <w:r>
        <w:rPr>
          <w:rFonts w:ascii="Amiri" w:hAnsi="Amiri" w:eastAsia="Amiri" w:cs="Amiri"/>
          <w:color w:val="111111"/>
          <w:sz w:val="28"/>
          <w:sz w:val="28"/>
          <w:szCs w:val="28"/>
          <w:rtl w:val="true"/>
          <w:lang w:bidi="ar-SA"/>
        </w:rPr>
        <w:t>أنه لا عبرة بمثل هذه العناية العرفية بعد فرض أنه من باب الخطأ في التطبيق والإخبار بحيث لو التفت إليه العرف لتنبه إلى خطئه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هو بمعنى إيجاد ما لا يكون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صدق ولا كذب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الواقعية له بالمعنى المعتبر في الصدق والكذب حتى يلاحظا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فالمعيار في حصر مرجعية العرف في باب التطبيق هو نسبة الصدق والكذب وهما لا يلحظان بالنسبة للإنشاء، بل هما يختصّان بباب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التفصيل الذي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نفس اختيارالسيد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واقعية الأشياء ميزاناً للخطأ والصواب دون الأمور الاعتبارية،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 فهو محل الكلام بين الأعلام، وقد اختلفوا في سعة دائرة مرجعية العرف من حيث شمولها لحالة تطبيق المصاديق وعدمها على قولين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العرف في تعيين المفاهيم،لا في تطبيقاته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المشهور من محققي الأصول منهم المحقق الخراساني والمحقق النائيني والمحقق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مختار شيخنا الأستاذ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العرف مطلقاً تشخيصاً وتطبيقاً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السيد الخميني تبعاً لأستاذه 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مختار سيدنا الأستاذ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إفاداته</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إنما يكون مرجعا في تعيين المفاهيم؛ لأن الألفاظ تنصرف إلى مفاهيمها العرفية بحسب ما ارتكز في أذهان أهل المحاورات، ولا يرجع إلى العرف في تشخيص المصاديق بعد تشخيص المفهوم، لأن العرف قد يتسامح في استعمال الألفاظ وإطلاقها على مالا يكون مصداقا لمعانيها </w:t>
      </w:r>
    </w:p>
    <w:p>
      <w:pPr>
        <w:pStyle w:val="BookText"/>
        <w:rPr/>
      </w:pPr>
      <w:r>
        <w:rPr>
          <w:rFonts w:ascii="Amiri" w:hAnsi="Amiri" w:eastAsia="Amiri" w:cs="Amiri"/>
          <w:color w:val="111111"/>
          <w:sz w:val="28"/>
          <w:sz w:val="28"/>
          <w:szCs w:val="28"/>
          <w:rtl w:val="true"/>
          <w:lang w:bidi="ar-SA"/>
        </w:rPr>
        <w:t>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يرى العرف توسّعاً في نفس المفهوم، فيكون الانطباق حينئذٍ من باب انطباق المفهوم الواسع، لا من باب المسامحة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هذا المعنى ببيانات مختلفة في كلمات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الصفات الجارية عليه تعالى يكون المبدأ فيها مغايراً له تعالى مفهوماً، وقائماً به عيناً، لكنه بنحو من القيام، لا بأن يكون هناك اثنينية، وكان ما بحذائه غير الذات، بل بنحو الاتحاد والعينية، وكان ما بحذائه عين الذات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وعدم اطلاع العرف على مثل هذا التلبس من الأمور الخفية لا يضر بصدقها عليه تعالى على نحو الحقيقة، إذا كان لها مفهوم صادق عليه تعالى حقيقة، ولو بتأمل وتعمّل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إنما يكون مرجعاً في تعيين المفاهيم، لا في تطبيقها على مصاديقها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مورد جواز اجتماع الأمر والنهي أفاد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سبيل للعرف في الحكم بالجواز أو الامتناع، إلا طريق العقل، فلا معنى لهذا التفصيل إلا ما أشرنا إليه من النظر المسامحي غير المبتني على التدقيق والتحقيق، وأنت خبير بعدم العبرة به، بعد الاطلاع على خلافه بالنظر الدقيق</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وأفاد المحقق النائيني في وجه ذلك، بما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عبرة بالمسامحات العرفية في شيء من الموارد، ولا يرجع إلى العرف في تشخيص المصاديق بعد تشخيص المفهوم، فقد يتسامح العرف في استعمال الألفاظ وإطلاقها على مالا يكون مصداقاً لمعانيها الواقعية، فإنه كثيراً ما يطلق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ألفاظ المقادير والأوزان على ما ينقص عن المقدار والوزن أو يزيد عنه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فالتعويل على العرف إنما يكون في باب المفاهيم، ولا أثر لنظر العرف في باب المصاديق، بل نظره إنما يكون متبعاً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وأما تطبيق المفهوم على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بيد العرف، بل هو يدور مدار الواقع، فان كان الشيء </w:t>
      </w:r>
    </w:p>
    <w:p>
      <w:pPr>
        <w:pStyle w:val="BookText"/>
        <w:rPr/>
      </w:pPr>
      <w:r>
        <w:rPr>
          <w:rFonts w:ascii="Amiri" w:hAnsi="Amiri" w:eastAsia="Amiri" w:cs="Amiri"/>
          <w:color w:val="111111"/>
          <w:sz w:val="28"/>
          <w:sz w:val="28"/>
          <w:szCs w:val="28"/>
          <w:rtl w:val="true"/>
          <w:lang w:bidi="ar-SA"/>
        </w:rPr>
        <w:t>مصداقاً للمفهوم ينطبق عليه قهرا، وإن لم يكن مصداقاً له فلا يمكن أن ينطبق عليه، ولو فرض أن العرف يتسامح أو يخطئ في التطبيق، فلا يجوز التعويل على العرف في تطبيق المفهوم على المصداق مع العلم بخطئه أو مسامحته أو مع الشك فيه، بل لابد من العلم بكون الشيء مصداقا للمفهوم في مقام ترتيب الآثار</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وتابع السيد الخوئي أستاذه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فأفاد في معرض ردّه على صاحب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يرى عدم قدح الفصل اليسير من عروض الجنون آناً مّا في صدق كون المكلف في تمام الحول عاقلاً، فإنّه يطلق عليه لدى العرف أنّه عاقل في تمام الحول، فتشمله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كما ترى في غاية الإشكال، لعدم ابتناء التحديدات الشرعيّة على المساهلات والمسامحات العرفيّة حسب ما هو مذكور في موارد كثيرة من الفقه،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الوفاة والمسافة الشرعيّة والكرّ وأيّام الاعتكاف وأقلّ الحيض، ونحو ذلك ممّا لا يتسامح فيه بعد وضوح المفهوم، بل يراعَى كمال التدقيق في مقام التطبيق، لعدم الدليل على حجّيّة نظر العرف في هذه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يحكم ببطلان العقد بل الحرمة الأبديّة مع العلم فيما لو تزوّجت قبل انقضاء العدّة ولو بساعة، وبانفعال ما نقص عن الكرّ ولو بغرفة، وبعدم التقصير فيما دون المسافة ولو بخطوة،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ضرورة صدق تلك العناوين بالنظر العرفي، توسّعاً وتسامحاً منهم في مقام التطبيق، غير أنّه لم ينهض أيّ دليل على اتّباعه بعد اتّضاح حدود المفهوم من حيث السعة والضيق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يرى العرف توسّعاً في نفس المفهوم، فيكون الانطباق حينئذٍ من باب انطباق المفهوم الواسع، لا من باب المسامحة في التطبيق، وهذا كما في مفهوم الحنطة والشعير، فإنّ العرف يرى سعة المفهوم وشموله للمشتمل على الخليط من ترابٍ ونحوه غير المنفكّ عنه في الخارج غالباً، ولا يخصّه بالخالص الذي هو فردٌ نادرٌ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ثمّ كان المناط في النصاب بلوغ الخليط وإن كان الخالص بعد التصفية ناقصاً عنه، كما أنّه لو باع منّاً من الحنطة تحقّق التسليم بدفع المخلوط بالمقدار المتعارف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وأفاد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شبهة في أن المتبع في تعيين معاني الألفاظ وظهوراتها فيها ولو بملاحظة القرائن الحالية والمقامية والمناسبات الارتكازية هو النظر العرفي الواقعي دون المسامحي، فإنه ملغى في باب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التسامح انما يتصور من العرف في مقام التطبيق في باب المقادير والأوزان، كالكر والفرسخ والميل وحدّ الترخص والذراع والشبر وما شاكل ذلك، لأن العرف يطلق الكر على ماء يكون أقل منه بمثقال أو أكثر، مع انه لا يترتب عليه أحكام الكر</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المشهور صريح في عدم مرجعية العرف في باب تطبيق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أن المشهور قد خالف مبناه في باب الاستصحاب وغيره حيث حكّم نظر العرف في تشخيص موضوع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تصدّى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قرع 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اتباع نظر العرف في باب الاستصحاب وأخذ الموضوع منه، فليس المراد منه اتباع نظره المسامحي، بل المراد منه أن الاتحاد المعتبر بين القضية المشكوكة والقضية المتيقنة إنما يرجع فيه إلى العرف بحسب ما هو المرتكز في ذهنه من مناسبة الحكم والموضوع</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التعويل على العرف في بقاء الموضوع في باب الاستصحاب ليس من التعويل عليه في مسامحاته وخطئه في التطبيق، بل الوظيفة في أمثال المقام هو </w:t>
      </w:r>
    </w:p>
    <w:p>
      <w:pPr>
        <w:pStyle w:val="BookText"/>
        <w:rPr/>
      </w:pPr>
      <w:r>
        <w:rPr>
          <w:rFonts w:ascii="Amiri" w:hAnsi="Amiri" w:eastAsia="Amiri" w:cs="Amiri"/>
          <w:color w:val="111111"/>
          <w:sz w:val="28"/>
          <w:sz w:val="28"/>
          <w:szCs w:val="28"/>
          <w:rtl w:val="true"/>
          <w:lang w:bidi="ar-SA"/>
        </w:rPr>
        <w:t xml:space="preserve">التعويل على العرف ؛ لأنه يرى توسعاً في مفهوم الاتحاد المعتبر بين القضية المشكوكة والقضية المتيقنة، فيكون نظره هو المتبع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في المفاهيم العرفية يلجؤن الى توسعة المفهوم بمناسبات الحكم والموضوع الارتكازية، وبالتالي يحكمون النظر العرفي تحت غطاء حجية مرجعية العرف في تشخيص المفاهيم من دون ارتكاب توسعة في دليل الحجية كما هو مبنى القول الآخر، وهذه هي النكتة الفارقة بينهم وبين مبنى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تلخيص مستند أدلة القول الأول من مجموع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يمكن التعويل على العرف في تطبيق المصاديق لتسامحه وخطئه، لأنهم يعدون الناقص كاملاً، ولا مسوّغ للأخذ بهذه المسامحة، فان الرجوع إلى العرف إنما هو لتعيين مفهوم اللفظ عند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ضيقه وسعته مع العلم بأصله في الجملة، لأن موضوع الحجية هو الظهور العرفي، فالمرجع الوحيد في تعيين الظاهر هو العرف، سواء أكان الظهور من جهة الوضع أم من جهة القرينة المقالية والحالية أو المناسبات الارتكازية، ولا يجوز الرجوع إلى العرف والأخذ بمسامحاتهم بعد تعيين المفهوم وتشخيص الظهور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مستندهم في مرجعية العرف هو خصوص السيرة العقلائية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دليل لبُي يقتصر فيه على مورد التفاهمات العرفية،وأما تطبيق المفهوم على المصداق فليس بيد العرف، فلا بد من مداراة الواقع ومراعاة كمال التدقيق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التعويل على المسامحة العرفيّة لزم من ذلك قبول المسامحة في الأوزان والمقادير وهو مما لايمكن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يلاحظ على هذا القول، أولاً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العناوين المأخوذة في مواضيع الأحكام ليست على نمط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الواقعي ومنها الاعتباري، ونظر العرف إنما لا يتبع في تنقيح 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يختص بما له واقع محفوظ في نفسه يخطؤه العرف تارة ويصيبه أخرى، كالتحديدات الشرعيّة مثل المقادير والأوزان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كالكر والفرسخ والحقًة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مما لا خلاف فيها بمراعاة النظر الدّقي لأن لها واقعاً محفوظاً في نفسه يمكن من خلاله كشف خطأ العرف ومسامحته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ما ساقه المشهور من الشواهد لخطأ العرف في تطبيق المصاديق هي أمثلة لمواضيع ومعانٍ واقعية، بل هي بخصوص المقادير والأوزان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تكن العناوين لها واقع محفوظ يصح الاتكال عليه في معرفة خطأ العرف، كالاعتباريات التي تختلف باختلاف الأنظار فليس الأمر كذلك، لعدم وجود الضابط والميزان في معرفة الخطأ والمسامحة، فلابد من تحكيم النظر العرفي الدقّي فيها دون المسامحي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الوظيفة في أمثال الاعتباريات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التكوينيات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المقادير والأوزان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التعويل على العرف في تحديد مفهومها بحسب ما هو المرتكز في ذهنه من مناسبات الحكم والموضوع، لأنه المنساق من الإطلاق في المحاورات العرفية ومنها الخطابات الشرعية، فحينئذ يرى العرف توسّعاً في نفس المفهوم، فيكون الانطباق حينئذٍ من باب انطباق المفهوم الواسع،لأن نظره هو المتبع، كما هو الملاحظ في تطبيقات المشهور في موضوع الاستصحاب وغيره كمفهوم الحنطة والشعير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الاعتبارات العقلائية لها حدود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تسامح العرف في تطبيقها لم يؤخذ بها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يلاحظ عليه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الاستشهاد بالمسامحة العرفية في خصوص المقادير والأوزان من قبيل المسامحة الادعائية، وهي لا تنفع في المقام ؛ لأنها ليست حقيقية، بل هي مسامحات مجازية حتى عند العرف نفسه ؛ لأن الالفاظ في المقادير والأوزان موضوعة للحدّ المخصوص التام بشرط عدم الزيادة والنقصان، ولذا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المقدار حقة تنقص مائة حبة، أو حقة ومائة حبة فيما لو زادت، وإطلاق الحقة عليها عند العرف من باب التسامح، أو من باب الخطأ في التطبيق ولا حجة للإطلاق العرفي في أمثال ذلك، فإنه يرجع اليه في تشخيص المفاهيم لا في إطلاقها التسامحي، بل إطلاقها التسامحي دليل المجازية إما في الإسناد، أو في الكلمة، 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الأول، وهو </w:t>
      </w:r>
    </w:p>
    <w:p>
      <w:pPr>
        <w:pStyle w:val="BookText"/>
        <w:rPr/>
      </w:pPr>
      <w:r>
        <w:rPr>
          <w:rFonts w:ascii="Amiri" w:hAnsi="Amiri" w:eastAsia="Amiri" w:cs="Amiri"/>
          <w:color w:val="111111"/>
          <w:sz w:val="28"/>
          <w:sz w:val="28"/>
          <w:szCs w:val="28"/>
          <w:rtl w:val="true"/>
          <w:lang w:bidi="ar-SA"/>
        </w:rPr>
        <w:t>المجاز في الإسناد يرجع إليه كثير من موارد الإطلاقات عند العرف التي يقال في مقام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الخطأ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مورد التسامح المدعى لا يصدق الاّ التسامح المجازي دون الحقيقي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عكس القول الأول حيث يرى سعة مرجعية العرف وأنها لاتقف عند حدود تشخيص المفاهيم بل تتعداه الى تطبيقاته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ومستندهم بذلك كما يظهر من صريح كلماتهم أن الأحكام المتعلقة بالعناوين تتعلق بها بلحاظ مصاديقها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الشارع إنما يتكلم بلسان العرف وهو حين التكلم كأحد أفراد العرف يحمل كلامه على ما هو مصداق عند أهل العرف، لأنه بعد فرض كون القضية عملية وتوقف العمل بها على تطبيق العناوين المأخوذة فيها، وفرض عدم تعرضه لذلك، فالظاهر منه بمقتضى الإطلاقات المقامية إيكال تطبيقها للعرف المخاطبين بها بحسب ما يتيسر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ويصلون إليه بالوجه المتعارف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بعض كلمات القائلين 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المراد بالعرف في مقابل العقل ليس هو العرف المسامح، حتى يكون المراد بالعقل العرف غير المسامح الدقيق، ضرورة أن الألفاظ كما أنها وضعت للمعاني النفس الأمرية تكون مستعملة فيها أيضا عند إلقاء الأحكام، فالكر والميل والفرسخ والدم والكلب وسائر الألفاظ المتداولة في إلقاء الأحكام الشرعية لا تكون مستعملة إلا في المعاني الواقعية الحقيقية، فالكر بحسب الوزن ألف ومائتا رطل عراقي من غير زيادة ونقيصة، لا الأعم منه وما يسامح العرف، وكذا الدم ليس إلا المادة السيالة في العروق التي تكون بها الحياة الحيوانية، لا الأعم منها وما يطلق عليه اسم الدم مسامحة، وليس التسامح العرفي في شيء من الموارد ميزاناً لا في تعيين المفاهيم، ولا في تشخيص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 الأخذ من العرف هو العرف مع دقته في تشخيص المفاهيم والمصاديق، وأن تشخيصه هو الميزان، مقابل تشخيص العقل الدقيق البرهاني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الدم عبارة عن المائع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في القلب والعروق، والمسفوح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للحكم بالنجاسة، وليس ما يتسامح فيه العرف ويطلق عليه الدم تسامحا موضوعاً لها، لكن العرف مع كمال دقته في تشخيص مصاديقه يحكم بأن اللون الباقي بعد غسل الثوب ليس بدم، بل هو لون الدم، لكن البرهان العقلي قام على امتناع انتقال العرض، فيحكم العقل لأجل ذلك بأن اللون هو الأجزاء الصغار من جوهر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والكلب ليس عند العرف إلا الجثة الخارجية، والحياة من حالاتها، وميتة الكلب كلب عندهم حقيقة، وعند العقل البرهاني لما كانت شيئية الشيء بصورته، وصورة الكلب نفسه الحيوانية الخاصة به، فإذا فارقت جثته سلب منها اسم الكلب، وتكون الجثة جمادا واقعة تحت نوع آخر غير النوع الكلبي، بل يسلب عنها اسم جثة الكلب وبدنه أيضا، ويكون إطلاق بدن الكلب على الجثة المفارقة لها الروح مسامحة لدى العقل، كما هو المقرر في محله من العلوم العالية، مع أنها كلب لدى العرف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كون تشخيص المفاهيم ومصاديقها موكولاً إلى العرف هو التسامح العرفي، فالتسامح العرفي في مقابل الدقة العقلية البرهانية،لا في مقابل دقة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بين المتكلم والمخاطب في عرف التخاطب وتعارف التكلم بعض المسامحات التي تكون مغفولاً عنها لديهم حال التكلم، ويحتاج التوجه إليها إلى زيادة نظر ودقة، ومع الدقة والنظرة الثانية يتوجه المتكلم والمخاطب إلى التسامح، ففي مثل ذلك يكون المعنى المتفاهم ابتداءً موضوعاً للحكم، فإذا قال المولى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 إلى الصلاة فول وجهك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المخاطب من هذا الكلام إلا استقبال المسجد بالنحو المتعارف، وإن كانت الدقة العرفية أيضا تقتضي كونه أضيق مما هو المتفاهم عرفاً، فالمناط في أمثاله هو التفاهم العرفي، لا الدقة العقلية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الميزان هو العرف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الميزان في تشخيص جميع المفاهيم ومصاديقها وكيفية صدقها عليها هو العرف، لأن الشارع كواحد من العرف في المخاطبات والمحاورات، وليس له اصطلاح خاص، ولا طريقة خاصة في إلقاء الكلام إلى المخاطب، فكما يفهم أهل المحاورات من قول بعضهم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ثوبك من </w:t>
      </w:r>
    </w:p>
    <w:p>
      <w:pPr>
        <w:pStyle w:val="BookText"/>
        <w:rPr/>
      </w:pPr>
      <w:r>
        <w:rPr>
          <w:rFonts w:ascii="Amiri" w:hAnsi="Amiri" w:eastAsia="Amiri" w:cs="Amiri"/>
          <w:color w:val="111111"/>
          <w:sz w:val="28"/>
          <w:sz w:val="28"/>
          <w:szCs w:val="28"/>
          <w:rtl w:val="true"/>
          <w:lang w:bidi="ar-SA"/>
        </w:rPr>
        <w:t xml:space="preserve">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قول الشارع أيضا، وليس مخاطبة الشارع مع الناس إلا كمخاطبة بعضهم بعضاً،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المراد منه إلا الغسل بالنحو المتعارف، لا الغسل من الأعلى فالأعلى بنحو الدقة العقلية، فكما أن العرف محكم في تشخيص المفاهيم محكم في صدقها على المصاديق وتشخيص مصاديقها، فما ليس بمصداق عرفاً ليس بمصداق للموضوع المحكوم بالحكم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أفاده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تشخيص المصاديق ليس موكولاً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غيره ليس على ما ينبغي، فالحق ما ذكرنا تبعاً لشيخنا العلامة</w:t>
      </w:r>
      <w:r>
        <w:rPr>
          <w:rStyle w:val="FootnoteAnchor"/>
          <w:rtl w:val="true"/>
        </w:rPr>
        <w:footnoteReference w:id="216"/>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ما أفاده سيدنا الأستاذ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بما ملخصه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العنوان المأخوذ في القضايا الشرعية التي تقع، مورداً لعمل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بمفهومه، كالشك في مفهوم الحج، والصلاة، والصعيد، والغناء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بتطبيقه مع وضوح مفهومه كالشك في تحقق البيع، والإقالة، والطلاق ببعض الألفاظ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كليهما إن أمكن الرجوع للشارع، لتعرضه للجهة المشكوك فيها فهو، وإلا كان مقتضى الإطلاقات المقامية الإيكال للعرف فيهما، لأنه بعد فرض كون القضية عملية وتوقف العمل بها على تطبيق العناوين المأخوذة فيها، وفرض عدم تعرضه لذلك، فالظاهر منه إيكال تطبيقها للعرف المخاطبين بها بحسب ما يتيسر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ويصلون إليه بالوجه المتعارف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خلاف ذلك تحتاج إلى عناية وتنبيه ولا مجال للبناء عليها بدونه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لابد من كون التطبيق حقيقياً بنظر العرف، ولا مجال للاكتفاء بتطبيقاتهم التسامحية المبنية على نحو من المجاز وإعمال العناية، لخروجها عن ظاهر الإطلاق، حيث لا يعوّلون عليها في خطاباتهم وأحكامهم وامتثالاتهم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أفتى الفقهاء </w:t>
      </w:r>
    </w:p>
    <w:p>
      <w:pPr>
        <w:pStyle w:val="BookText"/>
        <w:rPr/>
      </w:pPr>
      <w:r>
        <w:rPr>
          <w:rFonts w:ascii="Amiri" w:hAnsi="Amiri" w:eastAsia="Amiri" w:cs="Amiri"/>
          <w:color w:val="111111"/>
          <w:sz w:val="28"/>
          <w:sz w:val="28"/>
          <w:szCs w:val="28"/>
          <w:rtl w:val="true"/>
          <w:lang w:bidi="ar-SA"/>
        </w:rPr>
        <w:t>بعدم التسامح في موارد التحديد، كالأوزان أو المسافات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للبناء على أن المعيار هي التطبيقات العقلية المبنية على البحث والتدقيق المغفول عنه عند العرف بحسب طبعهم المتعارف لهم، لخروجه عن مقتضى الإطلاق المقامي المشار إليه، لأن الغفلة المذكورة لا تمنع من التطبيق الحقيقي على خلاف التطبيق الدقي، بخلاف التسامح، فإن التطبيق معه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لا إشكال ظاهراً في جواز امتثال التكليف بصاع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 منها مخلوطا بقليل من التراب أو التبن بالوجه المتعارف، وإن كان دون الصاع دقة، وكذا الحال في سائر موارد 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تيسر تشخيص المفهوم أو المصداق للعرف لخفاء الحال عليهم في مورد لزم التوقف عن العمل بالدليل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لمقتضى الأصول والقواعد الأخر</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 في هذا القول لا يخلو من إشكال كما نبه عليه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كيف يمكن الجمع بين عدم التصرف في المفهوم وبين كون الاطلاق على ما ينقص بمقدار قيراط واحد في المثال إطلاقاً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مسامحي قطعاً ولا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يلاحظ من اغتفار خلط غرام واحد من التراب في كيلو غرام من الحنطة فليس من جهة الأخذ بالمسامحة العرفية في مرحلة التطبيق بل من جهة ان العرف يرى توسعا في المفهوم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الانطباق حينئذ من قبيل انطباق المفهوم الواسع على مصاديقه الحقيقية من دون مسامحة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ذكروا،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في مستندهم من حجية النظر العرفي في تطبيق المفهوم على المصداق بمقتضى الإطلاقات المقامية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تقييده بمصداق مخصوص كاشف عن إمضاء جميع أفراد المؤثر واقعاً، لا أنه كاشف عن إرادة المؤثر بنظر العرف كما هو المدعى، ومع هذا الاحتمال لا يتم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 المقامي لا ينفع أكثر من إرجاع تحديد المفهوم الى العرف، لأن الشارع قاصد للعرف في خطاباته ومحاوراته وبه يحصل تمام غرضه، وأما بيان المصداق فلم يكن العرف داخلا في غرضه ولامعنى لتحكيم العرف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إحاطة العرف بالخصوصيات الدقيقة في المصاديق، فقد يكون هناك مصداق لا يراه العرف مصداقاً لخفاء بعض الخصوصيات، وبالتالي فلا بد من مراعاة الدقة العقلية في التطبيق، فلا عبرة بعدم رؤيتهم بعد حكمهم بالمفهوم وحدوده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كون القضية عملية وتوقف العمل بها على تطبيق العناوين المأخوذة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يمكن في مقام العمل الاقتصار على القدر المتيقن في حجية العرف في تشخيص المفاهيم واللجوء الى ارتكاب التوسعة في المفهوم بمقتضى مناسبات الحكم والموضوع، لأنها مسوقة بلحاظ الأنظار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الحاجة الى الإطلاق المقامي وارتكاب التوسعة في حجية العرف بما يشمل حال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بقاء الأثر كاللون والريح وغيرهما يكشف عن بقاء العين لا محالة، لأن البرهان العقلي قام على امتناع انتقال العرض من معروضه، فيحكم العقل لأجل ذلك بأن اللون هو الأجزاء الصغار من جوهر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أجيب عنه كما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الأحكام الشرعية لا تبتني على التدقيقات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تدور مدار صدق العناوين المأخوذة في موضوعاتها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الأثر المتخلف من العين من قبيل الأعراض لدى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والنجاسة مترتبة على عنوان الدم والعذرة ونحوهما ولا يصدق شيء من هذه العناوين على الأوصاف والأعراض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الحكم بنجاسة الآثار المتخلفة في المحل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كبرى استحالة انتقال العرض وإن كانت مسلمة إلا أنها غير منطبقة على المقام، لأن عروض الرائحة أو اللون أو غيرهما من آثار النجس على الثوب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أن يكون مستنداً إلى انتقال أجزاء ذلك النجس إلى الثوب لاستحالة انتقال العرض من دون معروضه، كذلك يحتمل أن يكون مستنداً إلى </w:t>
      </w:r>
    </w:p>
    <w:p>
      <w:pPr>
        <w:pStyle w:val="BookText"/>
        <w:rPr/>
      </w:pPr>
      <w:r>
        <w:rPr>
          <w:rFonts w:ascii="Amiri" w:hAnsi="Amiri" w:eastAsia="Amiri" w:cs="Amiri"/>
          <w:color w:val="111111"/>
          <w:sz w:val="28"/>
          <w:sz w:val="28"/>
          <w:szCs w:val="28"/>
          <w:rtl w:val="true"/>
          <w:lang w:bidi="ar-SA"/>
        </w:rPr>
        <w:t>المجاورة، لأنها ربما تسبب استعداد الشيء للتأثر بآثار 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بمعنى انتقال أعراض ذلك النجس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يدفع باستحالته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تأهل الشيء لأن يعرض عليه مثل ذلك العرض من الابتداء كما عرض على النجس، وهذا كما إذا جعلنا مقداراً قليلا من الميتة في حبّ من الماء فإن الماء يكتسب بذلك رائحة الجيفة إذا مضى عليه زمان، ولا يحتمل أن يكون ذلك مستنداً إلى انتقال أجزاء الجيفة إلى الماء، حيث أن الجيفة لقلتها لا يمكن أن تنتشر في تلك الكمية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إلا من جهة تأهل الماء بالمجاورة لعروض الرائحة عليه من الابتداء، ويمكن مشاهدة ما ادعيناه بالعيان فيما إذا ألقينا كمية قليلة من اللبن على أكثر منها من الحليب لأنها تقلبه لبناً لا محالة من دون أن يكون ذلك مستنداً إلى انتشار الأجزاء اللبنية في الحليب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سوى التأهل بالمجاورة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يجاب عنه كما عن المحقق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موضوع النجاسة وإن لم يتبدل إلاّ أنه جرت السيرة على الطهارة بمقدار هذا التبدّل والتغيّر، فيكون ذلك بمنزلة الدليل الدال على حصول الطهارة بسبب شرعي، فلاحظ وتأمل</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القول للمشهور بالتزامه بتشخيص الموضوع بنظر العقل الدقيق البرهاني فقد ظهر أنها غير صحيحة،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الأمثلة المذكورة ليست برهانية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يقم البرهان عليها، فلاحظ</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ينفي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هم أوجبوا في تعيينه مراعاة الواقع مع كمال الدّقة في التطبيق في قبال التسامح العرفي، والفرق بينهما واضح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في ما للسلوك العرفي من صلة وثيقة بالعقل، وقد دفعت هذه الصلة الفقهاء ورجال القانون الى الاعتقاد بوجود انسجام تام بين العرف والعقل بحيث لا يصدر عن العرف سلوك يخالف العقل ولذلك أطلق الأصوليون على العرف السيرة العقلائية لمماثلتها لدور العقل من حيث كونه يستهدف السلوك العقلائي العام بالبحث والتنقيب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فإن تأثر الفكر الأصولي بالمفاهيم الفلسفية واختلاط مصطلحاته بالمصطلحات الفلسفية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الملاحظ في الكتب الأصولية بصفة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أدى الى اكتساب بعض المفردات والمركبات اللغوية مدلولاً جديداً، وهذا مما يؤدي الى اختلاط المعاني عند استنطاق النصوص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أهم نتائج التأثير وقوع الخلط بين القوانين التكوينية والاعتبارية، واختلاط الأحكام العقلائية بالعقلية البرهانية، والعرفية بالعقلية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المقام المبحوث عنه حيث يظهر أن سبب الاختلاف والتدافع بين القولين ليس اختلافا جوهريا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اختلاف ناشئ من ضبابية وتساهل في توظيف الاصطلاح ؛ وذلك لأن الجميع متفقون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مراعاة الدّقة العرفية وعدم الإفراط أو التفريط في إحراز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طريقة بيانهم تختلف باختلاف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بحسب اختلاف رؤيتهم لمصطلح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المسامحة العرفية المقصودين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فالطرفان كما أنهما يتبرءان من المسامحة العرفية الساذجة، كذلك يتبرءان من التدقيقات الفلسفية البرهانية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فالمشهور عندما يواجهون فكرة المسامحة المطلقة في التطبيق يردّونها بضرورة الالتزام بالدقة في تحصيل المصاديق، وكان نظرهم متوجهاً لنوع خاص من المسامحة وهي المسامحة في خصوص المحدّدات الشرعية كالمقادير والأوزان، وهي مما لا شبهة فيها من مراعاة كمال التدقيق في مرحلة التطبيق،لأنها موضوعة للمفاهيم بشرط عدم الزيادة والنقصان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مقابل ذلك فإن القائلين بحجية العرف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يتبرؤن من المسامحة العرفية الساذجة ويؤكدون على أن النظر العرفي المعتبر هو النظر غير المبتني على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عندما يواجهون فكرة الدّقة البرهانية في التطبيق يردّونها بكفاية الاعتماد على العرف في تشخيص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يكشف عن مدى تساهل الأعلام في إطلاق المسامحة العرفية أو إطلاق الدّقة البرهانية، وعدم تحديد محور النزاع منهما، بل وعدم تبديلهما بكلمة أخرى تمنع من تداخل هذين المفهومين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القولين ناظر الى ضرورة إحراز المصاديق إحرازاً دقيّاً متعارفاً بعيداً عن المسامحة العرفية الساذجة والبراهين العقلية الفائقة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التقريب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المشهور فيه غنى وكفاية لشموليته من حيث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مرجعية العرف في تعيين وتشخيص المفاهيم التي هي القدر المتيقن من الحجية، وكذلك من حيث مقام العمل فهم يردّون المفاهيم العرفية الواردة بلسان الشارع الى التوسعة المفهوميّة ببركة مناسبة الحكم والموضوع الارتكازية، من دون الحاجة الى التشبث بتوسعة دليل الحجيّة تمسكاً بالإطلاق المقامي كما هو مبنى القول الآخر</w:t>
      </w:r>
      <w:r>
        <w:rPr>
          <w:rFonts w:eastAsia="Amiri" w:cs="Amiri" w:ascii="Amiri" w:hAnsi="Amiri"/>
          <w:color w:val="111111"/>
          <w:sz w:val="28"/>
          <w:szCs w:val="28"/>
          <w:rtl w:val="true"/>
          <w:lang w:bidi="ar-SA"/>
        </w:rPr>
        <w:t xml:space="preserve">. </w:t>
      </w:r>
      <w:bookmarkStart w:id="82" w:name="pg9076_119719"/>
    </w:p>
    <w:p>
      <w:pPr>
        <w:pStyle w:val="Heading3"/>
        <w:numPr>
          <w:ilvl w:val="2"/>
          <w:numId w:val="1"/>
        </w:numPr>
        <w:rPr/>
      </w:pPr>
      <w:bookmarkStart w:id="83" w:name="__RefHeading___Toc2580381_2870459653"/>
      <w:bookmarkStart w:id="84" w:name="_Toc28"/>
      <w:bookmarkEnd w:id="82"/>
      <w:bookmarkEnd w:id="83"/>
      <w:r>
        <w:rPr>
          <w:rtl w:val="true"/>
        </w:rPr>
        <w:t>نتائج البحث</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عبارة عن كل ما اعتاده الناس وساروا عليه كقانون غير مدوّن من فعل شاع بينهم أو قول تعارفوا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تعارف عليه الناس وجروا عليه وفق طباعهم أو عاداتهم أو إدراكهم للأشياء من غير أن يختصّ به شخص أو أشخاص معدودون، بل يكون ذلك ظاهرة نوعيّة واجتماعية باختلاف مستوياتها وعلى نحو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العرف بهذا المعنى ذا أصول ضاربة في نفوس تلك الفئة وفي أثر الغرائز والعادات والتلقيات التي تربّوا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قد يعبّر عن العرف في كلمات المتأخرين بالارتكاز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منشأ الارتكاز أحد الأمرين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والغريزة، فهناك أمور فطرية وغريزية مركوزة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يحصل الارتكاز على أثر القوة التشريعية، كارتكاز المتشرعة التي منها مناسبات الحكم والموضوع التي يتداولها الفقهاء والأصوليون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القرائن ذات الشعور المعمق بنوع الحكم المتوافق والمتناسب مع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القرينة اللبيّة التي ببركتها يمكن للفقيه من خلالها تعدية الحكم لغير مورد النص الذي ورد فيه بمقتضى الارتكاز، ويقصد به ما هو المرتكز عند خصوص الملتزمين بالمذهب والمتشرعين، كارتكاز مطلوبية استقبال القبلة حال النوم، ومذمومية حلق اللحية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ارتكاز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ذلك فيما إذا كان المرتكز عند المسلمين بما هم مسلمون مع غض النظر عن مذاهبهم الخاصة بهم، كارتكاز لزوم استقبال القبلة عند الصلاة عندهم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الأعلام في حجية العرف في الجملة سواء أكان متمثلاً بسيرة العقلاء أم بسيرة المتشرعة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حجية 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حكم السيرة من حيث الحجية، فإذا كان الارتكاز متصلا بزمان أحد المعصومين وكان بمرأى ومسمع منه ولم ينه عنه مع تمكنه منه يكون حجة، وإلاّ فالارتكاز الحاصل بعد زمان المعصومين لا يكون حجة إلا إذا أحرز رضاه بذلك بطريق ما، وهو بعيد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وشأن الارتكاز شأن سائر الأدلة اللبية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إنها لا تدل إلا على القدر المتيقن، وليس فيها 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تقسيم المجالات العامة للتدخّل العرفي الى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القوانين التي يبني عليها العرف ويأخذ بها وإليه يستند الأخذ بسيرة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الانطباع العرفي في شؤون الأمور الاعتباريّة وملابساتها من قبيل تلقي العوارض المأخوذة في موضوع الحكم كحيثيات تعليليّة، كما بحث عنه في تحديد موضوع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التلقي العرفي لأحد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 للمفهوم الأفرادي للنص وهو ما يعبّر عنه بالمفهوم العرفي أو الحقيقة العرفيّة في مقابل الحقيقة اللغوية أو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 لفهم النص بحسب مناسبات الحكم والموضوع وهو ما يعبّر عنه بالفهم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 من حيث تعامل الشارع الاجتماعي فيما يتكون في بيئة شرعيّة محاطة بتوجهات الشارع وإرشاداته، وهو ما يعبّر عنه بسيرة المتشرعة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تشخيص العرف لمصاديق المفهوم العام وانطباعه في ما يدخل فيه ويخرج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المصطلحات الأكثر تداولاً بين الفقهاء والأصوليين هو قرينيّة مناسبة الحكم والموضوع الارتكازية وهي القرينة اللبيّة التي ببركتها يمكن للفقيه من خلالها تعدية الحكم لغير مورد النص الذي ورد فيه بمقتضى الارتكاز، سواء أكان هذا الإرتكاز عقلائياً أم شرعياً أم متشرعيّاً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والعبرة في هذا الارتكاز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يفهمه الفقهاء؛ لأن ملاك الاستظهار من الخطابات الشرعية فهم الفقهاءِ حسب ذوقهم العرفي، نظراً إلى قدرتهم على تحليل فهم أهل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 ملاك فهمهم وتشخيص سرّ ارتكاز المعنى المعيّن من الموضوع المأخوذ في الخطاب في أذهانهم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لا اعتبار بفهم أيّ فرد سوقي أو عاديّ من عوام الناس في الاستظهار من الخطابات وفهم موضوعات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الفقيه هو الذي يفهم بذوقه العرفي الأحكام الشرعية للأنس بها ووقوفه على شدّة مناسبة ارتباطها بموضوعاتها وهو لا يتيّسر لغيره، وهذا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نوع آخر من وسائل التعميم عند الفقهاء والأصوليين ينتمي الى مناسبات الحكم والموضوع يعبّر عنه بإلغاء الخصوصيّة لا يخرج عن إطار الفهم العرفي يمكن للفقيه أن يستعين به وبشكل مستقل لتعدية الحكم لمورد آخر دون الاعتماد على أدوات العموم المعروفة في الأصول كأدوات العموم أو الإطلاق اللفظي أو المقامي، بل هو عامل يساعد الفقيه وبمناسبة الحكم والموضوع الارتكازية على إلغاء الخصوصية عن مورد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مرجعية النظر العرفي في باب التطبيق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التكوينيّة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ينبغي الإشكال في إمكان التعويل على النظر العرفي في تحقق مصداق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ينبّه الشارع على مخالفة نظره مع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العرفي في الأمور الاعتبارية كالبيع ونحوه إنما هو ضرب من التقنين العرفي، وعليه فإذا رتّب الشارع أحكاماً على المفهوم من غير بيان خلافه </w:t>
      </w:r>
    </w:p>
    <w:p>
      <w:pPr>
        <w:pStyle w:val="BookText"/>
        <w:rPr/>
      </w:pPr>
      <w:r>
        <w:rPr>
          <w:rFonts w:ascii="Amiri" w:hAnsi="Amiri" w:eastAsia="Amiri" w:cs="Amiri"/>
          <w:color w:val="111111"/>
          <w:sz w:val="28"/>
          <w:sz w:val="28"/>
          <w:szCs w:val="28"/>
          <w:rtl w:val="true"/>
          <w:lang w:bidi="ar-SA"/>
        </w:rPr>
        <w:t>في التقنين حول موارد تحققه مع العرف دلّ ذلك على إقرار القانون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ذكر جميع الأصوليين المتأخرين جواز التمسك بالإطلاق المقامي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بالوضع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ظهور الدليل في التعويل على النظر العرفي في الأمور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من الأصوليين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الأعلام في سعة دائرة مرجعية العرف من حيث شمولها لحالة تطبيق المصاديق وعدمها على 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العرف في تعيين المفاهيم،لا في تطبيقاته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المشهور من محققي الأصول منهم المحقق الخراساني والمحقق النائيني والمحقق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مختار شيخنا الأستاذ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إنما يكون مرجعا في تعيين المفاهيم ؛ لأن الألفاظ تنصرف إلى مفاهيمها العرفية بحسب ما ارتكز في أذهان أهل المحاورات، ولا يرجع إلى العرف في تشخيص المصاديق بعد تشخيص المفهوم، لأن العرف قد يتسامح في استعمال الألفاظ وإطلاقها على مالا يكون مصداقا لمعانيها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يرى العرف توسّعاً في نفس المفهوم، فيكون الانطباق حينئذٍ من باب انطباق المفهوم الواسع، لا من باب المسامحة في التطبيق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العرف مطلقاً تشخيصاً وتطبيقاً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السيد الخميني تبعاً لأستاذه 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مختار سيدنا الأستاذ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عكس القول الأول حيث يرى سعة مرجعية العرف وأنها لاتقف عند حدود تشخيص المفاهيم بل تتعداه الى تطبيقاته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ومستندهم بذلك كما يظهر من صريح كلماتهم أن الأحكام المتعلقة بالعناوين تتعلق بها بلحاظ مصاديقها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إنما يتكلم بلسان العرف وهو حين التكلم كأحد أفراد العرف يحمل كلامه على ما هو مصداق عند أهل العرف، لأنه بعد فرض كون القضية عملية وتوقف العمل بها على تطبيق العناوين المأخوذة فيها، </w:t>
      </w:r>
    </w:p>
    <w:p>
      <w:pPr>
        <w:pStyle w:val="BookText"/>
        <w:rPr/>
      </w:pPr>
      <w:r>
        <w:rPr>
          <w:rFonts w:ascii="Amiri" w:hAnsi="Amiri" w:eastAsia="Amiri" w:cs="Amiri"/>
          <w:color w:val="111111"/>
          <w:sz w:val="28"/>
          <w:sz w:val="28"/>
          <w:szCs w:val="28"/>
          <w:rtl w:val="true"/>
          <w:lang w:bidi="ar-SA"/>
        </w:rPr>
        <w:t>وفرض عدم تعرضه لذلك، فالظاهر منه بمقتضى الإطلاقات المقامية إيكال تطبيقها للعرف المخاطبين بها بحسب ما يتيسر لهم ويصلون إليه بالوجه المتعارف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سبب الاختلاف والتدافع بين القولين ليس اختلافاً جوهرياً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اختلاف ناشىء من ضبابية وتساهل في توظيف الاصطلاح ؛ وذلك لأن الجميع متفقون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مراعاة الدّقة العرفية وعدم الإفراط أو التفريط في إحراز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طريقة بيانهم تختلف باختلاف المناسبات وكذلك بحسب اختلاف رؤيتهم لمصطلح العقل أو المسامحة العرفية المقصودين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فالطرفان كما أنهما يتبرءان من المسامحة العرفية الساذجة، كذلك يتبرءان من التدقيقات الفلسفية البرهانية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يكشف عن مدى تساهل الأعلام في إطلاق المسامحة العرفية أو إطلاق الدّقة البرهانية، وعدم تحديد محور النزاع منهما، بل وعدم تبديلهما بكلمة أخرى تمنع من تداخل هذين المفهومين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القولين ناظر الى ضرورة إحراز المصاديق إحرازاً دقيّاً متعارفاً بعيداً عن المسامحة العرفية الساذجة والبراهين العقلية الفائقة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المشهور فيه غنى وكفاية عن القول الآخر لشموليته من حيث الحجيّة وهي مرجعية العرف في تعيين وتشخيص المفاهيم والتي هي القدر المتيقن من الحجية، وكذلك من حيث مقام العمل فهم يردّون المفاهيم العرفية الواردة بلسان الشارع الى التوسعة المفهوميّة ببركة مناسبة الحكم والموضوع الارتكازية، من دون الحاجة الى التشبث بتوسعة دليل الحجيّة تمسكاً بالإطلاق المقامي كما هو مبنى القول الآخر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bookmarkStart w:id="85" w:name="pg9076_119724"/>
    </w:p>
    <w:p>
      <w:pPr>
        <w:pStyle w:val="Heading3"/>
        <w:numPr>
          <w:ilvl w:val="2"/>
          <w:numId w:val="1"/>
        </w:numPr>
        <w:rPr/>
      </w:pPr>
      <w:bookmarkStart w:id="86" w:name="__RefHeading___Toc2580383_2870459653"/>
      <w:bookmarkStart w:id="87" w:name="_Toc29"/>
      <w:bookmarkEnd w:id="85"/>
      <w:bookmarkEnd w:id="86"/>
      <w:r>
        <w:rPr>
          <w:rtl w:val="true"/>
        </w:rPr>
        <w:t>مصادر البحث</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مؤسسة تنظيم ونشر آثار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العامة للفقه المقارن، السيد محمد تقي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للطباعة والنشر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الشيح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مكتبة جامع جهلستون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شرح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السيستاني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محمود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مؤسسة دائرة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التنقيح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الناشر مؤسسة احياء آثار الامام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مؤسسة النشر التابعة لجماعة المدرسين بقم المشرفة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دار العلم للملايين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مؤسسة دار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الناشر مجمع الفكر الاسلامي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إفادات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الكاظمي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محمد باقر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 مجمع الفكر الاسلامي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الآخوند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نشر أدب الحوزة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المباحث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اسحاق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مكتب سماحة الشيخ محمد اسحاق الفياض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مرتضوي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المحكم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سعيد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المنار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المستند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البروجردي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الناشر مؤسسة احياء آثار الامام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السيد عبد الصاحب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الشيخ محمد تقي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 مؤسسة النشر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محمد حسين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 انتشارات سيد الشهداء 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الناشر انتشارات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 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الانجاب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المؤرخ العربي</w:t>
      </w:r>
      <w:r>
        <w:rPr>
          <w:rFonts w:eastAsia="Amiri" w:cs="Amiri" w:ascii="Amiri" w:hAnsi="Amiri"/>
          <w:color w:val="111111"/>
          <w:sz w:val="28"/>
          <w:szCs w:val="28"/>
          <w:rtl w:val="true"/>
          <w:lang w:bidi="ar-SA"/>
        </w:rPr>
        <w:t xml:space="preserve">. </w:t>
      </w:r>
      <w:bookmarkStart w:id="88" w:name="pg9076_119726"/>
    </w:p>
    <w:p>
      <w:pPr>
        <w:pStyle w:val="Heading2"/>
        <w:numPr>
          <w:ilvl w:val="1"/>
          <w:numId w:val="1"/>
        </w:numPr>
        <w:rPr/>
      </w:pPr>
      <w:bookmarkStart w:id="89" w:name="__RefHeading___Toc2580385_2870459653"/>
      <w:bookmarkStart w:id="90" w:name="_Toc30"/>
      <w:bookmarkEnd w:id="88"/>
      <w:bookmarkEnd w:id="89"/>
      <w:r>
        <w:rPr>
          <w:rtl w:val="true"/>
        </w:rPr>
        <w:t xml:space="preserve">رجال المستمسك </w:t>
      </w:r>
      <w:r>
        <w:rPr>
          <w:rtl w:val="true"/>
        </w:rPr>
        <w:t xml:space="preserve">- </w:t>
      </w:r>
      <w:r>
        <w:rPr>
          <w:rtl w:val="true"/>
        </w:rPr>
        <w:t>الشيخ علي الغزي</w:t>
      </w:r>
      <w:bookmarkEnd w:id="90"/>
    </w:p>
    <w:p>
      <w:pPr>
        <w:pStyle w:val="Heading3"/>
        <w:numPr>
          <w:ilvl w:val="2"/>
          <w:numId w:val="1"/>
        </w:numPr>
        <w:rPr/>
      </w:pPr>
      <w:bookmarkStart w:id="91" w:name="__RefHeading___Toc2580387_2870459653"/>
      <w:bookmarkStart w:id="92" w:name="_Toc31"/>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من المعلوم توقف الاستنباط الفقهي على البحث الرجالي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طرق رصد البحث الرجالي ملاحظته في المجال التطبيقي الفقهي لعلمائنا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الصفحات محاولة لرصد البحث الرجالي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9076_119728"/>
      <w:bookmarkStart w:id="94" w:name="pg9076_119728"/>
      <w:bookmarkEnd w:id="94"/>
    </w:p>
    <w:p>
      <w:pPr>
        <w:pStyle w:val="Heading3"/>
        <w:numPr>
          <w:ilvl w:val="2"/>
          <w:numId w:val="1"/>
        </w:numPr>
        <w:rPr/>
      </w:pPr>
      <w:bookmarkStart w:id="95" w:name="pg9076_119728"/>
      <w:bookmarkStart w:id="96" w:name="__RefHeading___Toc2580389_2870459653"/>
      <w:bookmarkStart w:id="97" w:name="_Toc32"/>
      <w:bookmarkEnd w:id="95"/>
      <w:bookmarkEnd w:id="96"/>
      <w:r>
        <w:rPr>
          <w:rtl w:val="true"/>
        </w:rPr>
        <w:t xml:space="preserve">رجال المستمسك </w:t>
      </w:r>
      <w:r>
        <w:rPr>
          <w:rtl w:val="true"/>
        </w:rPr>
        <w:t xml:space="preserve">- </w:t>
      </w:r>
      <w:r>
        <w:rPr>
          <w:rtl w:val="true"/>
        </w:rPr>
        <w:t>القسم الأول</w:t>
      </w:r>
      <w:bookmarkEnd w:id="9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2580391_2870459653"/>
      <w:bookmarkStart w:id="99" w:name="_Toc33"/>
      <w:bookmarkEnd w:id="98"/>
      <w:r>
        <w:rPr>
          <w:rtl w:val="true"/>
        </w:rPr>
        <w:t>اشارة</w:t>
      </w:r>
      <w:bookmarkEnd w:id="9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9076_119730"/>
      <w:bookmarkStart w:id="101" w:name="pg9076_119730"/>
      <w:bookmarkEnd w:id="101"/>
    </w:p>
    <w:p>
      <w:pPr>
        <w:pStyle w:val="Heading4"/>
        <w:numPr>
          <w:ilvl w:val="3"/>
          <w:numId w:val="1"/>
        </w:numPr>
        <w:rPr/>
      </w:pPr>
      <w:bookmarkStart w:id="102" w:name="pg9076_119730"/>
      <w:bookmarkStart w:id="103" w:name="__RefHeading___Toc2580393_2870459653"/>
      <w:bookmarkStart w:id="104" w:name="_Toc34"/>
      <w:bookmarkEnd w:id="102"/>
      <w:bookmarkEnd w:id="103"/>
      <w:r>
        <w:rPr>
          <w:rtl w:val="true"/>
        </w:rPr>
        <w:t>المقدمة</w:t>
      </w:r>
      <w:bookmarkEnd w:id="1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تخفى مكانة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البالغة والعلمية الرفيعة، التي من تجلياتها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تعودت القراءة فيه، وكانت تصادفني بين الفينة والأخرى مواقفه الرجالية، إما من كبرى أو من راوٍ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أسجل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هامش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صفحات الكتاب، وثالثة في الدفاتر، ثم خطرت لي فكرة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أقرأ المستمسك من أوله الى آخره، وأسجل ما يصادفني فيه من المواقف الرجالية، ثم أجمعها في 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والدافع من ورائها إعظام هذا العلم العيلم؛ فإنّ من أبرز صور إعظام العالم إبراز مكنونات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والاسهام في تحريك عجلة علم الرجال في وسطنا الحوزوي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يجد المُلاحظ لهذه الصفحات قلةَ المبحث الرجالي قياساً بحجم كتاب المستمسك، لكن ذلك لا يعني عدم اهتمام 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الرجال بشهادة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ستجده في متابعاته الرجالية في مواطن اقتضت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ذلك من كبرى أم من راوٍ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يخرج معه عن ابتناء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الاختصار، كما صرح به في حديثه عن العبرتائي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تناوله في موضعين قال في ذيل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وقد خرجنا عن وضع الكتاب هنا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لرسالة في هذا الشأن، جعلها في مقدمة وأبواب وخاتمة، وبَيَّنَ في المقدمة تعريف علم الرجال وموضوعه وفائدته ومباحثه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تشخيص ما يستفاد من </w:t>
      </w:r>
    </w:p>
    <w:p>
      <w:pPr>
        <w:pStyle w:val="BookText"/>
        <w:rPr/>
      </w:pPr>
      <w:r>
        <w:rPr>
          <w:rFonts w:ascii="Amiri" w:hAnsi="Amiri" w:eastAsia="Amiri" w:cs="Amiri"/>
          <w:color w:val="111111"/>
          <w:sz w:val="28"/>
          <w:sz w:val="28"/>
          <w:szCs w:val="28"/>
          <w:rtl w:val="true"/>
          <w:lang w:bidi="ar-SA"/>
        </w:rPr>
        <w:t>بعض ألفاظ الجرح والتعديل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ونقة ووجه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وتعين وثاقة الرواية بالاجتهاد، وتمييز المشتركات، وفصله عن علم الدراية بعد أن ذكر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توقف الاجتهاد الفقهي عليهما، ومناقشاً لما قيل من عدم الحاجة لعلم الرجال نظراً لقطعية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أول من ألف في الدراية؛ والوجه في عدم الأخذ بالأحاديث النبوية العامة، ثم أوضح طبقات أصحابنا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ثلاثة، بل أربعة، مع بيان أوصافها وموضوعاتها وأحوال مؤلفيها وبعض مصطلحاتها، والطبقات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أصحاب الأئمة الذين هم أصحاب الأصول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مصنفو الكتب وناقلو أخبار الأصول كالحسين بن سعيد، ومحمد بن أحمد ابن يحيى، والبرقي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المحمّدون الثلاثة الذين ألّفوا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والفقيه، والتهذيب، والاستبصار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المحمّدون الثلاثة من المتأخرين الذين نقدوا الأخبار المدونة في الكتب الاربعة، ونقلوها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صاحب الوافي وصاحب البحار وصاحب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زالت هذه الرسالة مخطوطة في مكتبة الإمام الحكيم العامة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الله يُيسر العمل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انَّ ذلك لم يكن من جهة عدم الاهتمام بالمبحث الرجالي، بل الوجه فيه أمور وهي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أكثر من موضع بابتناء المستمسك على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في أثناء ذلك ادون ما ألقيه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كشرح </w:t>
      </w:r>
    </w:p>
    <w:p>
      <w:pPr>
        <w:pStyle w:val="BookText"/>
        <w:rPr/>
      </w:pPr>
      <w:r>
        <w:rPr>
          <w:rFonts w:ascii="Amiri" w:hAnsi="Amiri" w:eastAsia="Amiri" w:cs="Amiri"/>
          <w:color w:val="111111"/>
          <w:sz w:val="28"/>
          <w:sz w:val="28"/>
          <w:szCs w:val="28"/>
          <w:rtl w:val="true"/>
          <w:lang w:bidi="ar-SA"/>
        </w:rPr>
        <w:t>للكتاب المذكور بشكل موجز</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ومن هنا نجده في كثير من الموارد اكتفى بمناقشة السند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لضعف سنده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الخبر الموثوق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الوثوق يحصل بالشهرة أو الإجماع أو عمل الأساطين، أو وجود الأجلاء أو أصحاب الإجماع في السند، أو روايته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ذلك عدم الوقوف عند جملة من الأسانيد بعد تحقق الوثوق بها وحجيتها من أجل ذلك، هذا مضافاً الى عدم وقوفه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الروايات الضعيفة فيما لو كان الى جانبها المعتبر الذي يؤدى به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الملاحظ من 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يَستغني عن المناقشة السندية بوجود ما يمكن أن يرفع الإشكال من حيث الدلالة، أو وجود ما يقتضي سقوطها كالإعراض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منهج سار عليه الشيخ الطوسي في التهذيب، حيث صرح في مقدمته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ومهما تمكنت من تأويل بعض الأحاديث من غير أن أطعن في إسنادها فإني لا أتعداه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الوضع الطبيعي في الأبحاث الفقهية الاستدلالية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نشاهد ذلك في الجواهر والحدائق والمستند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التعرض للأبحاث الرجالية على مقدار الحاجة، كتعرضهم للبحث الأصولي إذ هو علم قائم برأسه، ويبحث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الآونة الأخيرة أخذت تذكر بعض الأبحاث الرجالية الموسعة في ثنايا الأبحاث الفقهية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جعلت هذا المجموع من مطاوي كلمات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المستمسك على تمهيد وثلاثة أبواب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تناول التمهيد، بناء حجية قول الرجالي على حجية خبر الثقة في الأحكام، وحجية قول الرجالي الموثوق به لا مطلق الثقة، وتحديد الوثوق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وموقفه من قول متأخري الرجال ومصادره الرجالية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رجالية ودرائية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تعرض لهم من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اتساع صفحاته بالقياس الى المقدار الممكن عرضه في المجلة لكل مبحث، استقر الرأي على طباعته في قسمين من عددين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القسم الأول شاملاً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والباب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وهوما سنعرضه في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الثاني شاملاً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يأتي في عدد لاحق إن شاء الله تعالى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سعدون الغزي </w:t>
      </w:r>
      <w:bookmarkStart w:id="105" w:name="pg9076_119734"/>
    </w:p>
    <w:p>
      <w:pPr>
        <w:pStyle w:val="Heading4"/>
        <w:numPr>
          <w:ilvl w:val="3"/>
          <w:numId w:val="1"/>
        </w:numPr>
        <w:rPr/>
      </w:pPr>
      <w:bookmarkStart w:id="106" w:name="__RefHeading___Toc2580395_2870459653"/>
      <w:bookmarkStart w:id="107" w:name="_Toc35"/>
      <w:bookmarkEnd w:id="105"/>
      <w:bookmarkEnd w:id="106"/>
      <w:r>
        <w:rPr>
          <w:rtl w:val="true"/>
        </w:rPr>
        <w:t>تمهيد</w:t>
      </w:r>
      <w:bookmarkEnd w:id="107"/>
    </w:p>
    <w:p>
      <w:pPr>
        <w:pStyle w:val="Heading5"/>
        <w:numPr>
          <w:ilvl w:val="4"/>
          <w:numId w:val="1"/>
        </w:numPr>
        <w:rPr/>
      </w:pPr>
      <w:bookmarkStart w:id="108" w:name="__RefHeading___Toc2580397_2870459653"/>
      <w:bookmarkStart w:id="109" w:name="_Toc36"/>
      <w:bookmarkEnd w:id="108"/>
      <w:r>
        <w:rPr>
          <w:rtl w:val="true"/>
        </w:rPr>
        <w:t>اشارة</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حجية قول الرجالي على حجية خبر الثقة في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قول الرجالي الموثوق به لا مطلق قول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تحديد الوثوق الحجة عند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توثيق وتضعيف متأخري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الرجالية</w:t>
      </w:r>
      <w:r>
        <w:rPr>
          <w:rFonts w:eastAsia="Amiri" w:cs="Amiri" w:ascii="Amiri" w:hAnsi="Amiri"/>
          <w:color w:val="111111"/>
          <w:sz w:val="28"/>
          <w:szCs w:val="28"/>
          <w:rtl w:val="true"/>
          <w:lang w:bidi="ar-SA"/>
        </w:rPr>
        <w:t xml:space="preserve">. </w:t>
      </w:r>
      <w:bookmarkStart w:id="110" w:name="pg9076_119735"/>
    </w:p>
    <w:p>
      <w:pPr>
        <w:pStyle w:val="Heading5"/>
        <w:numPr>
          <w:ilvl w:val="4"/>
          <w:numId w:val="1"/>
        </w:numPr>
        <w:rPr/>
      </w:pPr>
      <w:bookmarkStart w:id="111" w:name="__RefHeading___Toc2580399_2870459653"/>
      <w:bookmarkStart w:id="112" w:name="_Toc37"/>
      <w:bookmarkEnd w:id="110"/>
      <w:bookmarkEnd w:id="111"/>
      <w:r>
        <w:rPr>
          <w:rtl w:val="true"/>
        </w:rPr>
        <w:t>بناء حجية قول الرجالي على حجية خبر الثقة في الأحكام</w:t>
      </w:r>
      <w:bookmarkEnd w:id="112"/>
    </w:p>
    <w:p>
      <w:pPr>
        <w:pStyle w:val="BookText"/>
        <w:rPr/>
      </w:pPr>
      <w:r>
        <w:rPr>
          <w:rFonts w:ascii="Amiri" w:hAnsi="Amiri" w:eastAsia="Amiri" w:cs="Amiri"/>
          <w:color w:val="111111"/>
          <w:sz w:val="28"/>
          <w:sz w:val="28"/>
          <w:szCs w:val="28"/>
          <w:rtl w:val="true"/>
          <w:lang w:bidi="ar-SA"/>
        </w:rPr>
        <w:t>من المعلوم أن من طرق الجرح والتعديل هو الاعتماد على قول متقدمي الرجال، كالشيخ والنجاشي وأضرابهما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في بيان منشأ حجية قول 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في ذلك أقوال عدة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من باب حجية مطلق الظن بعد انسداد باب العلم في معرفة أحوال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من باب مطلق النبأ والرواية، أي الإخبار عن أحوالهم من غير اشتراط العدد والعدالة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من باب الشهادة، أي الإخبار عن أحوالهم المشروط بالعدد والعدالة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من باب حجية قول أهل الخبرة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حجية قول الرجالي على أساس حجية خبر الثقة في الأحكام الكلية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المسألة العشرين من الاجتهاد والتقليد في حديثه عما يثبت به اجتهاد المجتهد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يقال بثبوته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الثقة لعموم ما دل على حجيته في الأحكام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منه ما يؤدي الى الحكم الكلي، سواء أكان ذلك بمدلوله المطابقي أم الالتزامي، والمقام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مدلول الخبر المطابقي وجود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هذه الجهة يكون إخباراً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مدلوله الالتزامي هو ثبوت الحكم الواقعي الكلي الذي يؤدي إليه نظر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المبنى يكفي توثيق رجال السند بخبر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بحجية خبر الثقة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محل تأمل لإمكان دعوى تحقق الردع</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والظاهر أن حاصل مرامه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إخبار الرجالي بوثاقة الراوي أو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لوحظ بالنظر الى المخبر به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الوثاقة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إخبار الثقة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بحجة، لإمكان دعوى تحقق الردع عنه، إلا أنه يمكن البناء على حجيته بالنظر الى دوره في إثبات الحكم الكلي من جهة حجية خبر الثقة في الأحكام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منه ما يؤدي الى الحكم الكلي سواء أكان بمدلوله المطابقي أم الالتزامي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والإخبار عن الوثاقة وإن كان بحسب المدلول المطابقي هو إخبار عن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وثاقة الراوي، إلا أنه بحسب المدلول الالتزامي هو إخبار عن حكم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حجيته، وأعني بالمدلول الالتزامي هو ثبوت الحكم الكلي الذي يخبر عنه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التخريج أستاذه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المقالات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استدل به لحجية خبر الواحد بناء سير المتشرعة، وإطباقهم على العمل 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مقام نقل فتوى المجتهد الى مقلديه، بل وفي كل مورد كان له دخل في استنباط حكم كلي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الديدن في أخذ معاني مواد اللغات من اللغوي، وهيئاتها من الصرفي والنحوي، وحالات رجال السند من علماء الرجال</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الترقي في عبارته هو إرجاع حجية قول الرجالي الى حجية خبر الثقة في الأحكام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مورد كان له دخل في استنباط حكم كلي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التعدي للمدلول الالتزامي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على هذا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اعتبار قول الرجالي من صغريات حجية خبر الثقة في الأحكام الكلية أنه من باب الرواية، فلا يعتبر فيه التعدد ولا العدالة، وليس من باب الشهادة كي يلزم كون الرجالي إمامياً متعدداً، كما حُكي ذلك عن جماعة كصاحب المعالم، لأن إرجاعهم قول الرجالي إلى الشهادة من جهة النظر الى </w:t>
      </w:r>
      <w:bookmarkStart w:id="113" w:name="pg9076_119737"/>
    </w:p>
    <w:p>
      <w:pPr>
        <w:pStyle w:val="BookText"/>
        <w:rPr/>
      </w:pPr>
      <w:bookmarkEnd w:id="113"/>
      <w:r>
        <w:rPr>
          <w:rFonts w:ascii="Amiri" w:hAnsi="Amiri" w:eastAsia="Amiri" w:cs="Amiri"/>
          <w:color w:val="111111"/>
          <w:sz w:val="28"/>
          <w:sz w:val="28"/>
          <w:szCs w:val="28"/>
          <w:rtl w:val="true"/>
          <w:lang w:bidi="ar-SA"/>
        </w:rPr>
        <w:t>مضمونه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الإخبار عن موضوع خارجي، ولكن اتضح أنه بالالتفات الى مدلوله الالتزامي أنه إخبار عن الحكم الكلي، فيندرج بهذا الاعتبار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لا يشترط في العمل على طبق قول الرجالي التعدد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دعوى كونه من باب الشهادة فليس إلا من جهة كون موضوع الشهادة هو الإخبار عن الموضوع وإخبار الرجاليين عن مثل عدالة الراوي ووثاقته، وكون أبي بصير الذي يروي عنه ابن مسكان ليث المرادي، والذي يروي عنه شعيب بن يعقوب يحيى بن القاسم، ونحو ذلك من قبيل الإخبار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هناك سقوط هذه الدعوى من جهة أنه وإن سلم كون موضوع الخبر هو الموضوع لا الحكم، إلا أن المدلول الالتزامي لما كان هو الحكم الكلي وكان من قبيل الرواية من هذه الجهة فلاحظ ذلك المقام</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2580401_2870459653"/>
      <w:bookmarkStart w:id="115" w:name="_Toc38"/>
      <w:bookmarkEnd w:id="114"/>
      <w:r>
        <w:rPr>
          <w:rtl w:val="true"/>
        </w:rPr>
        <w:t>حجية قول الرجالي الموثوق به لا مطلق قول الثقة</w:t>
      </w:r>
      <w:bookmarkEnd w:id="115"/>
    </w:p>
    <w:p>
      <w:pPr>
        <w:pStyle w:val="BookText"/>
        <w:rPr/>
      </w:pPr>
      <w:r>
        <w:rPr>
          <w:rFonts w:ascii="Amiri" w:hAnsi="Amiri" w:eastAsia="Amiri" w:cs="Amiri"/>
          <w:color w:val="111111"/>
          <w:sz w:val="28"/>
          <w:sz w:val="28"/>
          <w:szCs w:val="28"/>
          <w:rtl w:val="true"/>
          <w:lang w:bidi="ar-SA"/>
        </w:rPr>
        <w:t>بعد الفراغ من حجية خبر الواحد اختلف في حدوده على قولين أساسين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الثقة مطلقاً، أي وإن لم يُفد الوثوق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الموثوق به وإن لم يكن معتبراً سنداً، بل إن كان معتبراً سنداً ولم يحصل الوثوق به لم يكن حجة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قد صرح في غير موضوع</w:t>
      </w:r>
      <w:r>
        <w:rPr>
          <w:rStyle w:val="FootnoteAnchor"/>
          <w:rtl w:val="true"/>
        </w:rPr>
        <w:footnoteReference w:id="231"/>
      </w:r>
      <w:r>
        <w:rPr>
          <w:rFonts w:ascii="Amiri" w:hAnsi="Amiri" w:eastAsia="Amiri" w:cs="Amiri"/>
          <w:color w:val="111111"/>
          <w:sz w:val="28"/>
          <w:sz w:val="28"/>
          <w:szCs w:val="28"/>
          <w:rtl w:val="true"/>
          <w:lang w:bidi="ar-SA"/>
        </w:rPr>
        <w:t>بحجية الخبر الموثق إلا أن الظاهر أن مراده به الخبر الموثوق به بشهادة 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مجموع ذلك مما يستوجب الوثوق المدخل له تحت دليل الحجية</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مع اعتبار الوثوق في الحجية</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الحجية الوثوق بالصدور</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أوضح ذلك في أصوله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الظاهر مما دل على حجية خبر الثقة من تلك النصوص اعتبار كون الثقة في خصوص 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كونه ثقة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 ذلك مناسبة الحكم لموضوعه، وإلا فإطلاق الثقة يقتضي كونه ثقة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فقرينة المناسبة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الارتكاز العقلائي أوجبت كون الظهور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استقر بناء الأصحاب على العمل بالأخبار الضعيفة، مع اقترانها بما يوجب الوثوق بصدورها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مثل عمل المشهور أو الأساطين بها، كما لا يبعد أن يكون المراد من الوثوق، الوثوق النوعي جرياً على مقتضى الارتكاز العقلائي</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أعلى مرتبة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ما يخدش بالوثوق بها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كالشهرة والإجماع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في وهن الصحيح إعراض القدماء عن ظاهره، لأنه يوجب ارتفاع الوثوق المعتبر في الحجية</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صحيح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صحاح عمر بن يزيد، وعلي ابن يقطين، وإسماعيل بن الفضل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كله فالنفس لا تطمئن بعدم الوجوب للشهرة العظيمة على الوجوب، بل الإجماع ممن يُعتد بفتواهم من القدماء عليه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بالأخبار الضعيفة كالمراسيل لوجود ما يوجب الوثوق بها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المراسيل حجة إذا كانت مجبورة بعمل المشهور</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فلا ينبغي الشك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بحجية الخبر الموثوق به لا مطلق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فحيث أن حجية قول الرجالي عنده كانت من باب حجية الخبر في الأحكام الكلية، فيكون الحجة من قول الرجالي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ما أدى الى الوثوق بوثاقة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تجميع القرائن في التوصل الى اعتبار الراوي، أو تمييزه مُصرحاً في بعض الموارد بأن ذلك مما يوجب الوثوق بالراوي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حال علي بن محمد 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مشايخ الكشي وعليه اعتمد كما في النجاشي، والخلاصة،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حديثاً صحيحاً عن علي بن محمد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صحيح عن علي بن محمد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في الخلاصة في قسم الموثقين فالرواية معتبرة</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والملاحظ منه أنه جعل من القرائن الثلاثة التي جمعها للقتيبي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وتصحيح العلامة لسند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وتوثيق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توجب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اعتبار الرواية التي هو في سندها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حال محمد بن أحمد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والتوقف فيه، لأن في سنده محمد بن أحمد العلوي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 العلامة حديثه فيما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استثناء القميين حديثه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الصدوق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والصدق، ورواية جملة من الأجلاء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بهذا المقدار دليلاً له على الوثاقة</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وهنا اعتمد على قرائن أربع لتحصيل الوثوق بوثاقته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بيان حال سعدان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الطعن في رواية سعدان بالضعف فلا مجال له بعد اعتماد المشهور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الراوي معتبر الرواية في نفسه وإن لم ينص عليه بتوثيق، فإن ملاحظة أحواله المسطورة في كتب الرجال تستوجب الوثوق به واعتبار حديثه</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وهو أجلى من سابقيه في الاعتماد على القرائن بما هي مفيدة للوثوق باعتبار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نجده اعتمد على القرائن في التوصل لمعرفة حال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هؤلاء كأحمد بن هلال العبرتائي</w:t>
      </w:r>
      <w:r>
        <w:rPr>
          <w:rStyle w:val="FootnoteAnchor"/>
          <w:rtl w:val="true"/>
        </w:rPr>
        <w:footnoteReference w:id="242"/>
      </w:r>
      <w:r>
        <w:rPr>
          <w:rFonts w:ascii="Amiri" w:hAnsi="Amiri" w:eastAsia="Amiri" w:cs="Amiri"/>
          <w:color w:val="111111"/>
          <w:sz w:val="28"/>
          <w:sz w:val="28"/>
          <w:szCs w:val="28"/>
          <w:rtl w:val="true"/>
          <w:lang w:bidi="ar-SA"/>
        </w:rPr>
        <w:t>والحسين بن أبي العلاء</w:t>
      </w:r>
      <w:r>
        <w:rPr>
          <w:rStyle w:val="FootnoteAnchor"/>
          <w:rtl w:val="true"/>
        </w:rPr>
        <w:footnoteReference w:id="243"/>
      </w:r>
      <w:r>
        <w:rPr>
          <w:rFonts w:ascii="Amiri" w:hAnsi="Amiri" w:eastAsia="Amiri" w:cs="Amiri"/>
          <w:color w:val="111111"/>
          <w:sz w:val="28"/>
          <w:sz w:val="28"/>
          <w:szCs w:val="28"/>
          <w:rtl w:val="true"/>
          <w:lang w:bidi="ar-SA"/>
        </w:rPr>
        <w:t>وعبد الرحيم القصير</w:t>
      </w:r>
      <w:r>
        <w:rPr>
          <w:rStyle w:val="FootnoteAnchor"/>
          <w:rtl w:val="true"/>
        </w:rPr>
        <w:footnoteReference w:id="244"/>
      </w:r>
      <w:r>
        <w:rPr>
          <w:rFonts w:ascii="Amiri" w:hAnsi="Amiri" w:eastAsia="Amiri" w:cs="Amiri"/>
          <w:color w:val="111111"/>
          <w:sz w:val="28"/>
          <w:sz w:val="28"/>
          <w:szCs w:val="28"/>
          <w:rtl w:val="true"/>
          <w:lang w:bidi="ar-SA"/>
        </w:rPr>
        <w:t>وعلي بن أبي حمزة البطائني</w:t>
      </w:r>
      <w:r>
        <w:rPr>
          <w:rStyle w:val="FootnoteAnchor"/>
          <w:rtl w:val="true"/>
        </w:rPr>
        <w:footnoteReference w:id="245"/>
      </w:r>
      <w:r>
        <w:rPr>
          <w:rFonts w:ascii="Amiri" w:hAnsi="Amiri" w:eastAsia="Amiri" w:cs="Amiri"/>
          <w:color w:val="111111"/>
          <w:sz w:val="28"/>
          <w:sz w:val="28"/>
          <w:szCs w:val="28"/>
          <w:rtl w:val="true"/>
          <w:lang w:bidi="ar-SA"/>
        </w:rPr>
        <w:t>وعلي بن حديد</w:t>
      </w:r>
      <w:r>
        <w:rPr>
          <w:rStyle w:val="FootnoteAnchor"/>
          <w:rtl w:val="true"/>
        </w:rPr>
        <w:footnoteReference w:id="246"/>
      </w:r>
      <w:r>
        <w:rPr>
          <w:rFonts w:ascii="Amiri" w:hAnsi="Amiri" w:eastAsia="Amiri" w:cs="Amiri"/>
          <w:color w:val="111111"/>
          <w:sz w:val="28"/>
          <w:sz w:val="28"/>
          <w:szCs w:val="28"/>
          <w:rtl w:val="true"/>
          <w:lang w:bidi="ar-SA"/>
        </w:rPr>
        <w:t>وعمر بن يزيد</w:t>
      </w:r>
      <w:r>
        <w:rPr>
          <w:rStyle w:val="FootnoteAnchor"/>
          <w:rtl w:val="true"/>
        </w:rPr>
        <w:footnoteReference w:id="247"/>
      </w:r>
      <w:r>
        <w:rPr>
          <w:rFonts w:ascii="Amiri" w:hAnsi="Amiri" w:eastAsia="Amiri" w:cs="Amiri"/>
          <w:color w:val="111111"/>
          <w:sz w:val="28"/>
          <w:sz w:val="28"/>
          <w:szCs w:val="28"/>
          <w:rtl w:val="true"/>
          <w:lang w:bidi="ar-SA"/>
        </w:rPr>
        <w:t>وعنبسة بن مصعب</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وتفرع على هذا المبنى أنه لا يرى حجية قول الرجالي إذا قامت قرائن توجب عدم الوثوق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بعض الأخبار الصحيحة، لعدم حصول الوثوق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نجده ينتهي إلى أن الأمر في سهل بن زياد</w:t>
      </w:r>
      <w:r>
        <w:rPr>
          <w:rStyle w:val="FootnoteAnchor"/>
          <w:rtl w:val="true"/>
        </w:rPr>
        <w:footnoteReference w:id="249"/>
      </w:r>
      <w:r>
        <w:rPr>
          <w:rFonts w:ascii="Amiri" w:hAnsi="Amiri" w:eastAsia="Amiri" w:cs="Amiri"/>
          <w:color w:val="111111"/>
          <w:sz w:val="28"/>
          <w:sz w:val="28"/>
          <w:szCs w:val="28"/>
          <w:rtl w:val="true"/>
          <w:lang w:bidi="ar-SA"/>
        </w:rPr>
        <w:t xml:space="preserve">سهلٌ مع أنه نُص </w:t>
      </w:r>
      <w:bookmarkStart w:id="116" w:name="pg9076_119741"/>
    </w:p>
    <w:p>
      <w:pPr>
        <w:pStyle w:val="BookText"/>
        <w:rPr/>
      </w:pPr>
      <w:bookmarkEnd w:id="116"/>
      <w:r>
        <w:rPr>
          <w:rFonts w:ascii="Amiri" w:hAnsi="Amiri" w:eastAsia="Amiri" w:cs="Amiri"/>
          <w:color w:val="111111"/>
          <w:sz w:val="28"/>
          <w:sz w:val="28"/>
          <w:szCs w:val="28"/>
          <w:rtl w:val="true"/>
          <w:lang w:bidi="ar-SA"/>
        </w:rPr>
        <w:t>على تضعيفه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مع محمد بن سنان</w:t>
      </w:r>
      <w:r>
        <w:rPr>
          <w:rStyle w:val="FootnoteAnchor"/>
          <w:rtl w:val="true"/>
        </w:rPr>
        <w:footnoteReference w:id="250"/>
      </w:r>
      <w:r>
        <w:rPr>
          <w:rFonts w:ascii="Amiri" w:hAnsi="Amiri" w:eastAsia="Amiri" w:cs="Amiri"/>
          <w:color w:val="111111"/>
          <w:sz w:val="28"/>
          <w:sz w:val="28"/>
          <w:szCs w:val="28"/>
          <w:rtl w:val="true"/>
          <w:lang w:bidi="ar-SA"/>
        </w:rPr>
        <w:t>وأحمد بن هلال العبرتائي</w:t>
      </w:r>
      <w:r>
        <w:rPr>
          <w:rStyle w:val="FootnoteAnchor"/>
          <w:rtl w:val="true"/>
        </w:rPr>
        <w:footnoteReference w:id="251"/>
      </w:r>
      <w:r>
        <w:rPr>
          <w:rFonts w:ascii="Amiri" w:hAnsi="Amiri" w:eastAsia="Amiri" w:cs="Amiri"/>
          <w:color w:val="111111"/>
          <w:sz w:val="28"/>
          <w:sz w:val="28"/>
          <w:szCs w:val="28"/>
          <w:rtl w:val="true"/>
          <w:lang w:bidi="ar-SA"/>
        </w:rPr>
        <w:t>حيث انتهى الى قبول أَخبارهم مع النص على 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الحسن بن الحسين اللؤلؤي</w:t>
      </w:r>
      <w:r>
        <w:rPr>
          <w:rStyle w:val="FootnoteAnchor"/>
          <w:rtl w:val="true"/>
        </w:rPr>
        <w:footnoteReference w:id="252"/>
      </w:r>
      <w:r>
        <w:rPr>
          <w:rFonts w:ascii="Amiri" w:hAnsi="Amiri" w:eastAsia="Amiri" w:cs="Amiri"/>
          <w:color w:val="111111"/>
          <w:sz w:val="28"/>
          <w:sz w:val="28"/>
          <w:szCs w:val="28"/>
          <w:rtl w:val="true"/>
          <w:lang w:bidi="ar-SA"/>
        </w:rPr>
        <w:t>فهو انتهى الى ضعفه مع توثيق النجاشي له</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2580403_2870459653"/>
      <w:bookmarkStart w:id="118" w:name="_Toc39"/>
      <w:bookmarkEnd w:id="117"/>
      <w:r>
        <w:rPr>
          <w:rtl w:val="true"/>
        </w:rPr>
        <w:t xml:space="preserve">تحديد الوثوق الحجة عند السيد الحكيم </w:t>
      </w:r>
      <w:r>
        <w:rPr>
          <w:rtl w:val="true"/>
        </w:rPr>
        <w:t>(</w:t>
      </w:r>
      <w:r>
        <w:rPr>
          <w:rtl w:val="true"/>
        </w:rPr>
        <w:t>قدس سره</w:t>
      </w:r>
      <w:r>
        <w:rPr>
          <w:rtl w:val="true"/>
        </w:rPr>
        <w:t>)</w:t>
      </w:r>
      <w:bookmarkEnd w:id="118"/>
    </w:p>
    <w:p>
      <w:pPr>
        <w:pStyle w:val="BookText"/>
        <w:rPr/>
      </w:pPr>
      <w:r>
        <w:rPr>
          <w:rFonts w:ascii="Amiri" w:hAnsi="Amiri" w:eastAsia="Amiri" w:cs="Amiri"/>
          <w:color w:val="111111"/>
          <w:sz w:val="28"/>
          <w:sz w:val="28"/>
          <w:szCs w:val="28"/>
          <w:rtl w:val="true"/>
          <w:lang w:bidi="ar-SA"/>
        </w:rPr>
        <w:t xml:space="preserve">هذا ويظهر من مطاوي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الوثوق الحجة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الوثوق نوعياً لا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هو الذي استقر عليه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يوجب الوثوق والاطمئنان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المراد بهما النوعيين لا الشخصيين إذ هو الذي استقر عليه بناء العقلاء</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يبعد ان يكون المراد من الوثوق الوثوق النوعي جرياً على مقتضى الارتكاز العقلائي</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تحقق الوثوق بنظر العامل بالخبر، أو من يريد ان يستند الى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حصول الوثوق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ولذلك نجد اكثر الروايات الضعيفة غير مقبولة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سندها الثقات والأجلاء، لعدم حصول الوثوق لهم من 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وثوق رجال السند حاصلاً من مقدمات بعيدة يكثر فيها الخطأ</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119" w:name="pg9076_119742"/>
    </w:p>
    <w:p>
      <w:pPr>
        <w:pStyle w:val="Heading5"/>
        <w:numPr>
          <w:ilvl w:val="4"/>
          <w:numId w:val="1"/>
        </w:numPr>
        <w:rPr/>
      </w:pPr>
      <w:bookmarkStart w:id="120" w:name="__RefHeading___Toc2580405_2870459653"/>
      <w:bookmarkStart w:id="121" w:name="_Toc40"/>
      <w:bookmarkEnd w:id="119"/>
      <w:bookmarkEnd w:id="120"/>
      <w:r>
        <w:rPr>
          <w:rtl w:val="true"/>
        </w:rPr>
        <w:t xml:space="preserve">موقفة </w:t>
      </w:r>
      <w:r>
        <w:rPr>
          <w:rtl w:val="true"/>
        </w:rPr>
        <w:t>(</w:t>
      </w:r>
      <w:r>
        <w:rPr>
          <w:rtl w:val="true"/>
        </w:rPr>
        <w:t>قدس سره</w:t>
      </w:r>
      <w:r>
        <w:rPr>
          <w:rtl w:val="true"/>
        </w:rPr>
        <w:t xml:space="preserve">) </w:t>
      </w:r>
      <w:r>
        <w:rPr>
          <w:rtl w:val="true"/>
        </w:rPr>
        <w:t>من توثيق وتضعيف متأخري الرجال</w:t>
      </w:r>
      <w:bookmarkEnd w:id="121"/>
    </w:p>
    <w:p>
      <w:pPr>
        <w:pStyle w:val="BookText"/>
        <w:rPr/>
      </w:pPr>
      <w:r>
        <w:rPr>
          <w:rFonts w:ascii="Amiri" w:hAnsi="Amiri" w:eastAsia="Amiri" w:cs="Amiri"/>
          <w:color w:val="111111"/>
          <w:sz w:val="28"/>
          <w:sz w:val="28"/>
          <w:szCs w:val="28"/>
          <w:rtl w:val="true"/>
          <w:lang w:bidi="ar-SA"/>
        </w:rPr>
        <w:t>يُقسم أرباب الجرح والتعديل الى طبقتين أساسيتين في مناشئ معرفة أحوال الراوة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المتقدمين، وطبقة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غالب الزراري، والكشي، والبرقي، والصدوق، وابن الغضائري، والمفيد، والنجاشي،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قبول قول هذه الطبقة في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في كيفية تخريج حجية قولهم وقد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اعتمدوا على كتب الطبقة السابقة في الجرح والتعديل، وربما اعتمد بعضهم على أمور أخرى حدسية،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شهر آشوب المتوفى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فهرست كتب جعله تتمةً لفهرست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لما سُجِل عنه من مواقف رجالية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عبيد الله بن بابويه الرازي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جعله تتمة لفهرست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موسى بن جعفر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يؤلف كتاباً في الرجال، إلا أن له مواقف رجالية في ثنايا كتبه المتعددة كفلاح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يوسف بن علي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ﻫ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حفظ عنه من مواقف رجالية في مطاوي كتبه الفقهية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تقي الدين الحسن بن علي بن داود الحلي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توفي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ﻫ وله كتاب الرجال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اختلف علماء الرجال في حجية قول المتأخرين، وهل أنه على حد قول المتقدمين أم لا؟ فذهب جماعة الى حجيته بالنظر الى اشتراك مناط الحجية بين قول المتقدمين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أصالة الحس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لم يرَ حجيته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ومحط النظر في هذا الاختلاف في حجية قول المتأخرين، فيما يشهدون به حول قدماء الأصحاب والرواة دون معاصريهم، ومن قرب من عهدهم، إذ لا شك في حجية قولهم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حجية قول المتأخرين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تثبت به الوثاقة أو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 على ذلك أحد الأعلام المتأخرين بشرط أن يكون من أخبر عن وثاقته معاصراً للمُخبر، أو قريب العصر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يتفق ذلك في توثيقات الشيخ منتجب الدين، وابن شهراشوب، وأما في غير ذلك، كما في توثيقات ابن طاووس، والعلامة، وابن داود، ومن تأخر عنهم كالمجلسي لمن كان بعيداً عن عصرهم، فلا عبرة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مبنية على الحدس والاجتهاد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السلسلة قد انقطعت بعد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عامة الناس إلا قليلاً منهم مقلدين يعملون بفتوى الشيخ، ويستدلون بها، كما يُستدل بالرواية على ما صرح به الحلي في السرائر وغيره في غيره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يُلاحظ من طريقة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يستند في مورد الى قول المتأخرين في الجرح والتعديل، أو تمييز الاشتراك إلا منضماً الى قول متقدمي الرجال، أو قرائن أخرى في التوصل الى معرفة حال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محمد بن علي بن قتيبة، ومحمد بن أحمد العلوي</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قاله في عبد السلام بن صالح الهروي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أنه ثقة صحيح الحديث ونحوه عن النجاشي والحسن بن داود وغيرهم ممن تأخر</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الظاهر أنه لا يمكن تفسير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التفصيل بين قول متقدمي الرجال ومتأخريهم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التفصيل المذكور إنما حدث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نشهده في كلمات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فيما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أطلعنا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أنه قد يضم قول المتأخرين إلى قول القدماء كالنجاشي،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الحسين بن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الأول من يتوقف في روايته إلا الحسين لعدم توثيق الشيخ والنجاشي صريحاً إياه، ولكن حكى ابن داود عن شيخه بن طاووس في البشرى تزكيته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عبارة النجاشي حيث قال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وأخواه علي وعبد الحميد روى الجميع عن أبي عبد الله وكان الحسين أوجههم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نصوا على توثيق عبد الحميد أخيه، فدل الكلام المذكور على أنه أوثق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الأوجه على غير هذا المعنى خلاف الظاهر</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فنراه جعل ما حكاه ابن داود عن ابن طاووس في عرض ظاهر عبارة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ذكره في كون سعيد بن عبد الله الأعرج هو سعيد بن عبد الرحمن الأعرج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ذكره النجاشي والعلامة وابن داود وغيره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في فترة متقدمة التوقف في أقواله نظراً لوقوع الخطأ والاشتباه في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استقصاء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تصحيح العلامة محل نظر وتأمل في إفادته التوثيق المعتبر، لكثرة ما وقع له من الأوهام في توثيق الرجال، لا لأن تصحيح الأخبار اجتهادي لا يفيد غير المقلد له</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وكثيراً ما يتفق لهم التعديل بما لا يصلح تعديلاً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يعرفه من يطالع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الخلاصة في علم الرجال</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وقال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كثيراً ممن صحح العلامة حديثه لا يعد حديثه صحيحاً، وإن أكثر تصحيحه، بل ربما يصحح بوجه تصحيح على وجه يحصل القطع بأنه ليس مراده ما </w:t>
      </w:r>
      <w:bookmarkStart w:id="122" w:name="pg9076_119745"/>
    </w:p>
    <w:p>
      <w:pPr>
        <w:pStyle w:val="BookText"/>
        <w:rPr/>
      </w:pPr>
      <w:bookmarkEnd w:id="122"/>
      <w:r>
        <w:rPr>
          <w:rFonts w:ascii="Amiri" w:hAnsi="Amiri" w:eastAsia="Amiri" w:cs="Amiri"/>
          <w:color w:val="111111"/>
          <w:sz w:val="28"/>
          <w:sz w:val="28"/>
          <w:szCs w:val="28"/>
          <w:rtl w:val="true"/>
          <w:lang w:bidi="ar-SA"/>
        </w:rPr>
        <w:t>هو المصطلح عليه عندهم، ولذا ربما يصرح بفساد مذهبه مع حكمه بتصحيح حديثه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بل قد يُؤشر من استخدامه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من تأخر عن الطبقة الثانية من أعلام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كالوحيد والمامقاني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ما مرَ من عرضه لكلمات أعلام الطبقة الثانية الى جنب أقوال أعلام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يُؤشر ذلك إلى أن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يقسم أصحاب الأصول الرجالية الى طبقتين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الشيخ والنجاشي وأضرابهما،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ككتب العلامة وأضرابه، بل يراهم في طبقة واحدة، وأن من جاء بعدهم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المتأخرين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2580407_2870459653"/>
      <w:bookmarkStart w:id="124" w:name="_Toc41"/>
      <w:bookmarkEnd w:id="123"/>
      <w:r>
        <w:rPr>
          <w:rtl w:val="true"/>
        </w:rPr>
        <w:t xml:space="preserve">مصادر السيد الحكيم </w:t>
      </w:r>
      <w:r>
        <w:rPr>
          <w:rtl w:val="true"/>
        </w:rPr>
        <w:t>(</w:t>
      </w:r>
      <w:r>
        <w:rPr>
          <w:rtl w:val="true"/>
        </w:rPr>
        <w:t>قدس سره</w:t>
      </w:r>
      <w:r>
        <w:rPr>
          <w:rtl w:val="true"/>
        </w:rPr>
        <w:t xml:space="preserve">) </w:t>
      </w:r>
      <w:r>
        <w:rPr>
          <w:rtl w:val="true"/>
        </w:rPr>
        <w:t>الرجالية</w:t>
      </w:r>
      <w:bookmarkEnd w:id="124"/>
    </w:p>
    <w:p>
      <w:pPr>
        <w:pStyle w:val="BookText"/>
        <w:rPr/>
      </w:pPr>
      <w:r>
        <w:rPr>
          <w:rFonts w:ascii="Amiri" w:hAnsi="Amiri" w:eastAsia="Amiri" w:cs="Amiri"/>
          <w:color w:val="111111"/>
          <w:sz w:val="28"/>
          <w:sz w:val="28"/>
          <w:szCs w:val="28"/>
          <w:rtl w:val="true"/>
          <w:lang w:bidi="ar-SA"/>
        </w:rPr>
        <w:t xml:space="preserve">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عدة مصادر في الرجال، ومن مختلف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مصادره من طبقة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عنه في موارد عدة بصيغتين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النقل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حكاه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وتلقاه من بعده بالقبول</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الكشي</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فإن ظاهر عباراته هذه النقل عن نفس المصدر مباشرة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النقل غير المباشرة، كما هو صريح بعض عباراته الآتية، وظاهر بعضها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حكى ابن داود عن الكشي</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الكشي</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الكشي</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المروية عن رجال الكشي</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عنه في موضعين بصيغة النقل غير المباشر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المحكي عن الصدوق في فهرسته تبعاً لشيخه محمد بن الحسن بن الوليد</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ووصف الصدوق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والصدق</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في موضعين بالصيغتين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النقل المباشر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الدعوى وان غلطهما فيها ابن الغضائري وغيره</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إلا أنه ليس من البعيد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ذلك من الكتب الرجالية المتأخرة التي كانت تنقل عبائر ابن الغضائري كالخلاصة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يوجد كتاب ابن الغضائري في متناول يد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النقل غير المباشرة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يتوقف في روايته عن ابن أبي عمير والحسن بن محبوب، لأنه قد سمع كتابهما جل أصحاب الحديث واعتمدوه فيهما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بصيغتين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النقل المباشر عن كتابه كما هو ظاهر عبائره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 النجاشي</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النجاشي</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عبارة النجاشي</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النجاشي</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النجاشي</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النقل غير المباشر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المحكي عن النجاشي</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النجاشي</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كتبه كالعُدة، والرجال، والفهرست وبالصيغتين أيضاً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النقل المباشرة عن كتبه،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 عدته في مبحث الخبر المرسل سوت الطائفة بين ما يرويه</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الشيخ في الفهرست</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الفهرست</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الفهرست اقتصر على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الشيخ على ذكر</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ملاحظة الفهرست</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النقل غير المباشر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الشيخ في العُدة</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الفهرست</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محكي الفهرست</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على نقل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البرقي أو أبي غالب الزراري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مصادره من طبقة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سنة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عنه بصيغة النقل غير المباشر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عن منتجب الدين أنه فاضل عالم فقيه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عنه بصيغة النقل غير المباشر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علي بن طاووس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سفراء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آراءه الرجالية عن الخلاصة وغيرها من كتبه الفقهية كالمختلف،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بصيغتين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النقل المباشر عنه أو عن كتبه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صريح الخلاصة</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كما في الخلاصة</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ضعفه العلامة</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 العلامة طريقه في جملة موارد</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صرح به في المختلف في مبحث مفطرية الغبار وثاقة سليمان</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النقل غير المباشر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الخلاصة</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لتصحيح العلامة حديثه فيما عن المختلف والمنتهى</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بصيغة النقل المباشر مكرراً، كما هو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النجاشي والعلامة وابن داود وغيرهم</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ابن داود عن الكشي</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ابن داود عن شيخه ابن طاووس</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تأخر عن طبقة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وجيزته بصيغة النقل المباشر في موضع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عدّهُ في الوجيزة في الممدوحين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بصيغة النقل المباشر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الأردبيلي في رسالة تصحيح الإسناد</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تعليقته على منهج المقال للأسترابادي بصيغتي النقل المباشر وغير المباشر ومن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الوحيد هو من أعاظم الثقاة</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حاشية الوحيد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أجمع على العمل بروايته في المقام</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تعليقة الوحيد</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عنه بصيغة النقل غير المباشر في موضع عن تعليقته على منتهى المقال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المحكي عن السيد صدر الدين العاملي في تعليقته على منتهى المقال</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للمحدث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بصيغة النقل المباشر بحسب ظاهر عبارته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تعرض في مستدرك الوسائل لذكر القرائن الدالة على وثاقته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المامقاني في كتابه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معاصري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كتابه تنقيح المقال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المامقاني في كتابه تنقيح المقال</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ان حكايته عن هذه المصادر الرجالية في الموارد التي تقدمت الإشارة إليها، كانت مأخوذة عن بعض الجوامع الرجالية المتأخرة، كتعليقة الوحيد، وتنقيح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الثاني، لامتيازه بنقل عبائر وآراء الرجاليين المتقدمين عليه، بل من المحتمل أن جملة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ظاهره النقل المباشر عن نفس المصدر، هو قد نقله عنهما للوثوق بهما</w:t>
      </w:r>
      <w:r>
        <w:rPr>
          <w:rFonts w:eastAsia="Amiri" w:cs="Amiri" w:ascii="Amiri" w:hAnsi="Amiri"/>
          <w:color w:val="111111"/>
          <w:sz w:val="28"/>
          <w:szCs w:val="28"/>
          <w:rtl w:val="true"/>
          <w:lang w:bidi="ar-SA"/>
        </w:rPr>
        <w:t xml:space="preserve">. </w:t>
      </w:r>
      <w:bookmarkStart w:id="125" w:name="pg9076_119751"/>
    </w:p>
    <w:p>
      <w:pPr>
        <w:pStyle w:val="Heading4"/>
        <w:numPr>
          <w:ilvl w:val="3"/>
          <w:numId w:val="1"/>
        </w:numPr>
        <w:rPr/>
      </w:pPr>
      <w:bookmarkStart w:id="126" w:name="__RefHeading___Toc2580409_2870459653"/>
      <w:bookmarkStart w:id="127" w:name="_Toc42"/>
      <w:bookmarkEnd w:id="125"/>
      <w:bookmarkEnd w:id="126"/>
      <w:r>
        <w:rPr>
          <w:rtl w:val="true"/>
        </w:rPr>
        <w:t>الباب الأول</w:t>
      </w:r>
      <w:r>
        <w:rPr>
          <w:rtl w:val="true"/>
        </w:rPr>
        <w:t xml:space="preserve">: </w:t>
      </w:r>
      <w:r>
        <w:rPr>
          <w:rtl w:val="true"/>
        </w:rPr>
        <w:t>قواعد الجرح والتعديل</w:t>
      </w:r>
      <w:bookmarkEnd w:id="127"/>
    </w:p>
    <w:p>
      <w:pPr>
        <w:pStyle w:val="Heading5"/>
        <w:numPr>
          <w:ilvl w:val="4"/>
          <w:numId w:val="1"/>
        </w:numPr>
        <w:rPr/>
      </w:pPr>
      <w:bookmarkStart w:id="128" w:name="__RefHeading___Toc2580411_2870459653"/>
      <w:bookmarkStart w:id="129" w:name="_Toc43"/>
      <w:bookmarkEnd w:id="128"/>
      <w:r>
        <w:rPr>
          <w:rtl w:val="true"/>
        </w:rPr>
        <w:t>اشارة</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أصحاب الإجماع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من لا يروي إلا عن ثقة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الأجلاء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بني فضّال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الراوي صاحب أصل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استثناء ابن الوليد للراوي من روايات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bookmarkStart w:id="130" w:name="pg9076_119752"/>
    </w:p>
    <w:p>
      <w:pPr>
        <w:pStyle w:val="Heading5"/>
        <w:numPr>
          <w:ilvl w:val="4"/>
          <w:numId w:val="1"/>
        </w:numPr>
        <w:rPr/>
      </w:pPr>
      <w:bookmarkStart w:id="131" w:name="__RefHeading___Toc2580413_2870459653"/>
      <w:bookmarkStart w:id="132" w:name="_Toc44"/>
      <w:bookmarkEnd w:id="130"/>
      <w:bookmarkEnd w:id="131"/>
      <w:r>
        <w:rPr>
          <w:rtl w:val="true"/>
        </w:rPr>
        <w:t>أصحاب الإجماع</w:t>
      </w:r>
      <w:bookmarkEnd w:id="132"/>
    </w:p>
    <w:p>
      <w:pPr>
        <w:pStyle w:val="BookText"/>
        <w:rPr/>
      </w:pPr>
      <w:r>
        <w:rPr>
          <w:rFonts w:ascii="IRNazanin" w:hAnsi="IRNazanin" w:eastAsia="IRNazanin"/>
          <w:color w:val="111111"/>
          <w:sz w:val="28"/>
          <w:sz w:val="28"/>
          <w:szCs w:val="28"/>
          <w:rtl w:val="true"/>
          <w:lang w:bidi="fa-IR"/>
        </w:rPr>
        <w:t xml:space="preserve">نقل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الطائفة على تصديق وتصحيح ما يصح عن ثمانية عشر راوٍ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والانقياد لهم في الفقه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ستة من أصحاب الامام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ومعروف بن خربوذ، وبُريد، وأبو بصير، والفضيل بن يسار، ومحمد بن مسلم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وستة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وعبد الله بن مسكان، وعبد الله بن بُكير، وحماد بن عيسى، وحماد بن عثمان، وأبان بن عثمان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وستة من أصحاب 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الرحمن، وصفوان ابن يحيى، ومحمد بن أبي عُمير، وعبد الله بن المغيرة، والحسن بن محبوب، وأحمد ابن محمد بن أبي نصر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ثلاثة أقوال في تحديد دلالة ما نقله الكشي من إجماع الطائفة على تصحيح ما يصح عن هؤلاء وتصديقهم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المذكور يدل على وثاقة الراوي الواقع بعد أصحاب الإجماع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أن يكون الإجماع من الطرق العامة لإثبات وثاقة الرواة الواقعين بعد أصحاب الإجماع فيمن تثبت روايتهم عنهم، ويكون على حد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w:t>
      </w:r>
      <w:r>
        <w:rPr>
          <w:rStyle w:val="FootnoteAnchor"/>
          <w:rtl w:val="true"/>
        </w:rPr>
        <w:footnoteReference w:id="315"/>
      </w:r>
      <w:r>
        <w:rPr>
          <w:rFonts w:ascii="Amiri" w:hAnsi="Amiri" w:eastAsia="Amiri" w:cs="Amiri"/>
          <w:color w:val="111111"/>
          <w:sz w:val="28"/>
          <w:sz w:val="28"/>
          <w:szCs w:val="28"/>
          <w:rtl w:val="true"/>
          <w:lang w:bidi="ar-SA"/>
        </w:rPr>
        <w:t xml:space="preserve">في حق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 وصفوان، والبزنطي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روايتهم إلا عن الثقة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المذكور يدل على وثاقة المذكورين فيه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أن يكون الإجماع من الطرق الخاصة التي قامت على صدق المذكورين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الإجماع المذكور يدل على تصحيح المتن الروائي المنقول عنهم، بقطع النظر عن الرواة الواقعين بعدهم في السند الى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الحديث صحيح السند إلى أحد أصحاب الإجماع كان الحديث صحيحاً بقطع النظر عمّن بعدهم، حتى لو كان ضعيفاً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غير ناظر إلى التعريف بحال الرواة، بل إلى المروي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ولازمه أن يكون الإجماع من الوسائط الدرائية في معرفة صحة المتن والوثوق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يدخل في طرق التوثيق العامة ولا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البناء على صحة المتن بذلك حيث إنه يبتني على القرائن الخاصة، فلا مجال للتعويل عليه ما لم يوجب الوثوق لدى الفقيه نفسه بتجميع القرائن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واختار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عرض حجة الرأي الأول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وناقشه فقال في عرضه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والمعروف بينهم أن المراد به الإجماع على قبول الرواية إذا كان أحدهم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رواها بواسطة مجهول، كما تدل على ذلك عبارة العُدة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أصحاب الإجماع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ولأجلها يضعف احتمال أن المراد من الإجماع المتقدم صحة رواياتهم فقط</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للرأي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 ذكره الكشي في كلامه المذكور هو عين ما أفاده الشيخ في العُدة حيث إنه نقل تسوية الطائفة بين مراسيل ومسانيد المشايخ الثلاثة، وعطف عليهم غيرهم من الثقات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وغيرهم من الثقات الذين عرفوا بأنهم لا يروون ولا يرسلون إلا عمن يوثق به</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فالظاهر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بذلك على وثاقة من يقع بعد هؤلاء من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استشكل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المذكور وإن حكاه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وتلقاه من بعده بالقبول، لكن ثبوته وحجيته بهذا المقدار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وجماعة من الأكابر توقفوا عن العمل بمراسيل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من أصحاب الإجماع فلم يُعرف القول بالاعتماد على مراسيله، حتى استشكل بعضهم في وجه الفرق بينه وبين غيره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الشيخ في عبارته المتقدمة غير ظاهر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الظاهر أن الوجه في الإجماع المذكور ما عُلِمَ من حال الجماعة من مزيد التثبت والإتقان والضبط بنحو لا ينقلون إلا عن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خصوص الخبر الذي ينقلونه – فيجيء فيه الكلام السابق من أن الوثوق الحاصل من جهة القرائن الاتفاقية غير كافٍ في حصول الوثوق لنا على نحو يدخل الخبر في موضوع الحُجية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الإجماع المدعى ظاهراً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فكفايته في وجوب العمل بالخبر الذي يرويه أصحاب الإجماع، مع عدم ثبوت وثاقة المروي عنه، أو ثبوت ضعفه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إشكاله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ظهور كلام الكشي في ذلك، فلا يزيد على 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يوجب الوثوق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وثوق بتحقق الإجماع فعلاً من قبل الأصحاب على ذلك كما يؤشر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الأكابر توقفوا عن العمل بمراسيل ابن أبي عمير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يُعرف القول بالاعتماد على غير مراسيل ابن أبي عمير من المذكورين، حتى استشكل بعضهم في وجه الفرق بينه وبين غيره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الإشكال يجري في شأن ما ذكره الشيخ في العدة أيضاً</w:t>
      </w:r>
      <w:r>
        <w:rPr>
          <w:rFonts w:eastAsia="Amiri" w:cs="Amiri" w:ascii="Amiri" w:hAnsi="Amiri"/>
          <w:color w:val="111111"/>
          <w:sz w:val="28"/>
          <w:szCs w:val="28"/>
          <w:rtl w:val="true"/>
          <w:lang w:bidi="ar-SA"/>
        </w:rPr>
        <w:t xml:space="preserve">. </w:t>
      </w:r>
      <w:bookmarkStart w:id="133" w:name="pg9076_119755"/>
    </w:p>
    <w:p>
      <w:pPr>
        <w:pStyle w:val="BookText"/>
        <w:rPr/>
      </w:pPr>
      <w:bookmarkEnd w:id="133"/>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مفاد كلام الكشي إنما هو بناء الأصحاب على صحة روايات هؤلاء والوثوق بها، لا وثاقة مشايخهم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فيما ذكره الشيخ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أن الوجه فيه ما عُلِمَ عن حالهم من مزيد التثبت والإتقان والضبط بنحو لا ينقلون إلا عن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خصوص الخبر الذي ينقلونه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يتعين الرأي الثالث المتقدم، وبناءً عليه لا يمكن الاعتماد على رواية هؤلاء عن شخص في الكشف عن وثاقته، لان الوثوق الحاصل لهم من جهة القرائن الاتفاقية غير كافٍ في حصول الوثوق لنا على نحو يدخل الخبر في موضوع الحجية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ذلك قرينة مساعدة على الوثوق بالخبر إذا انضمت إليه قرائن أخرى، كعمل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وضعفها بجهالة بكر منجبر بعمل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رواية صفوان عنه الذي هو من أصحاب الإجماع، وممن لا يروي إلا عن ثقة، كما عن الشيخ في العُدة</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وإرساله لا يقدح بعد انجباره بالعمل، وكون المرسل له من أصحاب الإجماع، ولا يرسل ولا يروي إلا عن ثقة كما عن الشيخ</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ضعف خبر بُريد بالحارث بن محمد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بانجبارها باعتماد المشهور، ولا سيما كون الراوي عنه الحسن بن محبوب الذي هو من أصحاب الإجماع</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2580415_2870459653"/>
      <w:bookmarkStart w:id="135" w:name="_Toc45"/>
      <w:bookmarkEnd w:id="134"/>
      <w:r>
        <w:rPr>
          <w:rtl w:val="true"/>
        </w:rPr>
        <w:t>رواية من لا يروي إلا عن ثقة</w:t>
      </w:r>
      <w:bookmarkEnd w:id="135"/>
    </w:p>
    <w:p>
      <w:pPr>
        <w:pStyle w:val="Heading6"/>
        <w:numPr>
          <w:ilvl w:val="5"/>
          <w:numId w:val="1"/>
        </w:numPr>
        <w:rPr/>
      </w:pPr>
      <w:bookmarkStart w:id="136" w:name="__RefHeading___Toc2580417_2870459653"/>
      <w:bookmarkStart w:id="137" w:name="_Toc46"/>
      <w:bookmarkEnd w:id="136"/>
      <w:r>
        <w:rPr>
          <w:rtl w:val="true"/>
        </w:rPr>
        <w:t>اشارة</w:t>
      </w:r>
      <w:bookmarkEnd w:id="13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تصنيف من تعرض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الرواة الذين قيل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يروون إلا عن ثقة الى مجموعتين</w:t>
      </w:r>
      <w:r>
        <w:rPr>
          <w:rFonts w:eastAsia="Amiri" w:cs="Amiri" w:ascii="Amiri" w:hAnsi="Amiri"/>
          <w:color w:val="111111"/>
          <w:sz w:val="28"/>
          <w:szCs w:val="28"/>
          <w:rtl w:val="true"/>
          <w:lang w:bidi="ar-SA"/>
        </w:rPr>
        <w:t xml:space="preserve">: </w:t>
      </w:r>
      <w:bookmarkStart w:id="138" w:name="pg9076_119756"/>
    </w:p>
    <w:p>
      <w:pPr>
        <w:pStyle w:val="BookText"/>
        <w:rPr/>
      </w:pPr>
      <w:bookmarkEnd w:id="138"/>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وصفوان، والبزنطي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المشايخ الثلاثة</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2580419_2870459653"/>
      <w:bookmarkStart w:id="140" w:name="_Toc47"/>
      <w:bookmarkEnd w:id="139"/>
      <w:r>
        <w:rPr>
          <w:rtl w:val="true"/>
        </w:rPr>
        <w:t>أ</w:t>
      </w:r>
      <w:r>
        <w:rPr>
          <w:rtl w:val="true"/>
        </w:rPr>
        <w:t xml:space="preserve">: </w:t>
      </w:r>
      <w:r>
        <w:rPr>
          <w:rtl w:val="true"/>
        </w:rPr>
        <w:t>المشايخ الثلاثة</w:t>
      </w:r>
      <w:bookmarkEnd w:id="140"/>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عمير، وهو محمد بن زياد بن عيسى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بغدادي الأصل والمقام أدرك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وأوثق الناس عند الخاصة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ﻫ</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وصفوان بن يحيى أبو محمد البجلي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 ثقة عين، وكيل 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له منزلة عند الأئمة وفي الزُهد والعبادة توفي سنة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ﻫ</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وأحمد بن محمد بن أبي نصر 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لقي الامام 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عظيم المنزلة عندهما توفي سنة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ﻫ</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العُدة في حق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يروون ولا يرسلون إلا عن ثقة موثوق 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أحد الراويين مُسنداً والآخر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 حال المُرسِل، فإن كان ممن يُعلم أنه لا يُرسل إلا عن ثقة موثوق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ترجيح لخبر غيره على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سوّت الطائفة بين ما يرويه محمد بن أبي عمير، وصفوان بن يحيى، وأحمد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الثقات الذين عرفوا بأنهم لا يروون ولا يرسلون الا عمن يوثق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أسنده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عملوا بمراسيلهم إذا انفردوا عن رواية غيرهم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في دلالة العبارة المذكورة على رأيين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أن من يروي عنه أحد هؤلاء المشايخ الثلاثة فهو ثقة في نفسه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تدل على أن من يروي عنه أحد المشايخ الثلاثة فهو ثقة في خصوص الخبر الذي رووه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جهة توفر القرائن الاتفاقية عندهم على صدقه فيه، لا أنه ثقة في نفسه، بحيث يؤخذ بما يرويه لو وقع في أسانيد أخرى لم يكن الراوي فيها عنه أحدُهم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اختار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الثاني كما أوضحه وأستدل عليه في كلامه عن زيد النرسي بعد ان ذكر عدم ثبوت وثاقته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أبي عمير عنه لا توجب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إنه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يبعد كون المراد منه الوثاقة في خصوص الخبر الذي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جهة القرائن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كون الراوي ثقة في نفسه وإلا لأشكل الأمر في كثير من الموارد التي روى فيها محمد بن أبي عمير عن المضعفين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بنائهم على عدم كفاية روايته في توثيق المروي عنه كما يظهر من ملاحظة الموارد التي لا تحصى ومنها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 ينصّوا على وثاقة زيد بمجرد رواية محمد بن أبي عمير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الظاهر أن عدم الرواية إلا عن ثقة، ليس مختصاً بمحمد والبزنطي وصفوان الذين قيل فيهم ذلك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الشيخ في عدته في مبحث الخبر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سوّت الطائفة بين ما يرويه محمد ابن أبي عمير وصفوان بن يحيى وأحمد بن أبي نصر البزنطي وغيرهم من الثقات اللذين عرفوا بأنهم لا يروون ولا يرسلون إلا عمن يوثق به، وبين أسانيد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عملوا بمراسيلهم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إن كثيراً من رواة الحديث كذلك لاختصاص الحجية عندهم بخبر الثقة، وليس نقلهم للروايات من قبيل نقل القضايا التأريخية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للعمل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يحصل لهم الوثوق بالرواية لا ينقولنها، بل يطعنون على من ينقلها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حكي عن أحمد بن محمد بن عيسى من إخراج البرقي 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يروي عن الضعفاء ويعتمد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هذا المقدار </w:t>
      </w:r>
    </w:p>
    <w:p>
      <w:pPr>
        <w:pStyle w:val="BookText"/>
        <w:rPr/>
      </w:pPr>
      <w:r>
        <w:rPr>
          <w:rFonts w:ascii="Amiri" w:hAnsi="Amiri" w:eastAsia="Amiri" w:cs="Amiri"/>
          <w:color w:val="111111"/>
          <w:sz w:val="28"/>
          <w:sz w:val="28"/>
          <w:szCs w:val="28"/>
          <w:rtl w:val="true"/>
          <w:lang w:bidi="ar-SA"/>
        </w:rPr>
        <w:t>كافياً في البناء على وثاقة الراوي، لم يبقَ لنا راوٍ إلا وهو ثقة الا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الرواية عن شخص تدل على الوثوق بروايته، لكن ذلك قد لا يوجب الوثوق لغيره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هذا على صحة الرأي الثاني دون الأول بشواهد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الموارد التي روى فيها المشايخ الثلاثة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قرينة على عدم التزامهم بالرواية إلا عن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يحكموا بوثاقة الراوي لمجرد رواية أحد المشايخ الثلاثة عنه، مع كثرة روايتهم عمن يحتاج الى 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كان مورد كلامه من حال زيد النرسي حيث لم يحكموا بوثاقته لمجرد رواية ابن أبي عمير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يبتني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الرواية عن غير الموثوق به ليس مختصاً بالمشايخ الثلاثة، بل لا يبعد أن يكون ذلك حال عامة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الشيخ نفسه غيرَهم عليهم في عبارته المتقدمة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وغيرهم من الثقات الذين عرفوا بأنهم لا يروون ولا يرسلون إلا عمن يوثق به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الأصحاب للأخبار لم يكن من قبيل نقل القضايا التأريخية، وإنما هو من أجل العمل والفتيا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فحيث إن الحجة عندهم خصوص الخبر الموثوق به فمقتضاه أنه متى لم يحصل لهم الوثوق بالرواية لا ينقلونها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ما جرت عليه سيرة الأصحاب لم يكن حجية خصوص خبر الثقة، وإلا لم يبق لدينا راوٍ إلا وكان محكوماً بالوثاقة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حجية الخبر الموثوق به ولو بحسب ما قام لديهم من القرائن الخاصة في خصوص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ضوء ما تقدم فإن من القريب جداً أن يكون ما ذُكِرَ من عدم رواية هؤلاء الثلاثة إلا عن ثقة مندرجاً فيما جرت عليه سيرة عامة الأصحاب من عدم رواية مالا يثقون به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بعدما صرح من نسبة ذلك الى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جداً أن يكون المراد أنهم امتازوا من بين الأصحاب بالالتزام بعدم نقل الرواية عمن لم تثبت وثاقته، وإن وثِق بصدقه في خصوص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الفارق بين الرأيين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تكون رواية أحد الثلاثة عن شخص في مورد إمارةً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فينتفع بها حتى في غير مورد رواية هؤلاء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فلا ينتفع بذلك إلا في الوثوق بالرواية التي رواها أحدهم عنه دون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مورد روايتهم عن الشخص فإنه على الرأي الأول يجوز الاعتماد على الخبر، إذ يندرج بذلك في الخبر الصحيح أو الموثق، وإما على الرأي الثاني من شهادتهم بصدور الرواية بحسب القرائن القائمة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ذلك في اعتبار الرواية لنا، لأن حصول الوثوق لهم في الخبر لا يوجب الوثوق لنا بعد احتمال قيامه على اساس القرائن الخاصة بالرواية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ليس مقتضى هذا الراي الثاني عدم قيمة رواية هؤلاء عن الشخص مطلقاً، بل ينتفع به بأحد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روايتهم عن الرجل تصلح قرينة مساعدة على حصول الوثوق بما رووه، متى انضمت إليه قرائن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في تضاعيف كلماته وجود أحد المشايخ الثلاثة في السند مما يدعم اعتباره منضماً إلى قرائن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 الأصحاب وكون الراوي عن إسماعيل ابن أبي عمير 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يروي إلا عن ثقة، وكون الخبر مروياً في الكتب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أسانيده </w:t>
      </w:r>
    </w:p>
    <w:p>
      <w:pPr>
        <w:pStyle w:val="BookText"/>
        <w:rPr/>
      </w:pPr>
      <w:r>
        <w:rPr>
          <w:rFonts w:ascii="Amiri" w:hAnsi="Amiri" w:eastAsia="Amiri" w:cs="Amiri"/>
          <w:color w:val="111111"/>
          <w:sz w:val="28"/>
          <w:sz w:val="28"/>
          <w:szCs w:val="28"/>
          <w:rtl w:val="true"/>
          <w:lang w:bidi="ar-SA"/>
        </w:rPr>
        <w:t>أحمد بن محمد بن عيس المعروف بكثرة التثبت وجميع أسانيده مشتملة على الأعيان والأجلاء كافٍ في إدخال الخبر تحت القسم المعتبر</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وعمر بن جميع وإن كان ضعيفاً بترياً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رواية ابن أبي عمير عنه الذي هو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حصول الوثوق الذي هو شرط الحجية</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وجهالة إسحاق لا تقدح في حجية الخبر بعد كون الراوي عنه صفوان الذي هو من أصحاب الإجماع وممن لا يروي الا عن ثقة</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روايتهم عن الراوي قد تساعد على الوثوق بوثاقته إذا انضمت إليه قرائن أخرى، كما جرى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توثيق عبد الرحمن، ولا سعدان بن مسلم الراوي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إمكان استفادة وثوق الرجلين من القرائن، كاعتماد جماعة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صفوان ومحمد بن أبي عمير</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وأشكل عليه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ضعيفة السند، لأن الراوي لها واقفي ناووسي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عدم ثبوت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المقدار بضميمة اعتماد الجماعة على الرواية، وكون الراوي عنه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إثبات وثاقته، ودخول خبره في موضوع الحجية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الوجه في ذلك أن رواية أحد المشايخ وإن لم تستبطن حسب الرأي الثاني الذي أختاره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الشهادة بوثوقهم بما رووه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وثوقهم به قد </w:t>
      </w:r>
      <w:bookmarkStart w:id="141" w:name="pg9076_119761"/>
    </w:p>
    <w:p>
      <w:pPr>
        <w:pStyle w:val="BookText"/>
        <w:rPr/>
      </w:pPr>
      <w:bookmarkEnd w:id="141"/>
      <w:r>
        <w:rPr>
          <w:rFonts w:ascii="Amiri" w:hAnsi="Amiri" w:eastAsia="Amiri" w:cs="Amiri"/>
          <w:color w:val="111111"/>
          <w:sz w:val="28"/>
          <w:sz w:val="28"/>
          <w:szCs w:val="28"/>
          <w:rtl w:val="true"/>
          <w:lang w:bidi="ar-SA"/>
        </w:rPr>
        <w:t>يؤشر الى كون الرجل ثقة في نفسه، لا سيما إذا تكررت روايتهم عنه وكثرت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يمكن أن يكون قرينةً مساعدة على استفادة وثاقة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لاحظنا في الموردين المتقدمين أنه لم يجعل رواية أحد المشايخ الثلاثة دليلاً مستقلاً على وثاقة الراوي، وإنما جعله قرينة من مجموع قرائن أعطى مجموعها الوثوق باعتبار الراوي</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2580421_2870459653"/>
      <w:bookmarkStart w:id="143" w:name="_Toc48"/>
      <w:bookmarkEnd w:id="142"/>
      <w:r>
        <w:rPr>
          <w:rtl w:val="true"/>
        </w:rPr>
        <w:t>ب</w:t>
      </w:r>
      <w:r>
        <w:rPr>
          <w:rtl w:val="true"/>
        </w:rPr>
        <w:t xml:space="preserve">: </w:t>
      </w:r>
      <w:r>
        <w:rPr>
          <w:rtl w:val="true"/>
        </w:rPr>
        <w:t>غير المشايخ الثلاثة</w:t>
      </w:r>
      <w:bookmarkEnd w:id="143"/>
    </w:p>
    <w:p>
      <w:pPr>
        <w:pStyle w:val="Heading6"/>
        <w:numPr>
          <w:ilvl w:val="5"/>
          <w:numId w:val="1"/>
        </w:numPr>
        <w:rPr/>
      </w:pPr>
      <w:bookmarkStart w:id="144" w:name="__RefHeading___Toc2580423_2870459653"/>
      <w:bookmarkStart w:id="145" w:name="_Toc49"/>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وهم الحسن بن محبوب، وأحمد بن محمد بن عيسى الأشعري</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2580425_2870459653"/>
      <w:bookmarkStart w:id="147" w:name="_Toc50"/>
      <w:bookmarkEnd w:id="146"/>
      <w:r>
        <w:rPr>
          <w:rtl w:val="true"/>
        </w:rPr>
        <w:t>الحسن بن محبوب</w:t>
      </w:r>
      <w:bookmarkEnd w:id="147"/>
    </w:p>
    <w:p>
      <w:pPr>
        <w:pStyle w:val="BookText"/>
        <w:rPr/>
      </w:pPr>
      <w:r>
        <w:rPr>
          <w:rFonts w:ascii="IRNazanin" w:hAnsi="IRNazanin" w:eastAsia="IRNazanin"/>
          <w:color w:val="111111"/>
          <w:sz w:val="28"/>
          <w:sz w:val="28"/>
          <w:szCs w:val="28"/>
          <w:rtl w:val="true"/>
          <w:lang w:bidi="fa-IR"/>
        </w:rPr>
        <w:t>الحسن بن محبوب السراد أبو علي الكوفي ثقة جليل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الإجماع الذين ذكرهم الكشي في أصحاب الإمام 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خمس وسبعين سنة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عدة من كتابه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اختصاصه مع ابن أبي عمير والحسن بن محبوب بالنص عليهم بأنهم لا يروون إلا عن ثقة</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أصحاب الإجماع وممن قيل إنه لا يروي إلا عن ثقة</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سيما كون الراوي عنه الحسن بن محبوب الذي هو من أصحاب الإجماع، ومن الذين قيل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يروون إلا عن ثقة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صفتين للحسن بن محبوب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استفاد منه بنفس ما تقدم في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لا يروي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مسلم لشهادة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Style w:val="FootnoteAnchor"/>
          <w:rtl w:val="true"/>
        </w:rPr>
        <w:footnoteReference w:id="337"/>
      </w:r>
      <w:r>
        <w:rPr>
          <w:rFonts w:ascii="Amiri" w:hAnsi="Amiri" w:eastAsia="Amiri" w:cs="Amiri"/>
          <w:color w:val="111111"/>
          <w:sz w:val="28"/>
          <w:sz w:val="28"/>
          <w:szCs w:val="28"/>
          <w:rtl w:val="true"/>
          <w:lang w:bidi="ar-SA"/>
        </w:rPr>
        <w:t xml:space="preserve">لكن لم يتضح مأخذ الثاني خصوصاً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أنهم نصوا على أنه لا يروي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أستفاده من كونه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تقدم أنهم مشمولون بقول الشيخ في العُدة بعد ذكر المشايخ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وغيرهم من الثقات الذين عرفوا بأنهم لا يروون ولا يرسلون إلا عمن يوثق به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يُساعد عليه العطف الظاهر في المغايرة، كما أنه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ظهور عبارة الشيخ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ما حكاه في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في ترجمة الحسن 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جمع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 كابن أبي عمير في أنه لا يرسل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ناظراً فيما ذكره الى استظهار هؤلاء الفقهاء المتأخرين، وليس إلى شهادة اعتمدها من قِبَل أصحاب الرجال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القول مبني على الحدس بأن ابن محبوب أولى من يمكن أن يُعد من الرجال في مرتبة ابن أبي عمير، وصفوان، والبزنطي الذين ذكر الشيخ فيهم أنهم لا يروون ولا يرسلون إلا عن ثقة 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لكونه مثلهم من أصحاب الإجماع ومن الأركان الأربعة في عصره وكان من أهم طرق الأصحاب إلى كثير من أصول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148" w:name="pg9076_119763"/>
    </w:p>
    <w:p>
      <w:pPr>
        <w:pStyle w:val="Heading6"/>
        <w:numPr>
          <w:ilvl w:val="5"/>
          <w:numId w:val="1"/>
        </w:numPr>
        <w:rPr/>
      </w:pPr>
      <w:bookmarkStart w:id="149" w:name="__RefHeading___Toc2580427_2870459653"/>
      <w:bookmarkStart w:id="150" w:name="_Toc51"/>
      <w:bookmarkEnd w:id="148"/>
      <w:bookmarkEnd w:id="149"/>
      <w:r>
        <w:rPr>
          <w:rtl w:val="true"/>
        </w:rPr>
        <w:t>احمد بن محمد بن عيسى الاشعري</w:t>
      </w:r>
      <w:bookmarkEnd w:id="150"/>
    </w:p>
    <w:p>
      <w:pPr>
        <w:pStyle w:val="BookText"/>
        <w:rPr/>
      </w:pPr>
      <w:r>
        <w:rPr>
          <w:rFonts w:ascii="Amiri" w:hAnsi="Amiri" w:eastAsia="Amiri" w:cs="Amiri"/>
          <w:color w:val="111111"/>
          <w:sz w:val="28"/>
          <w:sz w:val="28"/>
          <w:szCs w:val="28"/>
          <w:rtl w:val="true"/>
          <w:lang w:bidi="ar-SA"/>
        </w:rPr>
        <w:t>شيخ القميين ووجههم وفقيههم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الرئيس الذي يلقى السلطان بها، ولقي الرضا</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 بعدم روايته عن جماعة من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 الأجلاء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لمحذور قدره فيهم، وربما رجع فروى عنهم إذا انكشف له انتفاء المحذور، كالحسن بن محبوب، لاتهامه في روايته عن أبي حمزة الثمالي</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خرزاذ الذي قيل إنه غلا في آخر عمره</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أخرجه من قم لأخذه من كل أحد على طريقة الأخباريين</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 بن زياد الأدمي لإتهامه بالغلو والكذب</w:t>
      </w:r>
      <w:r>
        <w:rPr>
          <w:rStyle w:val="FootnoteAnchor"/>
          <w:rtl w:val="true"/>
        </w:rPr>
        <w:footnoteReference w:id="344"/>
      </w:r>
      <w:r>
        <w:rPr>
          <w:rFonts w:ascii="Amiri" w:hAnsi="Amiri" w:eastAsia="Amiri" w:cs="Amiri"/>
          <w:color w:val="111111"/>
          <w:sz w:val="28"/>
          <w:sz w:val="28"/>
          <w:szCs w:val="28"/>
          <w:rtl w:val="true"/>
          <w:lang w:bidi="ar-SA"/>
        </w:rPr>
        <w:t>ومحمد بن علي الصيرفي أبي سمينة لاشتهاره بالغلو والكذب</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المواقف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نحو دقة له في امر الرواية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ذهب بعض متأخري الرجال إلى أن رواية أحمد بن محمد بن عيسى الأشعري عن راوٍ تُنبئ عن حسن حاله</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لم يرتضِ ذلك آخرون نظراً الى روايته عن بعض الضعفاء كمحمد بن سنان، وإسماعيل بن سهل، وبكر بن صالح، والحسن بن عباس بن حريش</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الرأي الثاني ذهب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 أن رواية أحمد بن محمد بن عيسى عن رجل دليل على وثاقته، كما لم يرَ ذلك في المشايخ الثلاثة وأصحاب </w:t>
      </w:r>
    </w:p>
    <w:p>
      <w:pPr>
        <w:pStyle w:val="BookText"/>
        <w:rPr/>
      </w:pPr>
      <w:r>
        <w:rPr>
          <w:rFonts w:ascii="Amiri" w:hAnsi="Amiri" w:eastAsia="Amiri" w:cs="Amiri"/>
          <w:color w:val="111111"/>
          <w:sz w:val="28"/>
          <w:sz w:val="28"/>
          <w:szCs w:val="28"/>
          <w:rtl w:val="true"/>
          <w:lang w:bidi="ar-SA"/>
        </w:rPr>
        <w:t>الإجماع، ولكنه يرى أنه يصلح قرينةً مساعدة على الوثوق بالرواية، أو بالراوي إذا أنضمت إليه قرائن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الاعتماد على روايته في الوثوق بالرواية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وضعف النص لجهالة إسماعيل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الأصحاب وكون الراوي عن إسماعيل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الخبر مروياً في الكتب الثلاثة، وفي بعض أسانيده أحمد بن محمد بن عيسى المعروف بكثرة التثبت وجميع أسانيده مشتملة على الأعيان والأجلاء كافٍ في إدخال الخبر تحت قسم المعتبر</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في تمامية حجيته بمجرد رواية ابن أبي عمير عنه تأملاً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ذلك بملاحظة 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المشتمل على جماعة من الأعاظم وفيهم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الحديث بتوسط أحمد بن محمد بن عيسى عن الحسين بن سعيد يوجب الوثوق بالصدق فيدخل الخبر بذلك في موضوع الحجية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لضعف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رواه في الكافي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عيسى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محمد بن عيسى أخرج البرقي من قم لأنه يروي عن الضعفاء ويعتمد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محبوب هو الحسن بن محبوب من أصحاب الإجماع، وممن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ذلك كافياً في جبر ضعف السند</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يجعل رواية أحمد قرينة مساعدة على تحصيل وثاقة الراوي إذا انضمت إليها قرائن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يقدح أيضاً فيه ضعف سنده لإهمال عثمان وعدم التنصيص على وثاقة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في رواية الأساطين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أحمد الذي اخرج البرقي من قم لأنه أكثر الرواية عن </w:t>
      </w:r>
      <w:bookmarkStart w:id="151" w:name="pg9076_119765"/>
    </w:p>
    <w:p>
      <w:pPr>
        <w:pStyle w:val="BookText"/>
        <w:rPr/>
      </w:pPr>
      <w:bookmarkEnd w:id="151"/>
      <w:r>
        <w:rPr>
          <w:rFonts w:ascii="Amiri" w:hAnsi="Amiri" w:eastAsia="Amiri" w:cs="Amiri"/>
          <w:color w:val="111111"/>
          <w:sz w:val="28"/>
          <w:sz w:val="28"/>
          <w:szCs w:val="28"/>
          <w:rtl w:val="true"/>
          <w:lang w:bidi="ar-SA"/>
        </w:rPr>
        <w:t>الضعفاء واعتمد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يعتمد على من لا ينبغي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روايته عن شخص نوع شهادة بوثاقته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السند علي بن أحمد بن أشيم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أحمد بن محمد بن عيسى عنه تدل على وثاقته</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تعبيره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من دون بت من جهة عدم انضمام قرائن أخرى كافية في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الوثوق بوثاقة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وقد مر في الكلام عن المشايخ الثلاثة أن الوجه في اعتبار رواية الرجل عن شخص قرينة ناقصة على وثاقته، رغم أن مجرد الرواية لا تقتضي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إلا وثوق الراوي بصدق المروي عنه في شخص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الوثوق بصدق الراوي لا سيما فيما تكرر قد يؤشر على وثقاته فلاحظ</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2580429_2870459653"/>
      <w:bookmarkStart w:id="153" w:name="_Toc52"/>
      <w:bookmarkEnd w:id="152"/>
      <w:r>
        <w:rPr>
          <w:rtl w:val="true"/>
        </w:rPr>
        <w:t>رواية الأجلاء</w:t>
      </w:r>
      <w:bookmarkEnd w:id="15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بهم الرواة المعروفون بالوثاقة والفقه، وجلالة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معروفية بعضهم بالتحرز في أمر الرواية</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كأصحاب الإجماع، والمشايخ الثلاثة، وثعلبة بن ميمون</w:t>
      </w:r>
      <w:r>
        <w:rPr>
          <w:rStyle w:val="FootnoteAnchor"/>
          <w:rtl w:val="true"/>
        </w:rPr>
        <w:footnoteReference w:id="354"/>
      </w:r>
      <w:r>
        <w:rPr>
          <w:rFonts w:ascii="Amiri" w:hAnsi="Amiri" w:eastAsia="Amiri" w:cs="Amiri"/>
          <w:color w:val="111111"/>
          <w:sz w:val="28"/>
          <w:sz w:val="28"/>
          <w:szCs w:val="28"/>
          <w:rtl w:val="true"/>
          <w:lang w:bidi="ar-SA"/>
        </w:rPr>
        <w:t>، وعبد الله بن يحيى الكاهلي</w:t>
      </w:r>
      <w:r>
        <w:rPr>
          <w:rStyle w:val="FootnoteAnchor"/>
          <w:rtl w:val="true"/>
        </w:rPr>
        <w:footnoteReference w:id="355"/>
      </w:r>
      <w:r>
        <w:rPr>
          <w:rFonts w:ascii="Amiri" w:hAnsi="Amiri" w:eastAsia="Amiri" w:cs="Amiri"/>
          <w:color w:val="111111"/>
          <w:sz w:val="28"/>
          <w:sz w:val="28"/>
          <w:szCs w:val="28"/>
          <w:rtl w:val="true"/>
          <w:lang w:bidi="ar-SA"/>
        </w:rPr>
        <w:t>، ومحمد بن اسماعيل بن بزيع</w:t>
      </w:r>
      <w:r>
        <w:rPr>
          <w:rStyle w:val="FootnoteAnchor"/>
          <w:rtl w:val="true"/>
        </w:rPr>
        <w:footnoteReference w:id="356"/>
      </w:r>
      <w:r>
        <w:rPr>
          <w:rFonts w:ascii="IRNazanin" w:hAnsi="IRNazanin" w:eastAsia="IRNazanin"/>
          <w:color w:val="111111"/>
          <w:sz w:val="28"/>
          <w:sz w:val="28"/>
          <w:szCs w:val="28"/>
          <w:rtl w:val="true"/>
          <w:lang w:bidi="fa-IR"/>
        </w:rPr>
        <w:t xml:space="preserve">، واحمد </w:t>
      </w:r>
    </w:p>
    <w:p>
      <w:pPr>
        <w:pStyle w:val="BookText"/>
        <w:rPr/>
      </w:pPr>
      <w:r>
        <w:rPr>
          <w:rFonts w:ascii="Amiri" w:hAnsi="Amiri" w:eastAsia="Amiri" w:cs="Amiri"/>
          <w:color w:val="111111"/>
          <w:sz w:val="28"/>
          <w:sz w:val="28"/>
          <w:szCs w:val="28"/>
          <w:rtl w:val="true"/>
          <w:lang w:bidi="ar-SA"/>
        </w:rPr>
        <w:t>ابن محمد بن عيسى</w:t>
      </w:r>
      <w:r>
        <w:rPr>
          <w:rStyle w:val="FootnoteAnchor"/>
          <w:rtl w:val="true"/>
        </w:rPr>
        <w:footnoteReference w:id="357"/>
      </w:r>
      <w:r>
        <w:rPr>
          <w:rFonts w:ascii="Amiri" w:hAnsi="Amiri" w:eastAsia="Amiri" w:cs="Amiri"/>
          <w:color w:val="111111"/>
          <w:sz w:val="28"/>
          <w:sz w:val="28"/>
          <w:szCs w:val="28"/>
          <w:rtl w:val="true"/>
          <w:lang w:bidi="ar-SA"/>
        </w:rPr>
        <w:t>، وموسى بن الحسن الأشعري</w:t>
      </w:r>
      <w:r>
        <w:rPr>
          <w:rStyle w:val="FootnoteAnchor"/>
          <w:rtl w:val="true"/>
        </w:rPr>
        <w:footnoteReference w:id="358"/>
      </w:r>
      <w:r>
        <w:rPr>
          <w:rFonts w:ascii="Amiri" w:hAnsi="Amiri" w:eastAsia="Amiri" w:cs="Amiri"/>
          <w:color w:val="111111"/>
          <w:sz w:val="28"/>
          <w:sz w:val="28"/>
          <w:szCs w:val="28"/>
          <w:rtl w:val="true"/>
          <w:lang w:bidi="ar-SA"/>
        </w:rPr>
        <w:t>، وعلي بن إبراهيم بن هاشم</w:t>
      </w:r>
      <w:r>
        <w:rPr>
          <w:rStyle w:val="FootnoteAnchor"/>
          <w:rtl w:val="true"/>
        </w:rPr>
        <w:footnoteReference w:id="359"/>
      </w:r>
      <w:r>
        <w:rPr>
          <w:rFonts w:ascii="Amiri" w:hAnsi="Amiri" w:eastAsia="Amiri" w:cs="Amiri"/>
          <w:color w:val="111111"/>
          <w:sz w:val="28"/>
          <w:sz w:val="28"/>
          <w:szCs w:val="28"/>
          <w:rtl w:val="true"/>
          <w:lang w:bidi="ar-SA"/>
        </w:rPr>
        <w:t>، ومحمد بن الحسن بن الوليد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اختار بعض أن رواية الأجلاء عن شخص من إمارات الوثاقة سيما إن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يطعن بالرواية عن المجاهيل وأمثالها، بل إذا كانت رواية جماعة من الأصحاب تشير إلى الوثاقة فرواية أجلائهم بطريق أولى</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لم يرتضِ ذلك آخرون ولو من جهة أن مجرد الرواية عن شخص لا تدل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وقوع رواية الأجلاء عن الضعفاء</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يظهر من تضاعيف كلمات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يجعل رواية الأجلاء دليلاً مستقلاً على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يرفضها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جعلها قرينةً وجزء دليل يكشف عن وثاقة الراوي في حال انضمت إليه قرائن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يوجب الوثوق بالرواية خاصةً في حال وجود قرائن أخرى تساعد على الوثوق بها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عدم جعلها دليلاً مستقلاً هو أن مجرد روايتهم عن شخص لا توجب الوثوق به، أو بخبره، لإحتمال وثوق هؤلاء الأجلاء به وبروايته بسبب مقدمات بعيدة يكثر فيها الخطأ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ولذلك نجد أكثر الروايات الضعيفة غير مقبولة عند الأصحاب وفي سندها الثقات والأجلاء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حصول الوثوق لهم من 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لإحتمال كون وثوق رجال السند حاصلاً من مقدمات بعيدة يكثر فيها الخطأ</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الوجه في جعلها قرينةً وجزءَ دليل في الكشف عن اعتبار الراوي والرواية بعد الانضمام الى قرائن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المجموع يوجب الوثوق الذي هو موضوع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لكنها ضعيفة السند لعدم توثيق عبد الرحمن، ولا سعدان بن مسلم الراوي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أمكنت مناقشتهم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إمكان استفادة وثوق الرجلين المذكورين من القرائن، كاعتماد جماعة في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صفوان، ومحمد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وكثرة رواية الأجلاء عليهما جميعاً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ليس في السند من يتأمل فيه سوى طلحة، وأما هو فقد نص الشيخ في الفهرست على أن كتابه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رواية صفوان عنه في غير المقام وإن في السند في المقام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كونه من الموثق</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ضعف خبر بُريد بالحارث بن محمد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بانجبارها باعتماد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كون الراوي عنه الحسن بن محبوب الذي هو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الذين قيل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يروون إلا عن ثقة، وكون الراوي عن الحسن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ابن عيسى الأشعري</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أنه غير ظاهر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وثاقة يزيد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السند أحمد بن محمد بن عيسى، والحسن بن محبوب وأبو أيوب الخزاز، وقد يُشعر ذلك بالوثاقة</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الأجلاء لو عورضت بما هو أقوى منها عنده مما يوجب سلب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في السند الحسن بن محبوب، الذي هو من </w:t>
      </w:r>
      <w:bookmarkStart w:id="154" w:name="pg9076_119768"/>
    </w:p>
    <w:p>
      <w:pPr>
        <w:pStyle w:val="BookText"/>
        <w:rPr/>
      </w:pPr>
      <w:bookmarkEnd w:id="154"/>
      <w:r>
        <w:rPr>
          <w:rFonts w:ascii="Amiri" w:hAnsi="Amiri" w:eastAsia="Amiri" w:cs="Amiri"/>
          <w:color w:val="111111"/>
          <w:sz w:val="28"/>
          <w:sz w:val="28"/>
          <w:szCs w:val="28"/>
          <w:rtl w:val="true"/>
          <w:lang w:bidi="ar-SA"/>
        </w:rPr>
        <w:t>أصحاب الإجماع وممن قيل بأنه لا يروي إلا عن ثقة، لكن في كفاية ذلك في الجبر مع إعراض الأصحاب تأمل،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عموم الابتلاء بالموضوع</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2580431_2870459653"/>
      <w:bookmarkStart w:id="156" w:name="_Toc53"/>
      <w:bookmarkEnd w:id="155"/>
      <w:r>
        <w:rPr>
          <w:rtl w:val="true"/>
        </w:rPr>
        <w:t>رواية بني فضّال</w:t>
      </w:r>
      <w:bookmarkEnd w:id="156"/>
    </w:p>
    <w:p>
      <w:pPr>
        <w:pStyle w:val="BookText"/>
        <w:rPr/>
      </w:pPr>
      <w:r>
        <w:rPr>
          <w:rFonts w:ascii="Amiri" w:hAnsi="Amiri" w:eastAsia="Amiri" w:cs="Amiri"/>
          <w:color w:val="111111"/>
          <w:sz w:val="28"/>
          <w:sz w:val="28"/>
          <w:szCs w:val="28"/>
          <w:rtl w:val="true"/>
          <w:lang w:bidi="ar-SA"/>
        </w:rPr>
        <w:t>بنو فضّال وهم الحسن بن علي بن فضّال، وبنوه أحمد، ومحمد، وعلي</w:t>
      </w:r>
      <w:r>
        <w:rPr>
          <w:rStyle w:val="FootnoteAnchor"/>
          <w:rtl w:val="true"/>
        </w:rPr>
        <w:footnoteReference w:id="369"/>
      </w:r>
      <w:r>
        <w:rPr>
          <w:rFonts w:ascii="IRNazanin" w:hAnsi="IRNazanin" w:eastAsia="IRNazanin"/>
          <w:color w:val="111111"/>
          <w:sz w:val="28"/>
          <w:sz w:val="28"/>
          <w:szCs w:val="28"/>
          <w:rtl w:val="true"/>
          <w:lang w:bidi="fa-IR"/>
        </w:rPr>
        <w:t xml:space="preserve">وقد كانوا من الفطحية وهم فرقة تقول بإمامة عبد الله الافطح ابن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لبني فضّال المعروفين بالوثاقة والعبادة والفقه أحاديثٌ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ولكثرة أحاديثهم من جهة، وفساد عقيدتهم من جهة أخرى، وجّه بعض الشيعة سؤالاً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الموقف الذي ينبغي اتخاذه تجاه تلك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نُقلت إلينا إجابة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رواه الشيخ في الغيبة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الحسن بن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الكوفي خادم الشيخ الحسين بن روح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ابا القاسم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كتب ابن أبي العزاقر بعد ما ذُمَّ وخرجت فيه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نعمل بكتبه وبيوتنا منها ملاء؟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فيها ما قاله أبو محمد الحسن بن علي 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كتب بني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نعمل بكتبهم وبيوتنا منها ملاء؟ فقال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بما رووا وذروا ما رأوا</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وقع الكلام في دلالة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غض النظر عن سند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أقوال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ما تقدم في فهم دلالة الإجماع الذي نقله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ثمانية عشر راوٍ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يظهر من كلمات 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يرى دلالة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حقهم على وثاقتهم بالخصوص، ولا يدل على وثاقة من يروون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bookmarkStart w:id="157" w:name="pg9076_119769"/>
    </w:p>
    <w:p>
      <w:pPr>
        <w:pStyle w:val="BookText"/>
        <w:rPr/>
      </w:pPr>
      <w:bookmarkEnd w:id="157"/>
      <w:r>
        <w:rPr>
          <w:rFonts w:ascii="IRNazanin" w:hAnsi="IRNazanin" w:eastAsia="IRNazanin"/>
          <w:color w:val="111111"/>
          <w:sz w:val="28"/>
          <w:sz w:val="28"/>
          <w:szCs w:val="28"/>
          <w:rtl w:val="true"/>
          <w:lang w:bidi="fa-IR"/>
        </w:rPr>
        <w:t xml:space="preserve">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رواياتهم، لا صحة روايات من يروون عنه</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كما أنه لا يرى دلالة النص على صحة الروايات التي يروونها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يُوجب الوثوق بها وان لم تسلم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عقب على دعوى اعتبار رواية مرسلة من جهة وجودهم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والإرسال غير قادح في الحجية بعد الانجبار بالعمل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وكون الرواية من روايات بني فضّال الذين قال العسكري في كتبهم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بما رووا وذروا 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الخبر الموثوق من جهتهم من أرقى مراتب الخبر الموثق بالنظر إلى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بالأخذ برواياتهم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يكفي في الحُجية كونها من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ولاسيما وكونها من روايات بني فضّال التي أمرنا بالخصوص بالأخذ بها</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الموثق من الخبر الحجة، ولا سيما إذا كان في السند بنو فضّال</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2580433_2870459653"/>
      <w:bookmarkStart w:id="159" w:name="_Toc54"/>
      <w:bookmarkEnd w:id="158"/>
      <w:r>
        <w:rPr>
          <w:rtl w:val="true"/>
        </w:rPr>
        <w:t>كون الراوي صاحب أصل</w:t>
      </w:r>
      <w:bookmarkEnd w:id="159"/>
    </w:p>
    <w:p>
      <w:pPr>
        <w:pStyle w:val="BookText"/>
        <w:rPr/>
      </w:pPr>
      <w:r>
        <w:rPr>
          <w:rFonts w:ascii="Amiri" w:hAnsi="Amiri" w:eastAsia="Amiri" w:cs="Amiri"/>
          <w:color w:val="111111"/>
          <w:sz w:val="28"/>
          <w:sz w:val="28"/>
          <w:szCs w:val="28"/>
          <w:rtl w:val="true"/>
          <w:lang w:bidi="ar-SA"/>
        </w:rPr>
        <w:t xml:space="preserve">ذكر أرباب الجرح والتعديل في تراجم جملة من الرواة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يُعد في الأصول</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نوادره أصل</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 xml:space="preserve">ويظهر من سياق غير واحد من تعابيرهم كالتعبيرين الأخيرين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التأليف، فلا يطلق على كل مؤَلفٍ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وقع الخلاف في المعنى المقصود من الأصل في مقابل الكتاب بمعناه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في معناه تفاسير عدة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مجرد كلام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ما فيه كلام مصنفه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مجمع أخبار وآثار، والكتاب ما كان مبوباً ومفصلاً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استقربه الوحيد في تعليقته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الأصل هو الكتاب الذي جَمَعَ فيه مُصنفه الأحاديث التي رواها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الراوي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والمُصَنَف لو كان فيه حديث معتمد معتبر لكان مأخوذاً من الأصل غالباً، لأنه قد توجد في الكتب المصنفة مشافهة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تؤخذ من الأصل</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استقربه صاحب تكملة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الأصل هو الذي أُخذ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مشافهة ودوِّن من غير واسطة راوٍ</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التفاسير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الكلام في دلالة اعتبار كتاب الراوي أصلاً على وثاقته وحسن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بدلالته على اعتباره نظراً إلى أن التعبير عن الكتاب بالأصل يدل على كونه معتمداً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ما ورد فيه، والاعتماد على كتاب الرجل يقتضي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ويُساعد على ذلك قرائن تدل على مزيد اهتمامهم بالأصول حتى ذكروا من رواها كقولهم في حق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الأصول أو أكثر الأصول أو جميع الأصول أو روى عن فلان أصولاً أو كثير الحديث والأصول</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وتصنيفهم لفهارس خاصة بها</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وجعلهم ورود الخبر في أصلٍ من قرائن اعتباره</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قبال ذلك قيل بعدم دلالته على اعتبار صاحب الأصل نظراً الى عدم وضوح معنى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يتعرف من خلاله على مدى اعتبار صاحبه</w:t>
      </w:r>
      <w:r>
        <w:rPr>
          <w:rFonts w:eastAsia="Amiri" w:cs="Amiri" w:ascii="Amiri" w:hAnsi="Amiri"/>
          <w:color w:val="111111"/>
          <w:sz w:val="28"/>
          <w:szCs w:val="28"/>
          <w:rtl w:val="true"/>
          <w:lang w:bidi="ar-SA"/>
        </w:rPr>
        <w:t xml:space="preserve">. </w:t>
      </w:r>
      <w:bookmarkStart w:id="160" w:name="pg9076_119771"/>
    </w:p>
    <w:p>
      <w:pPr>
        <w:pStyle w:val="BookText"/>
        <w:rPr/>
      </w:pPr>
      <w:bookmarkEnd w:id="160"/>
      <w:r>
        <w:rPr>
          <w:rFonts w:ascii="Amiri" w:hAnsi="Amiri" w:eastAsia="Amiri" w:cs="Amiri"/>
          <w:color w:val="111111"/>
          <w:sz w:val="28"/>
          <w:sz w:val="28"/>
          <w:szCs w:val="28"/>
          <w:rtl w:val="true"/>
          <w:lang w:bidi="ar-SA"/>
        </w:rPr>
        <w:t xml:space="preserve">وقد اختار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الثاني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ذلك دعوى ثبوت وثاقة النرسي بِعَدّ كتابه من الأصول كما في الفهرست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فيه عدم وضوح كون المراد بالأصل الكتاب الذي يجوز الاعتماد عليه والعمل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المراد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كلماتهم في الفرق بين الكتاب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فيه وجوهاً واحتمالات ليس على واحدٍ منها شاهد واضح</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2580435_2870459653"/>
      <w:bookmarkStart w:id="162" w:name="_Toc55"/>
      <w:bookmarkEnd w:id="161"/>
      <w:r>
        <w:rPr>
          <w:rtl w:val="true"/>
        </w:rPr>
        <w:t xml:space="preserve">مشايخ الصدوق </w:t>
      </w:r>
      <w:r>
        <w:rPr>
          <w:rtl w:val="true"/>
        </w:rPr>
        <w:t>(</w:t>
      </w:r>
      <w:r>
        <w:rPr>
          <w:rtl w:val="true"/>
        </w:rPr>
        <w:t>قدس سره</w:t>
      </w:r>
      <w:r>
        <w:rPr>
          <w:rtl w:val="true"/>
        </w:rPr>
        <w:t>)</w:t>
      </w:r>
      <w:bookmarkEnd w:id="16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الفقيه الى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عبدوس، وعلي بن محمد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الصدوق المعتبرين الذين أخذ عنهم الحديث كما في المدارك</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كفاية مشيخة الصدوق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 الذين أكثر الرواية عنهم، مترضياً عليهم تارة، ومترحماً أخرى</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يناسب ذلك المورد، أعني عبد الواحد بن محمد بن عبدوس فقد أكثر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الرواية عنه مترضياً عليه تارة ومترحماً أخرى</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2580437_2870459653"/>
      <w:bookmarkStart w:id="164" w:name="_Toc56"/>
      <w:bookmarkEnd w:id="163"/>
      <w:r>
        <w:rPr>
          <w:rtl w:val="true"/>
        </w:rPr>
        <w:t>عدم استثناء ابن الوليد للراوي من كتاب نوادر الحكمة</w:t>
      </w:r>
      <w:bookmarkEnd w:id="16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بن أحمد بن الوليد، أبو جعفر شيخ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وفقيههم ومتقدمهم ووجههم ثقة عين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بالرجال بصير بالفقه توفي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ﻫ</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نوادر الحكمة، فهو كتاب لمحمد بن أحمد بن يحيى الأشعري القُمي، وكان ثقة في نفسه جليل القدر كثير الرواية، إلا أنه يروي عن الضعفاء ويعتمد المراسيل ولا يبالي عمن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كبير حسن يعرفه القميون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دبة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وشبيب رجل 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يبيع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دبة لها بيوت يُعطي منها ما يُطلب منه لما تحويه من أنواع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وشبهوا كتاب نوادر الحكمة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دبة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أصناف النوادر الروائية في مختلف الأبواب تصل الى اثنين وعشرين باباً في الفقه والرجال والتاريخ والأدب وغيرها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استثنى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روى كتاب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 هذا الكتاب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الهمداني، ومحمد بن يحيى المعاذي، وأبو عبد الله الرازي الجاموراني، وأبو عبد الله السياري، ويوسف بن السخت، ووهب بن منبه، وأبو علي النيشابوري، وأبو يحيى الواسطي، ومحمد بن علي أبو سمينة، وسهل بن زياد، وأحمد بن هلال، ومحمد بن علي الهمداني، وعبد الله بن محمد الشامي، وعبد الله بن أحمد الرازي، وأحمد بن الحسين بن سعيد، وأحمد بن بشير الرقي، ومحمد بن هارون، وحموية بن معروف، ومحمد بن عبد الله بن مهران، ويوسف بن الحارث، وجعفر بن محمد بن مالك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 في حالة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ينفرد به الحسن بن الحسين اللؤلؤي، ومحمد بن عيسى بن عبُيد بإسناد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الصنف بعض من ذكرناه في الصنف الأول على ما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جعفر بن محمد الكوفي، وجعفر بن محمد بن مالك، ويوسف بن السخت، وعبد الله بن محمد الدمشقي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الأسانيد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رواه عن رجل أو عن بعض أصحابنا أو حديث أو عن كتاب ولم أروه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عن محمد بن عيسى بن عبيد بإسناد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خصوص محمد بن عيسى بن عُبيد استثناه ابن الوليد ثانيةً مما يتفرد به من الأخبار من كتب يونس بن عبد الرحمن وحديثه، فلا يعتمد عليه ولا يُفتى به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وافق ابن الوليد على ما استثناه تلميذه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وابو العباس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لم يوافقه الثاني في محمد بن عيسى بن عُبيد، فإنه لا يُدرى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رابه فيه، لأنه كان على ظاهر العدالة والثقة</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الشيخ في مقام حكاية ذلك عنه ما يُشير الى وجه استثنائه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كان فيه من غلو أو تخليط</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ربما يُنسب استثناء ابن الوليد إلى القميين، كما في كلمات جماعة منهم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بالنظر الى مكانة ابن الوليد والصدوق فيهم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بعض الأعلام إلى أن عدم استثناء الراوي من الكتاب المذكور إمارة الاعتماد عليه، بل ربما يكون إمارة لوثاقته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لتشدد القميين في أمر الرواية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بينما لم يرتضِ ذلك آخرون بالنظر الى وقوع آخرين في أسانيد الكتاب ممن ضعفوا، كما لعل عدم استثنائهم من جهة الوثوق برواياتهم التي جاءت في الكتاب لخلوها عن الغلو والتخليط الباعث على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أُحتمل اعتماد الحاكم بالصحة على أصالة العدالة في شأن غير من وقع عليهم الاستثناء</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يظهر من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استثناء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وقع عليه الاستثناء محكوم بالضعف أخذاً بتضعيفات 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وضعف سندها بمحمد بن يحيى المعاذي الذي ضعفه العلامة، واستثناه القميون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يستثنى من ذلك محمد بن عيسى بن عُبيد نظراً لمعارضة التضعيف المذكور بتوثيق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ونوقش فيه بضعف السند لأن فيه محمد بن عيسى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استثناه القميون من كتاب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دفعه بأن استثناء القميين قد أنكره جماعة من القدماء والمتأخرين، كما يظهر من ملاحظة كتب الرجال</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أنكروا استثناء ابن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أنهم أنكروا أصل الاستثناء بقرينة الإحالة على ما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عن النجاشي عدم ارتضاء ابن نوح باستثناء ابن عبيد خاصة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من استثني من روايات الكتاب أن يكون تضعيفاً لرواياتهم فحسب على حد ما رجحه في شأن قبول روايات من لم يُستثن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لظهور العبارة في تضعيفهم واتهامهم في ما وقع من رواياتهم من غلو وتخليط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ويساعد على ذلك أن الشيخ ذكر في محمد بن عيسى بن عبيد أنه ضعيف إستناداً لاستثناء ابن بابويه له من كتاب نوادر الحكمة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من لم يُستثن بنى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الرأي الثاني المتقدم حسب ما يظهر من مجموع كلماته بمعنى أنه لم يرَ في الاستثناء دلالة على توثيق عام لأعيان سائر الرواة الذين وقعوا في الكتاب، ولكنه إنما يدل على وثوق القميين برواياتهم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الاستثناء المتحدث عنها إنما هي مختصة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هناك راوٍ لم يستثنه القميون من كتاب نوادر الحكمة كإسماعيل بن مرار روى في غير كتاب نوادر الحكمة</w:t>
      </w:r>
    </w:p>
    <w:p>
      <w:pPr>
        <w:pStyle w:val="BookText"/>
        <w:rPr/>
      </w:pPr>
      <w:r>
        <w:rPr>
          <w:rFonts w:ascii="Amiri" w:hAnsi="Amiri" w:eastAsia="Amiri" w:cs="Amiri"/>
          <w:color w:val="111111"/>
          <w:sz w:val="28"/>
          <w:sz w:val="28"/>
          <w:szCs w:val="28"/>
          <w:rtl w:val="true"/>
          <w:lang w:bidi="ar-SA"/>
        </w:rPr>
        <w:t>رواية لا تكون من جهته معتبرة بُحكم عدم الاستثناء المذكور، لأنه مختص بما له من الروايات في كتاب نوادر الحكمة، ولا يشمل روايته الأخرى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استثناء القميين إنما كان بالإضافة إلى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صحة كل حديث رواه إسماعيل عن يونس، وإن لم يكن الحديث مروياً في كتاب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وثوق القميين بروايات من لم يستثنوا من الكتاب لا يكفي حجة لغيرهم، لأنه يعتمد على القرائن الاتفاقية التي اطلعوا عليها، مما يعني أنه لو اطلع عليها غيرهم ربما لم تؤدِ الى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ذلك من الانتفاع بهذا الوثوق على أحد وجهين على غرار ما تقرر في رواية أصحاب الإجماع والمشايخ الثلاثة، والأجلاء من أن مفاد جميع ذلك لا يتعدى الحكم بصحة روايات هؤلاء وهما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يساهم ذلك في الوثوق بشخص الروايات الواردة في كتاب نوادر الحكمة في غير موارد الاستثناء إذا انضمت إليه قرائن أخرى كما قال في رواية لإسماعيل بن مرار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برواية الشيخ له عن كتاب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يستَثنٍ القميون </w:t>
      </w:r>
    </w:p>
    <w:p>
      <w:pPr>
        <w:pStyle w:val="BookText"/>
        <w:rPr/>
      </w:pPr>
      <w:r>
        <w:rPr>
          <w:rFonts w:ascii="Amiri" w:hAnsi="Amiri" w:eastAsia="Amiri" w:cs="Amiri"/>
          <w:color w:val="111111"/>
          <w:sz w:val="28"/>
          <w:sz w:val="28"/>
          <w:szCs w:val="28"/>
          <w:rtl w:val="true"/>
          <w:lang w:bidi="ar-SA"/>
        </w:rPr>
        <w:t xml:space="preserve">من رواياته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اعتمادهم عليه وكفى به مصححاً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يساهم ذلك في الوثوق بوثاقة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غير مورد وقوعه في الكتاب كما ذكر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محمد بن احمد العلوي وعمر بن علي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والتوقف فيه لأن في سنده محمد بن احمد العلوي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 العلامة حديثه فيما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استثناء القميين حديثه من كتاب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الصدوق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عن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والصدق ورواية جملة من الأجلاء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بهذا المقدار دليلاً على الوثاقة</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سنده من يتوقف منه عدا عمر بن علي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محمد بن أحمد بن يحيى عنه مع عدم استثناء القميين روايته من كتاب نوادر الحكمة نوع شهادة على وثاقته</w:t>
      </w:r>
      <w:r>
        <w:rPr>
          <w:rFonts w:eastAsia="Amiri" w:cs="Amiri" w:ascii="Amiri" w:hAnsi="Amiri"/>
          <w:color w:val="111111"/>
          <w:sz w:val="28"/>
          <w:szCs w:val="28"/>
          <w:rtl w:val="true"/>
          <w:lang w:bidi="ar-SA"/>
        </w:rPr>
        <w:t>)</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والملاحظ في محمد بن أحمد العلوي توثيقه، والاعتماد عليه في غير مورد روايته في كتاب نوادر الحكمة إذ هو وقع في ما رواه الشيخ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بن محبوب عن محمد بن أحمد العلوي عن العمكري البوفكي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هو الوجه بالتأمل في عبارته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نفى استفادة توثيق إسماعيل بن مرار من عدم استثنائه فيكون المقصود احتمال البناء على وثاقته ولو بضميمة قرائن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مع كثرة روايات إسماعيل عن يونس</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يحتمل أن يكون وجه أمره بالتأمل هو أنْ يُستشف من استثناء روايات رجال بأعيانهم، وقبول مطلق روايات غيرهم دون تفصيل أن يكون ذلك مُنبئاً عن توثيق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الأول أقرب</w:t>
      </w:r>
      <w:r>
        <w:rPr>
          <w:rFonts w:eastAsia="Amiri" w:cs="Amiri" w:ascii="Amiri" w:hAnsi="Amiri"/>
          <w:color w:val="111111"/>
          <w:sz w:val="28"/>
          <w:szCs w:val="28"/>
          <w:rtl w:val="true"/>
          <w:lang w:bidi="ar-SA"/>
        </w:rPr>
        <w:t xml:space="preserve">. </w:t>
      </w:r>
      <w:bookmarkStart w:id="165" w:name="pg9076_119777"/>
    </w:p>
    <w:p>
      <w:pPr>
        <w:pStyle w:val="Heading3"/>
        <w:numPr>
          <w:ilvl w:val="2"/>
          <w:numId w:val="1"/>
        </w:numPr>
        <w:rPr/>
      </w:pPr>
      <w:bookmarkStart w:id="166" w:name="__RefHeading___Toc2580439_2870459653"/>
      <w:bookmarkStart w:id="167" w:name="_Toc57"/>
      <w:bookmarkEnd w:id="165"/>
      <w:bookmarkEnd w:id="166"/>
      <w:r>
        <w:rPr>
          <w:rtl w:val="true"/>
        </w:rPr>
        <w:t>مصادر البحث</w:t>
      </w:r>
      <w:bookmarkEnd w:id="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العظمى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إستقصاء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الشيخ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تعليقه 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النبي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إحياء تراث الإمام الخوئي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الشيح عبد الله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الحديث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 والإرشاد الإسلامي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العلامة المجدد الوحيد البهبهاني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طرائف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بوستان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الكجوري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الأستانة الرضوية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للأسترابادي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9076_119780"/>
      <w:bookmarkStart w:id="169" w:name="pg9076_119780"/>
      <w:bookmarkEnd w:id="169"/>
    </w:p>
    <w:p>
      <w:pPr>
        <w:pStyle w:val="Heading2"/>
        <w:numPr>
          <w:ilvl w:val="1"/>
          <w:numId w:val="1"/>
        </w:numPr>
        <w:rPr/>
      </w:pPr>
      <w:bookmarkStart w:id="170" w:name="pg9076_119780"/>
      <w:bookmarkStart w:id="171" w:name="__RefHeading___Toc2580441_2870459653"/>
      <w:bookmarkStart w:id="172" w:name="_Toc58"/>
      <w:bookmarkEnd w:id="170"/>
      <w:bookmarkEnd w:id="171"/>
      <w:r>
        <w:rPr>
          <w:rtl w:val="true"/>
        </w:rPr>
        <w:t xml:space="preserve">الشرائع للفقیه الأقدم علی بن بابویة القمی قدس سره </w:t>
      </w:r>
      <w:r>
        <w:rPr>
          <w:rtl w:val="true"/>
        </w:rPr>
        <w:t>(</w:t>
      </w:r>
      <w:r>
        <w:rPr>
          <w:rtl w:val="true"/>
        </w:rPr>
        <w:t>المستخرج من المصادر الأخرى</w:t>
      </w:r>
      <w:r>
        <w:rPr>
          <w:rtl w:val="true"/>
        </w:rPr>
        <w:t xml:space="preserve">) - </w:t>
      </w:r>
      <w:r>
        <w:rPr>
          <w:rtl w:val="true"/>
        </w:rPr>
        <w:t>الشيخ كريم مسير و الشيخ شاكر المحمدي</w:t>
      </w:r>
      <w:bookmarkEnd w:id="172"/>
    </w:p>
    <w:p>
      <w:pPr>
        <w:pStyle w:val="Heading3"/>
        <w:numPr>
          <w:ilvl w:val="2"/>
          <w:numId w:val="1"/>
        </w:numPr>
        <w:rPr/>
      </w:pPr>
      <w:bookmarkStart w:id="173" w:name="__RefHeading___Toc2580443_2870459653"/>
      <w:bookmarkStart w:id="174" w:name="_Toc59"/>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قطعة من رسالة</w:t>
      </w:r>
    </w:p>
    <w:p>
      <w:pPr>
        <w:pStyle w:val="BookText"/>
        <w:rPr/>
      </w:pPr>
      <w:r>
        <w:rPr>
          <w:rFonts w:ascii="IRNazanin" w:hAnsi="IRNazanin" w:eastAsia="IRNazanin"/>
          <w:color w:val="111111"/>
          <w:sz w:val="28"/>
          <w:sz w:val="28"/>
          <w:szCs w:val="28"/>
          <w:rtl w:val="true"/>
          <w:lang w:bidi="fa-IR"/>
        </w:rPr>
        <w:t>الشرائع</w:t>
      </w:r>
    </w:p>
    <w:p>
      <w:pPr>
        <w:pStyle w:val="BookText"/>
        <w:rPr/>
      </w:pPr>
      <w:r>
        <w:rPr>
          <w:rFonts w:ascii="IRNazanin" w:hAnsi="IRNazanin" w:eastAsia="IRNazanin"/>
          <w:color w:val="111111"/>
          <w:sz w:val="28"/>
          <w:sz w:val="28"/>
          <w:szCs w:val="28"/>
          <w:rtl w:val="true"/>
          <w:lang w:bidi="fa-IR"/>
        </w:rPr>
        <w:t>للفقیه الأقدم الشیخ علی بن الحسین بن موسی بن بابویة القمی</w:t>
      </w:r>
    </w:p>
    <w:p>
      <w:pPr>
        <w:pStyle w:val="BookText"/>
        <w:rPr/>
      </w:pPr>
      <w:r>
        <w:rPr>
          <w:rFonts w:ascii="IRNazanin" w:hAnsi="IRNazanin" w:eastAsia="IRNazanin"/>
          <w:color w:val="111111"/>
          <w:sz w:val="28"/>
          <w:sz w:val="28"/>
          <w:szCs w:val="28"/>
          <w:rtl w:val="true"/>
          <w:lang w:bidi="fa-IR"/>
        </w:rPr>
        <w:t xml:space="preserve">رضوان الله علیه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المقاطع المُستَخرَجَة من المصادر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كريم مسير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شاكر المحمدي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9076_119782"/>
      <w:bookmarkStart w:id="176" w:name="pg9076_119782"/>
      <w:bookmarkEnd w:id="176"/>
    </w:p>
    <w:p>
      <w:pPr>
        <w:pStyle w:val="Heading3"/>
        <w:numPr>
          <w:ilvl w:val="2"/>
          <w:numId w:val="1"/>
        </w:numPr>
        <w:rPr/>
      </w:pPr>
      <w:bookmarkStart w:id="177" w:name="pg9076_119782"/>
      <w:bookmarkStart w:id="178" w:name="__RefHeading___Toc2580445_2870459653"/>
      <w:bookmarkStart w:id="179" w:name="_Toc60"/>
      <w:bookmarkEnd w:id="177"/>
      <w:bookmarkEnd w:id="178"/>
      <w:r>
        <w:rPr>
          <w:rtl w:val="true"/>
        </w:rPr>
        <w:t>المقدمة</w:t>
      </w:r>
      <w:bookmarkEnd w:id="179"/>
    </w:p>
    <w:p>
      <w:pPr>
        <w:pStyle w:val="Heading4"/>
        <w:numPr>
          <w:ilvl w:val="3"/>
          <w:numId w:val="1"/>
        </w:numPr>
        <w:rPr/>
      </w:pPr>
      <w:bookmarkStart w:id="180" w:name="__RefHeading___Toc2580447_2870459653"/>
      <w:bookmarkStart w:id="181" w:name="_Toc61"/>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بين يدي القارئ الكريم هو العمل الثاني على رسالة شرائع الإسلام للفقيه الأقدم علي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سبقه العمل الأول الذي قمنا فيه بتحقيق النسخة المخطوطة الوحيدة لهذه الرسالة، ولما كانت تلك النسخة ناقصة وغير مكتملة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تكن تشتمل إلا على أول كتاب الطهارة حتى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كان أصل الرسالة يشتمل على جميع الأبواب الفقهية، فاستصوبنا إتمام الرسالة باستخراج بقية الأبواب الفقهية عن طريق جمع فتاوى الشيخ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المصادر والكتب التي أدرك مؤلفوها نسخة الرسالة تامة بجميع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ونقلوا عنها في مصنفاتهم في جميع الأبواب الفقهية التي تعرضوا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النسخة التي قمنا بتحقيقها لم تسلم هي أيضاً من نقص ألمّ بها في وسطها يبلغ عدَّة ورقات من بداية تكبيرة الإحرام إلى صلاة المرأة</w:t>
      </w:r>
      <w:r>
        <w:rPr>
          <w:rFonts w:eastAsia="IRNazanin" w:cs="IRNazanin"/>
          <w:color w:val="111111"/>
          <w:sz w:val="28"/>
          <w:szCs w:val="28"/>
          <w:rtl w:val="true"/>
          <w:lang w:bidi="fa-IR"/>
        </w:rPr>
        <w:t>.</w:t>
      </w:r>
    </w:p>
    <w:p>
      <w:pPr>
        <w:pStyle w:val="Heading4"/>
        <w:numPr>
          <w:ilvl w:val="3"/>
          <w:numId w:val="1"/>
        </w:numPr>
        <w:rPr/>
      </w:pPr>
      <w:bookmarkStart w:id="182" w:name="__RefHeading___Toc2580449_2870459653"/>
      <w:bookmarkStart w:id="183" w:name="_Toc62"/>
      <w:bookmarkEnd w:id="182"/>
      <w:r>
        <w:rPr>
          <w:rtl w:val="true"/>
        </w:rPr>
        <w:t>منهج العمل</w:t>
      </w:r>
      <w:bookmarkEnd w:id="183"/>
    </w:p>
    <w:p>
      <w:pPr>
        <w:pStyle w:val="BookText"/>
        <w:rPr/>
      </w:pPr>
      <w:r>
        <w:rPr>
          <w:rFonts w:ascii="IRNazanin" w:hAnsi="IRNazanin" w:eastAsia="IRNazanin"/>
          <w:color w:val="111111"/>
          <w:sz w:val="28"/>
          <w:sz w:val="28"/>
          <w:szCs w:val="28"/>
          <w:rtl w:val="true"/>
          <w:lang w:bidi="fa-IR"/>
        </w:rPr>
        <w:t xml:space="preserve">يمكن تقسيم عملنا الثاني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استخراج فتاوى الشيخ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مجموعتين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الفتاوى المناسبة للمقدار المفقود من مخطوطتنا التي تمَّ العمل عليها سابقاً سواءً أكان الذي فُقد من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بداية تكبيرة الإحرام إلى صلاة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 استدركناه على المخطوطة في باب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تنتهي إليه نسختنا</w:t>
      </w:r>
      <w:r>
        <w:rPr>
          <w:rFonts w:eastAsia="Amiri" w:cs="Amiri" w:ascii="Amiri" w:hAnsi="Amiri"/>
          <w:color w:val="111111"/>
          <w:sz w:val="28"/>
          <w:szCs w:val="28"/>
          <w:rtl w:val="true"/>
          <w:lang w:bidi="ar-SA"/>
        </w:rPr>
        <w:t xml:space="preserve">. </w:t>
      </w:r>
      <w:bookmarkStart w:id="184" w:name="pg9076_119783"/>
    </w:p>
    <w:p>
      <w:pPr>
        <w:pStyle w:val="BookText"/>
        <w:rPr/>
      </w:pPr>
      <w:bookmarkEnd w:id="184"/>
      <w:r>
        <w:rPr>
          <w:rFonts w:ascii="IRNazanin" w:hAnsi="IRNazanin" w:eastAsia="IRNazanin"/>
          <w:color w:val="111111"/>
          <w:sz w:val="28"/>
          <w:sz w:val="28"/>
          <w:szCs w:val="28"/>
          <w:rtl w:val="true"/>
          <w:lang w:bidi="fa-IR"/>
        </w:rPr>
        <w:t>المجموعة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تكملةً لما سقط من مخطوطتنا من الأبواب الفقهية تتبعناها في كتب علمائنا السابقين ممن توفروا على نسخ كاملة من الرسالة ولم تصلنا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ففرقوها على الأبواب الفقهية وفيها أيضاً بعض الروايات المنقولة عن رسالة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تمام باب الديات وباب النوادر</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2580451_2870459653"/>
      <w:bookmarkStart w:id="186" w:name="_Toc63"/>
      <w:bookmarkEnd w:id="185"/>
      <w:r>
        <w:rPr>
          <w:rtl w:val="true"/>
        </w:rPr>
        <w:t>الفائدة المترتبة على هذا العمل</w:t>
      </w:r>
      <w:bookmarkEnd w:id="186"/>
    </w:p>
    <w:p>
      <w:pPr>
        <w:pStyle w:val="BookText"/>
        <w:rPr/>
      </w:pPr>
      <w:r>
        <w:rPr>
          <w:rFonts w:ascii="IRNazanin" w:hAnsi="IRNazanin" w:eastAsia="IRNazanin"/>
          <w:color w:val="111111"/>
          <w:sz w:val="28"/>
          <w:sz w:val="28"/>
          <w:szCs w:val="28"/>
          <w:rtl w:val="true"/>
          <w:lang w:bidi="fa-IR"/>
        </w:rPr>
        <w:t xml:space="preserve">كان الهدف من تتبع فتاوى ابن بابويه وسائر المنقول عنه في كتب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لما ذُكر من وجود مميزات خاصة في فقه الرسالة من كونها أقدم النصوص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مرجعاً للأصحاب عند 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محاولة لتجميع رسالة الشرائع من جديد كاملة بأقرب صورة للنص الأصلي الذي كانت عليه في الموارد المفقودة من مخطوطتنا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ولتجميع هيئة الرسالة ثمرات،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ترجيح متون الروايات التي اختلفت المصادر المعتبرة في نقلها بالزيادة والنقصان للمتن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شيخنا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 في موضع من كتبه رواية بنقل كتاب التهذيب على المضمون الذي وردت به بنقل كتاب الكافي مستعيناً بما في رسالة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الرواية تعبير والد الصدوق بمضمونها في رسالته إلى ولده، والتي هي كالروايات المنقولة بالمعنى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واغسله بالتراب أول مرَّة، ثم بالماء مرَّتين، وخلو التهذيبين وموضع آخر من الخلاف من ذكر لفظ مرتين لا يقدح في الاحتجاج بإثباته بعد كمال الوضوح بثبوته من ذكره في فتاوى القدماء لاسيما مثل الصدوقين الغالب إفتاؤهما بمتون الأخبار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رجَّح رواية التهذيب التي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الوداع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رواية الكافي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وجود اللفظ الأول في رسالة ابن بابويه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يمكن أن يقال في مسألة 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القرحة بدم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بترجيح نقل التهذيب على نقل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ورد في كلام الصدوقين في الرسالة وفي الفقيه والمقنع</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خروج الحيض من الجانب الأيمن أو الأيسر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في مسألة شهادة العبد المسلم على الحر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ترجيح الرواية التي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الرواية التي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فتوى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عمل المصنفين للجوامع الفقهية أدى إلى تقطيع نصوص الرسالة وتوزيعها على الأبواب الفقهية بحسب الحاجة إلى النقل منها، وهذا التقطيع أدى إلى ضياع بعض القرائن التي كانت موجودة في حال اتصال عبائر الرسالة، بالإضافة إلى فقد السياق الذي يمثل في بعض الاحيان قرينة مهمة لا يمكن اكتشافها مع تقطيع النص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إعادة تجميع هيئة الرسالة إلى أصلها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تجاوز هذه المشكلة خصوصاً مع ملاحظة أن الرسالة هي روايات مجردة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بهذه الطريقة ترجيح أحد النقلين فيما إذا اختلف العلماء في النقل عن الرسالة</w:t>
      </w:r>
      <w:r>
        <w:rPr>
          <w:rStyle w:val="FootnoteAnchor"/>
          <w:rtl w:val="true"/>
        </w:rPr>
        <w:footnoteReference w:id="40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استظهار أمر آخر جديد لم يذكروه</w:t>
      </w:r>
      <w:r>
        <w:rPr>
          <w:rFonts w:eastAsia="Amiri" w:cs="Amiri" w:ascii="Amiri" w:hAnsi="Amiri"/>
          <w:color w:val="111111"/>
          <w:sz w:val="28"/>
          <w:szCs w:val="28"/>
          <w:rtl w:val="true"/>
          <w:lang w:bidi="ar-SA"/>
        </w:rPr>
        <w:t xml:space="preserve">. </w:t>
      </w:r>
      <w:bookmarkStart w:id="187" w:name="pg9076_119785"/>
    </w:p>
    <w:p>
      <w:pPr>
        <w:pStyle w:val="BookText"/>
        <w:rPr/>
      </w:pPr>
      <w:bookmarkEnd w:id="187"/>
      <w:r>
        <w:rPr>
          <w:rFonts w:ascii="Amiri" w:hAnsi="Amiri" w:eastAsia="Amiri" w:cs="Amiri"/>
          <w:color w:val="111111"/>
          <w:sz w:val="28"/>
          <w:sz w:val="28"/>
          <w:szCs w:val="28"/>
          <w:rtl w:val="true"/>
          <w:lang w:bidi="ar-SA"/>
        </w:rPr>
        <w:t>هذا مضافاً إلى فوائد علمية عرضية وأخرى 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عادة المهتمّين بالتراث إذا وجدوا نصاً أو أثراً قيِّماً حاولوا جاهدين إعادته إلى هيئته الأولى، هذا فيما يخص الفوائد المترتبة على تجميع الرسالة بصورة أقرب إلى واقعها</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2580453_2870459653"/>
      <w:bookmarkStart w:id="189" w:name="_Toc64"/>
      <w:bookmarkEnd w:id="188"/>
      <w:r>
        <w:rPr>
          <w:rtl w:val="true"/>
        </w:rPr>
        <w:t>المنهج المتبع لتجميع الرسالة</w:t>
      </w:r>
      <w:bookmarkEnd w:id="189"/>
    </w:p>
    <w:p>
      <w:pPr>
        <w:pStyle w:val="BookText"/>
        <w:rPr/>
      </w:pPr>
      <w:r>
        <w:rPr>
          <w:rFonts w:ascii="IRNazanin" w:hAnsi="IRNazanin" w:eastAsia="IRNazanin"/>
          <w:color w:val="111111"/>
          <w:sz w:val="28"/>
          <w:sz w:val="28"/>
          <w:szCs w:val="28"/>
          <w:rtl w:val="true"/>
          <w:lang w:bidi="fa-IR"/>
        </w:rPr>
        <w:t xml:space="preserve">لمَّا كان انتزاع المصنفين الماضين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لآراء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وفتاويه من رسالته لا يقوم على المحافظة على صورة عباراته في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كثيراً ما ينقلون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هم وسيلتنا لتجميع مادة الرسالة كان ذلك عقبة أمام محاولة رص هذه الفتاوى في سلك منهج الرسالة بأسلوبها الذي وجدت فيه فالتمسنا العون من كتب أخرى يُعلم بناؤها على أسلوب الرسالة ككتب ولده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المقنع والهداية والفقيه لأنها أُلفت على منوال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وعبائرها تشبه إلى حدٍ كبير عبائر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صرَّح غير واحد أنها من الرسالة حقيقة من دون أن يشير إلى مؤلفها أو يميل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وجود الفقه الرضوي بين أيدينا يساعد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في الدراسة التي صدَّرنا بها عملنا الأول على المخطوطة من كون رسالة شرائع الإسلام هي عبارة عن تعليقة على متن سابق ومعروف وهو الفقه الرضوي، والذي يقتضي لأجله المحافظة على عبائر الرسالة وبالنسق الذي جرى ووجد به كتاب الفقه الرضوي عدا مواضع الخلاف التي يرتئيها مؤلف الرسالة في الفتوى، والذي يفترض فيه أن لا يمس صورة وأسلوب الكتاب كثيراً، كما يحصل في العصر القريب عند تعليق الفقهاء على متن الرسالة العملية لمن سبقهم من الفقهاء فيحافظون على صياغة أسلوب المسألة وهيئتها عدا مواضع الخلاف في نظر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وتظهر استفادتنا من خصوص كتب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المواضع التي يصرّح فيها الناقلون لفتوى ابن بابويه باسم ابنه الصدوق معطوفاً عليه ومتفقاً معه في الفتوى في بعض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كتاب المختلف للعلامة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الصدوق في المقنع وأبوه في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قاله ابنا بابويه في الفقيه والرسالة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غالباً ما نشير لذلك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المقنع أو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ذلك، </w:t>
      </w:r>
    </w:p>
    <w:p>
      <w:pPr>
        <w:pStyle w:val="BookText"/>
        <w:rPr/>
      </w:pPr>
      <w:r>
        <w:rPr>
          <w:rFonts w:ascii="IRNazanin" w:hAnsi="IRNazanin" w:eastAsia="IRNazanin"/>
          <w:color w:val="111111"/>
          <w:sz w:val="28"/>
          <w:sz w:val="28"/>
          <w:szCs w:val="28"/>
          <w:rtl w:val="true"/>
          <w:lang w:bidi="fa-IR"/>
        </w:rPr>
        <w:t xml:space="preserve">فصار جمع فتاوى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كتب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وملاحظة كتب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والفقه الرضوي هو معيننا في إنجاز العمل بأقرب صورة لأصل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وأخيراً نرجو أن نكون قد وفّقنا في عملنا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قد وقع موقع القبول في نظر أهل العلم والباحثين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وأملنا أننا جمعنا فتاوى الفقيه علي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بأقرب صورة لسياق رسالته والتي يمكن أن تترتب عليها الثمار التي ذكرناها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سائلين المولى جلَّ شأنه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9076_119788"/>
      <w:bookmarkStart w:id="191" w:name="pg9076_119788"/>
      <w:bookmarkEnd w:id="191"/>
    </w:p>
    <w:p>
      <w:pPr>
        <w:pStyle w:val="Heading3"/>
        <w:numPr>
          <w:ilvl w:val="2"/>
          <w:numId w:val="1"/>
        </w:numPr>
        <w:rPr/>
      </w:pPr>
      <w:bookmarkStart w:id="192" w:name="pg9076_119788"/>
      <w:bookmarkStart w:id="193" w:name="__RefHeading___Toc2580455_2870459653"/>
      <w:bookmarkStart w:id="194" w:name="_Toc65"/>
      <w:bookmarkEnd w:id="192"/>
      <w:bookmarkEnd w:id="193"/>
      <w:r>
        <w:rPr>
          <w:rtl w:val="true"/>
        </w:rPr>
        <w:t xml:space="preserve">قطعة من رسالة الشرائع </w:t>
      </w:r>
      <w:r>
        <w:rPr>
          <w:rtl w:val="true"/>
        </w:rPr>
        <w:t xml:space="preserve">- </w:t>
      </w:r>
      <w:r>
        <w:rPr>
          <w:rtl w:val="true"/>
        </w:rPr>
        <w:t>القسم الثانی</w:t>
      </w:r>
      <w:bookmarkEnd w:id="194"/>
    </w:p>
    <w:p>
      <w:pPr>
        <w:pStyle w:val="Heading4"/>
        <w:numPr>
          <w:ilvl w:val="3"/>
          <w:numId w:val="1"/>
        </w:numPr>
        <w:rPr/>
      </w:pPr>
      <w:bookmarkStart w:id="195" w:name="__RefHeading___Toc2580457_2870459653"/>
      <w:bookmarkStart w:id="196" w:name="_Toc66"/>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للفقیه الأقدم الشیخ علی بن الحسین بن موسی بن بابویة القمی</w:t>
      </w:r>
    </w:p>
    <w:p>
      <w:pPr>
        <w:pStyle w:val="BookText"/>
        <w:rPr/>
      </w:pPr>
      <w:r>
        <w:rPr>
          <w:rFonts w:ascii="IRNazanin" w:hAnsi="IRNazanin" w:eastAsia="IRNazanin"/>
          <w:color w:val="111111"/>
          <w:sz w:val="28"/>
          <w:sz w:val="28"/>
          <w:szCs w:val="28"/>
          <w:rtl w:val="true"/>
          <w:lang w:bidi="fa-IR"/>
        </w:rPr>
        <w:t xml:space="preserve">رضوان الله علیه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المقاطع المُستَخرَجَة من المصادر الأخرى</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9076_119790"/>
      <w:bookmarkStart w:id="198" w:name="pg9076_119790"/>
      <w:bookmarkEnd w:id="198"/>
    </w:p>
    <w:p>
      <w:pPr>
        <w:pStyle w:val="Heading4"/>
        <w:numPr>
          <w:ilvl w:val="3"/>
          <w:numId w:val="1"/>
        </w:numPr>
        <w:rPr/>
      </w:pPr>
      <w:bookmarkStart w:id="199" w:name="pg9076_119790"/>
      <w:bookmarkStart w:id="200" w:name="__RefHeading___Toc2580459_2870459653"/>
      <w:bookmarkStart w:id="201" w:name="_Toc67"/>
      <w:bookmarkEnd w:id="199"/>
      <w:bookmarkEnd w:id="200"/>
      <w:r>
        <w:rPr>
          <w:rtl w:val="true"/>
        </w:rPr>
        <w:t>باب الصلاة</w:t>
      </w:r>
      <w:bookmarkEnd w:id="201"/>
    </w:p>
    <w:p>
      <w:pPr>
        <w:pStyle w:val="Heading5"/>
        <w:numPr>
          <w:ilvl w:val="4"/>
          <w:numId w:val="1"/>
        </w:numPr>
        <w:rPr/>
      </w:pPr>
      <w:bookmarkStart w:id="202" w:name="__RefHeading___Toc2580461_2870459653"/>
      <w:bookmarkStart w:id="203" w:name="_Toc68"/>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باب الصلاة</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الصلوات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يحرم وضع اليمين على الشمال في حال القراءة وتبطل به الصلاة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لأحد أن يصلّي وعليه قباء مشدود إلا أن يكون في الحرب فلا يتمكن من أن يحلّه فيجوز ذلك للاضطرار</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والجدير بالذكر أن الشيخ الصدوق قال في الفقيه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مشايخنا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الصلاة في الطاقية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للمعتم أن يصلي إلا وهو متحنك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المحتمل أن والده من ضمن المشايخ الذين سمع منهم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هو الأساس فيما ذكره الشيخ البهائي في الحبل المتين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الأحاديث خالية عما يدل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كراهة الصلاة في العمامة من دون التحنك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حكمهم في كتب الفروع بذلك مأخوذ من فتاوى الشيخ الجليل عضد الإسلام أبي الحسن علي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الأصحاب كانوا يتمسكون بما يجدونه في كلامه عند إعواز النصوص وينزّلون ما يفتي به منزلة ما يرويه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التكبير في الصلاة الفرض – الخمس صلوات – أربع وتسعون تكبيرة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ختمت السورة فكبّر واحدة، ثم اركع فإذا ركعت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ويجزيك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سبحان الله،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وارفع يديك عند </w:t>
      </w:r>
    </w:p>
    <w:p>
      <w:pPr>
        <w:pStyle w:val="BookText"/>
        <w:rPr/>
      </w:pPr>
      <w:r>
        <w:rPr>
          <w:rFonts w:ascii="Amiri" w:hAnsi="Amiri" w:eastAsia="Amiri" w:cs="Amiri"/>
          <w:color w:val="111111"/>
          <w:sz w:val="28"/>
          <w:sz w:val="28"/>
          <w:szCs w:val="28"/>
          <w:rtl w:val="true"/>
          <w:lang w:bidi="ar-SA"/>
        </w:rPr>
        <w:t>الانتصاب من الركوع</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سجدت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ويجزيك ثلاث 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سبحان الله، سبحان الله</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التسبيحة التامة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ثلاث تسبيحات نواقص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كلام ابني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مفاده عنهما في المهذب البارع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رأسك من السجود واقبض يديك إليك 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تمكنت من الجلوس فارفع يديك بالتكبير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اسجد الثانية وقل فيه ما قلت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أخذت بالقيام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وقوته أقوم وأقعد وأركع وأسجد</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تنفخ في موضع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النفخ فليكن قبل دخولك في الصلاة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اسجد على الأرض أو على 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تسجد على الحصر المدنية لأن سيورها من جلد</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تسجد على شعر ولا صوف ولا جلد ولا إبريسم ولا زجاج ولا حديد ولا صفر ولا شبه ولا رصاص ولا نحاس ولا ريش ولا رماد، وإن </w:t>
      </w:r>
      <w:bookmarkStart w:id="204" w:name="pg9076_119792"/>
    </w:p>
    <w:p>
      <w:pPr>
        <w:pStyle w:val="BookText"/>
        <w:rPr/>
      </w:pPr>
      <w:bookmarkEnd w:id="204"/>
      <w:r>
        <w:rPr>
          <w:rFonts w:ascii="Amiri" w:hAnsi="Amiri" w:eastAsia="Amiri" w:cs="Amiri"/>
          <w:color w:val="111111"/>
          <w:sz w:val="28"/>
          <w:sz w:val="28"/>
          <w:szCs w:val="28"/>
          <w:rtl w:val="true"/>
          <w:lang w:bidi="ar-SA"/>
        </w:rPr>
        <w:t>كانت الأرض حارّة تخاف على جبهتك الإحتراق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ليلة مظلمة خفت عقرباً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شوكة تؤذيك فلا بأس أن تسجد على كمّك إذا كان من قطن أو كتان، وإن كان بجبهتك دمّل فاحفر 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سجدت جعلت الدمّل فيها، وإن كانت بجبهتك علّة لا تقدر على السجود من أجلها فاسجد على قرنك الأيمن من جبهتك، فإن لم تقدر عليه فاسجد على قرنك الأيسر من جبهتك، فإن لم تقدر عليه فاسجد على ظهر كفك، فإن لم تقدر عليه فاسجد على ذقنك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أوتوا العلم من قبله إذا يتلى عليهم يخرّون للأذقان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ويزيدهم خشوعا</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بالقيام ووضع الكفين والركبتين والإبهامين على غير الأرض، وترغم بأنفك، ويجزيك في وضع الجبهة من قصاص الشعر إلى الحاجبين مقدار درهم، ويكون سجودك كما يتخوى البعير الضامر عند بروكه، تكون شبه المعلّق لا يكون شيء من جسدك على شيء منه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2580463_2870459653"/>
      <w:bookmarkStart w:id="206" w:name="_Toc69"/>
      <w:bookmarkEnd w:id="205"/>
      <w:r>
        <w:rPr>
          <w:rtl w:val="true"/>
        </w:rPr>
        <w:t>باب قضاء الصلاة</w:t>
      </w:r>
      <w:bookmarkEnd w:id="2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فاتتك فريضة فصلّها إذا ذكرت، فإن ذكرتها وأنت في فريضة أخرى فصلِّ التي أنت في وقتها، ثمَّ صلِّ الصلاة الفائتة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9076_119793"/>
    </w:p>
    <w:p>
      <w:pPr>
        <w:pStyle w:val="Heading5"/>
        <w:numPr>
          <w:ilvl w:val="4"/>
          <w:numId w:val="1"/>
        </w:numPr>
        <w:rPr/>
      </w:pPr>
      <w:bookmarkStart w:id="208" w:name="__RefHeading___Toc2580465_2870459653"/>
      <w:bookmarkStart w:id="209" w:name="_Toc70"/>
      <w:bookmarkEnd w:id="207"/>
      <w:bookmarkEnd w:id="208"/>
      <w:r>
        <w:rPr>
          <w:rtl w:val="true"/>
        </w:rPr>
        <w:t>باب صلاة المسافر</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خرجت من منزلك وقد دخل عليك وقت الصلاة ولم تصلّ حتى خرجت فعليك التقصير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دخل عليك وقت الصلاة وأنت في السفر، و لم تصلِّ حتى تدخل أهلك فعليك التمام</w:t>
      </w:r>
      <w:r>
        <w:rPr>
          <w:rStyle w:val="FootnoteAnchor"/>
          <w:rtl w:val="true"/>
        </w:rPr>
        <w:footnoteReference w:id="419"/>
      </w:r>
      <w:r>
        <w:rPr>
          <w:rFonts w:ascii="Amiri" w:hAnsi="Amiri" w:eastAsia="Amiri" w:cs="Amiri"/>
          <w:color w:val="111111"/>
          <w:sz w:val="28"/>
          <w:sz w:val="28"/>
          <w:szCs w:val="28"/>
          <w:rtl w:val="true"/>
          <w:lang w:bidi="ar-SA"/>
        </w:rPr>
        <w:t>إلا أن يكون قد فاتك الوقت فتصلّي ما فاتك مثل ما فاتك، من صلاة الحضر في السفر، وصلاة السفر في الحضر</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نسيت فصلّيت في السفر أربع ركعات فأعد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منزلك فقصّر إلى أن تعود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9076_119794"/>
    </w:p>
    <w:p>
      <w:pPr>
        <w:pStyle w:val="BookText"/>
        <w:rPr/>
      </w:pPr>
      <w:bookmarkEnd w:id="2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دخلت بلداً ونويت الإقامة به عشرة أيام فأتمّ الصلاة، وإنْ نويت أقل من عشرة أيام فعليك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تدرِ ما مقامك بها،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اليوم أو غداً، فعليك أنْ تقصّر ما بينك وبين شهر ثم تتم بعد ذلك</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سفرك بريداً واحداً وأردت أن ترجع من يومك قصّرت؛ لأن ذهابك ومجيئك بريدان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سافرت إلى موضع مقدار أربعة فراسخ، ولم ترد الرجوع من يومك فأنت بالخيار فإن شئت أتممت وإن شئت قصّرت</w:t>
      </w:r>
      <w:r>
        <w:rPr>
          <w:rStyle w:val="FootnoteAnchor"/>
          <w:rtl w:val="true"/>
        </w:rPr>
        <w:footnoteReference w:id="422"/>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2580467_2870459653"/>
      <w:bookmarkStart w:id="212" w:name="_Toc71"/>
      <w:bookmarkEnd w:id="211"/>
      <w:r>
        <w:rPr>
          <w:rtl w:val="true"/>
        </w:rPr>
        <w:t>الاستقبال في النافلة</w:t>
      </w:r>
      <w:bookmarkEnd w:id="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أردت أن تصلي نافلة وأنت راكب فصلّها واستقبل برأس دابتك حيث توجهت بك، مستقبل القبلة ومستدبرها ويميناً ويساراً، فإن صليت فريضة على ظهر دابتك فاستقبل القبلة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وكبّر تكبيرة الافتتاح، ثم امضِ حيث توجهت بك دابتك واقرأ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الركوع والسجود فاركع واسجد على شيء معك مما يجوز عليه السجود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تصلّها إلا على اضطرار شديد</w:t>
      </w:r>
      <w:r>
        <w:rPr>
          <w:rFonts w:eastAsia="Amiri" w:cs="Amiri" w:ascii="Amiri" w:hAnsi="Amiri"/>
          <w:color w:val="111111"/>
          <w:sz w:val="28"/>
          <w:szCs w:val="28"/>
          <w:rtl w:val="true"/>
          <w:lang w:bidi="ar-SA"/>
        </w:rPr>
        <w:t xml:space="preserve">. </w:t>
      </w:r>
      <w:bookmarkStart w:id="213" w:name="pg9076_119795"/>
    </w:p>
    <w:p>
      <w:pPr>
        <w:pStyle w:val="BookText"/>
        <w:rPr/>
      </w:pPr>
      <w:bookmarkEnd w:id="213"/>
      <w:r>
        <w:rPr>
          <w:rFonts w:ascii="Amiri" w:hAnsi="Amiri" w:eastAsia="Amiri" w:cs="Amiri"/>
          <w:color w:val="111111"/>
          <w:sz w:val="28"/>
          <w:sz w:val="28"/>
          <w:szCs w:val="28"/>
          <w:rtl w:val="true"/>
          <w:lang w:bidi="ar-SA"/>
        </w:rPr>
        <w:t>وتفعل فيها إذا صلّيت ماشياً مثل ذلك إلا أنك إذا أردت السجود سجدت على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تعرّض لك سبع وخفت فوت الصلاة فاستقبل القبلة وصلِّ صلاتك بالإيماء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خشيت السبع وتعرَّض لك فدر معه كيف دار وصلِّ بالإيماء</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لابأس أن لا يقعد في النافلة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 النوافل ركعتا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ركعة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ركعتا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نوافل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تمام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تمام نوافل النهار</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2580469_2870459653"/>
      <w:bookmarkStart w:id="215" w:name="_Toc72"/>
      <w:bookmarkEnd w:id="214"/>
      <w:r>
        <w:rPr>
          <w:rtl w:val="true"/>
        </w:rPr>
        <w:t>باب أحكام صلاة الجماعة</w:t>
      </w:r>
      <w:bookmarkEnd w:id="2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 يا بني – أن أولى الناس بالتقدّم في جماعة أقرأهم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كانوا في القراءة سواء فأفقههم، فإن كانوا في الفقه سواء فأقدمهم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هجرة، وإن كانوا في الهجرة سواء فأسنهم، وإن كانوا في السن سواء فأصبحهم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المسجد أولى بمسجده، وليكن مَن يلي الإمام منكم أولو الأحلام والتقى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نسي الإمام أو تعايا فقوّموه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الصفوف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أولها مَن دنى إلى الإمام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أتموا صفوفكم فإني أراكم من خلفي كما أراكم من بين يدي ولا تخالفوا فيخالف الله بين قلوبكم</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ذكرت أنك على غير وضوء، أو خرجت منك ريح أو غيرها مما ينقض الوضوء</w:t>
      </w:r>
      <w:r>
        <w:rPr>
          <w:rStyle w:val="FootnoteAnchor"/>
          <w:rtl w:val="true"/>
        </w:rPr>
        <w:footnoteReference w:id="429"/>
      </w:r>
      <w:r>
        <w:rPr>
          <w:rFonts w:ascii="Amiri" w:hAnsi="Amiri" w:eastAsia="Amiri" w:cs="Amiri"/>
          <w:color w:val="111111"/>
          <w:sz w:val="28"/>
          <w:sz w:val="28"/>
          <w:szCs w:val="28"/>
          <w:rtl w:val="true"/>
          <w:lang w:bidi="ar-SA"/>
        </w:rPr>
        <w:t>فسلّم في أي حال كنت في الصلاة، وقدّم رجلاً يصلي بالناس بقية صلاتهم، وتوضأ وأعد صلاتك</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وسبّح في الأخيرتين إماماً كنت أو غير إمام</w:t>
      </w:r>
      <w:r>
        <w:rPr>
          <w:rStyle w:val="FootnoteAnchor"/>
          <w:rtl w:val="true"/>
        </w:rPr>
        <w:footnoteReference w:id="431"/>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Style w:val="FootnoteAnchor"/>
          <w:rtl w:val="true"/>
        </w:rPr>
        <w:footnoteReference w:id="432"/>
      </w:r>
      <w:r>
        <w:rPr>
          <w:rFonts w:ascii="Amiri" w:hAnsi="Amiri" w:eastAsia="Amiri" w:cs="Amiri"/>
          <w:color w:val="111111"/>
          <w:sz w:val="28"/>
          <w:sz w:val="28"/>
          <w:szCs w:val="28"/>
          <w:rtl w:val="true"/>
          <w:lang w:bidi="ar-SA"/>
        </w:rPr>
        <w:t>، ثم تكبّر وتركع</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تُصلِّ خلف أحد إلا خلف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تثق بدينه وورعه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تتقي سيفه وسطوته وشناعته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خلفه على سبيل التقية والمداراة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لنفسك وأقم واقرأ لها غير مؤتم به، فإن فرغت من قراءة السورة قبله فأبق منها</w:t>
      </w:r>
    </w:p>
    <w:p>
      <w:pPr>
        <w:pStyle w:val="BookText"/>
        <w:rPr/>
      </w:pPr>
      <w:r>
        <w:rPr>
          <w:rFonts w:ascii="Amiri" w:hAnsi="Amiri" w:eastAsia="Amiri" w:cs="Amiri"/>
          <w:color w:val="111111"/>
          <w:sz w:val="28"/>
          <w:sz w:val="28"/>
          <w:szCs w:val="28"/>
          <w:rtl w:val="true"/>
          <w:lang w:bidi="ar-SA"/>
        </w:rPr>
        <w:t>آية ومجّد الله عز وجل، فإذا ركع الإمام فاقرأ الآية واركع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تلحق القراءة وخشيت أن يركع فقل ما حذفه الإمام من الأذان والإقامة واركع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في صلاة نافلة وأقيمت الصلاة فاقطعها وصلِّ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في الفريضة فلا تقطعها واجعلها نافلة وسلم في الركعتين ثم صلِّ مع الإمام</w:t>
      </w:r>
      <w:r>
        <w:rPr>
          <w:rStyle w:val="FootnoteAnchor"/>
          <w:rtl w:val="true"/>
        </w:rPr>
        <w:footnoteReference w:id="434"/>
      </w:r>
      <w:r>
        <w:rPr>
          <w:rFonts w:ascii="Amiri" w:hAnsi="Amiri" w:eastAsia="Amiri" w:cs="Amiri"/>
          <w:color w:val="111111"/>
          <w:sz w:val="28"/>
          <w:sz w:val="28"/>
          <w:szCs w:val="28"/>
          <w:rtl w:val="true"/>
          <w:lang w:bidi="ar-SA"/>
        </w:rPr>
        <w:t>إلا أن يكون الإمام ممن يتقى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تقطع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تجعلها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اخط الى الصف وصلِّ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الإمام إلى رابعته فقم معه وتشهّد من قيام وسلّم من قيام</w:t>
      </w:r>
      <w:r>
        <w:rPr>
          <w:rStyle w:val="FootnoteAnchor"/>
          <w:rtl w:val="true"/>
        </w:rPr>
        <w:footnoteReference w:id="435"/>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لصلاة الرجل في جماعة على صلاة الرجل وحده خمس وعشرون درجة في الجنة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المقصّر لا يجوز له أن يصلّي خلف المتم، ولا يصلّي المتم خلف المقصّر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وتسلّم على يمينك واحدة، وعلى يسارك واحدة، إلا أن لا يكون على يسارك أحد فلا تسلم على يسارك، إلا أن تكون بجنب الحائط فتسلم على يسارك</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216" w:name="pg9076_119798"/>
    </w:p>
    <w:p>
      <w:pPr>
        <w:pStyle w:val="Heading5"/>
        <w:numPr>
          <w:ilvl w:val="4"/>
          <w:numId w:val="1"/>
        </w:numPr>
        <w:rPr/>
      </w:pPr>
      <w:bookmarkStart w:id="217" w:name="__RefHeading___Toc2580471_2870459653"/>
      <w:bookmarkStart w:id="218" w:name="_Toc73"/>
      <w:bookmarkEnd w:id="216"/>
      <w:bookmarkEnd w:id="217"/>
      <w:r>
        <w:rPr>
          <w:rtl w:val="true"/>
        </w:rPr>
        <w:t>باب صلاة الجمعة</w:t>
      </w:r>
      <w:bookmarkEnd w:id="218"/>
    </w:p>
    <w:p>
      <w:pPr>
        <w:pStyle w:val="BookText"/>
        <w:rPr/>
      </w:pPr>
      <w:r>
        <w:rPr>
          <w:rFonts w:ascii="Amiri" w:hAnsi="Amiri" w:eastAsia="Amiri" w:cs="Amiri"/>
          <w:color w:val="111111"/>
          <w:sz w:val="28"/>
          <w:sz w:val="28"/>
          <w:szCs w:val="28"/>
          <w:rtl w:val="true"/>
          <w:lang w:bidi="ar-SA"/>
        </w:rPr>
        <w:t>باب صلاة الجمعة</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وإن</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استطعت أن تصلّي يوم الجمعة إذا طلعت الشمس ست ركعات، وإذا انبسطت ست ركعات وقبل المكتوبة ركعتين</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وبعد المكتوبة ست ركعات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قدّمت نوافلك كلّها في يوم الجمعة قبل الزوال أو أخرّتها إلى بعد المكتوبة فهي ست عشرة ركعة</w:t>
      </w:r>
      <w:r>
        <w:rPr>
          <w:rStyle w:val="FootnoteAnchor"/>
          <w:rtl w:val="true"/>
        </w:rPr>
        <w:footnoteReference w:id="443"/>
      </w:r>
      <w:r>
        <w:rPr>
          <w:rFonts w:ascii="Amiri" w:hAnsi="Amiri" w:eastAsia="Amiri" w:cs="Amiri"/>
          <w:color w:val="111111"/>
          <w:sz w:val="28"/>
          <w:sz w:val="28"/>
          <w:szCs w:val="28"/>
          <w:rtl w:val="true"/>
          <w:lang w:bidi="ar-SA"/>
        </w:rPr>
        <w:t>، وتأخيرها أفضل من تقديمها</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فإذا زالت الشمس في يوم الجمعة فلا تصلِّ إلا المكتوبة، واقرأ في صلاة العشاء الآخرة ليلة الجمعة سورة الجمعة، وسبّح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صلاة الغداة والظهر والعصر سورة الجمعة والمنافقين</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نسيتهما أو واحدة منهما في صلاة الظهر وقرأت غيرهما ثمَّ ذكرت فارجع إلى سورة الجمعة والمنافقين ما لم تقرأ نصف السورة فإذا قرأت نصف السورة فتمم السورة واجعلها ركعتين نافلة وسلّم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وأعد صلاتك بسورة الجمعة والمنافقين</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ولا بأس بأن تصلي العشاء والغداة والعصر بغير سورة الجمعة والمنافقين إلا أن الفضل في أن تصليها بالجمعة والمنافقين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أن يقرأ في صلاته سورة فقرأ غيرها فليرجع إليها إلا أن تكون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يرجع منها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يوم الجمعة في صلاة الظهر فإنه </w:t>
      </w:r>
      <w:bookmarkStart w:id="219" w:name="pg9076_119799"/>
    </w:p>
    <w:p>
      <w:pPr>
        <w:pStyle w:val="BookText"/>
        <w:rPr/>
      </w:pPr>
      <w:bookmarkEnd w:id="219"/>
      <w:r>
        <w:rPr>
          <w:rFonts w:ascii="Amiri" w:hAnsi="Amiri" w:eastAsia="Amiri" w:cs="Amiri"/>
          <w:color w:val="111111"/>
          <w:sz w:val="28"/>
          <w:sz w:val="28"/>
          <w:szCs w:val="28"/>
          <w:rtl w:val="true"/>
          <w:lang w:bidi="ar-SA"/>
        </w:rPr>
        <w:t>يرجع إلى سورة الجمعة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من الرخص في قراءة غير الجمعة والمنافقين في صلاة الظهر يوم الجمعة فهي للمريض والمستعجل والمسافر</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2580473_2870459653"/>
      <w:bookmarkStart w:id="221" w:name="_Toc74"/>
      <w:bookmarkEnd w:id="220"/>
      <w:r>
        <w:rPr>
          <w:rtl w:val="true"/>
        </w:rPr>
        <w:t>من آداب يوم الجمعة</w:t>
      </w:r>
      <w:bookmarkEnd w:id="221"/>
    </w:p>
    <w:p>
      <w:pPr>
        <w:pStyle w:val="BookText"/>
        <w:rPr/>
      </w:pPr>
      <w:r>
        <w:rPr>
          <w:rFonts w:ascii="Amiri" w:hAnsi="Amiri" w:eastAsia="Amiri" w:cs="Amiri"/>
          <w:color w:val="111111"/>
          <w:sz w:val="28"/>
          <w:sz w:val="28"/>
          <w:szCs w:val="28"/>
          <w:rtl w:val="true"/>
          <w:lang w:bidi="ar-SA"/>
        </w:rPr>
        <w:t>قلّم أظفارك وخذ من شاربك وابدأ بخنصرك من يدك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حين تريد تقليمها أو جز شاربك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وعلى ملّة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فعل ذلك كتب الله له بكل قلامة وجزازة عتق نسمة، ولم يمرض إلا مرضه الذي يموت فيه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2580475_2870459653"/>
      <w:bookmarkStart w:id="223" w:name="_Toc75"/>
      <w:bookmarkEnd w:id="222"/>
      <w:r>
        <w:rPr>
          <w:rtl w:val="true"/>
        </w:rPr>
        <w:t>باب صلاة العيدين</w:t>
      </w:r>
      <w:bookmarkEnd w:id="2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تقرأ في الأولى الغاشية وفي الثانية الأعلى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يكبّر في الأولى سبع تكبيرات مع تكبيرة الافتتاح والركوع، ويقنت خمس مرّات فإذا نهض الى الثانية كبّر وقرأ</w:t>
      </w:r>
      <w:r>
        <w:rPr>
          <w:rStyle w:val="FootnoteAnchor"/>
          <w:rtl w:val="true"/>
        </w:rPr>
        <w:footnoteReference w:id="450"/>
      </w:r>
      <w:r>
        <w:rPr>
          <w:rFonts w:ascii="Amiri" w:hAnsi="Amiri" w:eastAsia="Amiri" w:cs="Amiri"/>
          <w:color w:val="111111"/>
          <w:sz w:val="28"/>
          <w:sz w:val="28"/>
          <w:szCs w:val="28"/>
          <w:rtl w:val="true"/>
          <w:lang w:bidi="ar-SA"/>
        </w:rPr>
        <w:t>، ثم كبّر أربع تكبيرات يركع بالرابعة ويقنت ثلاث مرات</w:t>
      </w:r>
      <w:r>
        <w:rPr>
          <w:rStyle w:val="FootnoteAnchor"/>
          <w:rtl w:val="true"/>
        </w:rPr>
        <w:footnoteReference w:id="451"/>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تُصلّى مع الشرائط ركعتين، ومع اختلالها أربعاً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224" w:name="pg9076_119800"/>
    </w:p>
    <w:p>
      <w:pPr>
        <w:pStyle w:val="BookText"/>
        <w:rPr/>
      </w:pPr>
      <w:bookmarkEnd w:id="2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صلّيت بغير خطبة صلّيت أربع ركعات بتسليمة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السنَّة التكبير ليلة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الفطر في دبر ست صلوات</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2580477_2870459653"/>
      <w:bookmarkStart w:id="226" w:name="_Toc76"/>
      <w:bookmarkEnd w:id="225"/>
      <w:r>
        <w:rPr>
          <w:rtl w:val="true"/>
        </w:rPr>
        <w:t>باب صلاة الكسوف</w:t>
      </w:r>
      <w:bookmarkEnd w:id="2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انكسفت الشمس والقمر أو زلزلت الأرض أو هبت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صفراء أو سوداء، أو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ظلمة، فصلِّ عشر ركعات، وأربع سجدات</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انكسفت الشمس أو القمر ولم تعلم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أن تصليها إذا علمت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تركتها متعمداً حتى تصبح فاغتسل وصلّها، وإن لم يحترق القرص كله فاقضها</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تغتسل</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فرغت من صلاتك، ولم تكن انجلت، فأعد الصلاة، وإن شئت قعدت ومجّدت الله الى أن تنجلي</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تصلّها في وقت فريضة حتى تصلّي الفريضة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227" w:name="pg9076_119801"/>
    </w:p>
    <w:p>
      <w:pPr>
        <w:pStyle w:val="BookText"/>
        <w:rPr/>
      </w:pPr>
      <w:bookmarkEnd w:id="2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كنت في صلاة الكسوف ودخل عليك وقت الفريضة، فاقطعها وصلّ الفريضة، ثم ابن على ما صلّيت من صلاة الكسوف</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احترق القرص كلّه فصلّها في جماعة، وإن احترق بعضه فصلّها فرادى</w:t>
      </w:r>
      <w:r>
        <w:rPr>
          <w:rStyle w:val="FootnoteAnchor"/>
          <w:rtl w:val="true"/>
        </w:rPr>
        <w:footnoteReference w:id="462"/>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2580479_2870459653"/>
      <w:bookmarkStart w:id="229" w:name="_Toc77"/>
      <w:bookmarkEnd w:id="228"/>
      <w:r>
        <w:rPr>
          <w:rtl w:val="true"/>
        </w:rPr>
        <w:t xml:space="preserve">باب صلاة جعفر </w:t>
      </w:r>
      <w:r>
        <w:rPr>
          <w:rtl w:val="true"/>
        </w:rPr>
        <w:t>(</w:t>
      </w:r>
      <w:r>
        <w:rPr>
          <w:rtl w:val="true"/>
        </w:rPr>
        <w:t>علیه السلام</w:t>
      </w:r>
      <w:r>
        <w:rPr>
          <w:rtl w:val="true"/>
        </w:rPr>
        <w:t>)</w:t>
      </w:r>
      <w:bookmarkEnd w:id="2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شئت حسبتها من نوافل الليل، وإن شئت حسبتها من نوافل النهار، تحسب لك في نوافلك، وتحسب لك في صلاة جعفر</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يقرأ في الأولى العاديات، وفي الثانية الزلزلة، وفي الثالثة النصر، وفي الرابعة التوحيد، وإن شئت صلّها كلّها بالتوحيد</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رفعت رأسك من السجود الثاني قلتها عشراً وأنت جالس قبل أن تقوم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230" w:name="pg9076_119802"/>
    </w:p>
    <w:p>
      <w:pPr>
        <w:pStyle w:val="Heading5"/>
        <w:numPr>
          <w:ilvl w:val="4"/>
          <w:numId w:val="1"/>
        </w:numPr>
        <w:rPr/>
      </w:pPr>
      <w:bookmarkStart w:id="231" w:name="__RefHeading___Toc2580481_2870459653"/>
      <w:bookmarkStart w:id="232" w:name="_Toc78"/>
      <w:bookmarkEnd w:id="230"/>
      <w:bookmarkEnd w:id="231"/>
      <w:r>
        <w:rPr>
          <w:rtl w:val="true"/>
        </w:rPr>
        <w:t>باب صلاة الليل</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قمت من الليل ولم يكن عليك وقت بقدر ما تصلّي صلاة الليل على ما تريد فصلّها وأدرجها إدراجا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خشيت مطلع الفجر فصلّ ركعتين وأوتر في الثالثة فإن طلع الفجر فصلّ ركعتي الفجر وقد مضى الوتر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صلّيت الوتر وركعتي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فأضف إليها ست ركعات وأعد ركعتي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الوتر بما فيه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افتتح بالصلاة وتوجّه بعد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السنَّة التوجه في ست صلوات، وهي أول ركعة 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والمفردة من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ركعة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ركعتي الزوال، وأول ركعة من ركعتي الإحرام، وأول ركعة من نوافل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ركعة من الفريضة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 في الأولى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2580483_2870459653"/>
      <w:bookmarkStart w:id="234" w:name="_Toc79"/>
      <w:bookmarkEnd w:id="233"/>
      <w:r>
        <w:rPr>
          <w:rtl w:val="true"/>
        </w:rPr>
        <w:t>باب صلاة الخوف</w:t>
      </w:r>
      <w:bookmarkEnd w:id="2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يقوم الإمام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طائفة من أصحابه يقومون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بإزاء العدو، فيصلّي بهم الإمام ركعة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يقوم ويقومون معه فيثبت قائما ويصلّون هم الركعة الثانية ثم يسلّم بعضهم </w:t>
      </w:r>
      <w:bookmarkStart w:id="235" w:name="pg9076_119803"/>
    </w:p>
    <w:p>
      <w:pPr>
        <w:pStyle w:val="BookText"/>
        <w:rPr/>
      </w:pPr>
      <w:bookmarkEnd w:id="235"/>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ينصرفون فيقومون مكان أصحابهم بإزاء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الآخرون فيقومون خلف الإمام فيصلّي بهم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يجلس الإمام فيقومون ويصلون ركعة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يسلّم عليهم فينصرفون بتسليمة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كانت المغرب فصلِّ بالأولى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وبالثانية ركعتين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2580485_2870459653"/>
      <w:bookmarkStart w:id="237" w:name="_Toc80"/>
      <w:bookmarkEnd w:id="236"/>
      <w:r>
        <w:rPr>
          <w:rtl w:val="true"/>
        </w:rPr>
        <w:t>باب صلاة الاستخارة</w:t>
      </w:r>
      <w:bookmarkEnd w:id="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فصلِّ ركعتين واستخر الله مائة مرّة ومرّة، فما عزم لك فافعل، وقل في دعائك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الا الله الحليم الكريم، لا إله إلا الله العلي العظيم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ربِّ بحق محمد وآله صلِّ على محمد وآله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 لي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وكذا للدنيا والآخرة خيرة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عافية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2580487_2870459653"/>
      <w:bookmarkStart w:id="239" w:name="_Toc81"/>
      <w:bookmarkEnd w:id="238"/>
      <w:r>
        <w:rPr>
          <w:rtl w:val="true"/>
        </w:rPr>
        <w:t>باب الصلاة على الميت</w:t>
      </w:r>
      <w:bookmarkEnd w:id="239"/>
    </w:p>
    <w:p>
      <w:pPr>
        <w:pStyle w:val="BookText"/>
        <w:rPr/>
      </w:pPr>
      <w:r>
        <w:rPr>
          <w:rFonts w:ascii="Amiri" w:hAnsi="Amiri" w:eastAsia="Amiri" w:cs="Amiri"/>
          <w:color w:val="111111"/>
          <w:sz w:val="28"/>
          <w:sz w:val="28"/>
          <w:szCs w:val="28"/>
          <w:rtl w:val="true"/>
          <w:lang w:bidi="ar-SA"/>
        </w:rPr>
        <w:t>باب الصلاة على الميت</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صلّيت على الميت فقف عند رأسه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وکبر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أشهدأن لا إله إلا الله</w:t>
      </w:r>
    </w:p>
    <w:p>
      <w:pPr>
        <w:pStyle w:val="BookText"/>
        <w:rPr/>
      </w:pPr>
      <w:r>
        <w:rPr>
          <w:rFonts w:ascii="Amiri" w:hAnsi="Amiri" w:eastAsia="Amiri" w:cs="Amiri"/>
          <w:color w:val="111111"/>
          <w:sz w:val="28"/>
          <w:sz w:val="28"/>
          <w:szCs w:val="28"/>
          <w:rtl w:val="true"/>
          <w:lang w:bidi="ar-SA"/>
        </w:rPr>
        <w:t>وحده لا شريك له، وأشهد أن محمدا عبده ورسوله أرسله بالحق بشيراً ونذيراً بين يدي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وكبر الثانية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وارحم محمدا وآل محمد، وبارك على محمد وآل محمد كأفضل ما صليت وباركت وترحمت على إبراهيم وآل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وكبر الثالثة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والمؤمنات، والمسلمين والمسلمات الأحياء منهم والأموات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وكبر الرابعة،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عبدك وابن عبدك وابن أمتك نزل بك، وأنت خير منزول به ، اللهم إنا لا نعلم منه إلا خيراً، وأنت أعلم به منا، اللهم إن كان محسنا فزد في إحسانه، وإن كان مسيئا فتجاوز عنه واغفر له اللهم اجعله عندك في أعلا عليين، واخلف على أهله في الغابرين، وارحمه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الخامسة، ولا تبرح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الجنازة على أيدي الرجال</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وإذا كان الميت امرأة فقف عند صدرها </w:t>
      </w:r>
      <w:r>
        <w:rPr>
          <w:rStyle w:val="FootnoteAnchor"/>
          <w:rtl w:val="true"/>
        </w:rPr>
        <w:footnoteReference w:id="471"/>
      </w:r>
      <w:r>
        <w:rPr>
          <w:rFonts w:ascii="Amiri" w:hAnsi="Amiri" w:eastAsia="Amiri" w:cs="Amiri"/>
          <w:color w:val="111111"/>
          <w:sz w:val="28"/>
          <w:sz w:val="28"/>
          <w:szCs w:val="28"/>
          <w:rtl w:val="true"/>
          <w:lang w:bidi="ar-SA"/>
        </w:rPr>
        <w:t xml:space="preserve">، وارفع يديك في كل تكبيرة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تصلِّ على الجنازة بنعل حذو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ميتين على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رجلان على جنازة قام أحدهما خلف الإمام ولم يقم بجنبه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اجتمع جنازة رجل وامرأة وغلام ومملوك فقدم المرأة إلى القبلة، واجعل المملوك بعدها، واجعل الغلام بعد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بعد الغلام مما يلي الإمام، </w:t>
      </w:r>
      <w:bookmarkStart w:id="240" w:name="pg9076_119805"/>
    </w:p>
    <w:p>
      <w:pPr>
        <w:pStyle w:val="BookText"/>
        <w:rPr/>
      </w:pPr>
      <w:bookmarkEnd w:id="240"/>
      <w:r>
        <w:rPr>
          <w:rFonts w:ascii="Amiri" w:hAnsi="Amiri" w:eastAsia="Amiri" w:cs="Amiri"/>
          <w:color w:val="111111"/>
          <w:sz w:val="28"/>
          <w:sz w:val="28"/>
          <w:szCs w:val="28"/>
          <w:rtl w:val="true"/>
          <w:lang w:bidi="ar-SA"/>
        </w:rPr>
        <w:t>ويقف الإمام خلف الرجل</w:t>
      </w:r>
      <w:r>
        <w:rPr>
          <w:rStyle w:val="FootnoteAnchor"/>
          <w:rtl w:val="true"/>
        </w:rPr>
        <w:footnoteReference w:id="473"/>
      </w:r>
      <w:r>
        <w:rPr>
          <w:rFonts w:ascii="Amiri" w:hAnsi="Amiri" w:eastAsia="Amiri" w:cs="Amiri"/>
          <w:color w:val="111111"/>
          <w:sz w:val="28"/>
          <w:sz w:val="28"/>
          <w:szCs w:val="28"/>
          <w:rtl w:val="true"/>
          <w:lang w:bidi="ar-SA"/>
        </w:rPr>
        <w:t>، ويصلّي عليهم جميعاً صلاة واحدة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 يا بني – إن أولى الناس بالصلاة على الميت من يقدّمه ولي الميت، وإن كان في القوم رجل من بني هاشم فهو أحق بالصلاة على الميت إذا قدَّمه ولي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تقدَّم من غير أن يقدّمه ولي الميت فهو غاصب</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يدرك الصلاة على الميت صلّى على القبر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نزلت إلى القبر فاخلع خفيك ونعليك، ولا بأس بالخف إن كان تقية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2580489_2870459653"/>
      <w:bookmarkStart w:id="242" w:name="_Toc82"/>
      <w:bookmarkEnd w:id="241"/>
      <w:r>
        <w:rPr>
          <w:rtl w:val="true"/>
        </w:rPr>
        <w:t>باب صلاة الحاجة</w:t>
      </w:r>
      <w:bookmarkEnd w:id="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عز وجل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ثلاثة أيام الأربعاء والخميس والجمعة، فإذا كان يوم الجمعة فابرز إلى الله تعالى قبل الزوال وأنت على غسل وصلِّ ركعتين تقرأ في كل ركعة منهما الحمد وخمس عشرة مرَّة قل هو الله أحد، فإذا ركعت قرأتها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رفعت رأسك من الركوع قرأتها عشراً، فإذا سجدت قرأتها عشراً، فإذا رفعت رأسك من السجود قرأتها عشراً، فإذا سجدت أخرى قرأتها عشراً، فإذا رفعت رأسك في السجدة الثانية قرأتها عشراً، ثمَّ نهضت إلى الثانية بغير تكبير وصلّيتها مثل ما وصفت لك، واقنت في الثانية قبل الركوع وبعد القراءة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تفضل الله عليك بقضاء حاجتك فصلِّ ركعتي الشكر تقرأ في الأولى </w:t>
      </w:r>
    </w:p>
    <w:p>
      <w:pPr>
        <w:pStyle w:val="BookText"/>
        <w:rPr/>
      </w:pPr>
      <w:r>
        <w:rPr>
          <w:rFonts w:ascii="Amiri" w:hAnsi="Amiri" w:eastAsia="Amiri" w:cs="Amiri"/>
          <w:color w:val="111111"/>
          <w:sz w:val="28"/>
          <w:sz w:val="28"/>
          <w:szCs w:val="28"/>
          <w:rtl w:val="true"/>
          <w:lang w:bidi="ar-SA"/>
        </w:rPr>
        <w:t xml:space="preserve">الحمد وقل هو الله احد، وفي الثانية الحمد وقل يا أيها الكافرون، وتقول في الركعة الأولى في ركوعك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شكراً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سجودك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لله وحمداً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وتقول في الركعة الثانية في الركوع والسجود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قضى حاجتي وأعطاني مسألتي</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بني وإذا فزعت من سلطان وغيره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لا إله إلا هو عليه توكلت وهو ربّ العرش العظيم وأمتنعُ بحول الله وقوته من حولهم وقوتهم، وأمتنعُ برب الفلق من شرّ ما خلق وأقول ما شاء الله لا قوة الا بالله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حَزَبَك</w:t>
      </w:r>
      <w:r>
        <w:rPr>
          <w:rStyle w:val="FootnoteAnchor"/>
          <w:rtl w:val="true"/>
        </w:rPr>
        <w:footnoteReference w:id="480"/>
      </w:r>
      <w:r>
        <w:rPr>
          <w:rFonts w:ascii="Amiri" w:hAnsi="Amiri" w:eastAsia="Amiri" w:cs="Amiri"/>
          <w:color w:val="111111"/>
          <w:sz w:val="28"/>
          <w:sz w:val="28"/>
          <w:szCs w:val="28"/>
          <w:rtl w:val="true"/>
          <w:lang w:bidi="ar-SA"/>
        </w:rPr>
        <w:t>أمر فقل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كفيت وإلا قلتها سبعين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ابتليت ببلوى أو خفت شيئاً أو أصابك غمٌ أو كرب فاستعن ببعض إخوانك وادع بهذا الدعاء ويؤمن الأخ عليه، فإنه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دعا به وأمّن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دعائه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بهذا الدعاء أحدٌ قط ثلاث مرّات الا أعطي ما سأل إلا أن يسأل إثماً أو قطيعة رحم، 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 يا حيّاً لا يموت يا حيّ لا إله إلا أنت أسألك بأن لك الحمد لا إله إلا أنت الحنان المنّان بديع السموات والأرض يا ذا الجلال والإكرام</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كنت مجهوداً فاسجد ثم اجعل خدّك الأيمن على الأرض، ثمّ خدّك الأيسر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في كل واحدة منهما</w:t>
      </w:r>
      <w:r>
        <w:rPr>
          <w:rFonts w:eastAsia="Amiri" w:cs="Amiri" w:ascii="Amiri" w:hAnsi="Amiri"/>
          <w:color w:val="111111"/>
          <w:sz w:val="28"/>
          <w:szCs w:val="28"/>
          <w:rtl w:val="true"/>
          <w:lang w:bidi="ar-SA"/>
        </w:rPr>
        <w:t>:</w:t>
      </w:r>
      <w:bookmarkStart w:id="243" w:name="pg9076_119807"/>
    </w:p>
    <w:p>
      <w:pPr>
        <w:pStyle w:val="BookText"/>
        <w:rPr/>
      </w:pPr>
      <w:bookmarkEnd w:id="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مذلّ كلّ جبّار، يا معزّ كلّ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وحقّك بلغ مجهودي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وآل محمّد وفرّج عنّي</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2580491_2870459653"/>
      <w:bookmarkStart w:id="245" w:name="_Toc83"/>
      <w:bookmarkEnd w:id="244"/>
      <w:r>
        <w:rPr>
          <w:rtl w:val="true"/>
        </w:rPr>
        <w:t>باب الصوم</w:t>
      </w:r>
      <w:bookmarkEnd w:id="245"/>
    </w:p>
    <w:p>
      <w:pPr>
        <w:pStyle w:val="Heading5"/>
        <w:numPr>
          <w:ilvl w:val="4"/>
          <w:numId w:val="1"/>
        </w:numPr>
        <w:rPr/>
      </w:pPr>
      <w:bookmarkStart w:id="246" w:name="__RefHeading___Toc2580493_2870459653"/>
      <w:bookmarkStart w:id="247" w:name="_Toc84"/>
      <w:bookmarkEnd w:id="246"/>
      <w:r>
        <w:rPr>
          <w:rtl w:val="true"/>
        </w:rPr>
        <w:t>باب رؤية الهلال</w:t>
      </w:r>
      <w:bookmarkEnd w:id="2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الهلال إذا غاب قبل الشفق فهو لليلة، وإذا غاب بعد الشفق فهو لليلتين، وإذا رؤي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ظل الرأس فهو لثلاث ليال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رأيت هلال شهر رمضان، فلا تُشر إليه ولكن استقبل القبلة وارفع يديك إلى الله عز وجل وخاطب الهلال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وربّك الله ربّ العالمين، اللّهم أهلّه علينا بالأمن والإيمان، والسلامة والإسلام، والمسارعة إلى ما تحب وترضى، اللّهم بارك لنا في شهرنا هذا، وارزقنا عونه وخيره واصرف عنّا ضرّه وشرّه وبلاءه وفتنته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2580495_2870459653"/>
      <w:bookmarkStart w:id="249" w:name="_Toc85"/>
      <w:bookmarkEnd w:id="248"/>
      <w:r>
        <w:rPr>
          <w:rtl w:val="true"/>
        </w:rPr>
        <w:t>باب الصوم الحرام</w:t>
      </w:r>
      <w:bookmarkEnd w:id="2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الصوم الحرام فصيام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نصومه، ونهينا عنه،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لم يفتِ به؛ لأن الفتوى به تنسب لولده الصدوق في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أحد أن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أفتى به إلا المحقق القمي في غنائم الأيام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نسبه إلى ظاهر الصدوقين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الذيل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وبلاءه وفتنته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رسالة والده</w:t>
      </w:r>
      <w:r>
        <w:rPr>
          <w:rFonts w:eastAsia="Amiri" w:cs="Amiri" w:ascii="Amiri" w:hAnsi="Amiri"/>
          <w:color w:val="111111"/>
          <w:sz w:val="28"/>
          <w:szCs w:val="28"/>
          <w:rtl w:val="true"/>
          <w:lang w:bidi="ar-SA"/>
        </w:rPr>
        <w:t>.</w:t>
      </w:r>
      <w:bookmarkStart w:id="250" w:name="pg9076_119808"/>
    </w:p>
    <w:p>
      <w:pPr>
        <w:pStyle w:val="BookText"/>
        <w:rPr/>
      </w:pPr>
      <w:bookmarkEnd w:id="250"/>
      <w:r>
        <w:rPr>
          <w:rFonts w:ascii="Amiri" w:hAnsi="Amiri" w:eastAsia="Amiri" w:cs="Amiri"/>
          <w:color w:val="111111"/>
          <w:sz w:val="28"/>
          <w:sz w:val="28"/>
          <w:szCs w:val="28"/>
          <w:rtl w:val="true"/>
          <w:lang w:bidi="ar-SA"/>
        </w:rPr>
        <w:t>أمرنا أن نصومه من شعبان ونهينا أن ينفرد الرجل بصيامه</w:t>
      </w:r>
      <w:r>
        <w:rPr>
          <w:rStyle w:val="FootnoteAnchor"/>
          <w:rtl w:val="true"/>
        </w:rPr>
        <w:footnoteReference w:id="483"/>
      </w:r>
      <w:r>
        <w:rPr>
          <w:rFonts w:ascii="Amiri" w:hAnsi="Amiri" w:eastAsia="Amiri" w:cs="Amiri"/>
          <w:color w:val="111111"/>
          <w:sz w:val="28"/>
          <w:sz w:val="28"/>
          <w:szCs w:val="28"/>
          <w:rtl w:val="true"/>
          <w:lang w:bidi="ar-SA"/>
        </w:rPr>
        <w:t>في اليوم الذي يشك فيه الناس</w:t>
      </w:r>
      <w:r>
        <w:rPr>
          <w:rStyle w:val="FootnoteAnchor"/>
          <w:rtl w:val="true"/>
        </w:rPr>
        <w:footnoteReference w:id="484"/>
      </w:r>
      <w:r>
        <w:rPr>
          <w:rFonts w:ascii="Amiri" w:hAnsi="Amiri" w:eastAsia="Amiri" w:cs="Amiri"/>
          <w:color w:val="111111"/>
          <w:sz w:val="28"/>
          <w:sz w:val="28"/>
          <w:szCs w:val="28"/>
          <w:rtl w:val="true"/>
          <w:lang w:bidi="ar-SA"/>
        </w:rPr>
        <w:t>، فإن لم يكن صام من شعبان شيئاً، ينوي ليلة الشك أنه صائم من شعبان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وصوم الوصال 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2580497_2870459653"/>
      <w:bookmarkStart w:id="252" w:name="_Toc86"/>
      <w:bookmarkEnd w:id="251"/>
      <w:r>
        <w:rPr>
          <w:rtl w:val="true"/>
        </w:rPr>
        <w:t>باب ما يفطر الصائم وما لا يفطره</w:t>
      </w:r>
      <w:bookmarkEnd w:id="2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صومك خمسة أشياء تفطرك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والشرب، والجماع، والارتماس في الماء، والكذب على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ينقض الرعاف، ولا القلس، والقيء إلا أن يتقيأ متعمداً</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بالكحل ما لم يكن مُمسَّكاً، وقد روي فيه رخصة، لأنه يخرج على عكدة لسانه</w:t>
      </w:r>
      <w:r>
        <w:rPr>
          <w:rStyle w:val="FootnoteAnchor"/>
          <w:rtl w:val="true"/>
        </w:rPr>
        <w:footnoteReference w:id="488"/>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نقل ابن إدريس عن ابن بابويه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ابن إدريس عن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أكلت جرادة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العلامة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شيخنا في مبسوطه، وعن علي 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النقل نظر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9076_119809"/>
    </w:p>
    <w:p>
      <w:pPr>
        <w:pStyle w:val="BookText"/>
        <w:rPr/>
      </w:pPr>
      <w:bookmarkEnd w:id="2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للصائم أن يتسعط</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للصائم أن يحتقن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أصابتك جنابة في الليل وتعمّدت النوم إلى أن 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قضاء ذلك اليوم والكفارة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2580499_2870459653"/>
      <w:bookmarkStart w:id="255" w:name="_Toc87"/>
      <w:bookmarkEnd w:id="254"/>
      <w:r>
        <w:rPr>
          <w:rtl w:val="true"/>
        </w:rPr>
        <w:t>باب تقصير المسافر في الصوم</w:t>
      </w:r>
      <w:bookmarkEnd w:id="2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خرجت في سفر وعليك بقية يوم فافطر</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الصيد للتجارة فإنه يقصّر صومه ويتم صلاته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2580501_2870459653"/>
      <w:bookmarkStart w:id="257" w:name="_Toc88"/>
      <w:bookmarkEnd w:id="256"/>
      <w:r>
        <w:rPr>
          <w:rtl w:val="true"/>
        </w:rPr>
        <w:t>صوم النافلة</w:t>
      </w:r>
      <w:bookmarkEnd w:id="25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أردت سفراً وأردت أن تقدّم من صوم السنة شيئاً فصم ثلاثة أيام للشهر</w:t>
      </w:r>
      <w:bookmarkStart w:id="258" w:name="pg9076_119810"/>
    </w:p>
    <w:p>
      <w:pPr>
        <w:pStyle w:val="BookText"/>
        <w:rPr/>
      </w:pPr>
      <w:bookmarkEnd w:id="258"/>
      <w:r>
        <w:rPr>
          <w:rFonts w:ascii="Amiri" w:hAnsi="Amiri" w:eastAsia="Amiri" w:cs="Amiri"/>
          <w:color w:val="111111"/>
          <w:sz w:val="28"/>
          <w:sz w:val="28"/>
          <w:szCs w:val="28"/>
          <w:rtl w:val="true"/>
          <w:lang w:bidi="ar-SA"/>
        </w:rPr>
        <w:t>الذي تريد الخروج فيه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تصومن في السفر شيئاً من فرض ولا سنّة، ولا تطوع إلا صوم كفارة صيد المحرم</w:t>
      </w:r>
      <w:r>
        <w:rPr>
          <w:rStyle w:val="FootnoteAnchor"/>
          <w:rtl w:val="true"/>
        </w:rPr>
        <w:footnoteReference w:id="496"/>
      </w:r>
      <w:r>
        <w:rPr>
          <w:rFonts w:ascii="Amiri" w:hAnsi="Amiri" w:eastAsia="Amiri" w:cs="Amiri"/>
          <w:color w:val="111111"/>
          <w:sz w:val="28"/>
          <w:sz w:val="28"/>
          <w:szCs w:val="28"/>
          <w:rtl w:val="true"/>
          <w:lang w:bidi="ar-SA"/>
        </w:rPr>
        <w:t>، وصوم كفارة الإحلال من الإحرام إن كان به أذى من رأسه</w:t>
      </w:r>
      <w:r>
        <w:rPr>
          <w:rStyle w:val="FootnoteAnchor"/>
          <w:rtl w:val="true"/>
        </w:rPr>
        <w:footnoteReference w:id="497"/>
      </w:r>
      <w:r>
        <w:rPr>
          <w:rFonts w:ascii="IRNazanin" w:hAnsi="IRNazanin" w:eastAsia="IRNazanin"/>
          <w:color w:val="111111"/>
          <w:sz w:val="28"/>
          <w:sz w:val="28"/>
          <w:szCs w:val="28"/>
          <w:rtl w:val="true"/>
          <w:lang w:bidi="fa-IR"/>
        </w:rPr>
        <w:t xml:space="preserve">، وصوم ثلاثة أيام لطلب الحاجة عند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 الأربعاء والخميس والجمعة، وصوم الاعتكاف في المسجد الحرام، أو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مسجد الكوفة أو مسجد المدائن</w:t>
      </w:r>
      <w:r>
        <w:rPr>
          <w:rStyle w:val="FootnoteAnchor"/>
          <w:rtl w:val="true"/>
        </w:rPr>
        <w:footnoteReference w:id="498"/>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أن رجلاً صام يوماً من شهر رمضان تطوعاً وهو لا يدري ولا يعلم أنه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 بعد ذلك أجزأ عنه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2580503_2870459653"/>
      <w:bookmarkStart w:id="260" w:name="_Toc89"/>
      <w:bookmarkEnd w:id="259"/>
      <w:r>
        <w:rPr>
          <w:rtl w:val="true"/>
        </w:rPr>
        <w:t>باب من یضعف عن الصیام</w:t>
      </w:r>
      <w:bookmarkEnd w:id="2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لم يتهيأ للشيخ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الشاب أو المرأة الحامل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والمرضع أن يصوم من</w:t>
      </w:r>
    </w:p>
    <w:p>
      <w:pPr>
        <w:pStyle w:val="BookText"/>
        <w:rPr/>
      </w:pPr>
      <w:r>
        <w:rPr>
          <w:rFonts w:ascii="Amiri" w:hAnsi="Amiri" w:eastAsia="Amiri" w:cs="Amiri"/>
          <w:color w:val="111111"/>
          <w:sz w:val="28"/>
          <w:sz w:val="28"/>
          <w:szCs w:val="28"/>
          <w:rtl w:val="true"/>
          <w:lang w:bidi="ar-SA"/>
        </w:rPr>
        <w:t>والظاهر أنه استفاده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يتهيأ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يؤيد ما ذكرته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التنقيح الرائع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بابويه فإن ظاهر كلامه سقوطه عن الحامل</w:t>
      </w:r>
      <w:r>
        <w:rPr>
          <w:rFonts w:eastAsia="Amiri" w:cs="Amiri" w:ascii="Amiri" w:hAnsi="Amiri"/>
          <w:color w:val="111111"/>
          <w:sz w:val="28"/>
          <w:szCs w:val="28"/>
          <w:rtl w:val="true"/>
          <w:lang w:bidi="ar-SA"/>
        </w:rPr>
        <w:t>).</w:t>
      </w:r>
      <w:bookmarkStart w:id="261" w:name="pg9076_119811"/>
    </w:p>
    <w:p>
      <w:pPr>
        <w:pStyle w:val="BookText"/>
        <w:rPr/>
      </w:pPr>
      <w:bookmarkEnd w:id="261"/>
      <w:r>
        <w:rPr>
          <w:rFonts w:ascii="Amiri" w:hAnsi="Amiri" w:eastAsia="Amiri" w:cs="Amiri"/>
          <w:color w:val="111111"/>
          <w:sz w:val="28"/>
          <w:sz w:val="28"/>
          <w:szCs w:val="28"/>
          <w:rtl w:val="true"/>
          <w:lang w:bidi="ar-SA"/>
        </w:rPr>
        <w:t>العطش أو الجوع أو تخاف المرأة أن يضر بولدها</w:t>
      </w:r>
      <w:r>
        <w:rPr>
          <w:rStyle w:val="FootnoteAnchor"/>
          <w:rtl w:val="true"/>
        </w:rPr>
        <w:footnoteReference w:id="501"/>
      </w:r>
      <w:r>
        <w:rPr>
          <w:rFonts w:ascii="Amiri" w:hAnsi="Amiri" w:eastAsia="Amiri" w:cs="Amiri"/>
          <w:color w:val="111111"/>
          <w:sz w:val="28"/>
          <w:sz w:val="28"/>
          <w:szCs w:val="28"/>
          <w:rtl w:val="true"/>
          <w:lang w:bidi="ar-SA"/>
        </w:rPr>
        <w:t>، فعليهم جميعاً الإفطار، وتصدق عن كلّ يوم بمدّ من الطعام، وليس عليه القضاء</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2580505_2870459653"/>
      <w:bookmarkStart w:id="263" w:name="_Toc90"/>
      <w:bookmarkEnd w:id="262"/>
      <w:r>
        <w:rPr>
          <w:rtl w:val="true"/>
        </w:rPr>
        <w:t>باب قضاء شهر رمضان</w:t>
      </w:r>
      <w:bookmarkEnd w:id="2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أفطر يوماً من شهر رمضان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شاء 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يصوم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يطعم ستين مسكينا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أردت قضاء شهر رمضان، فأنت بالخيار، إن شئت قضيت متتابعاً، وإن شئت قضيت متفرقاً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قضيت شهر رمضان أو النذر كنت بالخيار في الإفطار إلى زوال الشمس، فإذا أفطرت بعد الزوال فعليك الكفارة</w:t>
      </w:r>
      <w:r>
        <w:rPr>
          <w:rStyle w:val="FootnoteAnchor"/>
          <w:rtl w:val="true"/>
        </w:rPr>
        <w:footnoteReference w:id="505"/>
      </w:r>
      <w:r>
        <w:rPr>
          <w:rFonts w:ascii="Amiri" w:hAnsi="Amiri" w:eastAsia="Amiri" w:cs="Amiri"/>
          <w:color w:val="111111"/>
          <w:sz w:val="28"/>
          <w:sz w:val="28"/>
          <w:szCs w:val="28"/>
          <w:rtl w:val="true"/>
          <w:lang w:bidi="ar-SA"/>
        </w:rPr>
        <w:t>مثل ما على من أفطر يوماً من شهر رمضان</w:t>
      </w:r>
      <w:r>
        <w:rPr>
          <w:rStyle w:val="FootnoteAnchor"/>
          <w:rtl w:val="true"/>
        </w:rPr>
        <w:footnoteReference w:id="506"/>
      </w:r>
      <w:r>
        <w:rPr>
          <w:rFonts w:ascii="Amiri" w:hAnsi="Amiri" w:eastAsia="Amiri" w:cs="Amiri"/>
          <w:color w:val="111111"/>
          <w:sz w:val="28"/>
          <w:sz w:val="28"/>
          <w:szCs w:val="28"/>
          <w:rtl w:val="true"/>
          <w:lang w:bidi="ar-SA"/>
        </w:rPr>
        <w:t xml:space="preserve">، وقد روي أن عليه إذا أفطر بعد الزوال إطعام عشرة 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مسكين مدّ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صام يوماً بدل يوم،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ثلاثة أيام </w:t>
      </w:r>
    </w:p>
    <w:p>
      <w:pPr>
        <w:pStyle w:val="BookText"/>
        <w:rPr/>
      </w:pPr>
      <w:r>
        <w:rPr>
          <w:rFonts w:ascii="Amiri" w:hAnsi="Amiri" w:eastAsia="Amiri" w:cs="Amiri"/>
          <w:color w:val="111111"/>
          <w:sz w:val="28"/>
          <w:sz w:val="28"/>
          <w:szCs w:val="28"/>
          <w:rtl w:val="true"/>
          <w:lang w:bidi="ar-SA"/>
        </w:rPr>
        <w:t>كفارة لما فعل</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مرض الرجل، وفاته صوم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ولم يصمه إلى أن يدخل عليه شهر رمضان قابل، فعليه أن يصوم هذا الذي قد 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ويتصدق عن الأول لكل يوم بمُد من الطعام وليس عليه القضاء</w:t>
      </w:r>
      <w:r>
        <w:rPr>
          <w:rStyle w:val="FootnoteAnchor"/>
          <w:rtl w:val="true"/>
        </w:rPr>
        <w:footnoteReference w:id="509"/>
      </w:r>
      <w:r>
        <w:rPr>
          <w:rFonts w:ascii="Amiri" w:hAnsi="Amiri" w:eastAsia="Amiri" w:cs="Amiri"/>
          <w:color w:val="111111"/>
          <w:sz w:val="28"/>
          <w:sz w:val="28"/>
          <w:szCs w:val="28"/>
          <w:rtl w:val="true"/>
          <w:lang w:bidi="ar-SA"/>
        </w:rPr>
        <w:t>إلا أن يكون قد</w:t>
      </w:r>
      <w:r>
        <w:rPr>
          <w:rStyle w:val="FootnoteAnchor"/>
          <w:rtl w:val="true"/>
        </w:rPr>
        <w:footnoteReference w:id="510"/>
      </w:r>
      <w:r>
        <w:rPr>
          <w:rFonts w:ascii="Amiri" w:hAnsi="Amiri" w:eastAsia="Amiri" w:cs="Amiri"/>
          <w:color w:val="111111"/>
          <w:sz w:val="28"/>
          <w:sz w:val="28"/>
          <w:szCs w:val="28"/>
          <w:rtl w:val="true"/>
          <w:lang w:bidi="ar-SA"/>
        </w:rPr>
        <w:t>صحّ فيما بين الرمضانين</w:t>
      </w:r>
      <w:r>
        <w:rPr>
          <w:rStyle w:val="FootnoteAnchor"/>
          <w:rtl w:val="true"/>
        </w:rPr>
        <w:footnoteReference w:id="511"/>
      </w:r>
      <w:r>
        <w:rPr>
          <w:rFonts w:ascii="Amiri" w:hAnsi="Amiri" w:eastAsia="Amiri" w:cs="Amiri"/>
          <w:color w:val="111111"/>
          <w:sz w:val="28"/>
          <w:sz w:val="28"/>
          <w:szCs w:val="28"/>
          <w:rtl w:val="true"/>
          <w:lang w:bidi="ar-SA"/>
        </w:rPr>
        <w:t>، فإن كان كذلك ولم يصم</w:t>
      </w:r>
      <w:r>
        <w:rPr>
          <w:rStyle w:val="FootnoteAnchor"/>
          <w:rtl w:val="true"/>
        </w:rPr>
        <w:footnoteReference w:id="512"/>
      </w:r>
      <w:r>
        <w:rPr>
          <w:rFonts w:ascii="Amiri" w:hAnsi="Amiri" w:eastAsia="Amiri" w:cs="Amiri"/>
          <w:color w:val="111111"/>
          <w:sz w:val="28"/>
          <w:sz w:val="28"/>
          <w:szCs w:val="28"/>
          <w:rtl w:val="true"/>
          <w:lang w:bidi="ar-SA"/>
        </w:rPr>
        <w:t>، فعليه أن يتصدق عن الأول لكل يوم بمُدّ من طعام، ويصوم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صام الثاني قضى الأول بعده، فإن فاته شهرا رمضان</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فعليه أن يصوم الذي دخل، ويتصدق عن الأول لكل يوم بمُد من طعام، ويقضي الثاني</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مات وعليه صوم شهر رمضان، فعلى وليه أن يقضي عنه، فإن كان للميت وليّان، فعلى أكبرهما من الرجال فإن لم يكن له ولي من الرجال قضى عنه وليه من النساء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9076_119813"/>
    </w:p>
    <w:p>
      <w:pPr>
        <w:pStyle w:val="BookText"/>
        <w:rPr/>
      </w:pPr>
      <w:bookmarkEnd w:id="26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مات المريض وقد فاته الشهر أو بعضه لمرض، فإن برأ بعد فواته وتمكن من القضاء ولم يقضه وجب على وليه القضاء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2580507_2870459653"/>
      <w:bookmarkStart w:id="266" w:name="_Toc91"/>
      <w:bookmarkEnd w:id="265"/>
      <w:r>
        <w:rPr>
          <w:rtl w:val="true"/>
        </w:rPr>
        <w:t>باب الوقت الذي يحل فيه الإفطار</w:t>
      </w:r>
      <w:bookmarkEnd w:id="2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يحل لك الإفطار إذا بدت ثلاثة أنجم، وهي تطلع مع غروب الشمس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2580509_2870459653"/>
      <w:bookmarkStart w:id="268" w:name="_Toc92"/>
      <w:bookmarkEnd w:id="267"/>
      <w:r>
        <w:rPr>
          <w:rtl w:val="true"/>
        </w:rPr>
        <w:t>باب الوقت الذي يؤخذ الصبي به بالصوم</w:t>
      </w:r>
      <w:bookmarkEnd w:id="2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الغلام يؤخذ بالصيام إذا بلغ تسع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ما يطيقه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أطاق إلى الظهر أو بعده صام إلى ذلك الوقت، فإذا غلب عليه الجوع والعطش أفطر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صام ثلاثة أيام ولاءاً أخذ بصوم الشهر كله</w:t>
      </w:r>
      <w:r>
        <w:rPr>
          <w:rStyle w:val="FootnoteAnchor"/>
          <w:rtl w:val="true"/>
        </w:rPr>
        <w:footnoteReference w:id="515"/>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269" w:name="pg9076_119814"/>
    </w:p>
    <w:p>
      <w:pPr>
        <w:pStyle w:val="Heading5"/>
        <w:numPr>
          <w:ilvl w:val="4"/>
          <w:numId w:val="1"/>
        </w:numPr>
        <w:rPr/>
      </w:pPr>
      <w:bookmarkStart w:id="270" w:name="__RefHeading___Toc2580511_2870459653"/>
      <w:bookmarkStart w:id="271" w:name="_Toc93"/>
      <w:bookmarkEnd w:id="269"/>
      <w:bookmarkEnd w:id="270"/>
      <w:r>
        <w:rPr>
          <w:rtl w:val="true"/>
        </w:rPr>
        <w:t>باب من يجب عليه إتمام الصلاة والصيام في السفر</w:t>
      </w:r>
      <w:bookmarkEnd w:id="2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يلزمه التمام في الصلاة والصوم في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والمكاري والكري والاشتقان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 والتاء المنقطة، من فوقها بنقطتين والقاف والنون، هكذا سماعنا على من لقيناه، وسمعنا عليه من الرواة ولم يبينوا لنا ما معناه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من كلام ابن ادريس؛ إذ أن من دأبه ضبط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أن يكون من كلام علي بن بابويه؛ إذ أن الصدوق قال في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الأشتقان وهو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البعيد جداً عدم اطلاع ابن ادريس ولا الرواة الذين حدَّثوه على معنى الأشتقان وكتب الصدوق بين أيديهم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يجوز الاعتكاف إلا في المسجد الحرام، 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ومسجد الكوفة، ومسجد المدائن، والعلّة في ذلك أنه لا يعتكف إلا في مسجد جمع فيه إمام عدل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وقد جمع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وجمع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المساجد، وقد روي في مسجد البصرة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بنى على الترادف بين الكري والمكاري نقل عن الرسالة باختصار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الاشتقان والكري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كما نقل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والكري والاشتقان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بابويه أيضاً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التقصير للاشتقان بالشين المعجمة، والتاء المنقطة من فوق نقطتين، والقاف، والنون، هكذا سماعنا على من لقيناه وسمعنا عليه من الرواة ولم يبينوا لنا ما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بابويه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بابويه، وانظر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الرموز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وإيضاح الفوائد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bookmarkStart w:id="272" w:name="pg9076_119815"/>
    </w:p>
    <w:p>
      <w:pPr>
        <w:pStyle w:val="Heading5"/>
        <w:numPr>
          <w:ilvl w:val="4"/>
          <w:numId w:val="1"/>
        </w:numPr>
        <w:rPr/>
      </w:pPr>
      <w:bookmarkStart w:id="273" w:name="__RefHeading___Toc2580513_2870459653"/>
      <w:bookmarkStart w:id="274" w:name="_Toc94"/>
      <w:bookmarkEnd w:id="272"/>
      <w:bookmarkEnd w:id="273"/>
      <w:r>
        <w:rPr>
          <w:rtl w:val="true"/>
        </w:rPr>
        <w:t>باب الفطرة</w:t>
      </w:r>
      <w:bookmarkEnd w:id="2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صدقة الفطرة صاع من حنطة، أو صاع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صاع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صاع من زبيب</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وأفضل ذلك التمر</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أن تدفع ما يلزم واحداً إلى نفسين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ولد لك مولود يوم الفطر قبل الزوال فادفع عنه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ولد بعد الزوال فلا فطرة عليه، وكذا إذا أسلم الرجل قبل الزوال أو بعده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بإخراج الفطرة في أول يوم من شهر رمضان إلى آخره، وهي زكاة إلى أن تصلي العيد، فإن أخرجتها بعد الصلاة فهي صدقة، وأفضل وقتها آخر يوم من شهر رمضان</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275" w:name="pg9076_119816"/>
    </w:p>
    <w:p>
      <w:pPr>
        <w:pStyle w:val="Heading4"/>
        <w:numPr>
          <w:ilvl w:val="3"/>
          <w:numId w:val="1"/>
        </w:numPr>
        <w:rPr/>
      </w:pPr>
      <w:bookmarkStart w:id="276" w:name="__RefHeading___Toc2580515_2870459653"/>
      <w:bookmarkStart w:id="277" w:name="_Toc95"/>
      <w:bookmarkEnd w:id="275"/>
      <w:bookmarkEnd w:id="276"/>
      <w:r>
        <w:rPr>
          <w:rtl w:val="true"/>
        </w:rPr>
        <w:t>باب الزكاة</w:t>
      </w:r>
      <w:bookmarkEnd w:id="277"/>
    </w:p>
    <w:p>
      <w:pPr>
        <w:pStyle w:val="Heading5"/>
        <w:numPr>
          <w:ilvl w:val="4"/>
          <w:numId w:val="1"/>
        </w:numPr>
        <w:rPr/>
      </w:pPr>
      <w:bookmarkStart w:id="278" w:name="__RefHeading___Toc2580517_2870459653"/>
      <w:bookmarkStart w:id="279" w:name="_Toc96"/>
      <w:bookmarkEnd w:id="278"/>
      <w:r>
        <w:rPr>
          <w:rtl w:val="true"/>
        </w:rPr>
        <w:t>باب زكاة الابل</w:t>
      </w:r>
      <w:bookmarkEnd w:id="2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بلغت خمساً وعشرين ففيها خمس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زادت واحدة ففيها بنت مخاض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ابن لبون ذكر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عنده ابنة مخاض أعطى المصدّق ابن مخاض وأعطى معها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وجبت عليه ابنة مخاض ولم يكن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عنده ابنة لبون دفعها واسترجع من المصدق شاة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بلغت خمساً وأربعين وزادت واحدة ففيها حقة – وسميَّت حقة لأنها استحقَّت أن يركب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تبلغ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زادت واحدة ففيها جذعة إلى ثمانين فإن زادت واحدة ففيها ثني</w:t>
      </w:r>
      <w:r>
        <w:rPr>
          <w:rStyle w:val="FootnoteAnchor"/>
          <w:rtl w:val="true"/>
        </w:rPr>
        <w:footnoteReference w:id="522"/>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2580519_2870459653"/>
      <w:bookmarkStart w:id="281" w:name="_Toc97"/>
      <w:bookmarkEnd w:id="280"/>
      <w:r>
        <w:rPr>
          <w:rtl w:val="true"/>
        </w:rPr>
        <w:t>باب زكاة الغنم</w:t>
      </w:r>
      <w:bookmarkEnd w:id="281"/>
    </w:p>
    <w:p>
      <w:pPr>
        <w:pStyle w:val="BookText"/>
        <w:rPr/>
      </w:pPr>
      <w:r>
        <w:rPr>
          <w:rFonts w:ascii="Amiri" w:hAnsi="Amiri" w:eastAsia="Amiri" w:cs="Amiri"/>
          <w:color w:val="111111"/>
          <w:sz w:val="28"/>
          <w:sz w:val="28"/>
          <w:szCs w:val="28"/>
          <w:rtl w:val="true"/>
          <w:lang w:bidi="ar-SA"/>
        </w:rPr>
        <w:t>ليس على الغنم شيء حتى تبلغ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أربعين وزادت واحدة ففيها شاة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مائة وإحدى وعشرون فشاتان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مائتان وواحدة فثلاث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ثلاث مائة وواحدة فأربع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أربعمائة ففي كلِّ مائةٍ شاة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282" w:name="pg9076_119817"/>
    </w:p>
    <w:p>
      <w:pPr>
        <w:pStyle w:val="Heading5"/>
        <w:numPr>
          <w:ilvl w:val="4"/>
          <w:numId w:val="1"/>
        </w:numPr>
        <w:rPr/>
      </w:pPr>
      <w:bookmarkStart w:id="283" w:name="__RefHeading___Toc2580521_2870459653"/>
      <w:bookmarkStart w:id="284" w:name="_Toc98"/>
      <w:bookmarkEnd w:id="282"/>
      <w:bookmarkEnd w:id="283"/>
      <w:r>
        <w:rPr>
          <w:rtl w:val="true"/>
        </w:rPr>
        <w:t>باب زكاة البقر</w:t>
      </w:r>
      <w:bookmarkEnd w:id="2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ثلاثين تبيع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حولي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2580523_2870459653"/>
      <w:bookmarkStart w:id="286" w:name="_Toc99"/>
      <w:bookmarkEnd w:id="285"/>
      <w:r>
        <w:rPr>
          <w:rtl w:val="true"/>
        </w:rPr>
        <w:t>باب زكاة الذهب</w:t>
      </w:r>
      <w:bookmarkEnd w:id="2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على الذهب شيء حتى يبلغ أربعين مثقالاً وفيه مثقال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2580525_2870459653"/>
      <w:bookmarkStart w:id="288" w:name="_Toc100"/>
      <w:bookmarkEnd w:id="287"/>
      <w:r>
        <w:rPr>
          <w:rtl w:val="true"/>
        </w:rPr>
        <w:t>باب زكاة السبائك</w:t>
      </w:r>
      <w:bookmarkEnd w:id="2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السبائك شيء إلا أن يفرّ بها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فررت بها فعليك زكاتها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2580527_2870459653"/>
      <w:bookmarkStart w:id="290" w:name="_Toc101"/>
      <w:bookmarkEnd w:id="289"/>
      <w:r>
        <w:rPr>
          <w:rtl w:val="true"/>
        </w:rPr>
        <w:t>باب زكاة مال اليتيم</w:t>
      </w:r>
      <w:bookmarkEnd w:id="2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مال اليتيم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اتجر به ففيه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والربح لليتيم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9076_119818"/>
    </w:p>
    <w:p>
      <w:pPr>
        <w:pStyle w:val="Heading5"/>
        <w:numPr>
          <w:ilvl w:val="4"/>
          <w:numId w:val="1"/>
        </w:numPr>
        <w:rPr/>
      </w:pPr>
      <w:bookmarkStart w:id="292" w:name="__RefHeading___Toc2580529_2870459653"/>
      <w:bookmarkStart w:id="293" w:name="_Toc102"/>
      <w:bookmarkEnd w:id="291"/>
      <w:bookmarkEnd w:id="292"/>
      <w:r>
        <w:rPr>
          <w:rtl w:val="true"/>
        </w:rPr>
        <w:t>باب تقديم الزكاة وتأخيرها</w:t>
      </w:r>
      <w:bookmarkEnd w:id="2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لك تقديمها وتأخيرها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لأنها مقرونة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تقديم الصلاة قبل وقتها ولا تأخيرها إلا أن يكون قضاء وكذلك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أحببت أن تقدّم من زكاة مالك شيئا تفرّج بها عن مؤمن فاجعلها دينا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حلّت عليك الزكاة فاحسبها له زكاة فتحسب لك من زكاة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ويكتب لك أجر القرض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2580531_2870459653"/>
      <w:bookmarkStart w:id="295" w:name="_Toc103"/>
      <w:bookmarkEnd w:id="294"/>
      <w:r>
        <w:rPr>
          <w:rtl w:val="true"/>
        </w:rPr>
        <w:t>باب من يُعطى من الزكاة ومن لا يُعطى</w:t>
      </w:r>
      <w:bookmarkEnd w:id="2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تعطِ من 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الزوج</w:t>
      </w:r>
      <w:r>
        <w:rPr>
          <w:rStyle w:val="FootnoteAnchor"/>
          <w:rtl w:val="true"/>
        </w:rPr>
        <w:footnoteReference w:id="526"/>
      </w:r>
      <w:r>
        <w:rPr>
          <w:rFonts w:ascii="Amiri" w:hAnsi="Amiri" w:eastAsia="Amiri" w:cs="Amiri"/>
          <w:color w:val="111111"/>
          <w:sz w:val="28"/>
          <w:sz w:val="28"/>
          <w:szCs w:val="28"/>
          <w:rtl w:val="true"/>
          <w:lang w:bidi="ar-SA"/>
        </w:rPr>
        <w:t>والزوجة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وإياك أن تُعطي زكاتك لغير أهل الولاية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2580533_2870459653"/>
      <w:bookmarkStart w:id="297" w:name="_Toc104"/>
      <w:bookmarkEnd w:id="296"/>
      <w:r>
        <w:rPr>
          <w:rtl w:val="true"/>
        </w:rPr>
        <w:t>باب العتق من الزكاة</w:t>
      </w:r>
      <w:bookmarkEnd w:id="2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لابأس أن تشتري مملوكا مؤمنا من زكاة مالك فتعتقه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استفاد المعتق مالاً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 لأهل الزكاة لأنه اشتري بمالهم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9076_119819"/>
    </w:p>
    <w:p>
      <w:pPr>
        <w:pStyle w:val="Heading5"/>
        <w:numPr>
          <w:ilvl w:val="4"/>
          <w:numId w:val="1"/>
        </w:numPr>
        <w:rPr/>
      </w:pPr>
      <w:bookmarkStart w:id="299" w:name="__RefHeading___Toc2580535_2870459653"/>
      <w:bookmarkStart w:id="300" w:name="_Toc105"/>
      <w:bookmarkEnd w:id="298"/>
      <w:bookmarkEnd w:id="299"/>
      <w:r>
        <w:rPr>
          <w:rtl w:val="true"/>
        </w:rPr>
        <w:t>باب زكاة المال إذا كان في تجارة</w:t>
      </w:r>
      <w:bookmarkEnd w:id="3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مالك في تجارة وطلب منك المتاع برأس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تبعه تبتغي بذلك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زكاته إذا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يطلب منك المتاع برأس مالك فليس عليك زكاته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2580537_2870459653"/>
      <w:bookmarkStart w:id="302" w:name="_Toc106"/>
      <w:bookmarkEnd w:id="301"/>
      <w:r>
        <w:rPr>
          <w:rtl w:val="true"/>
        </w:rPr>
        <w:t>باب الزكاة في القرض</w:t>
      </w:r>
      <w:bookmarkEnd w:id="3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زكاة على المقرض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المستقرض فإن ترك المال بعينه حولاً وجبت الزكاة عليه وإلا فلا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بعت شيئاً وقبضت ثمنه واشترطت على المشتري زكاة سنة أو سنتين أو أكثر فإن ذلك يلزمه دونك</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2580539_2870459653"/>
      <w:bookmarkStart w:id="304" w:name="_Toc107"/>
      <w:bookmarkEnd w:id="303"/>
      <w:r>
        <w:rPr>
          <w:rtl w:val="true"/>
        </w:rPr>
        <w:t>باب أقل ما يُعطى الفقير هو ما يجب في النصاب الأول</w:t>
      </w:r>
      <w:bookmarkEnd w:id="3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يجزئ في الزكاة أن يعطى أقلّ من نصف دينار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2580541_2870459653"/>
      <w:bookmarkStart w:id="306" w:name="_Toc108"/>
      <w:bookmarkEnd w:id="305"/>
      <w:r>
        <w:rPr>
          <w:rtl w:val="true"/>
        </w:rPr>
        <w:t>باب الحج</w:t>
      </w:r>
      <w:bookmarkEnd w:id="306"/>
    </w:p>
    <w:p>
      <w:pPr>
        <w:pStyle w:val="Heading5"/>
        <w:numPr>
          <w:ilvl w:val="4"/>
          <w:numId w:val="1"/>
        </w:numPr>
        <w:rPr/>
      </w:pPr>
      <w:bookmarkStart w:id="307" w:name="__RefHeading___Toc2580543_2870459653"/>
      <w:bookmarkStart w:id="308" w:name="_Toc109"/>
      <w:bookmarkEnd w:id="307"/>
      <w:r>
        <w:rPr>
          <w:rtl w:val="true"/>
        </w:rPr>
        <w:t>اشارة</w:t>
      </w:r>
      <w:bookmarkEnd w:id="3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لأهل مكة وحاضريها إلا القران والإفراد، وليس لهم التمتع إلى الحج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 حاضري المسجد الحرام أهل مكة وحواليها على ثمانية وأربعين ميلاً</w:t>
      </w:r>
      <w:r>
        <w:rPr>
          <w:rStyle w:val="FootnoteAnchor"/>
          <w:rtl w:val="true"/>
        </w:rPr>
        <w:footnoteReference w:id="531"/>
      </w:r>
      <w:r>
        <w:rPr>
          <w:rStyle w:val="FootnoteAnchor"/>
          <w:rtl w:val="true"/>
        </w:rPr>
        <w:footnoteReference w:id="532"/>
      </w:r>
      <w:r>
        <w:rPr>
          <w:rFonts w:ascii="Amiri" w:hAnsi="Amiri" w:eastAsia="Amiri" w:cs="Amiri"/>
          <w:color w:val="111111"/>
          <w:sz w:val="28"/>
          <w:sz w:val="28"/>
          <w:szCs w:val="28"/>
          <w:rtl w:val="true"/>
          <w:lang w:bidi="ar-SA"/>
        </w:rPr>
        <w:t>، ومن كان خارجاً عن هذا الحدّ فلا يحج إلا متمتعاً بالعمرة إلى الحج، ولا يقبل الله غيره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العراق 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وأوّله المسلخ ووسطه غمرة وآخره ذات عرق، وأوّله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الرجل عليلاً أو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بأن يؤخر الإحرام إلى ذات عرق</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تلبي سراً بالتلبيات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المفترضات</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والنعمة لك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لك لبّيك</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309" w:name="pg9076_119821"/>
    </w:p>
    <w:p>
      <w:pPr>
        <w:pStyle w:val="Heading5"/>
        <w:numPr>
          <w:ilvl w:val="4"/>
          <w:numId w:val="1"/>
        </w:numPr>
        <w:rPr/>
      </w:pPr>
      <w:bookmarkStart w:id="310" w:name="__RefHeading___Toc2580545_2870459653"/>
      <w:bookmarkStart w:id="311" w:name="_Toc110"/>
      <w:bookmarkEnd w:id="309"/>
      <w:bookmarkEnd w:id="310"/>
      <w:r>
        <w:rPr>
          <w:rtl w:val="true"/>
        </w:rPr>
        <w:t>باب دخول مكة</w:t>
      </w:r>
      <w:bookmarkEnd w:id="3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نظرت إلى بيوت مكة فاقطع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عقبة المدنيين أو بحذائها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أخذ على طريق المدينة قطع التلبية إذا نظر إلى عريش مكة، وهو عقبة ذي طوى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2580547_2870459653"/>
      <w:bookmarkStart w:id="313" w:name="_Toc111"/>
      <w:bookmarkEnd w:id="312"/>
      <w:r>
        <w:rPr>
          <w:rtl w:val="true"/>
        </w:rPr>
        <w:t>باب محرمات الإحرام</w:t>
      </w:r>
      <w:bookmarkEnd w:id="3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اتقِ في إحرامك الكذب واليمين الكاذبة والصادقة وهو الجدال، والجدال قول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جادلت مرّة أو مرّتين وأنت صادق فلا شيء عليك، فإن جادلت ثلاثاً وأنت صادق فعليك دم شاة، فإن جادلت مرّة كاذباً فعليك دم شاة، وإن جادلت مرتين كاذباً فعليك دم بقرة، وإن جادلت كاذباً ثلاثاً فعليك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والفسوق الكذب فاستغفر الله منه، والرفث الجماع، فإذا جامعت وأنت محرم في الفرج فعليك بدنة والحج من قابل، ويجب أن يفرق بينك وبين أهلك حتى تقضيا المناسك، ثم تجتمعان، فإن أخذتما على طريق غير الذي كنتما أخذتما عليه عام أول لم يفرق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وتلزم المرأة بدنة إذا جامعها الرجل فإن أكرهها لزمته بدنتان ولم يلزم المرأة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جماعك دون الفرج فعليك بدنة وليس عليك الحج من قابل</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جامعت وأنت محرم قبل أن تقف بالمشعر فعليك بدنة والحج من قابل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الصيد أسداً ذبحت كبشاً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صاد بقرة أو حمار وحش فعليه بقرة، فإن لم يجد أطعم ثلاثين مسكيناً، فإن لم يقدر صام تسعة أيام</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الثعلب والأرنب دم شاة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صاد ظبياً فعليه شاة، فإن لم يجد أطعم عشرة 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مسكين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يستطع صام ثلاثة أيام</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رميت ظبياً فأدميته أو كسرت يده أو رجله أو كسرت قرنه</w:t>
      </w:r>
      <w:r>
        <w:rPr>
          <w:rStyle w:val="FootnoteAnchor"/>
          <w:rtl w:val="true"/>
        </w:rPr>
        <w:footnoteReference w:id="542"/>
      </w:r>
      <w:r>
        <w:rPr>
          <w:rFonts w:ascii="Amiri" w:hAnsi="Amiri" w:eastAsia="Amiri" w:cs="Amiri"/>
          <w:color w:val="111111"/>
          <w:sz w:val="28"/>
          <w:sz w:val="28"/>
          <w:szCs w:val="28"/>
          <w:rtl w:val="true"/>
          <w:lang w:bidi="ar-SA"/>
        </w:rPr>
        <w:t>، ثم رأيته بعد ذلك صحيحاً تصدقت بشيء</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والظاهر أن عبارة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رميت ظبياً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انظر الفقه 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قتل المحرم نعامة فعليه جزور</w:t>
      </w:r>
      <w:r>
        <w:rPr>
          <w:rStyle w:val="FootnoteAnchor"/>
          <w:rtl w:val="true"/>
        </w:rPr>
        <w:footnoteReference w:id="544"/>
      </w:r>
      <w:r>
        <w:rPr>
          <w:rFonts w:ascii="Amiri" w:hAnsi="Amiri" w:eastAsia="Amiri" w:cs="Amiri"/>
          <w:color w:val="111111"/>
          <w:sz w:val="28"/>
          <w:sz w:val="28"/>
          <w:szCs w:val="28"/>
          <w:rtl w:val="true"/>
          <w:lang w:bidi="ar-SA"/>
        </w:rPr>
        <w:t>، فإن لم يجد فإطعام ستين مسكيناً، لكل مسكين مدّ من طعام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أكلت بيضها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دم شاة، وكذلك إن وطئتها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وطئتها</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وكان فيها فرخ يتحرك فعليك أن ترسل فحولة من الإبل على الإناث بقدر عدد البيض، فما نتج منها فهو هدي لبيت الله تعالى</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الصيد يعقوباً أو حجلة أو بلبلة أو عصفوراً أو شيئاً من الطير فعليك دم شاة، واليعقوب الذكر من القبج والحجلة الانثى</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بيض القطاة إذا أصابه قيمته، فإن وطئتها وفيها فراخ تتحرك فعليك أن ترسل الذكر من المعز على عددها من الإناث على قدر عدد البيض فما نتج فهو هدي لبيت الله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314" w:name="pg9076_119824"/>
    </w:p>
    <w:p>
      <w:pPr>
        <w:pStyle w:val="BookText"/>
        <w:rPr/>
      </w:pPr>
      <w:bookmarkEnd w:id="31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نفّر حمام الحرم فعليه دم شاة، فإن لم ترجع فعليه لكل طير شاة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قتلت جرادة تصدقت بتمرة، والتمرة خير من جرادة فإن كان الجراد كثيراً ذبحت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أكلت منه فعليك دم شاة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أصاب يربوعاً أو قنفذاً أو ضبّاً أو ما أشبهه كان عليه جدي</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قتلت زنبوراً تصدقت بكف من طعام</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شيء أتيته في الحرم بجهالة، وأنت محل أو محرم أو أتيته في الحل وأنت محرم، فليس عليك شيء، إلا الصيد فإن عليك فداءه، فإن تعمّدته كان عليك فداؤه وإثمه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2580549_2870459653"/>
      <w:bookmarkStart w:id="316" w:name="_Toc112"/>
      <w:bookmarkEnd w:id="315"/>
      <w:r>
        <w:rPr>
          <w:rtl w:val="true"/>
        </w:rPr>
        <w:t>باب بيان محل موضع النحر أو الذبح</w:t>
      </w:r>
      <w:bookmarkEnd w:id="3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ما أتيته من الصيد في عمرة أو متعة فعليك أن تنحر أو تذبح ما يلزمك من الجزاء بمكة عند الحزورة قبالة الكعبة موضع النحر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أخرته إلى أيام التشريق فتنحره بمنى إذا وجب عليك في متعة</w:t>
      </w:r>
      <w:r>
        <w:rPr>
          <w:rFonts w:eastAsia="Amiri" w:cs="Amiri" w:ascii="Amiri" w:hAnsi="Amiri"/>
          <w:color w:val="111111"/>
          <w:sz w:val="28"/>
          <w:szCs w:val="28"/>
          <w:rtl w:val="true"/>
          <w:lang w:bidi="ar-SA"/>
        </w:rPr>
        <w:t>.</w:t>
      </w:r>
      <w:bookmarkStart w:id="317" w:name="pg9076_119825"/>
    </w:p>
    <w:p>
      <w:pPr>
        <w:pStyle w:val="BookText"/>
        <w:rPr/>
      </w:pPr>
      <w:bookmarkEnd w:id="317"/>
      <w:r>
        <w:rPr>
          <w:rFonts w:ascii="Amiri" w:hAnsi="Amiri" w:eastAsia="Amiri" w:cs="Amiri"/>
          <w:color w:val="111111"/>
          <w:sz w:val="28"/>
          <w:sz w:val="28"/>
          <w:szCs w:val="28"/>
          <w:rtl w:val="true"/>
          <w:lang w:bidi="ar-SA"/>
        </w:rPr>
        <w:t>وما أتيته فيما يجب عليك فيه الجزاء في حج فلا تنحره إلا بمنى</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عليك دم واجب وقلدته أو أحللته أو أشعرته فلا تنحره إلا يوم النحر بمنى</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2580551_2870459653"/>
      <w:bookmarkStart w:id="319" w:name="_Toc113"/>
      <w:bookmarkEnd w:id="318"/>
      <w:r>
        <w:rPr>
          <w:rtl w:val="true"/>
        </w:rPr>
        <w:t>باب الطواف</w:t>
      </w:r>
      <w:bookmarkEnd w:id="3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تدرِ ستة طفت أم سبعة فأتمها بواحد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سهوت وطفت طواف الفريضة ثمانية أشواط، فزد عليها ستة أشواط، وصلِّ عند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اسعَ بين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تأتي المقام فصلّ خلفه ركعتي الطواف</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الفريضة هي الطواف الثاني</w:t>
      </w:r>
      <w:r>
        <w:rPr>
          <w:rStyle w:val="FootnoteAnchor"/>
          <w:rtl w:val="true"/>
        </w:rPr>
        <w:footnoteReference w:id="559"/>
      </w:r>
      <w:r>
        <w:rPr>
          <w:rFonts w:ascii="Amiri" w:hAnsi="Amiri" w:eastAsia="Amiri" w:cs="Amiri"/>
          <w:color w:val="111111"/>
          <w:sz w:val="28"/>
          <w:sz w:val="28"/>
          <w:szCs w:val="28"/>
          <w:rtl w:val="true"/>
          <w:lang w:bidi="ar-SA"/>
        </w:rPr>
        <w:t>، والركعتين الأوليتين لطواف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والركعتين الأخيرتين والطواف الأول تطوع</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أن يصلي ركعتي طواف الحج والعمرة إلا خلف المقام حيث هو الساعة</w:t>
      </w:r>
      <w:r>
        <w:rPr>
          <w:rFonts w:eastAsia="Amiri" w:cs="Amiri" w:ascii="Amiri" w:hAnsi="Amiri"/>
          <w:color w:val="111111"/>
          <w:sz w:val="28"/>
          <w:szCs w:val="28"/>
          <w:rtl w:val="true"/>
          <w:lang w:bidi="ar-SA"/>
        </w:rPr>
        <w:t>.</w:t>
      </w:r>
      <w:bookmarkStart w:id="320" w:name="pg9076_119826"/>
    </w:p>
    <w:p>
      <w:pPr>
        <w:pStyle w:val="BookText"/>
        <w:rPr/>
      </w:pPr>
      <w:bookmarkEnd w:id="320"/>
      <w:r>
        <w:rPr>
          <w:rFonts w:ascii="Amiri" w:hAnsi="Amiri" w:eastAsia="Amiri" w:cs="Amiri"/>
          <w:color w:val="111111"/>
          <w:sz w:val="28"/>
          <w:sz w:val="28"/>
          <w:szCs w:val="28"/>
          <w:rtl w:val="true"/>
          <w:lang w:bidi="ar-SA"/>
        </w:rPr>
        <w:t>ولا بأس أن تصلّي ركعتي طواف النساء وغيره حيث شئت من المسجد الحرام</w:t>
      </w:r>
      <w:r>
        <w:rPr>
          <w:rStyle w:val="FootnoteAnchor"/>
          <w:rtl w:val="true"/>
        </w:rPr>
        <w:footnoteReference w:id="561"/>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حاضت المرأة وهي في الطواف بالبيت أو بالصفا والمروة، وجاوزت النصف فلتُعلِّم على الموضع الذي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طهرت رجعت فأتمت بقية طوافها من الموضع الذي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هي قطعت طوافها في أقل من النصف، فعليها أن تستأنف الطواف من أوله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ومتى لم يطف الرجل طواف النساء، لم يحل له النساء، حتى يطوف، وكذلك المرأة لا يجوز لها أن تجامع حتى تطوف طواف النساء</w:t>
      </w:r>
      <w:r>
        <w:rPr>
          <w:rStyle w:val="FootnoteAnchor"/>
          <w:rtl w:val="true"/>
        </w:rPr>
        <w:footnoteReference w:id="564"/>
      </w:r>
      <w:r>
        <w:rPr>
          <w:rFonts w:ascii="Amiri" w:hAnsi="Amiri" w:eastAsia="Amiri" w:cs="Amiri"/>
          <w:color w:val="111111"/>
          <w:sz w:val="28"/>
          <w:sz w:val="28"/>
          <w:szCs w:val="28"/>
          <w:rtl w:val="true"/>
          <w:lang w:bidi="ar-SA"/>
        </w:rPr>
        <w:t xml:space="preserve">، إلا أن يكونا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طافا طواف الوداع فهو طواف النساء</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2580553_2870459653"/>
      <w:bookmarkStart w:id="322" w:name="_Toc114"/>
      <w:bookmarkEnd w:id="321"/>
      <w:r>
        <w:rPr>
          <w:rtl w:val="true"/>
        </w:rPr>
        <w:t>باب وقت الإحرام للحج</w:t>
      </w:r>
      <w:bookmarkEnd w:id="3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يوم التروية فاغتسل والبس ثياب إحرامك، وائت المسجد حافياً، وعليك السكينة والوقار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عند المقام الظهرَ والعصرَ، واعقد إحرامك للحج في دبر العصر وإن </w:t>
      </w:r>
      <w:bookmarkStart w:id="323" w:name="pg9076_119827"/>
    </w:p>
    <w:p>
      <w:pPr>
        <w:pStyle w:val="BookText"/>
        <w:rPr/>
      </w:pPr>
      <w:bookmarkEnd w:id="323"/>
      <w:r>
        <w:rPr>
          <w:rFonts w:ascii="Amiri" w:hAnsi="Amiri" w:eastAsia="Amiri" w:cs="Amiri"/>
          <w:color w:val="111111"/>
          <w:sz w:val="28"/>
          <w:sz w:val="28"/>
          <w:szCs w:val="28"/>
          <w:rtl w:val="true"/>
          <w:lang w:bidi="ar-SA"/>
        </w:rPr>
        <w:t>شئت في دبر الظهر بالحج مفرداً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2580555_2870459653"/>
      <w:bookmarkStart w:id="325" w:name="_Toc115"/>
      <w:bookmarkEnd w:id="324"/>
      <w:r>
        <w:rPr>
          <w:rtl w:val="true"/>
        </w:rPr>
        <w:t>باب التلبية</w:t>
      </w:r>
      <w:bookmarkEnd w:id="3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زالت الشمس يوم عرفة فاقطع التلبية</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دخل مكة مفرداً للعمرة فليقطع التلبية إنْ شاء في الحرم وإنْ شاء في الكعبة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خرجت إلى الأبطح فارفع صوتك بالتلبية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2580557_2870459653"/>
      <w:bookmarkStart w:id="327" w:name="_Toc116"/>
      <w:bookmarkEnd w:id="326"/>
      <w:r>
        <w:rPr>
          <w:rtl w:val="true"/>
        </w:rPr>
        <w:t>باب المحصور والمصدود</w:t>
      </w:r>
      <w:bookmarkEnd w:id="3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قرن الرجل الحج والعمرة وأحصر، بعث هدياً مع هديه ولا يحل حتى يبلغ الهدي محلّه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بلغ الهدي محلّه قصّر من شعر رأسه وحلّ له كلّ شيء إلا النساء</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صدّ رجل عن الحج، وقد أحرم فعليه الحج من قابل، ولا بأس بمواقعة النساء، لأنه مصدود وليس كالمحصور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9076_119828"/>
    </w:p>
    <w:p>
      <w:pPr>
        <w:pStyle w:val="BookText"/>
        <w:rPr/>
      </w:pPr>
      <w:bookmarkEnd w:id="3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أنَّ رجلاً حبسه سلطان جائر بمكة وهو متمتع بالعمرة إلى الحج، فلم يطلق عنه إلى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عليه أنْ يلحق الناس بجمع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ينصرف إلى منى فيرمي ويذبح ويحلق رأسه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خلى عنه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مصدود عن الحج، وإنْ كان دخل مكة متمتعاً بالعمرة إلى الحج فليطف بالبيت أسبوعاً ويسعى أسبوعاً ويحلق رأسه ويذبح شاة</w:t>
      </w:r>
      <w:r>
        <w:rPr>
          <w:rStyle w:val="FootnoteAnchor"/>
          <w:rtl w:val="true"/>
        </w:rPr>
        <w:footnoteReference w:id="572"/>
      </w:r>
      <w:r>
        <w:rPr>
          <w:rFonts w:ascii="IRNazanin" w:hAnsi="IRNazanin" w:eastAsia="IRNazanin"/>
          <w:color w:val="111111"/>
          <w:sz w:val="28"/>
          <w:sz w:val="28"/>
          <w:szCs w:val="28"/>
          <w:rtl w:val="true"/>
          <w:lang w:bidi="fa-IR"/>
        </w:rPr>
        <w:t xml:space="preserve">، وإن كان دخل مكة مفرداً بالحج فليس عليه الذبح ولا شيء عليه، بل يطوف بالبيت ويصلي عند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ويسعى بين الصفا والمروة ويجعلها عمرة ويلحق بأهله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2580559_2870459653"/>
      <w:bookmarkStart w:id="330" w:name="_Toc117"/>
      <w:bookmarkEnd w:id="329"/>
      <w:r>
        <w:rPr>
          <w:rtl w:val="true"/>
        </w:rPr>
        <w:t>باب الإفاضة من المشعر وعرفات</w:t>
      </w:r>
      <w:bookmarkEnd w:id="3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وإياك أنْ تفيض منها قبل طلوع الشمس، ولا من عرفات قبل غروبها فيلزمك دم شاة</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أتيت المزدلفة وهي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مزدلفة جمعاً لأنه يجمع فيها بين المغرب والعشاء بأذان واحد 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بها المغرب والعشاء الآخر بأذان واحد وإقامتين</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bookmarkStart w:id="331" w:name="pg9076_119829"/>
    </w:p>
    <w:p>
      <w:pPr>
        <w:pStyle w:val="Heading5"/>
        <w:numPr>
          <w:ilvl w:val="4"/>
          <w:numId w:val="1"/>
        </w:numPr>
        <w:rPr/>
      </w:pPr>
      <w:bookmarkStart w:id="332" w:name="__RefHeading___Toc2580561_2870459653"/>
      <w:bookmarkStart w:id="333" w:name="_Toc118"/>
      <w:bookmarkEnd w:id="331"/>
      <w:bookmarkEnd w:id="332"/>
      <w:r>
        <w:rPr>
          <w:rtl w:val="true"/>
        </w:rPr>
        <w:t>باب التحلل في الحج ومواضعه</w:t>
      </w:r>
      <w:bookmarkEnd w:id="3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أنَّك إذا رميت جمرة العقبة حلَّ لك كلّ شيء إلا النساء والطيب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طفت طواف الحج حلّ لك كلّ شيء إلا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طفت طواف النساء حلّ لك كل شيء إلا الصيد؛ فإنَّه حرام على المحل في الحرم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تمتع رجل بالعمرة إلى الحج، فدخل مكة فطاف وسعى ولبس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ونسي أن يقصر حتى خرج إلى عرفات، فلا بأس به يبني على العمرة وطوافها وعليه 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2580563_2870459653"/>
      <w:bookmarkStart w:id="335" w:name="_Toc119"/>
      <w:bookmarkEnd w:id="334"/>
      <w:r>
        <w:rPr>
          <w:rtl w:val="true"/>
        </w:rPr>
        <w:t>مستحبات الزيارة والطواف</w:t>
      </w:r>
      <w:bookmarkEnd w:id="3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وتغتسل لزيارة البيت، وإن زرت نهاراً فدخل عليك الليل في طريقك أو في طوافك أو في سعيك فلا بأس به ما لم ينقض الوضوء، وإنْ نقض الوضوء أعدت الغسل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إذا خرجت من منى ليلاً وقد اغتسلت، وأصبحت في طريقك أو في طوافك وسعيك فلا شيء عليك فيما لا ينقض الوضوء، فإن نقضت الوضوء أعدت الغسل وطفت بالبيت طواف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طواف الحج سبعة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وصلّيت عند المقام ركعتين، وسعيت بين الصفا والمروة كما فعلت عند المتعة سبعة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تطوف بالبيت أسبوعاً وهو طواف النساء</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bookmarkStart w:id="336" w:name="pg9076_119830"/>
    </w:p>
    <w:p>
      <w:pPr>
        <w:pStyle w:val="BookText"/>
        <w:rPr/>
      </w:pPr>
      <w:bookmarkEnd w:id="336"/>
      <w:r>
        <w:rPr>
          <w:rFonts w:ascii="Amiri" w:hAnsi="Amiri" w:eastAsia="Amiri" w:cs="Amiri"/>
          <w:color w:val="111111"/>
          <w:sz w:val="28"/>
          <w:sz w:val="28"/>
          <w:szCs w:val="28"/>
          <w:rtl w:val="true"/>
          <w:lang w:bidi="ar-SA"/>
        </w:rPr>
        <w:t>وقت فوات المتعة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الحائض إذا طهرت يوم التروية قبل زوال الشمس فقد أدركت متعتها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التروية فقد بطلت متعتها فتجعلها حجة مفردة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2580565_2870459653"/>
      <w:bookmarkStart w:id="338" w:name="_Toc120"/>
      <w:bookmarkEnd w:id="337"/>
      <w:r>
        <w:rPr>
          <w:rtl w:val="true"/>
        </w:rPr>
        <w:t>باب الهدي</w:t>
      </w:r>
      <w:bookmarkEnd w:id="3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وجدت الثمن ولم تجد الهدي، فخلّف الثمن عند رجل من أهل مكة ليشتري لك في ذي الحجة ويذبحه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مضت ذو الحجة ولم يشترِ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 إلى قابل ذي الحجة لأن أيام الذبح قد مضت</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في الأضاحي من البدن إلا الثني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تمَّ له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في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ويجزي من المعز والبقر الثني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تم له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ويجزي الضأن الجذع 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وتجزي البقرة عن خمسة نفر إذا كانوا من أهل بيت</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البقرة لا تجزي إلا عن واحد</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339" w:name="pg9076_119831"/>
    </w:p>
    <w:p>
      <w:pPr>
        <w:pStyle w:val="BookText"/>
        <w:rPr/>
      </w:pPr>
      <w:bookmarkEnd w:id="339"/>
      <w:r>
        <w:rPr>
          <w:rFonts w:ascii="Amiri" w:hAnsi="Amiri" w:eastAsia="Amiri" w:cs="Amiri"/>
          <w:color w:val="111111"/>
          <w:sz w:val="28"/>
          <w:sz w:val="28"/>
          <w:szCs w:val="28"/>
          <w:rtl w:val="true"/>
          <w:lang w:bidi="ar-SA"/>
        </w:rPr>
        <w:t xml:space="preserve">وإذا عزت الأضاحي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بمنى</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أجزأت شاة عن سبعين</w:t>
      </w:r>
      <w:r>
        <w:rPr>
          <w:rStyle w:val="FootnoteAnchor"/>
          <w:rtl w:val="true"/>
        </w:rPr>
        <w:footnoteReference w:id="582"/>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وجد الهدي ولم يجد الثمن صام 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قبل التروية ويوم التروية ويوم عرفة، وسبعة أيام إذا رجع إلى أهله تلك عشرة كاملة لجزاء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فاته صوم هذه الثلاثة أيام تسحّر ليلة الحصبة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ليلة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صائماً وصام يومين من 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2580567_2870459653"/>
      <w:bookmarkStart w:id="341" w:name="_Toc121"/>
      <w:bookmarkEnd w:id="340"/>
      <w:r>
        <w:rPr>
          <w:rtl w:val="true"/>
        </w:rPr>
        <w:t>باب رمي الجمار</w:t>
      </w:r>
      <w:bookmarkEnd w:id="3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ومطلق لك رمي الجمار من أول النهار إلى الزوال، وقد روي من أول النهار إلى آخره</w:t>
      </w:r>
      <w:r>
        <w:rPr>
          <w:rStyle w:val="FootnoteAnchor"/>
          <w:rtl w:val="true"/>
        </w:rPr>
        <w:footnoteReference w:id="584"/>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تقف في وسط الوادي مستقبل القبلة يكون بينك وبين الجمرة عشر خطوات أو خمس عشرة خطوة،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ويدعو والحصى في يده اليسرى ويرميها من قبل وجهها لا </w:t>
      </w:r>
    </w:p>
    <w:p>
      <w:pPr>
        <w:pStyle w:val="BookText"/>
        <w:rPr/>
      </w:pPr>
      <w:r>
        <w:rPr>
          <w:rFonts w:ascii="IRNazanin" w:hAnsi="IRNazanin" w:eastAsia="IRNazanin"/>
          <w:color w:val="111111"/>
          <w:sz w:val="28"/>
          <w:sz w:val="28"/>
          <w:szCs w:val="28"/>
          <w:rtl w:val="true"/>
          <w:lang w:bidi="fa-IR"/>
        </w:rPr>
        <w:t>من أعلاها</w:t>
      </w:r>
      <w:r>
        <w:rPr>
          <w:rFonts w:eastAsia="IRNazanin" w:cs="IRNazanin"/>
          <w:color w:val="111111"/>
          <w:sz w:val="28"/>
          <w:szCs w:val="28"/>
          <w:rtl w:val="true"/>
          <w:lang w:bidi="fa-IR"/>
        </w:rPr>
        <w:t>)</w:t>
      </w:r>
      <w:r>
        <w:rPr>
          <w:rStyle w:val="FootnoteAnchor"/>
          <w:rtl w:val="true"/>
        </w:rPr>
        <w:footnoteReference w:id="586"/>
      </w:r>
      <w:r>
        <w:rPr>
          <w:rFonts w:ascii="Amiri" w:hAnsi="Amiri" w:eastAsia="Amiri" w:cs="Amiri"/>
          <w:color w:val="111111"/>
          <w:sz w:val="28"/>
          <w:sz w:val="28"/>
          <w:szCs w:val="28"/>
          <w:rtl w:val="true"/>
          <w:lang w:bidi="ar-SA"/>
        </w:rPr>
        <w:t>، وتقول وأنت مستقبل القبلة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والجمرة اسم للأرض</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ولتكن الحصاة منقطة كُحلية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جهلت ورميت إلى الأولى بسبع حصيات وإلى الثانية بست وإلى الثالثة بثلاث فارم على الثانية واحدة وأعد الثالثة، ومتى لم يجزِ النصف فأعد الرمي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جزت النصف فابن على ما رميت، وإذا رميت إلى الجمرة الأولى دون النصف فعليك أن تعيد الرمي إليها وإلى ما بعدها من أوّله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الحصى في يد المنوب العاجز، ثم يأخذها النائب من يده إن أمكن حمله إليها فإنه مستحب، ومُرْهُ أن يرمي من كفه إلى كفك وارمِ أنت من كفك إلى الجمرة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9076_119833"/>
    </w:p>
    <w:p>
      <w:pPr>
        <w:pStyle w:val="Heading4"/>
        <w:numPr>
          <w:ilvl w:val="3"/>
          <w:numId w:val="1"/>
        </w:numPr>
        <w:rPr/>
      </w:pPr>
      <w:bookmarkStart w:id="343" w:name="__RefHeading___Toc2580569_2870459653"/>
      <w:bookmarkStart w:id="344" w:name="_Toc122"/>
      <w:bookmarkEnd w:id="342"/>
      <w:bookmarkEnd w:id="343"/>
      <w:r>
        <w:rPr>
          <w:rtl w:val="true"/>
        </w:rPr>
        <w:t>باب النكاح</w:t>
      </w:r>
      <w:bookmarkEnd w:id="3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النساء خلقن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فمنهن الغنيمة والغرام</w:t>
      </w:r>
    </w:p>
    <w:p>
      <w:pPr>
        <w:pStyle w:val="BookText"/>
        <w:rPr/>
      </w:pPr>
      <w:r>
        <w:rPr>
          <w:rFonts w:ascii="IRNazanin" w:hAnsi="IRNazanin" w:eastAsia="IRNazanin"/>
          <w:color w:val="111111"/>
          <w:sz w:val="28"/>
          <w:sz w:val="28"/>
          <w:szCs w:val="28"/>
          <w:rtl w:val="true"/>
          <w:lang w:bidi="fa-IR"/>
        </w:rPr>
        <w:t xml:space="preserve">ومنهن الهلال إذا تجلى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لصاحبه ومنهن الظلام</w:t>
      </w:r>
    </w:p>
    <w:p>
      <w:pPr>
        <w:pStyle w:val="BookText"/>
        <w:rPr/>
      </w:pPr>
      <w:r>
        <w:rPr>
          <w:rFonts w:ascii="Amiri" w:hAnsi="Amiri" w:eastAsia="Amiri" w:cs="Amiri"/>
          <w:color w:val="111111"/>
          <w:sz w:val="28"/>
          <w:sz w:val="28"/>
          <w:szCs w:val="28"/>
          <w:rtl w:val="true"/>
          <w:lang w:bidi="ar-SA"/>
        </w:rPr>
        <w:t xml:space="preserve">فمن يظفر بصالحهن يسعد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يغبن فليس له انتقام</w:t>
      </w:r>
      <w:r>
        <w:rPr>
          <w:rStyle w:val="FootnoteAnchor"/>
          <w:rtl w:val="true"/>
        </w:rPr>
        <w:footnoteReference w:id="5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تزوجت يهودية أو نصرانية فامنعها من شرب الخمر وأكل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إنَّ عليك في دينك في تزويجك إياها غضاضة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أن يتزوج من أهل الكتاب ولا من الإماء إلا أثنتين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تتزوج من الحرائر المسلمات أربعاً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النسبة تأمل؛ لأن العلامة بعد نقل قول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ابنه في المقنع وزاد قوله وتزويج المجوسية حرام ولكن إذا كان للرجل أمة مجوسية فلا بأس أن يطأها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الصدوق في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لعلي بن بابويه رأي في المسألة لبينه العلامة الحلي، ولعلّ الوهم نشأ من إرجاع الضمير إلى علي بن بابويه في عبارة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أن علي بن بابويه ليس لديه قول في المسألة أنه لم ينقل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اعتاد نقل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عنه فانظر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والمهذب البارع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والمقتصر من شرح المختصر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وغاية المرام في شرح شرائع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في غاية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 بن بابويه ظاهره كراهية التزويج بالفريقين وكذا ابنه الصدوق وزاد التصريح بتحريم المجوسية وجوّز وطأها ملكاً ويعزل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تزوج الرجل امرأة فوجدها قرناء</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عفلاء</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برصاء</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بها زمانة ظاهرة، كان له أن يردّها إلى أهلها بغير طلاق</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تزوّجها خصي قد دلّس نفسه لها وهي لا تعلم فرّق بينهما، ويوجع ظهره كما دلّس</w:t>
      </w:r>
      <w:r>
        <w:rPr>
          <w:rStyle w:val="FootnoteAnchor"/>
          <w:rtl w:val="true"/>
        </w:rPr>
        <w:footnoteReference w:id="597"/>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نصف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عدّة عليها منه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جامعتها وهي حائض في أول الحيض فعليك أن تتصدق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وسطه فنصف دينار، وإنْ كان في آخره فربع دينار</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ادعت المرأة على زوجها أنّه عنّين، وأنكر الرجل أن يكون كذلك فإن الحكم فيه أن يقعد في ماء بارد فإن استرخى ذكره فهو عنّين، وإن تشنّج فليس بعنّين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المرأة ثيباً وأدعت أنه لا يجامعها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عنيناً كان أو غير 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الرجل إنه قد جامعها فعليه اليمين، وعليها البيّنة لأنها مدعية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تزوّجها عنّين وهي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 حتى يعالج نفسه سنة، فإنْ صلح فهي امرأته على النكاح الأول، وإنْ لم يصلح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نصف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عدّة عليها</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النشوز فهو ارتفاع أحد الزوجين عن طاعة صاحبه فيما يجب له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النشوز من قبل المرأة؛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تخافون نشوزهن فعظوهن واهجروهن في المضاجع</w:t>
      </w:r>
      <w:r>
        <w:rPr>
          <w:rFonts w:eastAsia="Amiri" w:cs="Amiri" w:ascii="Amiri" w:hAnsi="Amiri"/>
          <w:color w:val="111111"/>
          <w:sz w:val="28"/>
          <w:szCs w:val="28"/>
          <w:rtl w:val="true"/>
          <w:lang w:bidi="ar-SA"/>
        </w:rPr>
        <w:t>]</w:t>
      </w:r>
      <w:r>
        <w:rPr>
          <w:rStyle w:val="FootnoteAnchor"/>
          <w:rtl w:val="true"/>
        </w:rPr>
        <w:footnoteReference w:id="604"/>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الهجران أن</w:t>
      </w:r>
      <w:r>
        <w:rPr>
          <w:rStyle w:val="FootnoteAnchor"/>
          <w:rtl w:val="true"/>
        </w:rPr>
        <w:footnoteReference w:id="606"/>
      </w:r>
      <w:r>
        <w:rPr>
          <w:rFonts w:ascii="Amiri" w:hAnsi="Amiri" w:eastAsia="Amiri" w:cs="Amiri"/>
          <w:color w:val="111111"/>
          <w:sz w:val="28"/>
          <w:sz w:val="28"/>
          <w:szCs w:val="28"/>
          <w:rtl w:val="true"/>
          <w:lang w:bidi="ar-SA"/>
        </w:rPr>
        <w:t>يحوّل إليها ظهره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الشقاق فقد يكون من المرأة والرجل جميعاً وهو 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خفتم شقاق بينهما فابعثوا حكماً من أهله وحكماً من أهلها</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فيختار الرجل رجلاً وتختار المرأة رجلاً فيجتمعان على فرقة أو صلح</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تزوجت رجلاً وأصابه بعد ذلك جنون فبلغ به مبلغاً لا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أوقات الصلاة فرّق بينهما</w:t>
      </w:r>
      <w:r>
        <w:rPr>
          <w:rFonts w:eastAsia="Amiri" w:cs="Amiri" w:ascii="Amiri" w:hAnsi="Amiri"/>
          <w:color w:val="111111"/>
          <w:sz w:val="28"/>
          <w:szCs w:val="28"/>
          <w:rtl w:val="true"/>
          <w:lang w:bidi="ar-SA"/>
        </w:rPr>
        <w:t xml:space="preserve">. </w:t>
      </w:r>
      <w:bookmarkStart w:id="345" w:name="pg9076_119836"/>
    </w:p>
    <w:p>
      <w:pPr>
        <w:pStyle w:val="BookText"/>
        <w:rPr/>
      </w:pPr>
      <w:bookmarkEnd w:id="345"/>
      <w:r>
        <w:rPr>
          <w:rFonts w:ascii="Amiri" w:hAnsi="Amiri" w:eastAsia="Amiri" w:cs="Amiri"/>
          <w:color w:val="111111"/>
          <w:sz w:val="28"/>
          <w:sz w:val="28"/>
          <w:szCs w:val="28"/>
          <w:rtl w:val="true"/>
          <w:lang w:bidi="ar-SA"/>
        </w:rPr>
        <w:t>وإنْ عرف أوقات الصلاة فلتصبر المرأة فقد بليت</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2580571_2870459653"/>
      <w:bookmarkStart w:id="347" w:name="_Toc123"/>
      <w:bookmarkEnd w:id="346"/>
      <w:r>
        <w:rPr>
          <w:rtl w:val="true"/>
        </w:rPr>
        <w:t>باب الطلاق</w:t>
      </w:r>
      <w:bookmarkEnd w:id="3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يقع الطلاق بإجبار ولا إكراه ولا على شك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طلاق السنة وطلاق العدة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التخيير</w:t>
      </w:r>
      <w:r>
        <w:rPr>
          <w:rStyle w:val="FootnoteAnchor"/>
          <w:rtl w:val="true"/>
        </w:rPr>
        <w:footnoteReference w:id="612"/>
      </w:r>
      <w:r>
        <w:rPr>
          <w:rFonts w:ascii="IRNazanin" w:hAnsi="IRNazanin" w:eastAsia="IRNazanin"/>
          <w:color w:val="111111"/>
          <w:sz w:val="28"/>
          <w:sz w:val="28"/>
          <w:szCs w:val="28"/>
          <w:rtl w:val="true"/>
          <w:lang w:bidi="fa-IR"/>
        </w:rPr>
        <w:t xml:space="preserve">فأصل ذلك أن الله عز وجل أنف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لمقالة</w:t>
      </w:r>
      <w:r>
        <w:rPr>
          <w:rStyle w:val="FootnoteAnchor"/>
          <w:rtl w:val="true"/>
        </w:rPr>
        <w:footnoteReference w:id="613"/>
      </w:r>
      <w:r>
        <w:rPr>
          <w:rFonts w:ascii="IRNazanin" w:hAnsi="IRNazanin" w:eastAsia="IRNazanin"/>
          <w:color w:val="111111"/>
          <w:sz w:val="28"/>
          <w:sz w:val="28"/>
          <w:szCs w:val="28"/>
          <w:rtl w:val="true"/>
          <w:lang w:bidi="fa-IR"/>
        </w:rPr>
        <w:t>قالها بعض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أيرى محمد أنه لو طلقنا لا نجد أكفاءنا من قريش، يتزوجوننا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عز وجل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يعتزل نساءه تسعة وعشرين يوماً</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فاعتزلهن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مشربة أم ابراهيم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إن كنتن تردن الحياة الدنيا وزينتها فتعالين أمتعكن وأسرحكن سراحاً جميلاً وإن كنتن تردن الله ورسوله والدار الآخرة فإن الله أعد للمحسنات منكن أجراً عظيماً</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فاخترن الله ورسوله، فلم يقع الطلاق</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والظاهر أن العلامة في المختلف لم ينقل 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اخترن انفسهن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كنز الفوائد هو الصحيح، ويؤيده ما نقله بعده مباشرة عن المقنع فقد نسب هذا المقطع للصدوق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اخترن أنفسهن لبُنّ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خمساً يطلّقن على كل حال، ولا يحتاج الرجل أن ينتظر طهرهن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والغائب عنها زوجها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والتي لم يدخل بها، والتي لم تبلغ الحيض، والتي قد يئست من الحيض</w:t>
      </w:r>
      <w:r>
        <w:rPr>
          <w:rStyle w:val="FootnoteAnchor"/>
          <w:rtl w:val="true"/>
        </w:rPr>
        <w:footnoteReference w:id="617"/>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راجعها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تضع ما في بطنها أو يمضي لها ثلاثة أشهر ثم أراد طلاقها فليس له ذلك حتى تضع ما في بطنها وتطهر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يطلقها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والغلام إذا طلّق للسنّة فطلاقه جائز</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المعتوه فإذا أراد الطلاق طلّق عنه وليّه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الأخرس إذا أراد أن يطلّق امرأته ألقى على رأسها قناعاً يُري أنها قد حرمت عليه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أراد مراجعتها كشف القناع عنها يُري أنَّه قد حلّت له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ومتى طلّق المظاهر امرأته سقطت عنه الكفارة، فإذا راجعها لزمته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تركها حتى يحل أجلها وتزوجها رجل آخر وطلقها أو مات عنها ثم تزوّجها ودخل بها لم تلزمه الكفارة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والكفارة تحرير رقبة، فمَن لم يجد فصيام شهرين متتابعين من قبل أنْ يتماسا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يستطع فإطعام ستين مسكيناً لكل مسكين مدّ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تصدق بما يطيق</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يرمي الرجل امرأته بالفجور وينكر ولدها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ویتلفظ الزوج باللعان قائماً والزوجظ القاعدة</w:t>
      </w:r>
      <w:r>
        <w:rPr>
          <w:rStyle w:val="FootnoteAnchor"/>
          <w:rtl w:val="true"/>
        </w:rPr>
        <w:footnoteReference w:id="6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تقول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ولك 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رجعت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وهبته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أملك ببضعك، فيطلّقها على هذا، وله أنْ يأخذ منها دون الصداق الذي أعطاها، وليس له أن يأخذ الكل</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الرجل لزوجته خلعتك على كذا وكذا فأنت طالق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9076_119839"/>
    </w:p>
    <w:p>
      <w:pPr>
        <w:pStyle w:val="Heading4"/>
        <w:numPr>
          <w:ilvl w:val="3"/>
          <w:numId w:val="1"/>
        </w:numPr>
        <w:rPr/>
      </w:pPr>
      <w:bookmarkStart w:id="349" w:name="__RefHeading___Toc2580573_2870459653"/>
      <w:bookmarkStart w:id="350" w:name="_Toc124"/>
      <w:bookmarkEnd w:id="348"/>
      <w:bookmarkEnd w:id="349"/>
      <w:r>
        <w:rPr>
          <w:rtl w:val="true"/>
        </w:rPr>
        <w:t>باب المكاسب والتجارات</w:t>
      </w:r>
      <w:bookmarkEnd w:id="3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وأجمل في الطلب واخفض في المكتسب واعلم إنّ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 تطلبه ورزق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تطلبه فاطلبه من حلال، فإنك أكلته حلالاً إنْ طلبته من وجهه، وإلا أكلته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رزقك لابد لك من أكله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تجارتك مكارم الأخلاق والأفعال للدين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رجلاً أعطته امرأته مالاً،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به ما شئت فأراد الرجل أنْ يشتري جارية يطأها لما جاز له، لأنها أرادت مسرته فليس له أن يعمل ما ساءها</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خرج في السلعة عيب وعلم المُشتري فالخيار إليه إنْ شاء ردّ وإنْ شاء أخذه ورد عليه بالقيمة أرش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والقيمة أن تقوّم السلعة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معيبة فيعطى المشتري ما بين القيمتين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وصاحب الحيوان بالخيار ثلاثة أيام للمشتري</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لك على رجل حق</w:t>
      </w:r>
      <w:r>
        <w:rPr>
          <w:rStyle w:val="FootnoteAnchor"/>
          <w:rtl w:val="true"/>
        </w:rPr>
        <w:footnoteReference w:id="631"/>
      </w:r>
      <w:r>
        <w:rPr>
          <w:rFonts w:ascii="Amiri" w:hAnsi="Amiri" w:eastAsia="Amiri" w:cs="Amiri"/>
          <w:color w:val="111111"/>
          <w:sz w:val="28"/>
          <w:sz w:val="28"/>
          <w:szCs w:val="28"/>
          <w:rtl w:val="true"/>
          <w:lang w:bidi="ar-SA"/>
        </w:rPr>
        <w:t>فوجدته بمكة أو في الحرم فلا تطالبه، ولا تسلّم عليه فتفزعه، إلا أن يكون أعطيته حقك في الحرم فلا بأس أنْ تطالبه به في الحرم</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مررت ببساتين فلا بأس أن تأكل من ثمارها، ولا تحمل معك منها شيئاً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بأس للرجل أنْ يأكل أو يأخذ من مال ولده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للولد أن يأخذ من مال والده إلا بإذنه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أرادت الأم أن تأخذ من مال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إلا أن تقوّمه على نفسها لترده عليه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351" w:name="pg9076_119841"/>
    </w:p>
    <w:p>
      <w:pPr>
        <w:pStyle w:val="Heading4"/>
        <w:numPr>
          <w:ilvl w:val="3"/>
          <w:numId w:val="1"/>
        </w:numPr>
        <w:rPr/>
      </w:pPr>
      <w:bookmarkStart w:id="352" w:name="__RefHeading___Toc2580575_2870459653"/>
      <w:bookmarkStart w:id="353" w:name="_Toc125"/>
      <w:bookmarkEnd w:id="351"/>
      <w:bookmarkEnd w:id="352"/>
      <w:r>
        <w:rPr>
          <w:rtl w:val="true"/>
        </w:rPr>
        <w:t>باب الربا</w:t>
      </w:r>
      <w:bookmarkEnd w:id="3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بين المسلم والذمي ربا</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إنّه لا ربا إلا فيما يكال أو يوزن، فلو أن رجلاً باع بعيراً ببعيرين أو بقرة ببقرتين أو ثوباً بثوبين أو أشباه ذلك مما لم يكن فيه كيل ولا وزن لم يكن بذلك بأس</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2580577_2870459653"/>
      <w:bookmarkStart w:id="355" w:name="_Toc126"/>
      <w:bookmarkEnd w:id="354"/>
      <w:r>
        <w:rPr>
          <w:rtl w:val="true"/>
        </w:rPr>
        <w:t>باب الدين</w:t>
      </w:r>
      <w:bookmarkEnd w:id="3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استدان ديناً ونوى قضاءه فهو في أمان الله حتى يقضيه، وإنْ لم ينو قضاءه فهو سارق، واتق الله يا بني وأدّ إلى من له عليك، وارفق بمن لك عليه حتى تأخذه منه في عفاف</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لك على رجل مال فإنْ كان قد أنفق بالمعروف وجب إنظاره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قد أنفقه في المعاصي فطالبه بحقك فليس هو من أهل هذه الآية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bookmarkStart w:id="356" w:name="pg9076_119842"/>
    </w:p>
    <w:p>
      <w:pPr>
        <w:pStyle w:val="BookText"/>
        <w:rPr/>
      </w:pPr>
      <w:bookmarkEnd w:id="3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مات الرجل وعليه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إلا قدر ما يكفَّن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تفضل عليه رجل بكفن كفِّن به، ويقضى بما ترك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تبرع عليه آخر بكفن آخر جعل الذي تبرع عليه لورثته يصلحون به حالهم</w:t>
      </w:r>
      <w:r>
        <w:rPr>
          <w:rStyle w:val="FootnoteAnchor"/>
          <w:rtl w:val="true"/>
        </w:rPr>
        <w:footnoteReference w:id="641"/>
      </w:r>
      <w:r>
        <w:rPr>
          <w:rFonts w:ascii="Amiri" w:hAnsi="Amiri" w:eastAsia="Amiri" w:cs="Amiri"/>
          <w:color w:val="111111"/>
          <w:sz w:val="28"/>
          <w:sz w:val="28"/>
          <w:szCs w:val="28"/>
          <w:rtl w:val="true"/>
          <w:lang w:bidi="ar-SA"/>
        </w:rPr>
        <w:t>لأنَّ هذا ليس بتركة الميت إنما هو شيء صار إليهم بعده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لك دين على قوم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لحظة من لحظاتك الكرام تيسّر على غرمائي بها القضاء، وتيسّر لي بها منهم الإقتضاء،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وقع عليك دين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اغنني بحلالك عن حرامك، وبفضلك عمّن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أكثر من الاستغفار ورطّب لسانك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2580579_2870459653"/>
      <w:bookmarkStart w:id="358" w:name="_Toc127"/>
      <w:bookmarkEnd w:id="357"/>
      <w:r>
        <w:rPr>
          <w:rtl w:val="true"/>
        </w:rPr>
        <w:t>باب اللقطة</w:t>
      </w:r>
      <w:bookmarkEnd w:id="3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اللقطة لقطتان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لقطة الحرم، ولقطة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لقطة الحرم فإنّها تعرَّف سنة، فإنْ جاء صاحبها وإلا تصدّق بها، ولقطة غير الحرم تعرّفها سنة، فإنْ جاء صاحبها وإلا فهي كسبيل مالك، وإنْ كان دون الدرهم فهي لك</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ما تستعمله في اللقطة إذا وجدتها في الحرم أو غير الحرم أن تتركها ولا</w:t>
      </w:r>
      <w:bookmarkStart w:id="359" w:name="pg9076_119843"/>
    </w:p>
    <w:p>
      <w:pPr>
        <w:pStyle w:val="BookText"/>
        <w:rPr/>
      </w:pPr>
      <w:bookmarkEnd w:id="359"/>
      <w:r>
        <w:rPr>
          <w:rFonts w:ascii="Amiri" w:hAnsi="Amiri" w:eastAsia="Amiri" w:cs="Amiri"/>
          <w:color w:val="111111"/>
          <w:sz w:val="28"/>
          <w:sz w:val="28"/>
          <w:szCs w:val="28"/>
          <w:rtl w:val="true"/>
          <w:lang w:bidi="ar-SA"/>
        </w:rPr>
        <w:t>تمسّها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وجدت في الحرم ديناراً مطلَّساً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فهو لك لا تعرّفه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وجدت إداوة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أو نعلاً أو سوطاً فلا 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وجدت مسلَّة أو مخيطاً أو سيراً فخذه وانتفع به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وجدت في جوف بقرة أو بعير أو شاة أو غير ذلك صرّة فعرّفها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صاحبها الذي أشتريتها منه، فإن عرفها وإلا فهي كسبيل مالك</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وجدت شاة في الفلاة فخذها فإنّما هي لك أو لأخيك أو للذئب</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2580581_2870459653"/>
      <w:bookmarkStart w:id="361" w:name="_Toc128"/>
      <w:bookmarkEnd w:id="360"/>
      <w:r>
        <w:rPr>
          <w:rtl w:val="true"/>
        </w:rPr>
        <w:t>باب القضاء والأحكام</w:t>
      </w:r>
      <w:bookmarkEnd w:id="3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يا بني إنَّ الحكم في الدعاوى كلّها أن البيّنة على المدعي واليمين على المدعى عليه، فإنْ نكل عن اليمين لزمه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الممسوح الذي لا نقش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وكنز الفوائد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باختلاف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بابويه، والدروس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اللغة للنيسابوري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يوضع فيه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وجدت إداوة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 الإداوة والنعلين والسوطين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وجدت في 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المهذب البارع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الرسالة، ونقل مفاده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المورد مما انفرد ابن فهد الحلي بنقله عن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في مفتاح الكرامة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17/653</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نقل في 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وإيضاح الفوائد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والمهذب البارع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نكول المدعى عليه عن اليمين وإلزامه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ردّ المدعى عليه اليمين عن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للمدعي 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يحلف فلا حقّ له إلا في الحدود، فلا يمين فيها، وفي الدم فإنَّ البيّنة على المدعى عليه واليمين على المدعي لئلا يبطل دم امرئ مسلم</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أن رجلاً ادعى على 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عقاراً أو حيواناً أو غيره وأقام شاهدين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وأقام الذي في يده شاهدين واستوى الشهود في العدالة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لكان الحكم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يخرج الشيء من يدي مالكه إلى المدعي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 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الشيء</w:t>
      </w:r>
      <w:r>
        <w:rPr>
          <w:rStyle w:val="FootnoteAnchor"/>
          <w:rtl w:val="true"/>
        </w:rPr>
        <w:footnoteReference w:id="647"/>
      </w:r>
      <w:r>
        <w:rPr>
          <w:rFonts w:ascii="Amiri" w:hAnsi="Amiri" w:eastAsia="Amiri" w:cs="Amiri"/>
          <w:color w:val="111111"/>
          <w:sz w:val="28"/>
          <w:sz w:val="28"/>
          <w:szCs w:val="28"/>
          <w:rtl w:val="true"/>
          <w:lang w:bidi="ar-SA"/>
        </w:rPr>
        <w:t>في يدي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فيه الخصمان جميعاً فكلّ من أقام البينة فهو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أقام كلّ واحد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أحق المدعيين من عدّل شاهداه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استوى الشهود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فأكثرهما شهوداً يحلف بالله ويدفع إليه الشيء</w:t>
      </w:r>
      <w:r>
        <w:rPr>
          <w:rStyle w:val="FootnoteAnchor"/>
          <w:rtl w:val="true"/>
        </w:rPr>
        <w:footnoteReference w:id="648"/>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كانوا ثلاثة نفر فواقعوا جارية على الإنفراد بعد أن اشتراها الأول وواقعها، والثاني اشتراها وواقعها، والثالث اشتراها وواقعها، كل ذلك في طهر واحد، فأتت بولد فإن الحق أن يلحق الولد بالذي عنده الجارية ليصير إلى قول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شهد أربعة عدول على رجل بالزنا فرجم، أو شهد رجلان على رجل بقتل رجل أو بسرقة رجل فرجم الذي شهدوا عليه بالزنا، وقطع الذي شهدوا عليه بالسرقة، ثمَّ رجعا عن شهادتهما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غلطنا في هذا الذي شهدنا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برجل 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قتل أو هذا الذي سرق أُلزما دية المقتول الذي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اليد التي قطعت بشهادتهما، ولم تقبل شهادتهما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بما ألزم من شهدا عليه، وعقوبتهما في الآخرة النار استحقاها من قبل أن تزول أقدامهما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تحاكم خصمان فادعى كلّ واحد على صاحبه 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يدعي بالدعوى أولاً أحق من صاحبه أنْ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ادعيا جميعاً فالدعوى للذي على يمين خصمه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إنّه يجب عليك أنْ تساوي بين الخصمين حتى في النظر إليهما، حتى لا يكون نظرك إلى أحدهما أكثر من نظرك إلى الثاني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وتقبل شهادة النساء في النكاح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وفي كل ما لا يتهيأ للرجال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ينظروا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وقع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الخطأ صححته من طبعته الأخرى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المهذب البارع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الصدوقين قبول شهادة النساء في النكاح</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المتن من 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تقبل في الطلاق</w:t>
      </w:r>
      <w:r>
        <w:rPr>
          <w:rStyle w:val="FootnoteAnchor"/>
          <w:rtl w:val="true"/>
        </w:rPr>
        <w:footnoteReference w:id="652"/>
      </w:r>
      <w:r>
        <w:rPr>
          <w:rFonts w:ascii="Amiri" w:hAnsi="Amiri" w:eastAsia="Amiri" w:cs="Amiri"/>
          <w:color w:val="111111"/>
          <w:sz w:val="28"/>
          <w:sz w:val="28"/>
          <w:szCs w:val="28"/>
          <w:rtl w:val="true"/>
          <w:lang w:bidi="ar-SA"/>
        </w:rPr>
        <w:t>، ولا في رؤية الهلال</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وتقبل في الحدود إذا شهد امرأتان وثلاثة رجال</w:t>
      </w:r>
      <w:r>
        <w:rPr>
          <w:rStyle w:val="FootnoteAnchor"/>
          <w:rtl w:val="true"/>
        </w:rPr>
        <w:footnoteReference w:id="654"/>
      </w:r>
      <w:r>
        <w:rPr>
          <w:rFonts w:ascii="Amiri" w:hAnsi="Amiri" w:eastAsia="Amiri" w:cs="Amiri"/>
          <w:color w:val="111111"/>
          <w:sz w:val="28"/>
          <w:sz w:val="28"/>
          <w:szCs w:val="28"/>
          <w:rtl w:val="true"/>
          <w:lang w:bidi="ar-SA"/>
        </w:rPr>
        <w:t>، ولا تقبل شهادتهن إذا كنّ أربع نسوة ورجلان</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تجوز شهادة الأجير لصاحبه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أنه لا يجوز شهادة الولد على الوالد</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بأس بشهادة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سيّده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تجوز شهادة المفتري حتى يتوب من فريته، وتوبته أن يقف في الموضع الذي قال فيه ما قال فيكذّب نفسه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أنّهما حضرا فشهد أحدهما على شهادة الآخر وأنكر صاحبه أن يكون أشهده على شهادته، فإنّه يقبل قول أعدلهما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استويا في العدالة بطلت </w:t>
      </w:r>
      <w:bookmarkStart w:id="362" w:name="pg9076_119847"/>
    </w:p>
    <w:p>
      <w:pPr>
        <w:pStyle w:val="BookText"/>
        <w:rPr/>
      </w:pPr>
      <w:bookmarkEnd w:id="362"/>
      <w:r>
        <w:rPr>
          <w:rFonts w:ascii="Amiri" w:hAnsi="Amiri" w:eastAsia="Amiri" w:cs="Amiri"/>
          <w:color w:val="111111"/>
          <w:sz w:val="28"/>
          <w:sz w:val="28"/>
          <w:szCs w:val="28"/>
          <w:rtl w:val="true"/>
          <w:lang w:bidi="ar-SA"/>
        </w:rPr>
        <w:t>الشهادة</w:t>
      </w:r>
      <w:r>
        <w:rPr>
          <w:rStyle w:val="FootnoteAnchor"/>
          <w:rtl w:val="true"/>
        </w:rPr>
        <w:footnoteReference w:id="660"/>
      </w:r>
      <w:r>
        <w:rPr>
          <w:rFonts w:ascii="Amiri" w:hAnsi="Amiri" w:eastAsia="Amiri" w:cs="Amiri"/>
          <w:color w:val="111111"/>
          <w:sz w:val="28"/>
          <w:sz w:val="28"/>
          <w:szCs w:val="28"/>
          <w:rtl w:val="true"/>
          <w:lang w:bidi="ar-SA"/>
        </w:rPr>
        <w:t>، وتقبل شهادة الثاني ويطرح إنكار الأصل</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أتى الرجل بكتاب فيه خطه وعلامته، ولم يذكر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الخط يتشابه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صاحبه ثقة ومعه شاهد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له حينئذ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2580583_2870459653"/>
      <w:bookmarkStart w:id="364" w:name="_Toc129"/>
      <w:bookmarkEnd w:id="363"/>
      <w:r>
        <w:rPr>
          <w:rtl w:val="true"/>
        </w:rPr>
        <w:t>باب الشفعة</w:t>
      </w:r>
      <w:bookmarkEnd w:id="3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أنّه لا شفعة إلا لشريك غير مقاسم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شفعة في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شيء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فيما عدا ذلك</w:t>
      </w:r>
      <w:r>
        <w:rPr>
          <w:rStyle w:val="FootnoteAnchor"/>
          <w:rtl w:val="true"/>
        </w:rPr>
        <w:footnoteReference w:id="662"/>
      </w:r>
      <w:r>
        <w:rPr>
          <w:rFonts w:ascii="Amiri" w:hAnsi="Amiri" w:eastAsia="Amiri" w:cs="Amiri"/>
          <w:color w:val="111111"/>
          <w:sz w:val="28"/>
          <w:sz w:val="28"/>
          <w:szCs w:val="28"/>
          <w:rtl w:val="true"/>
          <w:lang w:bidi="ar-SA"/>
        </w:rPr>
        <w:t>من حيوان ورقيق وعقار</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الشركاء أكثر من أثنين فلا شفعة لواحد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9076_119848"/>
    </w:p>
    <w:p>
      <w:pPr>
        <w:pStyle w:val="BookText"/>
        <w:rPr/>
      </w:pPr>
      <w:bookmarkEnd w:id="3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الشفعة لا يسقط إلا بالإسقاط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شهد الشفيع على البيع أو بارك للمشتري أو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أذن في البيع لم يكن له بعد ذلك المطالبة بالشفعة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2580585_2870459653"/>
      <w:bookmarkStart w:id="367" w:name="_Toc130"/>
      <w:bookmarkEnd w:id="366"/>
      <w:r>
        <w:rPr>
          <w:rtl w:val="true"/>
        </w:rPr>
        <w:t>باب الأيمان والنذور والكفارات</w:t>
      </w:r>
      <w:bookmarkEnd w:id="3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نذر أن يتصدق بمال كثير، ولم يسمّ مبلغه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Style w:val="FootnoteAnchor"/>
          <w:rtl w:val="true"/>
        </w:rPr>
        <w:footnoteReference w:id="665"/>
      </w:r>
      <w:r>
        <w:rPr>
          <w:rFonts w:ascii="Amiri" w:hAnsi="Amiri" w:eastAsia="Amiri" w:cs="Amiri"/>
          <w:color w:val="111111"/>
          <w:sz w:val="28"/>
          <w:sz w:val="28"/>
          <w:szCs w:val="28"/>
          <w:rtl w:val="true"/>
          <w:lang w:bidi="ar-SA"/>
        </w:rPr>
        <w:t>الكثير ثمانون</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نذر شيئاً ولم يسمّه، كان بالخيار إنْ شاء تصدّق بشيء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صام يوماً، وإنْ شاء صلّى ركعتين أو فعل قربة من القربات</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كفارة خلف النذر صيام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كفارة</w:t>
      </w:r>
      <w:r>
        <w:rPr>
          <w:rStyle w:val="FootnoteAnchor"/>
          <w:rtl w:val="true"/>
        </w:rPr>
        <w:footnoteReference w:id="668"/>
      </w:r>
      <w:r>
        <w:rPr>
          <w:rFonts w:ascii="Amiri" w:hAnsi="Amiri" w:eastAsia="Amiri" w:cs="Amiri"/>
          <w:color w:val="111111"/>
          <w:sz w:val="28"/>
          <w:sz w:val="28"/>
          <w:szCs w:val="28"/>
          <w:rtl w:val="true"/>
          <w:lang w:bidi="ar-SA"/>
        </w:rPr>
        <w:t>يمين</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الإطعام في سائر الكفارات لكل مسكين مدّ</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والكسوة لكل رجلٍ ثوب</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368" w:name="pg9076_119849"/>
    </w:p>
    <w:p>
      <w:pPr>
        <w:pStyle w:val="Heading4"/>
        <w:numPr>
          <w:ilvl w:val="3"/>
          <w:numId w:val="1"/>
        </w:numPr>
        <w:rPr/>
      </w:pPr>
      <w:bookmarkStart w:id="369" w:name="__RefHeading___Toc2580587_2870459653"/>
      <w:bookmarkStart w:id="370" w:name="_Toc131"/>
      <w:bookmarkEnd w:id="368"/>
      <w:bookmarkEnd w:id="369"/>
      <w:r>
        <w:rPr>
          <w:rtl w:val="true"/>
        </w:rPr>
        <w:t>باب الصيد والذبائح</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أردت أنْ ترسل كلباً على صيد فسمّ الله فإن أدركته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فاذبحه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أدركته وقد قتله كلبك فكل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أكل بعضه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w:t>
      </w:r>
      <w:r>
        <w:rPr>
          <w:rStyle w:val="FootnoteAnchor"/>
          <w:rtl w:val="true"/>
        </w:rPr>
        <w:footnoteReference w:id="672"/>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رميته وأصابه سهمك ووقع في الماء فمات فكله إذا كان رأسه خارجاً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رأسه في الماء فلا تأكله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صيدت سمكة فشق جوفها ووجد فيها سمكة قد كانت ابتلعتها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ذات فلوس أُكلت، وإن لم يكن لها فلوس لم تؤكل</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يؤكل الجري ولا المارماهي</w:t>
      </w:r>
      <w:r>
        <w:rPr>
          <w:rStyle w:val="FootnoteAnchor"/>
          <w:rtl w:val="true"/>
        </w:rPr>
        <w:footnoteReference w:id="676"/>
      </w:r>
      <w:r>
        <w:rPr>
          <w:rFonts w:ascii="Amiri" w:hAnsi="Amiri" w:eastAsia="Amiri" w:cs="Amiri"/>
          <w:color w:val="111111"/>
          <w:sz w:val="28"/>
          <w:sz w:val="28"/>
          <w:szCs w:val="28"/>
          <w:rtl w:val="true"/>
          <w:lang w:bidi="ar-SA"/>
        </w:rPr>
        <w:t>ولا الزمّار ولا الطافي</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اللحم مع الطحال في سفود أكل اللحم إذا كان فوق الطحال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أسفل من الطحال لم يؤكل، ويؤكل جواذبه؛ لأن الطحال في حجاب ولا ينزل إلا أن يثقب فإن ثقب وسال منه لم يؤكل ما تحته من </w:t>
      </w:r>
      <w:bookmarkStart w:id="371" w:name="pg9076_119850"/>
    </w:p>
    <w:p>
      <w:pPr>
        <w:pStyle w:val="BookText"/>
        <w:rPr/>
      </w:pPr>
      <w:bookmarkEnd w:id="371"/>
      <w:r>
        <w:rPr>
          <w:rFonts w:ascii="IRNazanin" w:hAnsi="IRNazanin" w:eastAsia="IRNazanin"/>
          <w:color w:val="111111"/>
          <w:sz w:val="28"/>
          <w:sz w:val="28"/>
          <w:szCs w:val="28"/>
          <w:rtl w:val="true"/>
          <w:lang w:bidi="fa-IR"/>
        </w:rPr>
        <w:t>الجواذب</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جعلت سمكة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جري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يجوز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سفود أكلت التي لها فلس إذا كانت في السفود فوق الجري، وفوق الذي لا يأكل فإن كانت السمكة أسفل من الجري لم تؤكل</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وجدت لحماً ولم تعلم أنّه ذكي أو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 منه قطعة على النار فإن أنقبض فهو ذكي، وأن استرخى على النار فهو ميتة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أخذ الفراخ من أوكارها في جبل أو بئر أو أجمة حتى تنهض</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2580589_2870459653"/>
      <w:bookmarkStart w:id="373" w:name="_Toc132"/>
      <w:bookmarkEnd w:id="372"/>
      <w:r>
        <w:rPr>
          <w:rtl w:val="true"/>
        </w:rPr>
        <w:t>باب الزنا واللواط</w:t>
      </w:r>
      <w:bookmarkEnd w:id="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واللواط وهو أشد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الزنا فإنّه يقصّر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ويقطع الرزق ويخلّد صاحبه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ويقلع الحياء من وجهه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اللواط فهو ما بين الفخذين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الدبر فهو الكفر بالله العظيم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لاط بغلام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فعقوبته أن يحرق</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بالنار أو يهدم عليه حائط أو يضرب ضربة بالسيف</w:t>
      </w:r>
      <w:r>
        <w:rPr>
          <w:rStyle w:val="FootnoteAnchor"/>
          <w:rtl w:val="true"/>
        </w:rPr>
        <w:footnoteReference w:id="683"/>
      </w:r>
      <w:r>
        <w:rPr>
          <w:rFonts w:ascii="IRNazanin" w:hAnsi="IRNazanin" w:eastAsia="IRNazanin"/>
          <w:color w:val="111111"/>
          <w:sz w:val="28"/>
          <w:sz w:val="28"/>
          <w:szCs w:val="28"/>
          <w:rtl w:val="true"/>
          <w:lang w:bidi="fa-IR"/>
        </w:rPr>
        <w:t xml:space="preserve">فإذا أوقب </w:t>
      </w:r>
      <w:r>
        <w:rPr>
          <w:rFonts w:eastAsia="IRNazanin" w:cs="IRNazanin"/>
          <w:color w:val="111111"/>
          <w:sz w:val="28"/>
          <w:szCs w:val="28"/>
          <w:rtl w:val="true"/>
          <w:lang w:bidi="fa-IR"/>
        </w:rPr>
        <w:t>]...[</w:t>
      </w:r>
      <w:r>
        <w:rPr>
          <w:rStyle w:val="FootnoteAnchor"/>
          <w:rtl w:val="true"/>
        </w:rPr>
        <w:footnoteReference w:id="684"/>
      </w:r>
      <w:r>
        <w:rPr>
          <w:rFonts w:ascii="Amiri" w:hAnsi="Amiri" w:eastAsia="Amiri" w:cs="Amiri"/>
          <w:color w:val="111111"/>
          <w:sz w:val="28"/>
          <w:sz w:val="28"/>
          <w:szCs w:val="28"/>
          <w:rtl w:val="true"/>
          <w:lang w:bidi="ar-SA"/>
        </w:rPr>
        <w:t>هو كما وصفناه ولا يحل له ابنته ولا أخته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شفير جهنم حتى يفرغ الله من حساب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يلقيه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فيعذبه</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بطبقة طبقة منها حتى يرده الى أسفلها ولا يخرج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قبّل الرجل غلاماً بشهوة لعنته ملائكة السماء وملائكة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وملائكة الرحمة وملائكة العذاب وأعد له جهنم وساءت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غلاماً بشهوة ألجمه الله يوم القيامة بلجام من النار</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الدبر أعظم من حرمة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أهلك أمةً بحرمة الدبر ولم يهلك أحداً بحرمة الفرج</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بغير محصنة ضرب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ضرب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الثالثة 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زنى عبد – بمحصنة أو غير محصنة – ضرب خمسين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ضرب خمسين إلى أن يزني ثمان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يقتل بالثامنة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أقرّ الزاني المحصن كان أول من يرجمه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قامت عليه البيّنة كان أول من يرجمه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الإمام ثمَّ الناس</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وانظر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والفقه 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المرجوم إذا أقرّ على نفسه بالزنا من غير أن يشهد عليه الشهود فإذا فر من الحفيرة لم يرد إذا كان أصابه ألم الحجارة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افتض بكرا بإصبعه عليه الحد</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ولكنه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الأقوال في المسألة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الحدود فيه ثلاثة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الصدوق في المقنع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المفيد وتلميذه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لعلي بن بابويه رأياً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وأحتمل قوياً أن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الصدوق إن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ألصقت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بالصدوق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الصدوقان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9076_119853"/>
    </w:p>
    <w:p>
      <w:pPr>
        <w:pStyle w:val="Heading4"/>
        <w:numPr>
          <w:ilvl w:val="3"/>
          <w:numId w:val="1"/>
        </w:numPr>
        <w:rPr/>
      </w:pPr>
      <w:bookmarkStart w:id="375" w:name="__RefHeading___Toc2580591_2870459653"/>
      <w:bookmarkStart w:id="376" w:name="_Toc133"/>
      <w:bookmarkEnd w:id="374"/>
      <w:bookmarkEnd w:id="375"/>
      <w:r>
        <w:rPr>
          <w:rtl w:val="true"/>
        </w:rPr>
        <w:t>باب شرب الخمر والغناء</w:t>
      </w:r>
      <w:bookmarkEnd w:id="3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تأكل على مائدة يشرب عليها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تجالس شراب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اللعنة إذا نزلت عمّت مَن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 يا بني – أنَّ الغناء مما أوعد الله 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 اولئك لهم عذاب مهين</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سأله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لي جيراناً ولهم جوارٍ يتغنين ويضربن بالعود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دخلت المخرج فأطيل الجلوس استماعاً مني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هو بشي آتيه برجلي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شيء أسمعه بأذني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أنت ما سمعت الله جل جلاله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السمع والبصر والفؤاد كل أولئك كان عنه مسؤولاً</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في تفسير هذه الآية أنّه يسأل السمع عمّا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والبصر عمّا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والقلب عمّا عقد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 كأني لم أسمع هذه الآية في كتاب الله عز وجل من أعجمي ولا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أنّي قد تركتها وأنّي 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كنت مقيماً على 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أسوء حالك لو متّ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 الله وتسأله التوبة من كل ما يكره فإنّه لا يكره إلا 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والقبيح دعه لأهله فإنّ لكلٍّ أهلاً</w:t>
      </w:r>
      <w:r>
        <w:rPr>
          <w:rStyle w:val="FootnoteAnchor"/>
          <w:rtl w:val="true"/>
        </w:rPr>
        <w:footnoteReference w:id="695"/>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بقي في يده طنبور أربعين صباحاً فقد باء بغضب من الله عز وجل</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w:t>
      </w:r>
      <w:r>
        <w:rPr>
          <w:rStyle w:val="FootnoteAnchor"/>
          <w:rtl w:val="true"/>
        </w:rPr>
        <w:footnoteReference w:id="698"/>
      </w:r>
      <w:r>
        <w:rPr>
          <w:rFonts w:ascii="Amiri" w:hAnsi="Amiri" w:eastAsia="Amiri" w:cs="Amiri"/>
          <w:color w:val="111111"/>
          <w:sz w:val="28"/>
          <w:sz w:val="28"/>
          <w:szCs w:val="28"/>
          <w:rtl w:val="true"/>
          <w:lang w:bidi="ar-SA"/>
        </w:rPr>
        <w:t>أنّ أصل الخمر من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غلى من غير أن تمسّه</w:t>
      </w:r>
      <w:r>
        <w:rPr>
          <w:rStyle w:val="FootnoteAnchor"/>
          <w:rtl w:val="true"/>
        </w:rPr>
        <w:footnoteReference w:id="699"/>
      </w:r>
      <w:r>
        <w:rPr>
          <w:rFonts w:ascii="Amiri" w:hAnsi="Amiri" w:eastAsia="Amiri" w:cs="Amiri"/>
          <w:color w:val="111111"/>
          <w:sz w:val="28"/>
          <w:sz w:val="28"/>
          <w:szCs w:val="28"/>
          <w:rtl w:val="true"/>
          <w:lang w:bidi="ar-SA"/>
        </w:rPr>
        <w:t>النار فيصير أسفله أعلاه فهو خمر ولا يحل شربه إلا أن يذهب ثلثاه ويبقى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نشَّ من غير أن تمسّه النار فدعه حتى يصير خلاً من ذاته من غير أن تلقي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 خلاً من ذاته حلّ أكله فإن تغيّر بعد ذلك وصار خمراً فلا بأس أنْ تلقي فيه</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xml:space="preserve">ملحاً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يتحوّل خلاً</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صُبّ في الخل خمر لم يجز أكله حتى يعزل من ذلك الخمر في إناء ويصبر حتى يصير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صار خلاً أكل ذلك الخل الذي صب فيه الخمر</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وأدّي إليك يا بني ما أداه ونقله اليَّ صالح سلفي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وإنّ الله تبارك وتعالى حرّم الخمر بعينها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شراب 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الخمر وغارسها وحارسها وحاملها والمحوّلة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وبائعها ومشتريها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وآكل ثمنها وعاصرها وساقيها وشاربها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ولها خمسة أسامٍ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وهو من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والنقيع وهو من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والبتع وهو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والمرز وهو من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والنبيذ وهو من التمر</w:t>
      </w:r>
      <w:r>
        <w:rPr>
          <w:rFonts w:eastAsia="Amiri" w:cs="Amiri" w:ascii="Amiri" w:hAnsi="Amiri"/>
          <w:color w:val="111111"/>
          <w:sz w:val="28"/>
          <w:szCs w:val="28"/>
          <w:rtl w:val="true"/>
          <w:lang w:bidi="ar-SA"/>
        </w:rPr>
        <w:t xml:space="preserve">. </w:t>
      </w:r>
      <w:bookmarkStart w:id="377" w:name="pg9076_119855"/>
    </w:p>
    <w:p>
      <w:pPr>
        <w:pStyle w:val="BookText"/>
        <w:rPr/>
      </w:pPr>
      <w:bookmarkEnd w:id="377"/>
      <w:r>
        <w:rPr>
          <w:rFonts w:ascii="Amiri" w:hAnsi="Amiri" w:eastAsia="Amiri" w:cs="Amiri"/>
          <w:color w:val="111111"/>
          <w:sz w:val="28"/>
          <w:sz w:val="28"/>
          <w:szCs w:val="28"/>
          <w:rtl w:val="true"/>
          <w:lang w:bidi="ar-SA"/>
        </w:rPr>
        <w:t>والخمر مفتاح كلّ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وشاربها كعابد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شربها حبست صلاته أربعين يوماً فإن تاب في الأربعين لم تقبل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فيها دخل النار</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بأس بالصلاة في ثوب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أصابه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تعالى حرّم شربها</w:t>
      </w:r>
    </w:p>
    <w:p>
      <w:pPr>
        <w:pStyle w:val="BookText"/>
        <w:rPr/>
      </w:pPr>
      <w:r>
        <w:rPr>
          <w:rFonts w:ascii="Amiri" w:hAnsi="Amiri" w:eastAsia="Amiri" w:cs="Amiri"/>
          <w:color w:val="111111"/>
          <w:sz w:val="28"/>
          <w:sz w:val="28"/>
          <w:szCs w:val="28"/>
          <w:rtl w:val="true"/>
          <w:lang w:bidi="ar-SA"/>
        </w:rPr>
        <w:t>ولم يحرم الصلاة في ثوب قد أصابته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خاط خياط ثوبك وبلّ الخيط بريقه وهو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يشربها 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مدمناً بشربها كل يوم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للفم وضراً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والضاد المعجمة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والراء غير المعجمة وهو الدرن والدسم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2580593_2870459653"/>
      <w:bookmarkStart w:id="379" w:name="_Toc134"/>
      <w:bookmarkEnd w:id="378"/>
      <w:r>
        <w:rPr>
          <w:rtl w:val="true"/>
        </w:rPr>
        <w:t>باب الملاهي</w:t>
      </w:r>
      <w:bookmarkEnd w:id="3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بالشطرنج والنرد والقمار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والنرد أشدّ من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الشطرنج فإن اتخاذها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واللعب بها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وتعلّمها كبيرة 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على اللاهي بها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ومقلّبها كمقلّب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والناظر إليها كالناظر الى فرج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واللاعب بالنرد قماراً كمثل الذي يأكل لحم الخنزير ومَثل الذي يلعب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يضع يده في لحم الخنزير وفي دمه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قمار حتى لعب الصبيان بالجوز هو قمار</w:t>
      </w:r>
      <w:r>
        <w:rPr>
          <w:rFonts w:eastAsia="Amiri" w:cs="Amiri" w:ascii="Amiri" w:hAnsi="Amiri"/>
          <w:color w:val="111111"/>
          <w:sz w:val="28"/>
          <w:szCs w:val="28"/>
          <w:rtl w:val="true"/>
          <w:lang w:bidi="ar-SA"/>
        </w:rPr>
        <w:t xml:space="preserve">. </w:t>
      </w:r>
      <w:bookmarkStart w:id="380" w:name="pg9076_119856"/>
    </w:p>
    <w:p>
      <w:pPr>
        <w:pStyle w:val="BookText"/>
        <w:rPr/>
      </w:pPr>
      <w:bookmarkEnd w:id="380"/>
      <w:r>
        <w:rPr>
          <w:rFonts w:ascii="Amiri" w:hAnsi="Amiri" w:eastAsia="Amiri" w:cs="Amiri"/>
          <w:color w:val="111111"/>
          <w:sz w:val="28"/>
          <w:sz w:val="28"/>
          <w:szCs w:val="28"/>
          <w:rtl w:val="true"/>
          <w:lang w:bidi="ar-SA"/>
        </w:rPr>
        <w:t xml:space="preserve">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والضرب بالصوالج</w:t>
      </w:r>
      <w:r>
        <w:rPr>
          <w:rStyle w:val="FootnoteAnchor"/>
          <w:rtl w:val="true"/>
        </w:rPr>
        <w:footnoteReference w:id="707"/>
      </w:r>
      <w:r>
        <w:rPr>
          <w:rFonts w:ascii="Amiri" w:hAnsi="Amiri" w:eastAsia="Amiri" w:cs="Amiri"/>
          <w:color w:val="111111"/>
          <w:sz w:val="28"/>
          <w:sz w:val="28"/>
          <w:szCs w:val="28"/>
          <w:rtl w:val="true"/>
          <w:lang w:bidi="ar-SA"/>
        </w:rPr>
        <w:t>فإنّ الشيطان يركض معك والملائكة تنفر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عثرت به دابته فمات دخل النار</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2580595_2870459653"/>
      <w:bookmarkStart w:id="382" w:name="_Toc135"/>
      <w:bookmarkEnd w:id="381"/>
      <w:r>
        <w:rPr>
          <w:rtl w:val="true"/>
        </w:rPr>
        <w:t>باب الوصايا</w:t>
      </w:r>
      <w:bookmarkEnd w:id="3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أوصى بجزء من ماله فهو واحد من عشرة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أوصى بسهم من ماله، فهو واحد من ستة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أوصى بحج وكان صرورة حج من جميع ماله، وإن كان قد حج فمن الثلث، فإن لم يبلغ ثلث ماله ما يحج به عنه من بلده حُج عنه من حيث تهيأ</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أوصى الرجل بمالٍ في سبيل الله، فإن شاء جعله لإمام المسلمين، وإن شاء جعله في حج، أو فرّقه</w:t>
      </w:r>
      <w:r>
        <w:rPr>
          <w:rStyle w:val="FootnoteAnchor"/>
          <w:rtl w:val="true"/>
        </w:rPr>
        <w:footnoteReference w:id="712"/>
      </w:r>
      <w:r>
        <w:rPr>
          <w:rFonts w:ascii="Amiri" w:hAnsi="Amiri" w:eastAsia="Amiri" w:cs="Amiri"/>
          <w:color w:val="111111"/>
          <w:sz w:val="28"/>
          <w:sz w:val="28"/>
          <w:szCs w:val="28"/>
          <w:rtl w:val="true"/>
          <w:lang w:bidi="ar-SA"/>
        </w:rPr>
        <w:t>على قوم مؤمنين</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أوصى بالثلث فهو الغاية في الوصية، فإن أوصى بماله كلّه فهو أعلم وما فعله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383" w:name="pg9076_119857"/>
    </w:p>
    <w:p>
      <w:pPr>
        <w:pStyle w:val="BookText"/>
        <w:rPr/>
      </w:pPr>
      <w:bookmarkEnd w:id="383"/>
      <w:r>
        <w:rPr>
          <w:rFonts w:ascii="Amiri" w:hAnsi="Amiri" w:eastAsia="Amiri" w:cs="Amiri"/>
          <w:color w:val="111111"/>
          <w:sz w:val="28"/>
          <w:sz w:val="28"/>
          <w:szCs w:val="28"/>
          <w:rtl w:val="true"/>
          <w:lang w:bidi="ar-SA"/>
        </w:rPr>
        <w:t>ويلزم الوصي إنفاذ</w:t>
      </w:r>
      <w:r>
        <w:rPr>
          <w:rStyle w:val="FootnoteAnchor"/>
          <w:rtl w:val="true"/>
        </w:rPr>
        <w:footnoteReference w:id="715"/>
      </w:r>
      <w:r>
        <w:rPr>
          <w:rFonts w:ascii="Amiri" w:hAnsi="Amiri" w:eastAsia="Amiri" w:cs="Amiri"/>
          <w:color w:val="111111"/>
          <w:sz w:val="28"/>
          <w:sz w:val="28"/>
          <w:szCs w:val="28"/>
          <w:rtl w:val="true"/>
          <w:lang w:bidi="ar-SA"/>
        </w:rPr>
        <w:t>وصيته على ما أوصى</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أوصى رجل إلى رجلين فليس لهما أن يتفرد كل واحد منهما بنصف التركة وعليهما إنفاذ الوصية على ما أوصى الميت</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أوصى لمملوكه بثلث ماله قوّم المملوك قيمة 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قيمته أكثر من الثلث استسعى في الفضل ثم أعتق، وإن كانت قيمته أقل من الثلث أعطي ما فضل من قيمته عليه ثم أعتق</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2580597_2870459653"/>
      <w:bookmarkStart w:id="385" w:name="_Toc136"/>
      <w:bookmarkEnd w:id="384"/>
      <w:r>
        <w:rPr>
          <w:rtl w:val="true"/>
        </w:rPr>
        <w:t>باب المواريث</w:t>
      </w:r>
      <w:bookmarkEnd w:id="3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تركت امرأة زوجها ولم تترك وارثاً غيره، فللزوج النصف، والباقي رد عليه، فإن ترك رجلٌ امرأةً ولم يترك وارثاً غيرها فللمرأة الربع وما بقي فلإمام المسلمين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ترك أختاً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 وأم أو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فللأخت النصف وما بقي فللجد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والملاحظ سقوط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كنز الفوائد في 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يرّد عليها مطلقاً بل يكون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يرد عليها مطلقاً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ترك أختاً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ترك جداً من قبل الأب وجداً من قبل الأم، فللجد من قبل الأم الثلث</w:t>
      </w:r>
      <w:r>
        <w:rPr>
          <w:rStyle w:val="FootnoteAnchor"/>
          <w:rtl w:val="true"/>
        </w:rPr>
        <w:footnoteReference w:id="719"/>
      </w:r>
      <w:r>
        <w:rPr>
          <w:rFonts w:ascii="IRNazanin" w:hAnsi="IRNazanin" w:eastAsia="IRNazanin"/>
          <w:color w:val="111111"/>
          <w:sz w:val="28"/>
          <w:sz w:val="28"/>
          <w:szCs w:val="28"/>
          <w:rtl w:val="true"/>
          <w:lang w:bidi="fa-IR"/>
        </w:rPr>
        <w:t>، وللجد من قبل الأب الثلثان</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ترك عمّاً وخالاً، فللعم الثلثان وللخال الثلث</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ترك 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 أو لأب 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فللأخوات الثلثان وما بقي فللجد</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انما يحجب الأخوة للأب؛ لأنهم عياله وعليه نفقتهم</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ترك ابن الملاعنة أُمه وأخواله، فميراثه كله لأُمّه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ولد الولد يقوم مقام والده يأخذ نصيبه، ابناً كان أو بنتاً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لا يتوارث أهل ملتين، والمسلم يرث الكافر، والكافر لا يرث المسلم، ولو أن رجلاً ترك ابناً مسلماً وابناً ذمياً، لكان الميراث للابن المسلم، وكل من ترك ذا قرابة من أهل الذمة، وذا قرابة مسلماً – ممن قرب نسبه أو بعد – لكان المسلم أولى بالميراث من الذمي، فلو كان الذمي ابناً وكان المسلم أخاً أو 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أخ أو ابن عم أو أبعد من ذلك، لكان المسلم أولى بالميراث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الميت </w:t>
      </w:r>
    </w:p>
    <w:p>
      <w:pPr>
        <w:pStyle w:val="BookText"/>
        <w:rPr/>
      </w:pPr>
      <w:r>
        <w:rPr>
          <w:rFonts w:ascii="Amiri" w:hAnsi="Amiri" w:eastAsia="Amiri" w:cs="Amiri"/>
          <w:color w:val="111111"/>
          <w:sz w:val="28"/>
          <w:sz w:val="28"/>
          <w:szCs w:val="28"/>
          <w:rtl w:val="true"/>
          <w:lang w:bidi="ar-SA"/>
        </w:rPr>
        <w:t>مسلماً أو ذمياً</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مات رجل حرّ وترك أُماً مملوكة، فإن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أن تشترى الأم من مال ابنها، ثم تعتق فيورثها</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ترك الرجل جارية أم ولده، ولم يكن ولده منها باقياً فإنها مملوكة للورثة، فإن كان ولده منها باقياً فإنها للولد، وهم لا يملكونها، لأن الإنسان لا يملك أبويه ولا ولده، فإن كان للميت ولد من غير هذه التي هي أم الولد، فإنها تجعل في نصيب ولدها إذا كانوا صغاراً، فإذا أدركوا تولوا هم عتقها، فإن ماتوا من قبل أن يدركوا رجعت ميراثاً لورثة الميت</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ترك الرجل ولداً خنثى فإنه ينظر إلى إحليله إذا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بوله مما يخرج من الرجال ورّث ميراث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 البول مما يخرج من النساء ورّث ميراث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 البول منهما جميعاً فمن أيهما سبق البول ورث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من الموضعين معاً فله نصف ميراث الذكر ونصف ميراث الأنثى</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أخوين غرقا ولأحدهما مال وليس للآخر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المال لورثة الذي ليس له شيء إذا لم يكن لهما أحد أقرب من بعضهم من بعض</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386" w:name="pg9076_119860"/>
    </w:p>
    <w:p>
      <w:pPr>
        <w:pStyle w:val="Heading4"/>
        <w:numPr>
          <w:ilvl w:val="3"/>
          <w:numId w:val="1"/>
        </w:numPr>
        <w:rPr/>
      </w:pPr>
      <w:bookmarkStart w:id="387" w:name="__RefHeading___Toc2580599_2870459653"/>
      <w:bookmarkStart w:id="388" w:name="_Toc137"/>
      <w:bookmarkEnd w:id="386"/>
      <w:bookmarkEnd w:id="387"/>
      <w:r>
        <w:rPr>
          <w:rtl w:val="true"/>
        </w:rPr>
        <w:t>باب الديات</w:t>
      </w:r>
      <w:bookmarkEnd w:id="3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دية قطع الشفة في العليا نصف الدية، وفي السفلى الثلثان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مفتاح الكرامة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العليا النصف وفي السفلى الثلثان هذا حكاه المحقق والمصنف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إنهما أرادا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علياً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غاية المرام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للانصراف إليه وإلا فإن فتاوى الصدوق لا تناسب المنقول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2580601_2870459653"/>
      <w:bookmarkStart w:id="390" w:name="_Toc138"/>
      <w:bookmarkEnd w:id="389"/>
      <w:r>
        <w:rPr>
          <w:rtl w:val="true"/>
        </w:rPr>
        <w:t>باب النّوادر</w:t>
      </w:r>
      <w:bookmarkEnd w:id="3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لبست يا بني ثوباً جديداً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كساني من اللّباس ما أتجمّل به في النّاس، اللّهمّ اجعلها ثياب بركة أسعى فيها بمرضاتك، وأعمّر فيها مساجدك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ذلك لم يتقمّصه حتّى يغفر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أردت لبس السّراويل فلا تلبسه من قيام، فإنّه يورث الحَبن وهو الماء الأصفر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ويورث الغمّ والهرم، وتلبسه وأنت جالس، وتقول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استر عورتي،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 روعتي، ولا تُبدِ عورتي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وعفّ فرجي، ولا تجعل للشّيطان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نصيباً ولا سبيلاً، ولا له إلى ذلك وصولاً، فيصنع لي المكائد فيهيجني لارتكاب محارمك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يتصدَّ أحد لبيان 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أم الولد حتى أن شرّاح المختصر عبّروا بنفس تعبير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كشف الرموز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البارع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شرّاح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الصدوق في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الشفتين الدية كاملة عشرة آلاف درهم، ستة آلاف للسفلى وأربعة آلاف للعليا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كراهية لبس السراويل قائما؛ لأنه يورث الحبن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ورم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بابويه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الأصفر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أردت لبس السراويل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لارتكاب محارمك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المقنع عن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غسل الثّياب يذهب الهمّ والحزن، وهو طهور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وعليك بلبس ثياب القطن، فإنّه لباس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ولباس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واتّق لبس السّواد، فإنّه لباس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تلبس النّعل الأملس، فإنّه حذو فرعون، وهو أوّل من اتّخذ الملس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اكتحلت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نوّر بصري، واجعل فيه نوراً أبصر به حكمتك، وأنظر به إليك يوم ألقاك، ولا تغش 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ألقاك</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أصبحت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لا حول ولا قوّة إلاّ باللّه 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ثلاث مرّات، فإنّ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ذلك بعد المغرب وبعد الصّبح، صرف اللّه عنه سبعين لوناً من البلاء، أدناها الجذام، والبرص، والسّلطان، والشّيطان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كلّ صباح ومساء، فإنّ في ذلك إصرافاً لكلّ سوء</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تهيّأ لك أن تتناول في كلّ يوم إحدى وعشرين زبيبة حمراء على الرّيق فافعل، فإنّها تدفع جميع الأمراض إلاّ مرض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نظرت في المرآة،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خلقني فأحسن خلقي، وصوّرني فأحسن صورتي، وزان منّي ما شان من غيري، وأكرمني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أخذ المشط فخذه بيدك اليمنى،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وضعه على أُمّ رأسك، ثمّ سرّح مقدّم رأسك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حسّن شعري وبشري وطيّبهما، واصرف عنّي 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سرّح مؤخّر رأسك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تردني على عقبي، واصرف عنّي كيد الشّيطان، ولا تمكّنه من قيادي فيردّني على عقبي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سرّح حاجبك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زيّني زينة أهل الهدى، ثمّ سرّح لحيتك من </w:t>
      </w:r>
    </w:p>
    <w:p>
      <w:pPr>
        <w:pStyle w:val="BookText"/>
        <w:rPr/>
      </w:pPr>
      <w:r>
        <w:rPr>
          <w:rFonts w:ascii="Amiri" w:hAnsi="Amiri" w:eastAsia="Amiri" w:cs="Amiri"/>
          <w:color w:val="111111"/>
          <w:sz w:val="28"/>
          <w:sz w:val="28"/>
          <w:szCs w:val="28"/>
          <w:rtl w:val="true"/>
          <w:lang w:bidi="ar-SA"/>
        </w:rPr>
        <w:t>فوق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سرّح عنّي الغموم، والهموم، ووسوسة الصّدور، ووسوسة الشّيطان، ثمّ أمرّ المشط على صدرك</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أخذت في حاجة فامسح وجهك بماء الورد، فإنّه من فعل ذلك، لم يرهق وجهه قتر ولا ذلة</w:t>
      </w:r>
      <w:r>
        <w:rPr>
          <w:rStyle w:val="FootnoteAnchor"/>
          <w:rtl w:val="true"/>
        </w:rPr>
        <w:footnoteReference w:id="734"/>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لبست خاتماً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سوّمني بسيماء الإيمان، وتوّجني بتاج الملك وقلّدني حبل الإسلام، ولا تخلع ربقة الإيمان من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وابدأ بالملح في أوّل الطّعام، فلو علم النّاس ما في الملح، لاختاروه على التّرياق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بالملح، ذهب عنه سبعون نوعاً من الدّاء، وما لا يعلمه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انتبهت من نومك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الحيّ القيّوم، وهو على كلّ شيء قدير، سبحان إله النبيّين وإله المرسلين، وسبحان ربّ السماوات السّبع وما فيهنّ، وربّ الأرضين السّبع ومن فيهن، وربّ العرش العظيم،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لبس الخفّ والنّعل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محمد، ووطّئ قدميّ في الدّنيا والآخرة وثبّتهما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وثبّت قدميَّ على الصّراط يوم تزلّ فيه الأقدام، فإذا خلعتهما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الحمد للّه الذي رزقني ما أوقي به قدميَّ من 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ثبّتهما على صراطك ولا تزلهما عن صراطك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تلبسهما إلاّ جالساً، وتبدأ باليمنى، فإذا خلعتهما خلعتهما من قيام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خرجت من منزلك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لا حول ولا قوّة إلاّ باللّه، توكّلت </w:t>
      </w:r>
    </w:p>
    <w:p>
      <w:pPr>
        <w:pStyle w:val="BookText"/>
        <w:rPr/>
      </w:pPr>
      <w:r>
        <w:rPr>
          <w:rFonts w:ascii="Amiri" w:hAnsi="Amiri" w:eastAsia="Amiri" w:cs="Amiri"/>
          <w:color w:val="111111"/>
          <w:sz w:val="28"/>
          <w:sz w:val="28"/>
          <w:szCs w:val="28"/>
          <w:rtl w:val="true"/>
          <w:lang w:bidi="ar-SA"/>
        </w:rPr>
        <w:t>على اللّه، فإنّك إذا فعلت ذلك، ناداك ملك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وفي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وفي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 فيقول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بعبد هدي ووقي وكفي</w:t>
      </w:r>
      <w:r>
        <w:rPr>
          <w:rStyle w:val="FootnoteAnchor"/>
          <w:rtl w:val="true"/>
        </w:rPr>
        <w:footnoteReference w:id="736"/>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رأيت ذمياً فقل الحمد لله الذي فضّلني عليك بالإسلام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وبالقرآن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وبأمير المؤمنين علي ابن ابي طالب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وبالمؤمنين أخواناً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وبالكعبة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قال ذلك لم يجمع الله بينه وبينه في النار</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نظرت إلى أهل البلاء فقل ثلاث مرات من غير أن تسمعه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عافاني مما ابتلاك به ولو شاء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قال ذلك لم يصبه ذلك البلاء</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واجهد أن لا تلق أحداً من إخوانك الا تبسمت في وجهه أو ضحكت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روي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ضحك في وجه أخيه المؤمن تواضعاً لله أدخله الله الجنة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تبسم في وجه أخيه كتب الله له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 الله منه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يعذبه وأدخله الجنة</w:t>
      </w:r>
      <w:r>
        <w:rPr>
          <w:rStyle w:val="FootnoteAnchor"/>
          <w:rtl w:val="true"/>
        </w:rPr>
        <w:footnoteReference w:id="740"/>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bookmarkStart w:id="391" w:name="pg9076_11986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2" w:name="__RefHeading___Toc2580603_2870459653"/>
      <w:bookmarkStart w:id="393" w:name="_Toc139"/>
      <w:bookmarkEnd w:id="391"/>
      <w:bookmarkEnd w:id="392"/>
      <w:r>
        <w:rPr>
          <w:rtl w:val="true"/>
        </w:rPr>
        <w:t>المصادر والمراجع المعتمدة</w:t>
      </w:r>
      <w:bookmarkEnd w:id="39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الدخيلة للعلامة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وعلق عليه الحجة السيد حسن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اعتُمِدَت طبعتان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الخرسان، النجف الأشرف، المكتبة الحيدريّة،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منشورات مؤسسة الأعلمي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الفوائد لابن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 الكرماني، الشيخ علي بناه الإشتهاردي، الشيخ عبد الرحيم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الثانية، بيروت، 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تحرير الأحكام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يوسف بن المطهر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اعتماد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الفقهاء للعلامة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الخلاف و خلاصة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مفلح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 آية الله المرعشى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التنقيح الرائع لمختصر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الكوهكمري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السيد المرعشي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ايران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وعلق عليه الحجة السيد حسن الموسوي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 مصر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الخرسان، ط الثانية، قم – إيران، منشورات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أمير،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الطباطبائي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مهر –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للشيخ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وعلق عليه الشيخ عباس القوجاني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الحاشية على مدارك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محمد باقر الوحيد البهبهاني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الحبل المتين للشيخ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المستدرك للعلامة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اعتُمِدَت طبعتان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المكتبة الإسلاميّة،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الشيخ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قم – إيران، جماعة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الشرعية للشهيد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 للقطب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مدرسة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ذكرى الشيعة للشهيد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السيد مهدي رجائي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احمد بن محمد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مهدي الرجائي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البهية في شرح اللمعة الدمشقية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وتعليق السيد 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المسائل للسيد علي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الاسلام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اسماعيليان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محمد علي بقال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العباس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 مجتبى العراقيّ، ط الثالثة، قم – إيران،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المطبعة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اللئالي العزيزية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ابراهيم الاحسائي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المراد في شرح نكت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رضا مختاري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دفتر تبليغات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مفلح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كوثراني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غنائم الأيام للميرزا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خراسان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تبريزيان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الاعلام الإسلامي المطبعة مطبعة مكتب الاعلام الاسلامي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مطبعة النعمان،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للعلامة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قطعة من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للفقيه الأقدم علي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المنشورة ضمن مجلة دراسات علمية في عدديها التجريبيين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كريم مسير والشيخ شاكر المحمدي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للشيخ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وعلق عليه على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دار الكتب الاسلامية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الدولي حول 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الرموز للفاضل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اللثام للفاضل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في حل مشكلات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المطلب بن محمد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 –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اللمعات النيّرة للآخوند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صالح المدرسي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ولي عصر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في الفقه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الجباعي لمحمد بن علي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مخطوطات مدرسة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محفوظة في مكتبة الإمام محمد 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اعتُمِدَت طبعتان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مركز الأبحاث والدراسات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مدارك الأحكام للسيد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الأخبار الدخيلة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مصادقة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محمد بن ابى الحسن على بن بابويه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الامام صاحب الزمان العامة 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اشراف السيد على الخراساني الكاظمي ليتوغراف الكرمانى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عشقعلى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الدين قسم الفقه للشيخ حسن نجل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منذر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الفقه للطباعة والنشر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للمحقق الحلي نجم الدين أبي القاسم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 لابن فارس تحقيق عبد السلام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النشر – مكتب الاعلام 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الكرامة للسيد جواد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المقتصر في 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احمد بن محمد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مهدي الرجائي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التابعة لمؤسسة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لألفية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ملاذ الأخيار في فهم تهذيب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مهدي الرجائي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 –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الشيخ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الخامسة، طهران – إيران،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مطبعة خورشيد،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منتقى الجمان للشيخ محمد حسن نجل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الفقه في مجمع البحوث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مجمع البحوث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 البارع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أبو العباس أحمد بن محمّد بن فهد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 مجتبى العراقيّ، ط الثالثة، قم – إيران،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علي بن الحسين بن موسى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مركز البحوث والدراسات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الثقافة والعلاقات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نزهة الناظر في الجمع بين الأشباه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الفقه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الهداية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الينابيع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على جمع أصولها الخطية وترتيبها حسب التسلسل الزمنى وعلى تحقيقها وإخراجها وعمل قواميسها على أصغر مرواريد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الإسلامية</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9076_119874"/>
      <w:bookmarkStart w:id="395" w:name="pg9076_119874"/>
      <w:bookmarkEnd w:id="395"/>
    </w:p>
    <w:p>
      <w:pPr>
        <w:pStyle w:val="Heading2"/>
        <w:numPr>
          <w:ilvl w:val="1"/>
          <w:numId w:val="1"/>
        </w:numPr>
        <w:rPr/>
      </w:pPr>
      <w:bookmarkStart w:id="396" w:name="pg9076_119874"/>
      <w:bookmarkStart w:id="397" w:name="__RefHeading___Toc2580605_2870459653"/>
      <w:bookmarkStart w:id="398" w:name="_Toc140"/>
      <w:bookmarkEnd w:id="396"/>
      <w:bookmarkEnd w:id="397"/>
      <w:r>
        <w:rPr>
          <w:rtl w:val="true"/>
        </w:rPr>
        <w:t xml:space="preserve">قطعة من كتاب الإجارة للشيخ الأعظم قدس سره </w:t>
      </w:r>
      <w:r>
        <w:rPr>
          <w:rtl w:val="true"/>
        </w:rPr>
        <w:t xml:space="preserve">- </w:t>
      </w:r>
      <w:r>
        <w:rPr>
          <w:rtl w:val="true"/>
        </w:rPr>
        <w:t>السيد آصف اللعيبي</w:t>
      </w:r>
      <w:bookmarkEnd w:id="398"/>
    </w:p>
    <w:p>
      <w:pPr>
        <w:pStyle w:val="Heading3"/>
        <w:numPr>
          <w:ilvl w:val="2"/>
          <w:numId w:val="1"/>
        </w:numPr>
        <w:rPr/>
      </w:pPr>
      <w:bookmarkStart w:id="399" w:name="__RefHeading___Toc2580607_2870459653"/>
      <w:bookmarkStart w:id="400" w:name="_Toc141"/>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الأعظم أستاذ الفقهاء والمجتهدين</w:t>
      </w:r>
    </w:p>
    <w:p>
      <w:pPr>
        <w:pStyle w:val="BookText"/>
        <w:rPr/>
      </w:pP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 xml:space="preserve">ﻫ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آصف اللعيبي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9076_119876"/>
      <w:bookmarkStart w:id="402" w:name="pg9076_119876"/>
      <w:bookmarkEnd w:id="402"/>
    </w:p>
    <w:p>
      <w:pPr>
        <w:pStyle w:val="Heading3"/>
        <w:numPr>
          <w:ilvl w:val="2"/>
          <w:numId w:val="1"/>
        </w:numPr>
        <w:rPr/>
      </w:pPr>
      <w:bookmarkStart w:id="403" w:name="pg9076_119876"/>
      <w:bookmarkStart w:id="404" w:name="__RefHeading___Toc2580609_2870459653"/>
      <w:bookmarkStart w:id="405" w:name="_Toc142"/>
      <w:bookmarkEnd w:id="403"/>
      <w:bookmarkEnd w:id="404"/>
      <w:r>
        <w:rPr>
          <w:rtl w:val="true"/>
        </w:rPr>
        <w:t>المقدمة</w:t>
      </w:r>
      <w:bookmarkEnd w:id="405"/>
    </w:p>
    <w:p>
      <w:pPr>
        <w:pStyle w:val="Heading4"/>
        <w:numPr>
          <w:ilvl w:val="3"/>
          <w:numId w:val="1"/>
        </w:numPr>
        <w:rPr/>
      </w:pPr>
      <w:bookmarkStart w:id="406" w:name="__RefHeading___Toc2580611_2870459653"/>
      <w:bookmarkStart w:id="407" w:name="_Toc143"/>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الذي خلق الإنسان فعلمه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ونصلّي ونسلّم على المبعوث لإظهار الحق الحقيق بالاتباع وعلى آله مصابيح الدجى وطرق الرشاد والهدى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يخفى ما للفقه والفقهاء من المكانة المرموقة منذ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يومنا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يألوا جهداً في إظهار أحكام الشريعة وبيانها لمن يريد اتباع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ويرغب في ارتشاف العلم من منبعه الأصيل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وليكون حجة على من لا يريد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وعملوا على تربية أصحابهم وحثّوا على طلب العلم والتفقه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راحوا يرشدون الناس إلى تعلم المسائل الشرعية ويصوبون بَوصلتَهم إلى السؤال عن الأحكام وأنه أهم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اعلموا أن كمال الدين طلب العلم والعمل به</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xml:space="preserve">، وقد روي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الكمال كل الكمال في التفقه في الدين</w:t>
      </w:r>
      <w:r>
        <w:rPr>
          <w:rFonts w:eastAsia="IRNazanin" w:cs="IRNazanin"/>
          <w:color w:val="111111"/>
          <w:sz w:val="28"/>
          <w:szCs w:val="28"/>
          <w:rtl w:val="true"/>
          <w:lang w:bidi="fa-IR"/>
        </w:rPr>
        <w:t>..)</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في الدين فمن لم يتفقه في الدين فهو أعرابي</w:t>
      </w:r>
      <w:r>
        <w:rPr>
          <w:rFonts w:eastAsia="IRNazanin" w:cs="IRNazanin"/>
          <w:color w:val="111111"/>
          <w:sz w:val="28"/>
          <w:szCs w:val="28"/>
          <w:rtl w:val="true"/>
          <w:lang w:bidi="fa-IR"/>
        </w:rPr>
        <w:t>..)</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أصحابي ضربت رؤوسهم بالسياط حتى يتفقهوا في الدين</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ظهر ثلّة من أصحابهم تخصصوا في حمل علومهم وإيصالها إلى عامة المسلمين، وكان فيهم جملة من الفقهاء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يقف سادة الأنام عند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بيّنوا للناس مكانة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 ينبغي لهم أن يرجعوا إليهم ويأخذوا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الناس على قدر روايتهم عنّا</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 xml:space="preserve">، وفي جواب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سأله عبد العزيز بن 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ألقاك في كل وقت فعمن آخذ معالم ديني؟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عن يونس بن عبد الرحمن</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 xml:space="preserve">، وقول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سئل عن العمري وابنه؟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أديا إليك عني فعنّي يؤديان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قالا لك عنّي فعنّي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لهما وأطعهما فإنَّهما الثقتان المأمونان</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حتى إذا ما أتى زمان غيبة الإمام أرواحنا فداه كان قد ساد في أوساط الموالين أنهم يرجعون إلى الفقيه الذي يكون كما وصف سادته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ونرى الفقهاء في هذه المرحلة تبانوا على تحمل المسؤولية حتى شمروا عن سواعد جدهم فاجتهدوا وتسربلوا أسباب الحق فعرفوا أن ذلك ما أمروا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خدمة منهم للدين وحفاظاً على شريعة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ينشرون ما لديهم من المعارف ليوصلوا العلم إلى بُغاته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فصنفوا الكتب العلمية بمختلف الفنون والمعارف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وتداولوا العلم بحثاً وتدريساً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مناظرة للآخرين من علماء المذاهب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فتسنَّم جملة منهم منابر التدريس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وخضع له في ذلك من كان له 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لهم الداني والقاصي</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الوقت ذاته وحيث كان العلم همهم الأكبر وغايتهم العليا جالوا في البلدان منقّبين بين جوانبها أملاً منهم في الحصول على ضالتهم المنشودة من مسألة غابت عنهم أو رواية لم تطرق أسماعهم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كثر ذلك مع كثرة الحاجة إليه كلّما ابتعدنا عن زمن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وبعدت الشقة عن زمن الغيبة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مرَّ بالطائفة الناجية الكثير من المحن والويلات على مرّ الزمان وتعاقب الدول مما تسبب في ضياع بعض نفائس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وتلف بعضه الآخر كلاً أو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أن ابن أبي عمير لما سُجن قامت أخته بدفن كتبه مما سبب تلفها، وقيل إنه حدّث بما حَفظ وأخذ يُرسل الحديث لعدم حِفظ تمام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لذلك نقرأ عن عنوان مذكور لمُصنَّف لكن لا نرى له وجوداً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نجد بعضاً منه لا يتناسب مع ما وصل إلينا من وصفٍ له كما في كتاب المحاسن الموصوف بأنه كتاب جامع حتى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منه نيفاً و خمسين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هذا ما وقع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زِيد فيه ونقص مع أن ما وصل إلينا منه هو شيء يسير لا يناسب هذا الوصف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كتاب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إنه لم يصل إلينا إلا قسم المضعفين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اطلع على ما كتب من الفهارس يقف حائراً أمام حجم التراث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أسباب ذلك هو الجهل الذي يصاب به البعض مما يؤدي إلى الإهمال تارة وإلى التعصب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المسبِّب كلٌ منهما في ضياع ما يكون تحت يد صاحبه من هذا التراث</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الهجمات التي طالت بعض دور العلم من المكتبات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طغرل بك أحد ملوك السلجوقية حينما غزا بغداد وعاث فيها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تسلم منه المكتبات بشتى أنواعها كما في خزائن بين السورين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الحموي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في الدنيا أحسن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كلها بخط الأئمة المعتبرة وأصولهم المحررة واحترقت فيما أحرق من محال الكرخ</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408" w:name="pg9076_119879"/>
    </w:p>
    <w:p>
      <w:pPr>
        <w:pStyle w:val="BookText"/>
        <w:rPr/>
      </w:pPr>
      <w:bookmarkEnd w:id="408"/>
      <w:r>
        <w:rPr>
          <w:rFonts w:ascii="Amiri" w:hAnsi="Amiri" w:eastAsia="Amiri" w:cs="Amiri"/>
          <w:color w:val="111111"/>
          <w:sz w:val="28"/>
          <w:sz w:val="28"/>
          <w:szCs w:val="28"/>
          <w:rtl w:val="true"/>
          <w:lang w:bidi="ar-SA"/>
        </w:rPr>
        <w:t xml:space="preserve">وقد نُهبت دار شيخ الطائفة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وأُحرقت مكتبته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خضم هذه الأحداث هاجر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النجف الأشرف ليؤسس الحوزة العلمية فيها وشُيِّدت أركانها حينما أخذ يتوافد عليها طلاب العلوم من شتى الأقطار ينهلون من علوم الشيخ المتعددة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توالت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زاد الظلم اشتدت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ونتج دم جديد يُبَث في عروق الطائفة من أطرافها وحتى القلب المتمثل بالعلماء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فشُيّدت بعد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المجامع العلمية تمخّضت كل واحدة منها فأنجبت علماء يفخر بهم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ثلَّة منهم من الحلّة الفيحاء ولبنان وإيران وكربلاء والكاظمية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وتلاقح الفكر بالفكر وتغذَّت الروح بما يحييها من شتى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العلماء يتنقلون في الحواضر لم يشغلهم عليل من نسيم ولا عمران في 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همهم الأكبر وغاية مطلبهم أن يحظوا بعالم يُشبِع نهمهم ويرضي فضولهم بعلم جديد ومصنَّف لم يطّلعوا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مع قصور ذات يدهم يبذلون الغالي والنفيس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قضى بعضهم وقتاً في استنساخ كتاب بخط يده ليُحفَظ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حالهم من البحث والمحافظة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ربما كان بعضهم مبتلى بوريث لا وعي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قيمة ما لديه من الكنوز ففرّط فيها وتركها للتلف والضياع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أفرط البعض في المحافظة عليها فمنعها غيرَه إلى أن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أمر بعضهم بحرق أو دفن أو غسل كتبه بعد موته مخافة ان تقع تحت يد من لا أهلية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واستمر مسلسل الأحداث من الطرفين فالعلماء يعملون والجهّال يضيعون وكلٌ على شاكلته يعمل</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2580613_2870459653"/>
      <w:bookmarkStart w:id="410" w:name="_Toc144"/>
      <w:bookmarkEnd w:id="409"/>
      <w:r>
        <w:rPr>
          <w:rtl w:val="true"/>
        </w:rPr>
        <w:t>نبذة عن المصنف</w:t>
      </w:r>
      <w:bookmarkEnd w:id="41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 زمان يوجد بين العلماء من يقود المسيرة إلى أن حان وقت الرؤية الجديدة في الأصول والتقعيد لشتات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وتقليب الفقه وإخراجه بحلَّة جديدة، فظهر في القرن الثالث عشر زعيمٌ للطائفة استلم زمام الأمور وتسنّم ذروة مجدها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bookmarkStart w:id="411" w:name="pg9076_119880"/>
    </w:p>
    <w:p>
      <w:pPr>
        <w:pStyle w:val="BookText"/>
        <w:rPr/>
      </w:pPr>
      <w:bookmarkEnd w:id="411"/>
      <w:r>
        <w:rPr>
          <w:rFonts w:ascii="Amiri" w:hAnsi="Amiri" w:eastAsia="Amiri" w:cs="Amiri"/>
          <w:color w:val="111111"/>
          <w:sz w:val="28"/>
          <w:sz w:val="28"/>
          <w:szCs w:val="28"/>
          <w:rtl w:val="true"/>
          <w:lang w:bidi="ar-SA"/>
        </w:rPr>
        <w:t xml:space="preserve">وصف بأنه الأعظم ألا وهو الشيخ مرتضى الأنصاري المتوفى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فقد عاش وارتحل من هذه الدنيا ولم يترك صفراء ولا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بتقواه وورعه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مشهود له بالعلم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له بذلك من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أجاد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آثار اخلاص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الصحابي الجليل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وعلائم صدق ولائه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تفضّل الله تعالى عليه وأخرج من صُلبه من نصر الملة والدين، بالعلم والتحقيق، والدقة والزهد، والورع والعبادة والكياسة، بما لم يبلغه من تقدم عليه، ولا يحوم حوله من تأخر عنه، وقد عكف على كتبه ومؤلفاته وتحقيقاته كل من نشأ بعده من العلماء الاعلام والفقهاء الكرام، وصرفوا هممهم وبذلوا مجهودهم، وحبسوا أفكارهم وأنظارهم فيها وعليها، وهم بعد ذلك معترفون بالعجز عن بلوغ مرامه فضلا عن الوصول إلى مقامه، جزاه الله تعالى عن الاسلام والمسلمين خير جزاء المحسنين</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الفقه والأصول كتابين كان طلاب العلم ولم يزالوا عيالاً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ينقل من آرائه فضلاً عن كلماته أصبح المحور لبحث علمائنا الأعلام مضافاً إلى اهتمام الشرّاح والمحشّين</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2580615_2870459653"/>
      <w:bookmarkStart w:id="413" w:name="_Toc145"/>
      <w:bookmarkEnd w:id="412"/>
      <w:r>
        <w:rPr>
          <w:rtl w:val="true"/>
        </w:rPr>
        <w:t>وصف النسخة</w:t>
      </w:r>
      <w:bookmarkEnd w:id="413"/>
    </w:p>
    <w:p>
      <w:pPr>
        <w:pStyle w:val="BookText"/>
        <w:rPr/>
      </w:pPr>
      <w:r>
        <w:rPr>
          <w:rFonts w:ascii="Amiri" w:hAnsi="Amiri" w:eastAsia="Amiri" w:cs="Amiri"/>
          <w:color w:val="111111"/>
          <w:sz w:val="28"/>
          <w:sz w:val="28"/>
          <w:szCs w:val="28"/>
          <w:rtl w:val="true"/>
          <w:lang w:bidi="ar-SA"/>
        </w:rPr>
        <w:t>لقد طُبع بعض مؤلفات الشيخ الأعظم في حياته كرسالة القطع ورسالة حجيَّة المظنّة ونُشر الكثير منها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وطُبعت رسائله ومكاسبه طبعات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الآونة الأخيرة جُمع ما عُثر عليه من تراثه في مجموعة واحدة تُعرَف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هناك مخطوطةٌ فقهية من تأليف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تُطبع بعدُ وهي من مقتنيات بعض مراجع العصر دام ظله الوارف</w:t>
      </w:r>
      <w:r>
        <w:rPr>
          <w:rFonts w:eastAsia="Amiri" w:cs="Amiri" w:ascii="Amiri" w:hAnsi="Amiri"/>
          <w:color w:val="111111"/>
          <w:sz w:val="28"/>
          <w:szCs w:val="28"/>
          <w:rtl w:val="true"/>
          <w:lang w:bidi="ar-SA"/>
        </w:rPr>
        <w:t xml:space="preserve">. </w:t>
      </w:r>
      <w:bookmarkStart w:id="414" w:name="pg9076_119881"/>
    </w:p>
    <w:p>
      <w:pPr>
        <w:pStyle w:val="BookText"/>
        <w:rPr/>
      </w:pPr>
      <w:bookmarkEnd w:id="414"/>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شديد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صغيرة من 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يَراعه الشريف لم يجد علينا إلا بهذه المقطوعة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باحث كتاب الإجارة وقد كتبت له تقريرات في ذلك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النكات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يبدأ بها من بحث أحكام الإجارة وأنها من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إلى البحث عن حكم تلف العين قبل قبض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بحوث كثيرة قبل وبعد هذه البحوث لم يذكرها قدست نفسه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كانت نسخة فريدة إلا أن خطَّه معروف بالمقارنة إلى ما هو موجود من كتابات في بعض مباحث الخيارات بخطه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والناظر الخبير إليهما يعرف أن مَن خَطَّهما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شهد بذلك غير واحد ممن له باع في هذا المجال، مضافاً إلى أن الممارس في كتبه الأخرى كالمكاسب وغيره يعرف أن الأسلوب المتبع في هذه القطعة هو منهج الشيخ نفسه</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2580617_2870459653"/>
      <w:bookmarkStart w:id="416" w:name="_Toc146"/>
      <w:bookmarkEnd w:id="415"/>
      <w:r>
        <w:rPr>
          <w:rtl w:val="true"/>
        </w:rPr>
        <w:t>عملنا في النسخة</w:t>
      </w:r>
      <w:bookmarkEnd w:id="416"/>
    </w:p>
    <w:p>
      <w:pPr>
        <w:pStyle w:val="BookText"/>
        <w:rPr/>
      </w:pPr>
      <w:r>
        <w:rPr>
          <w:rFonts w:ascii="Amiri" w:hAnsi="Amiri" w:eastAsia="Amiri" w:cs="Amiri"/>
          <w:color w:val="111111"/>
          <w:sz w:val="28"/>
          <w:sz w:val="28"/>
          <w:szCs w:val="28"/>
          <w:rtl w:val="true"/>
          <w:lang w:bidi="ar-SA"/>
        </w:rPr>
        <w:t>فبعد محاولة تبييض النص لتأهيله للتنضيد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التأكد من مطابقته مع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قطّعنا النص مع ضبطه وإخراجه بحسب المعايير المتعارفة في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قمنا باستخراج الآيات الكريمة والأحاديث الشريفة والآثار والأقوال الواردة في النسخة من مصادرها الأصلية أو الحاكية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نشير إلى أن النسخة لم تحوِ عناوين لفقرات مباحثها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فارتأينا عمل عناوين لها ووضعناها بين معقوفين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يحمّل المحقق شيئاً من العناء أنها مسوّدة بخطه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تخل من الشطب والإضافة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أنها نسخة فريدة لم يمكنا أن نرجع فيما توقّفنا فيه في بعض الكلمات المدرجة فيها إلى نسخة أخرى يمكن من خلالها أن تحل الرموز ويُكشف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فارتأينا في ما توقفنا فيه الرجوع إلى بعض التقريرات لدرسه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استعنا بكلمات الأعلام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بقيت بعض الكلمات فيها على غموضها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وأشرنا الى ذلك في الهامش فيما وضعنا له كلمة تناسب السياق وفيما تركناه فراغاً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ارتأينا استبدال كلمة في النسخة بغيرها تتناسب مع السياق فوضعناها بين معقوفين وأشرنا الى ذلك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وضعنا </w:t>
      </w:r>
    </w:p>
    <w:p>
      <w:pPr>
        <w:pStyle w:val="BookText"/>
        <w:rPr/>
      </w:pPr>
      <w:r>
        <w:rPr>
          <w:rFonts w:ascii="Amiri" w:hAnsi="Amiri" w:eastAsia="Amiri" w:cs="Amiri"/>
          <w:color w:val="111111"/>
          <w:sz w:val="28"/>
          <w:sz w:val="28"/>
          <w:szCs w:val="28"/>
          <w:rtl w:val="true"/>
          <w:lang w:bidi="ar-SA"/>
        </w:rPr>
        <w:t xml:space="preserve">في ذيل المُحقَق قائمة للمصادر والمراجع رُتبت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حروف الهجاء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حيث أشكر الله سبحانه وتعالى أولاً على أن وفقني لمثل هذا العمل الذي يساهم ولو بجزءٍ يسير في خدمة العلم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وأشكره على توفيقه لإنجاز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ذات الوقت ألتمس العذر عمّا قد يكون فيه من النقص أو السهو الذي لا يخلو منه عمل إنسان فكيف بالقاصر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وفائق شكري لمن هيّأ لنا ذلك وسهّل لنا مقدّمات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وأخص بالشكر إدارة المجلة المباركة، فإني أشهد بجدهم ومثابرتهم وسعيهم الحثيث لتوفير كل أسباب النجاح لمشروعهم المبارك، وشكري موصول لجميع الأخوة الذين ساعدوا ولم يبخلوا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جادوا في تقديم نصيحة أو ملحوظة نستفيد منها في عملنا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آصف السید نوری اللعیبی</w:t>
      </w:r>
    </w:p>
    <w:p>
      <w:pPr>
        <w:pStyle w:val="BookText"/>
        <w:rPr/>
      </w:pPr>
      <w:r>
        <w:rPr>
          <w:rFonts w:ascii="Amiri" w:hAnsi="Amiri" w:eastAsia="Amiri" w:cs="Amiri"/>
          <w:color w:val="111111"/>
          <w:sz w:val="28"/>
          <w:sz w:val="28"/>
          <w:szCs w:val="28"/>
          <w:rtl w:val="true"/>
          <w:lang w:bidi="ar-SA"/>
        </w:rPr>
        <w:t xml:space="preserve">غرة رجب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ﻫ</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14" o:detectmouseclick="t"/>
                <v:stroke color="#3465a4" joinstyle="round" endcap="flat"/>
                <w10:wrap type="none"/>
              </v:shape>
            </w:pict>
          </mc:Fallback>
        </mc:AlternateConten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المخطوطة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1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1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17" o:detectmouseclick="t"/>
                <v:stroke color="#3465a4" joinstyle="round" endcap="flat"/>
                <w10:wrap type="none"/>
              </v:shape>
            </w:pict>
          </mc:Fallback>
        </mc:AlternateConten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المخطوطة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9076_119886"/>
      <w:bookmarkStart w:id="418" w:name="pg9076_119886"/>
      <w:bookmarkEnd w:id="418"/>
    </w:p>
    <w:p>
      <w:pPr>
        <w:pStyle w:val="Heading3"/>
        <w:numPr>
          <w:ilvl w:val="2"/>
          <w:numId w:val="1"/>
        </w:numPr>
        <w:rPr/>
      </w:pPr>
      <w:bookmarkStart w:id="419" w:name="pg9076_119886"/>
      <w:bookmarkStart w:id="420" w:name="__RefHeading___Toc2580619_2870459653"/>
      <w:bookmarkStart w:id="421" w:name="_Toc147"/>
      <w:bookmarkEnd w:id="419"/>
      <w:bookmarkEnd w:id="420"/>
      <w:r>
        <w:rPr>
          <w:rtl w:val="true"/>
        </w:rPr>
        <w:t>قطعة من كتاب الإجارة</w:t>
      </w:r>
      <w:bookmarkEnd w:id="421"/>
    </w:p>
    <w:p>
      <w:pPr>
        <w:pStyle w:val="Heading4"/>
        <w:numPr>
          <w:ilvl w:val="3"/>
          <w:numId w:val="1"/>
        </w:numPr>
        <w:rPr/>
      </w:pPr>
      <w:bookmarkStart w:id="422" w:name="__RefHeading___Toc2580621_2870459653"/>
      <w:bookmarkStart w:id="423" w:name="_Toc148"/>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الأعظم أستاذ الفقهاء والمجتهدين</w:t>
      </w:r>
    </w:p>
    <w:p>
      <w:pPr>
        <w:pStyle w:val="BookText"/>
        <w:rPr/>
      </w:pP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 xml:space="preserve">ﻫ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آصف اللعيبي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9076_119888"/>
      <w:bookmarkStart w:id="425" w:name="pg9076_119888"/>
      <w:bookmarkEnd w:id="425"/>
    </w:p>
    <w:p>
      <w:pPr>
        <w:pStyle w:val="Heading4"/>
        <w:numPr>
          <w:ilvl w:val="3"/>
          <w:numId w:val="1"/>
        </w:numPr>
        <w:rPr/>
      </w:pPr>
      <w:bookmarkStart w:id="426" w:name="pg9076_119888"/>
      <w:bookmarkStart w:id="427" w:name="__RefHeading___Toc2580623_2870459653"/>
      <w:bookmarkStart w:id="428" w:name="_Toc149"/>
      <w:bookmarkEnd w:id="426"/>
      <w:bookmarkEnd w:id="427"/>
      <w:r>
        <w:rPr>
          <w:rtl w:val="true"/>
        </w:rPr>
        <w:t>الإجارة عقد لازم</w:t>
      </w:r>
      <w:bookmarkEnd w:id="428"/>
    </w:p>
    <w:p>
      <w:pPr>
        <w:pStyle w:val="BookText"/>
        <w:rPr/>
      </w:pPr>
      <w:r>
        <w:rPr>
          <w:rFonts w:ascii="Amiri" w:hAnsi="Amiri" w:eastAsia="Amiri" w:cs="Amiri"/>
          <w:color w:val="111111"/>
          <w:sz w:val="28"/>
          <w:sz w:val="28"/>
          <w:szCs w:val="28"/>
          <w:rtl w:val="true"/>
          <w:lang w:bidi="ar-SA"/>
        </w:rPr>
        <w:t>لا إشكال ولا خلاف في لزوم عقد الإجارة، ويدلّ عليه عموم الأمر بالوفاء بالعقود</w:t>
      </w:r>
      <w:r>
        <w:rPr>
          <w:rStyle w:val="FootnoteAnchor"/>
          <w:rtl w:val="true"/>
        </w:rPr>
        <w:footnoteReference w:id="751"/>
      </w:r>
      <w:r>
        <w:rPr>
          <w:rFonts w:ascii="Amiri" w:hAnsi="Amiri" w:eastAsia="Amiri" w:cs="Amiri"/>
          <w:color w:val="111111"/>
          <w:sz w:val="28"/>
          <w:sz w:val="28"/>
          <w:szCs w:val="28"/>
          <w:rtl w:val="true"/>
          <w:lang w:bidi="ar-SA"/>
        </w:rPr>
        <w:t>، والكون عند الشروط</w:t>
      </w:r>
      <w:r>
        <w:rPr>
          <w:rStyle w:val="FootnoteAnchor"/>
          <w:rtl w:val="true"/>
        </w:rPr>
        <w:footnoteReference w:id="752"/>
      </w:r>
      <w:r>
        <w:rPr>
          <w:rFonts w:ascii="IRNazanin" w:hAnsi="IRNazanin" w:eastAsia="IRNazanin"/>
          <w:color w:val="111111"/>
          <w:sz w:val="28"/>
          <w:sz w:val="28"/>
          <w:szCs w:val="28"/>
          <w:rtl w:val="true"/>
          <w:lang w:bidi="fa-IR"/>
        </w:rPr>
        <w:t>، والاستصحاب</w:t>
      </w:r>
      <w:r>
        <w:rPr>
          <w:rStyle w:val="FootnoteAnchor"/>
          <w:rtl w:val="true"/>
        </w:rPr>
        <w:footnoteReference w:id="753"/>
      </w:r>
      <w:r>
        <w:rPr>
          <w:rFonts w:ascii="Amiri" w:hAnsi="Amiri" w:eastAsia="Amiri" w:cs="Amiri"/>
          <w:color w:val="111111"/>
          <w:sz w:val="28"/>
          <w:sz w:val="28"/>
          <w:szCs w:val="28"/>
          <w:rtl w:val="true"/>
          <w:lang w:bidi="ar-SA"/>
        </w:rPr>
        <w:t>، وخصوص ما دل من الأخبار على لزوم الإجارة والكراء إلى أجله، وعدم جواز فسخه من دون طيبة نفس أحدهما، كالمصححين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الرجل يتكارى من الرجل البيت والسفينة، سنة أو أكثر من ذلك أو أقل،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الكراء لازم له إلى الوقت الذي تكارى إليه، والخيار في أخذ الكراء إلى ربها، إن شاء أخذ، وإن شاء ترك</w:t>
      </w:r>
      <w:r>
        <w:rPr>
          <w:rFonts w:eastAsia="Amiri" w:cs="Amiri" w:ascii="Amiri" w:hAnsi="Amiri"/>
          <w:color w:val="111111"/>
          <w:sz w:val="28"/>
          <w:szCs w:val="28"/>
          <w:rtl w:val="true"/>
          <w:lang w:bidi="ar-SA"/>
        </w:rPr>
        <w:t>)</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رجل دفع ابنه إلى رجل، وسلّمه منه سنة بأجرة معلومة، ليخيط له، ثم جاء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ابنك منّي سنة بزيادة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 الخيار في ذلك؟ و هل يجوز له أن يفسخ ما وافق عليه الأول أم لا؟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يجب عليه الوفاء للأول، ما لم يعرض </w:t>
      </w:r>
      <w:bookmarkStart w:id="429" w:name="pg9076_119889"/>
    </w:p>
    <w:p>
      <w:pPr>
        <w:pStyle w:val="BookText"/>
        <w:rPr/>
      </w:pPr>
      <w:bookmarkEnd w:id="429"/>
      <w:r>
        <w:rPr>
          <w:rFonts w:ascii="IRNazanin" w:hAnsi="IRNazanin" w:eastAsia="IRNazanin"/>
          <w:color w:val="111111"/>
          <w:sz w:val="28"/>
          <w:sz w:val="28"/>
          <w:szCs w:val="28"/>
          <w:rtl w:val="true"/>
          <w:lang w:bidi="fa-IR"/>
        </w:rPr>
        <w:t xml:space="preserve">لابنه مرض أو ضعف </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2580625_2870459653"/>
      <w:bookmarkStart w:id="431" w:name="_Toc150"/>
      <w:bookmarkEnd w:id="430"/>
      <w:r>
        <w:rPr>
          <w:rtl w:val="true"/>
        </w:rPr>
        <w:t>انفساخ الإجارة بالتقايل</w:t>
      </w:r>
      <w:bookmarkEnd w:id="431"/>
    </w:p>
    <w:p>
      <w:pPr>
        <w:pStyle w:val="BookText"/>
        <w:rPr/>
      </w:pP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الرياض</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انفساخ الإجارة بالتقايل، لعموم أدلة استحباب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وللنظر في دلالتها مجال؛ لورودها في مقام بيان رجحان الإقالة فيما تشرع فيه، لا في مقام بيان مشروعيتها، كما أنّ أدلة فضيلة الصلاة لا تدل على صحة الصلاة عموماً بحيث يستدل بها في مقام الشك في الصحة، مع قوة انصرافها إلى خصوص البيع،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عدم الخلاف، واستمرار السيرة، مضافاً إلى أنّ ظاهر أدلة الوفاء بالعقود والشروط هو وجوب وفاء كل من المتعاقدين لأجل صاحبه،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يخالف صاحبه، كما هو المتبادر من لزوم الوفاء بالعهود والوعود والشروط وحرمة نقضها، فلا تدل على وجوب الوفاء فيما إذا توافقا على طرح العهد، ولذا لو أوعد رجل صاحبه على أن يفعل له كذا، ثم أسقط الموعود له عنه الفعل، فتركه الواعد،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نقض العهد وأخلف الوعد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وجوب الوفاء على كل منهما ما دام صاحبه يطلب الوفاء ويريده، دون ما إذا توافقا على طرح العهد برضاً منهما، بل يمكن الاستدلال بلزوم الطرح حينئذ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المصححة المحكية عن تفسير 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بمطلق العهود</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432" w:name="pg9076_119890"/>
    </w:p>
    <w:p>
      <w:pPr>
        <w:pStyle w:val="BookText"/>
        <w:rPr/>
      </w:pPr>
      <w:bookmarkEnd w:id="432"/>
      <w:r>
        <w:rPr>
          <w:rFonts w:ascii="Amiri" w:hAnsi="Amiri" w:eastAsia="Amiri" w:cs="Amiri"/>
          <w:color w:val="111111"/>
          <w:sz w:val="28"/>
          <w:sz w:val="28"/>
          <w:szCs w:val="28"/>
          <w:rtl w:val="true"/>
          <w:lang w:bidi="ar-SA"/>
        </w:rPr>
        <w:t>ومما يمكن أن يستدل به على جواز التقايل الخبر المصحح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ينقض البيع الإجارة ولا السكنى، ولكن يبيعه على أنّ الذي يشتريه لا يملك ما اشترى حتى تنقضي السكنى على ما شرط والإجارة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 على المستأجر ماله وجميع ما لزمه من النفقة والعمارة فيما استأجر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على طيبة النفس، ورضا المستأجر بذلك، فلا بأس</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البائع لا إلى المشتري، كما لا يخفى</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2580627_2870459653"/>
      <w:bookmarkStart w:id="434" w:name="_Toc151"/>
      <w:bookmarkEnd w:id="433"/>
      <w:r>
        <w:rPr>
          <w:rtl w:val="true"/>
        </w:rPr>
        <w:t>عدم بطلان الإجارة بموت المؤجر أو المستأجر</w:t>
      </w:r>
      <w:bookmarkEnd w:id="434"/>
    </w:p>
    <w:p>
      <w:pPr>
        <w:pStyle w:val="BookText"/>
        <w:rPr/>
      </w:pPr>
      <w:r>
        <w:rPr>
          <w:rFonts w:ascii="Amiri" w:hAnsi="Amiri" w:eastAsia="Amiri" w:cs="Amiri"/>
          <w:color w:val="111111"/>
          <w:sz w:val="28"/>
          <w:sz w:val="28"/>
          <w:szCs w:val="28"/>
          <w:rtl w:val="true"/>
          <w:lang w:bidi="ar-SA"/>
        </w:rPr>
        <w:t>المشهور بين المتأخرين وفاقاً للمحكي عن جماعة من القدماء</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لا تبطل بموت المؤجر ولا المستأجر؛ للزوم الوفاء بالعقود، ولاستصحاب آثار الإجارة، ولعموم ما دل على لزوم الإجارة والكراء إلى انقضاء أجله، ولأن المنفعة في الأيام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تكون مملوكةً للمؤجر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مملوكةً لمن يكون مالك العين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للزوم الإجارة إلى آخر الأجل، وإلا لزم ما هو مخالفٌ لما هو كالمعلوم بالضرورة من منع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المحجور عليه بأحد الأسباب الموجبة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 ملكه</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لبطلان الإجارة بالبيع والعتق، ولبطلان الوصية بمنفعة الملك، </w:t>
      </w:r>
    </w:p>
    <w:p>
      <w:pPr>
        <w:pStyle w:val="BookText"/>
        <w:rPr/>
      </w:pPr>
      <w:r>
        <w:rPr>
          <w:rFonts w:ascii="Amiri" w:hAnsi="Amiri" w:eastAsia="Amiri" w:cs="Amiri"/>
          <w:color w:val="111111"/>
          <w:sz w:val="28"/>
          <w:sz w:val="28"/>
          <w:szCs w:val="28"/>
          <w:rtl w:val="true"/>
          <w:lang w:bidi="ar-SA"/>
        </w:rPr>
        <w:t>ولبطلان العقود المشتملة على نقل المنافع بموت مالك المنفعة، وبطلان التوالي معلوم من الشرع قولاً وتقريراً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فرضنا أنّ المؤجر باع العين المستأجرة ثم مات، فإن قلنا ببطلان الإجارة، فإما أن تعود المنفعة إلى وارث البائع، أو إلى المشتري، لا سبيل إلى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الوارث لا ينتقل إليه إلا ما هو مملوك لمورثه قبل الموت إما محققاً، أو مقدّراً كالدية، والمفروض أنّ المنفعة المزبورة لا تعود إلى المورّث؛ لخروجه عن ملكه بالعقد اللازم، فلا يعود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فلأنه لم يملك المشتري العين إلا مسلوبة المنفعة، لما سيجيء من أنّ المشتري للعين لا يستحق المنفعة عند فسخ الإجارة أو انفساخها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 القدماء</w:t>
      </w:r>
      <w:r>
        <w:rPr>
          <w:rStyle w:val="FootnoteAnchor"/>
          <w:rtl w:val="true"/>
        </w:rPr>
        <w:footnoteReference w:id="763"/>
      </w:r>
      <w:r>
        <w:rPr>
          <w:rFonts w:ascii="Amiri" w:hAnsi="Amiri" w:eastAsia="Amiri" w:cs="Amiri"/>
          <w:color w:val="111111"/>
          <w:sz w:val="28"/>
          <w:sz w:val="28"/>
          <w:szCs w:val="28"/>
          <w:rtl w:val="true"/>
          <w:lang w:bidi="ar-SA"/>
        </w:rPr>
        <w:t xml:space="preserve">، بل المشهور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الشرائع</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البطلان بموت أحدهما، بل عن الخلاف</w:t>
      </w:r>
      <w:r>
        <w:rPr>
          <w:rStyle w:val="FootnoteAnchor"/>
          <w:rtl w:val="true"/>
        </w:rPr>
        <w:footnoteReference w:id="765"/>
      </w:r>
      <w:r>
        <w:rPr>
          <w:rFonts w:ascii="Amiri" w:hAnsi="Amiri" w:eastAsia="Amiri" w:cs="Amiri"/>
          <w:color w:val="111111"/>
          <w:sz w:val="28"/>
          <w:sz w:val="28"/>
          <w:szCs w:val="28"/>
          <w:rtl w:val="true"/>
          <w:lang w:bidi="ar-SA"/>
        </w:rPr>
        <w:t>والغنية</w:t>
      </w:r>
      <w:r>
        <w:rPr>
          <w:rStyle w:val="FootnoteAnchor"/>
          <w:rtl w:val="true"/>
        </w:rPr>
        <w:footnoteReference w:id="766"/>
      </w:r>
      <w:r>
        <w:rPr>
          <w:rFonts w:ascii="Amiri" w:hAnsi="Amiri" w:eastAsia="Amiri" w:cs="Amiri"/>
          <w:color w:val="111111"/>
          <w:sz w:val="28"/>
          <w:sz w:val="28"/>
          <w:szCs w:val="28"/>
          <w:rtl w:val="true"/>
          <w:lang w:bidi="ar-SA"/>
        </w:rPr>
        <w:t>عليه الإجماع، وزاد في الأخير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ما حكي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المنفعة بموت المؤجر تنتقل إلى الورثة، وكذا الأُجرة بموت المستأجر تدخل في التركة، فتنفسخ الإجارة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ضعفه؛ لأن انتقال المنفعة إلى الورثة، مع نقل المورث إياها في حياته، وإخراجها عن ملكه ممنوعٌ؛ لعدم صدق الإرث إلا على ما تركه المورث، مع أنّ لازم هذا بطلان سائر العقود الناقلة للمنافع، كالبيع الذي يكون الثمن فيه منفعة، والصلح </w:t>
      </w:r>
    </w:p>
    <w:p>
      <w:pPr>
        <w:pStyle w:val="BookText"/>
        <w:rPr/>
      </w:pPr>
      <w:r>
        <w:rPr>
          <w:rFonts w:ascii="Amiri" w:hAnsi="Amiri" w:eastAsia="Amiri" w:cs="Amiri"/>
          <w:color w:val="111111"/>
          <w:sz w:val="28"/>
          <w:sz w:val="28"/>
          <w:szCs w:val="28"/>
          <w:rtl w:val="true"/>
          <w:lang w:bidi="ar-SA"/>
        </w:rPr>
        <w:t>الواقع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الأُجرة إلى ورثة المستأجر، مضافاً إلى اختصاصه بصورة بقاء الأجرة عند المستأجر، أو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المؤجر لا يملك من الأجرة إلا مقابل ما ملكه من المنفعة، ولا يخرج من ملك المستأجر إلا مقابل ما استوفاه من المنفعة، فإذا مات المستأجر انتقلت بقية الأُجرة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يستدل لهذا المطلب ببعض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روي عن إبراهيم بن محمد الهمداني</w:t>
      </w:r>
      <w:r>
        <w:rPr>
          <w:rStyle w:val="FootnoteAnchor"/>
          <w:rtl w:val="true"/>
        </w:rPr>
        <w:footnoteReference w:id="76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امرأةٍ آجرت ضيعتها عشر سنين على أن تعطى الأجرة كل سنة عند انقضائها، لا يقدم لها أجرةٌ مالم يمض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فماتت قبل ثلاث سنين 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ورثتها إنفاذ الإجارة إلى الوقت، أم تكون الإجارة منقضيةً بموت المرأة؟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لها وقت مسمى لم تبلغه فماتت، فلورثتها تلك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تبلغ ذلك الوقت، وبلغت ثلثه أو نصفه أو شيئا منه، فتعطى ورثتها بقدر ما بلغت من ذلك إن شاء الله تعالى</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آخر</w:t>
      </w:r>
      <w:r>
        <w:rPr>
          <w:rStyle w:val="FootnoteAnchor"/>
          <w:rtl w:val="true"/>
        </w:rPr>
        <w:footnoteReference w:id="769"/>
      </w:r>
      <w:r>
        <w:rPr>
          <w:rFonts w:ascii="Amiri" w:hAnsi="Amiri" w:eastAsia="Amiri" w:cs="Amiri"/>
          <w:color w:val="111111"/>
          <w:sz w:val="28"/>
          <w:sz w:val="28"/>
          <w:szCs w:val="28"/>
          <w:rtl w:val="true"/>
          <w:lang w:bidi="ar-SA"/>
        </w:rPr>
        <w:t>بهذا الخبر على عدم البطلان بموت المؤجر، بناءً على أنّ المراد بالوقت المسمّى مدة الإجارة، وإنّ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للشرطية الأولى لا مقابل لها، وإنّ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ورثتها بقدر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ما بلغت إلى الباقي، فيعطون الباقي من وجه الإجارة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مضطربة، بحيث لا يصلح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من بعض </w:t>
      </w:r>
    </w:p>
    <w:p>
      <w:pPr>
        <w:pStyle w:val="BookText"/>
        <w:rPr/>
      </w:pPr>
      <w:r>
        <w:rPr>
          <w:rFonts w:ascii="Amiri" w:hAnsi="Amiri" w:eastAsia="Amiri" w:cs="Amiri"/>
          <w:color w:val="111111"/>
          <w:sz w:val="28"/>
          <w:sz w:val="28"/>
          <w:szCs w:val="28"/>
          <w:rtl w:val="true"/>
          <w:lang w:bidi="ar-SA"/>
        </w:rPr>
        <w:t>المتأخرين المعاصرين</w:t>
      </w:r>
      <w:r>
        <w:rPr>
          <w:rStyle w:val="FootnoteAnchor"/>
          <w:rtl w:val="true"/>
        </w:rPr>
        <w:footnoteReference w:id="770"/>
      </w:r>
      <w:r>
        <w:rPr>
          <w:rFonts w:ascii="Amiri" w:hAnsi="Amiri" w:eastAsia="Amiri" w:cs="Amiri"/>
          <w:color w:val="111111"/>
          <w:sz w:val="28"/>
          <w:sz w:val="28"/>
          <w:szCs w:val="28"/>
          <w:rtl w:val="true"/>
          <w:lang w:bidi="ar-SA"/>
        </w:rPr>
        <w:t>، حيث استدل بها على البطلان، واعتضدها بالإجماع المحكي عن الخلاف والغنية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أنّها مضطربة الدلالة، بل لا </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في ظهور دلالتها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جبر سندها، أو دلالتها أيضاً بالإجماع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الاجماع المذكور موهون بما حكي عن القاضي</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ذهاب الأكثر إلى عدم البطلان بموت المؤجر، بل يبطلونه بموت المستأجر، فإذا ضم إلى ذلك قول المتأخرين كافة بعدم البطلان بالموت مطلقاً، صح دعوى الشهرة العظيمة من القدماء والمتأخرين على طرح مضمون الرواية، وهو البطلان بموت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يرفع بها اليد عن القواعد المسلمة، والعمومات المحكّمة، وإطلاق ما دل على لزوم الإجارة إلى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القاضي معارضة بما حكي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773"/>
      </w:r>
      <w:r>
        <w:rPr>
          <w:rFonts w:ascii="IRNazanin" w:hAnsi="IRNazanin" w:eastAsia="IRNazanin"/>
          <w:color w:val="111111"/>
          <w:sz w:val="28"/>
          <w:sz w:val="28"/>
          <w:szCs w:val="28"/>
          <w:rtl w:val="true"/>
          <w:lang w:bidi="fa-IR"/>
        </w:rPr>
        <w:t>أنّ البطلان بموت المستأجر فقط شاذٌ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الشيخ في المبسوط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يفسخ الإجارة، سواء كان الميت المؤجر أو المستأجر عند أصحابنا، والأظهر عندهم أن موت المستأجر يبطلها، وموت المؤجر لا يبطلها، وفيه خلاف</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فيه من التدافع كما صرح به بعضٌ</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435" w:name="pg9076_119894"/>
    </w:p>
    <w:p>
      <w:pPr>
        <w:pStyle w:val="BookText"/>
        <w:rPr/>
      </w:pPr>
      <w:bookmarkEnd w:id="435"/>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فمخالفة المتأخرين كافة يكفي في وهن الإجماع المحكي، وإسقاطه عن درجة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 نسبة قول المتأخرين إلى أكثر المحصلين</w:t>
      </w:r>
      <w:r>
        <w:rPr>
          <w:rStyle w:val="FootnoteAnchor"/>
          <w:rtl w:val="true"/>
        </w:rPr>
        <w:footnoteReference w:id="777"/>
      </w:r>
      <w:r>
        <w:rPr>
          <w:rFonts w:ascii="Amiri" w:hAnsi="Amiri" w:eastAsia="Amiri" w:cs="Amiri"/>
          <w:color w:val="111111"/>
          <w:sz w:val="28"/>
          <w:sz w:val="28"/>
          <w:szCs w:val="28"/>
          <w:rtl w:val="true"/>
          <w:lang w:bidi="ar-SA"/>
        </w:rPr>
        <w:t xml:space="preserve">، لكن حكى عنه السيد عميد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في مسألة موت المرضعة أو أب المرتضع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بطلان الإجارة بموت المستأجر</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القول بالبطلان بموت المؤجر فقط، قد حكي عن التذكرة أنّه نسبه إلى بعض الأصحاب</w:t>
      </w:r>
      <w:r>
        <w:rPr>
          <w:rStyle w:val="FootnoteAnchor"/>
          <w:rtl w:val="true"/>
        </w:rPr>
        <w:footnoteReference w:id="779"/>
      </w:r>
      <w:r>
        <w:rPr>
          <w:rFonts w:ascii="Amiri" w:hAnsi="Amiri" w:eastAsia="Amiri" w:cs="Amiri"/>
          <w:color w:val="111111"/>
          <w:sz w:val="28"/>
          <w:sz w:val="28"/>
          <w:szCs w:val="28"/>
          <w:rtl w:val="true"/>
          <w:lang w:bidi="ar-SA"/>
        </w:rPr>
        <w:t>، لكن اعترف بعض</w:t>
      </w:r>
      <w:r>
        <w:rPr>
          <w:rStyle w:val="FootnoteAnchor"/>
          <w:rtl w:val="true"/>
        </w:rPr>
        <w:footnoteReference w:id="780"/>
      </w:r>
      <w:r>
        <w:rPr>
          <w:rFonts w:ascii="Amiri" w:hAnsi="Amiri" w:eastAsia="Amiri" w:cs="Amiri"/>
          <w:color w:val="111111"/>
          <w:sz w:val="28"/>
          <w:sz w:val="28"/>
          <w:szCs w:val="28"/>
          <w:rtl w:val="true"/>
          <w:lang w:bidi="ar-SA"/>
        </w:rPr>
        <w:t>بأنّه لم يتحقق القائل به</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2580629_2870459653"/>
      <w:bookmarkStart w:id="437" w:name="_Toc152"/>
      <w:bookmarkEnd w:id="436"/>
      <w:r>
        <w:rPr>
          <w:rtl w:val="true"/>
        </w:rPr>
        <w:t>عدم بطلان الإجارة بالبيع</w:t>
      </w:r>
      <w:bookmarkEnd w:id="437"/>
    </w:p>
    <w:p>
      <w:pPr>
        <w:pStyle w:val="BookText"/>
        <w:rPr/>
      </w:pPr>
      <w:r>
        <w:rPr>
          <w:rFonts w:ascii="Amiri" w:hAnsi="Amiri" w:eastAsia="Amiri" w:cs="Amiri"/>
          <w:color w:val="111111"/>
          <w:sz w:val="28"/>
          <w:sz w:val="28"/>
          <w:szCs w:val="28"/>
          <w:rtl w:val="true"/>
          <w:lang w:bidi="ar-SA"/>
        </w:rPr>
        <w:t>المعروف أنّ الإجارة لا تبطل ببيع العين المستأجرة؛ لعدم المقتضي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اقتضى البيع البطلان، كان هو أولى به من الإجارة لسبقها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 السابق،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البيع لا يبطل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كان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صبر إلى انقضاء مدة الإجارة، وإن جهل تخير بين الصبر مجاناً، وبين الفسخ لفوات الوصف</w:t>
      </w:r>
      <w:r>
        <w:rPr>
          <w:rFonts w:eastAsia="Amiri" w:cs="Amiri" w:ascii="Amiri" w:hAnsi="Amiri"/>
          <w:color w:val="111111"/>
          <w:sz w:val="28"/>
          <w:szCs w:val="28"/>
          <w:rtl w:val="true"/>
          <w:lang w:bidi="ar-SA"/>
        </w:rPr>
        <w:t xml:space="preserve">. </w:t>
      </w:r>
      <w:bookmarkStart w:id="438" w:name="pg9076_119895"/>
    </w:p>
    <w:p>
      <w:pPr>
        <w:pStyle w:val="BookText"/>
        <w:rPr/>
      </w:pPr>
      <w:bookmarkEnd w:id="438"/>
      <w:r>
        <w:rPr>
          <w:rFonts w:ascii="Amiri" w:hAnsi="Amiri" w:eastAsia="Amiri" w:cs="Amiri"/>
          <w:color w:val="111111"/>
          <w:sz w:val="28"/>
          <w:sz w:val="28"/>
          <w:szCs w:val="28"/>
          <w:rtl w:val="true"/>
          <w:lang w:bidi="ar-SA"/>
        </w:rPr>
        <w:t>ثم لو فسخت الإجارة تعود المنفعة إلى البائع لا المشتري؛ لأنه لم يستحق العين إلا مسلوبة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إنّما استحق العين، وتتبعها المنافع، إلا أن يمنع مانعٌ شرعي أو عقلي، فإذا زال المانع، عادت المنفعة إلى تبعية الأصل، كما لو اشترى عينا يعلم أنّه لا يتمكن من الانتفاع بها إلا بعد مدةٍ، ثم طرأ التمكن وزال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فساد هذا الوجه، لأنّ المنفعة كانت ملكاً للبائع قد نقلها إلى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الفسخ رجوع كل ملكٍ إلى مالكه، وقياسه باشتراء العين التي لا يتمكن من الانتفاع بها مدة، قياس مع الفارق؛ لأنّ تلك المنفعة المقدرة كانت ملكاً أيضاً للمشتري من حيث القوة والشأنية، ولم يكن مستثنى عن بيع العين،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العين إنّما يستتبع ملك المنفعة إذا لم يستوف 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فيما ذكرنا بين كون المشتري هو المستأجر أو غيره، فيجتمع في الأول عليه الثمن والأُجرة</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2580631_2870459653"/>
      <w:bookmarkStart w:id="440" w:name="_Toc153"/>
      <w:bookmarkEnd w:id="439"/>
      <w:r>
        <w:rPr>
          <w:rtl w:val="true"/>
        </w:rPr>
        <w:t>العين المستأجرة أمانة في يد المستأجر</w:t>
      </w:r>
      <w:bookmarkEnd w:id="440"/>
    </w:p>
    <w:p>
      <w:pPr>
        <w:pStyle w:val="BookText"/>
        <w:rPr/>
      </w:pPr>
      <w:r>
        <w:rPr>
          <w:rFonts w:ascii="IRNazanin" w:hAnsi="IRNazanin" w:eastAsia="IRNazanin"/>
          <w:color w:val="111111"/>
          <w:sz w:val="28"/>
          <w:sz w:val="28"/>
          <w:szCs w:val="28"/>
          <w:rtl w:val="true"/>
          <w:lang w:bidi="fa-IR"/>
        </w:rPr>
        <w:t xml:space="preserve">العين المستأجرة أمانة في يد المستأجر، لا يضمنها مع عدم التعدي و التفريط، بلا خلاف، للأصل، و ما دل بعمومه على عدم ضمان المؤتمن، مثل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العارية مؤتمن</w:t>
      </w:r>
      <w:r>
        <w:rPr>
          <w:rFonts w:eastAsia="IRNazanin" w:cs="IRNazanin"/>
          <w:color w:val="111111"/>
          <w:sz w:val="28"/>
          <w:szCs w:val="28"/>
          <w:rtl w:val="true"/>
          <w:lang w:bidi="fa-IR"/>
        </w:rPr>
        <w:t>)</w:t>
      </w:r>
      <w:r>
        <w:rPr>
          <w:rStyle w:val="FootnoteAnchor"/>
          <w:rtl w:val="true"/>
        </w:rPr>
        <w:footnoteReference w:id="783"/>
      </w:r>
      <w:r>
        <w:rPr>
          <w:rFonts w:ascii="Amiri" w:hAnsi="Amiri" w:eastAsia="Amiri" w:cs="Amiri"/>
          <w:color w:val="111111"/>
          <w:sz w:val="28"/>
          <w:sz w:val="28"/>
          <w:szCs w:val="28"/>
          <w:rtl w:val="true"/>
          <w:lang w:bidi="ar-SA"/>
        </w:rPr>
        <w:t>ونحو ذلك، وللزوم الضرر، ولمفهوم ما دل على الضمان مع التعدي أو التفريط</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ذلك بين مدة الإجارة وما بعدها؛ للأصل، والاستصحاب، وصدق الاستئمان، ومقتضاهما عدم الضمان، وإن لم يردّها إلى المالك ما لم يطالب، فهي </w:t>
      </w:r>
    </w:p>
    <w:p>
      <w:pPr>
        <w:pStyle w:val="BookText"/>
        <w:rPr/>
      </w:pPr>
      <w:r>
        <w:rPr>
          <w:rFonts w:ascii="Amiri" w:hAnsi="Amiri" w:eastAsia="Amiri" w:cs="Amiri"/>
          <w:color w:val="111111"/>
          <w:sz w:val="28"/>
          <w:sz w:val="28"/>
          <w:szCs w:val="28"/>
          <w:rtl w:val="true"/>
          <w:lang w:bidi="ar-SA"/>
        </w:rPr>
        <w:t>أمانةٌ مالكيةٌ مطلقاً، لا يجب ردّها إلا بعد مطالبة المالك، بل الواجب حينئذٍ التخلية بينه وبينها، لا الرد بحيث تكون المؤنة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يحصل الإشكال من عموم و جوب أداء الأمانة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وما ورد في الأخبار من إطلاق وجوب أداء الأمانة</w:t>
      </w:r>
      <w:r>
        <w:rPr>
          <w:rStyle w:val="FootnoteAnchor"/>
          <w:rtl w:val="true"/>
        </w:rPr>
        <w:footnoteReference w:id="785"/>
      </w:r>
      <w:r>
        <w:rPr>
          <w:rFonts w:ascii="Amiri" w:hAnsi="Amiri" w:eastAsia="Amiri" w:cs="Amiri"/>
          <w:color w:val="111111"/>
          <w:sz w:val="28"/>
          <w:sz w:val="28"/>
          <w:szCs w:val="28"/>
          <w:rtl w:val="true"/>
          <w:lang w:bidi="ar-SA"/>
        </w:rPr>
        <w:t>ولو مع عدم مطالبة المالك، خرج ما أُجمع على توقف وجوب الأداء فيه على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 والإطلاقات، فالتمسك بها في المقام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البراءة، فلوجوب رفع اليد عنها بما دل على وجوب أداء الأمانة بقول مطلق، وبه يخرج عن الاستصحاب، مضافاً إلى أنّ عدم وجوب الرد في مدة الإجارة إنّما كان لأجل الاستحقاق شرعاً المرتفع بعد المدة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الإطلاقات، فلعدم انصرافها إلى ما بعد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أنّه بعد فرض كونها أمانةً شرعية، لا يجب على المستأجر إلا إعلام المالك لو كان جاهلاً بانقضاء المدة، والتخلية بينها وبينه، لا وجوب الرد وإن كان فيه 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الرد مع عدم المؤنة وعدم المشقة وجه؛ لعموم أدلة أداء الأمانة، إلا أن يستظهر أنّ المراد عدم حبسها، ويكفي في انتفاء صدق الحبس الإعلام والتخلية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دليل ما حكي عن الشيخ والإسكافي</w:t>
      </w:r>
      <w:r>
        <w:rPr>
          <w:rStyle w:val="FootnoteAnchor"/>
          <w:rtl w:val="true"/>
        </w:rPr>
        <w:footnoteReference w:id="786"/>
      </w:r>
      <w:r>
        <w:rPr>
          <w:rFonts w:ascii="Amiri" w:hAnsi="Amiri" w:eastAsia="Amiri" w:cs="Amiri"/>
          <w:color w:val="111111"/>
          <w:sz w:val="28"/>
          <w:sz w:val="28"/>
          <w:szCs w:val="28"/>
          <w:rtl w:val="true"/>
          <w:lang w:bidi="ar-SA"/>
        </w:rPr>
        <w:t>، من الحكم بالضمان بعد انقضاء المدة، مع الإخلال بردها فوراً كما في الرياض</w:t>
      </w:r>
      <w:r>
        <w:rPr>
          <w:rStyle w:val="FootnoteAnchor"/>
          <w:rtl w:val="true"/>
        </w:rPr>
        <w:footnoteReference w:id="787"/>
      </w:r>
      <w:r>
        <w:rPr>
          <w:rFonts w:ascii="Amiri" w:hAnsi="Amiri" w:eastAsia="Amiri" w:cs="Amiri"/>
          <w:color w:val="111111"/>
          <w:sz w:val="28"/>
          <w:sz w:val="28"/>
          <w:szCs w:val="28"/>
          <w:rtl w:val="true"/>
          <w:lang w:bidi="ar-SA"/>
        </w:rPr>
        <w:t>، أو مطلقاً كما في غيره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441" w:name="pg9076_119897"/>
    </w:p>
    <w:p>
      <w:pPr>
        <w:pStyle w:val="BookText"/>
        <w:rPr/>
      </w:pPr>
      <w:bookmarkEnd w:id="441"/>
      <w:r>
        <w:rPr>
          <w:rFonts w:ascii="Amiri" w:hAnsi="Amiri" w:eastAsia="Amiri" w:cs="Amiri"/>
          <w:color w:val="111111"/>
          <w:sz w:val="28"/>
          <w:sz w:val="28"/>
          <w:szCs w:val="28"/>
          <w:rtl w:val="true"/>
          <w:lang w:bidi="ar-SA"/>
        </w:rPr>
        <w:t>وكيف كان، فإن أرادا بالضمان بعد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لو أخل بالإعلام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بالتخلية، فتلفت، فهو 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مع الإخلال بالرد وإن كان فيه مؤنة، فهو ضعيف؛ إذ لا دليل على وجوب الرد حينئذ، بل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لو تعدّى أو فرّط في العين فلا إشكال ولا خلاف في الضمان، للإجماع على الضمان بالتلف الناشئ عن العدوان، مضافاً إلى الأخبار التي يستفاد منها تصريحاً أو تلويحاً هذه الكلية، مثل مفهوم ما تقدم من عدم ضمان الأمين والمؤتمن الدال على ضمان الخائن، ومصححة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تكارى دابة إلى مكان معلوم، فنفقت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جاز الشرط فهو ضامن، و إن دخل وادياً و لم يوثقها فهو ضامن، و إن سقطت في بئر فهو ضامن؛ لأنّه لم يستوثق منها</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دل على أن تعدي الشرط موجبٌ للضمان، فإنّ التفريط المفسَّر بترك ما يجب فعله، والتعدي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ما يجب تركه</w:t>
      </w:r>
      <w:r>
        <w:rPr>
          <w:rStyle w:val="FootnoteAnchor"/>
          <w:rtl w:val="true"/>
        </w:rPr>
        <w:footnoteReference w:id="790"/>
      </w:r>
      <w:r>
        <w:rPr>
          <w:rFonts w:ascii="Amiri" w:hAnsi="Amiri" w:eastAsia="Amiri" w:cs="Amiri"/>
          <w:color w:val="111111"/>
          <w:sz w:val="28"/>
          <w:sz w:val="28"/>
          <w:szCs w:val="28"/>
          <w:rtl w:val="true"/>
          <w:lang w:bidi="ar-SA"/>
        </w:rPr>
        <w:t xml:space="preserve">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عن الشرط المعلوم من إطلاق العقد، مع وجوب فعل الأول وترك الثاني، فإن الشرط الذي يقتضيه إطلاق العقد شرعاً وعرفاً أولى بالمراعاة وترتب الضمان على التعدي عنه</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2580633_2870459653"/>
      <w:bookmarkStart w:id="443" w:name="_Toc154"/>
      <w:bookmarkEnd w:id="442"/>
      <w:r>
        <w:rPr>
          <w:rtl w:val="true"/>
        </w:rPr>
        <w:t>اشتراط ضمان العين المستأجرة</w:t>
      </w:r>
      <w:bookmarkEnd w:id="44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هل يجوز اشتراط ضمان العين لو تلفت من غير تعدٍّ ولا تفريط، كما في العارية؟ وجهان، بل قولان،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791"/>
      </w:r>
      <w:r>
        <w:rPr>
          <w:rFonts w:ascii="IRNazanin" w:hAnsi="IRNazanin" w:eastAsia="IRNazanin"/>
          <w:color w:val="111111"/>
          <w:sz w:val="28"/>
          <w:sz w:val="28"/>
          <w:szCs w:val="28"/>
          <w:rtl w:val="true"/>
          <w:lang w:bidi="fa-IR"/>
        </w:rPr>
        <w:t xml:space="preserve">، ومن أن </w:t>
      </w:r>
    </w:p>
    <w:p>
      <w:pPr>
        <w:pStyle w:val="BookText"/>
        <w:rPr/>
      </w:pPr>
      <w:r>
        <w:rPr>
          <w:rFonts w:ascii="Amiri" w:hAnsi="Amiri" w:eastAsia="Amiri" w:cs="Amiri"/>
          <w:color w:val="111111"/>
          <w:sz w:val="28"/>
          <w:sz w:val="28"/>
          <w:szCs w:val="28"/>
          <w:rtl w:val="true"/>
          <w:lang w:bidi="ar-SA"/>
        </w:rPr>
        <w:t>مقتضى طبيعة الإجارة كون العين في يد المستأجر غير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لا يخلو عن قوة، وفاقاً للرياض</w:t>
      </w:r>
      <w:r>
        <w:rPr>
          <w:rStyle w:val="FootnoteAnchor"/>
          <w:rtl w:val="true"/>
        </w:rPr>
        <w:footnoteReference w:id="792"/>
      </w:r>
      <w:r>
        <w:rPr>
          <w:rFonts w:ascii="Amiri" w:hAnsi="Amiri" w:eastAsia="Amiri" w:cs="Amiri"/>
          <w:color w:val="111111"/>
          <w:sz w:val="28"/>
          <w:sz w:val="28"/>
          <w:szCs w:val="28"/>
          <w:rtl w:val="true"/>
          <w:lang w:bidi="ar-SA"/>
        </w:rPr>
        <w:t xml:space="preserve">، و المحكي عن الأردبيلي وصاحب الكفاية </w:t>
      </w:r>
      <w:r>
        <w:rPr>
          <w:rStyle w:val="FootnoteAnchor"/>
          <w:rtl w:val="true"/>
        </w:rPr>
        <w:footnoteReference w:id="793"/>
      </w:r>
      <w:r>
        <w:rPr>
          <w:rFonts w:ascii="Amiri" w:hAnsi="Amiri" w:eastAsia="Amiri" w:cs="Amiri"/>
          <w:color w:val="111111"/>
          <w:sz w:val="28"/>
          <w:sz w:val="28"/>
          <w:szCs w:val="28"/>
          <w:rtl w:val="true"/>
          <w:lang w:bidi="ar-SA"/>
        </w:rPr>
        <w:t>لمنع ما يدل على أن طبيعة الإجارة مقتضية لعدم الضمان، بل عدم الضمان في مطلقها لعدم المقتضي، لا لمقتضي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وجوب الوفاء بالشرط معارض لما دل على عدم ضمان الأمانة الشامل بعمومه لحال الشرط، والترجيح مع الثاني بالشهرة والأصل، محل نظر؛ لأنّ ما دل على عدم ضمان الأمانة إن كان دالاً على أن طبيعة الأمانة تقتضي عدم الضمان،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منقوضٌ بضمان العارية المشروط فيها الضمان، ولا يمكن القول بخروجه بالإجماع وغيره، نظراً إلى أن الشرط المنافي للعقد فاسدٌ مطلقاً، وعموماً بحيث لا يقبل التخصيص، بل كلما ورد صحة الشرط، فهو كاشفٌ عن عدم منافاته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خصوص الأمانة المتحققة في ضمن العارية لا ينافي الضمان بالإجماع وغيره، فتبقى باقي الأمانات تحت عمومها الدال على اقتضاء طبيعتها لعدم الضمان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عاماً على عدم ضمان الأمانة بقول مطلق، بحيث تدل على اقتضاء طبيعتها لذلك، عدا ما يستفاد من بعض أخبار العارية وقد تمسك به هذا المدعي في عدم ضمان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تعليل</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عدم الضمان فيها بأنّ صاحبها 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أنّ كل مؤتمن غير ضامن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أنّ هذا العموم لا يصلح أن يدل على أن طبيعة الأمانة تقتضي عدم الضمان، لخروج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الكلية، فيلزم خروج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من عدم ضمان الأجير إذا كان أميناً، فالمراد به الأمين في مقابلة الخائن أو المتهم، والمراد تعلق عدم الضمان والمطالبة بصورة عدم الخيانة والتهمة، لا تعليل عدم الضمان بالأمانة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ما ذكر من دلالة عموم أدلة عدم ضمان الأمانة على اقتضاء طبيعتها لذلك، فلا معنى لجعل عموم ما دل على وجوب الوفاء بالشروط معارضاً لها، حتى يلتمس المرجح الخارجي، لأنّ عموم الشروط مخصصةٌ إجماعاً بشروط لا تنافي طبيعة العقد، فهي أخص منها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مجرد دلالتها على عدم ضمان الأمانة من حيث هي لو خليت وطبعها، فلا يخفى أن أدلة الشروط حاكمةٌ عليها؛ كحكومتها على سائر مقتضيات إطلاق العقود الثابتة بأدلتها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يمنع شمول أدلة الشروط لما نحن فيه، باعتبار ظهورها في كون الشرط ملزماً، كالنذر وشبهه، لا شارعاً كالصلح</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ما فيه، فإنّه إن أُريد بكونه ملزماً لا شارعاً </w:t>
      </w:r>
      <w:r>
        <w:rPr>
          <w:rStyle w:val="FootnoteAnchor"/>
          <w:rtl w:val="true"/>
        </w:rPr>
        <w:footnoteReference w:id="797"/>
      </w:r>
      <w:r>
        <w:rPr>
          <w:rFonts w:ascii="Amiri" w:hAnsi="Amiri" w:eastAsia="Amiri" w:cs="Amiri"/>
          <w:color w:val="111111"/>
          <w:sz w:val="28"/>
          <w:sz w:val="28"/>
          <w:szCs w:val="28"/>
          <w:rtl w:val="true"/>
          <w:lang w:bidi="ar-SA"/>
        </w:rPr>
        <w:t>أنّه إنّما يلزم الشيء المشروع في نفسه مع عدم الشرط، فلا ريب في فساده، فإنّ كثيراً من الأُمور غيرُ مشروعةٍ مع عدم الشرط والشرطُ يجعلها مشروعةً، كتأخير تسليم الثمن والمثمن، وفسخ العقود، ونحو ذلك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أنّه إنّما يلزم ما يقبل المشروعية في نفسه، أو بملاحظة القصد إلى العقد المشتمل على ذلك الشرط</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إنّما يخرج به الشرط غير المشروع في نفسه، كاسترقاق حرٍ، أو </w:t>
      </w:r>
    </w:p>
    <w:p>
      <w:pPr>
        <w:pStyle w:val="BookText"/>
        <w:rPr/>
      </w:pPr>
      <w:r>
        <w:rPr>
          <w:rFonts w:ascii="Amiri" w:hAnsi="Amiri" w:eastAsia="Amiri" w:cs="Amiri"/>
          <w:color w:val="111111"/>
          <w:sz w:val="28"/>
          <w:sz w:val="28"/>
          <w:szCs w:val="28"/>
          <w:rtl w:val="true"/>
          <w:lang w:bidi="ar-SA"/>
        </w:rPr>
        <w:t>استحلال بضعٍ محرمٍ، والشرط المنافي لطبيعة العقد، وما نحن فيه ليس من قبيل الأول قطعاً، ولا من قبيل الثاني على الظاهر، مع أنّا لم نتحقق الفرق بين الصلح والشروط من هذه الجهة وشبهها، فجعل أحدهما شارعاً والآخر ملزماً لا وجه له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اشتغال الذمة بالقيمة أو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أمراً شرعياً يتوقف على حكم الشارع، إلا أن الشارع إذا أوجب علينا الوفاء بما نلتزمه من الشروط على أنفسنا، فالتزمنا باشتغال الذمة بقيمة شيء عند تلفه، فلا مانع من حكم الشارع بالالتزام، وإلزامنا بما ألزمنا به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ضمان العين المستأجرة لا ينافي كونها أمانةً، فإنّ كثيراً من الأمانات مضمونةٌ في أنفسها، أو بعد اشتراط الضمان، كعارية الذهب والفضة، والمشروط فيها الضمان، والمقبوض بالسوم، وما يتلف في يد المقاص</w:t>
      </w:r>
      <w:r>
        <w:rPr>
          <w:rStyle w:val="FootnoteAnchor"/>
          <w:rtl w:val="true"/>
        </w:rPr>
        <w:footnoteReference w:id="798"/>
      </w:r>
      <w:r>
        <w:rPr>
          <w:rFonts w:ascii="Amiri" w:hAnsi="Amiri" w:eastAsia="Amiri" w:cs="Amiri"/>
          <w:color w:val="111111"/>
          <w:sz w:val="28"/>
          <w:sz w:val="28"/>
          <w:szCs w:val="28"/>
          <w:rtl w:val="true"/>
          <w:lang w:bidi="ar-SA"/>
        </w:rPr>
        <w:t>قبل بيعه وأخذ حقه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والوديعة التي تدفع إلى الظالم بأمره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قرار الضمان على الظالم، وليس هو مما لا يقبل المشروعية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الضمان ينافي خصوص الإجارة عرفاً، نظراً إلى أنّ وضع الإجارة عرفاً إنّما هو لاستيفاء المنفعة بعوض الأُجرة، بحيث لا يترتب على المستأجر شيءٌ عدا الأُجرة ولو تلفت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اشتهر بين أهل العرف أنّ الأُجرة قيمة العين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الإجارة لم تغير طبيعتها شرعاً عمّا كانت عليه في العرف</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العارية، فهي لو سلمت كون طبيعتها عرفاً مقتضيةً لعدم الضمان، إلا أنّ حكم الشارع بالضمان في بعض أفرادها، وفي سائرها مع اشتراط الضمان، قد كشف عن تغيرها عن طبيعتها العرفية، مع أنّ اقتضاء طبيعتها عرفاً لعدم الضمان غير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الوفاء بالشروط أيضاً قد كشف عن تغير الإجارة عن مقتضى طبيعتها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يكتفى في الحكم بالتغيير بمجرد تلك العمومات، بل جريان تلك العمومات وعدمه تابع للتغيير وعدمه، فإذا علمنا أن طبيعة عقد في العرف تقتضي شيئاً ولم نعلم تغييرها في الشرع، فلا يجوز اشتراط خلافه بمجرد أدلة الوفاء بالشروط؛ لأنّ ذلك مخالفٌ لمقتضى العقد العرفي الذي لم يعلم تغييره شرعا، مع أصالة عدم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معيار حسن في استعلام مقتضيات طبائع العقود شرعاً، إذا لم يميز مقتضى طبيعة عقد عن مقتضى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اشتراط الضمان مع عدم التعدي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عدم الضمان معهما، فإن رجع إلى اشتراط عدم سببيتهما للضمان، فهو مخالف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إسقاط الضمان إذا حصل بالتعدي أو التفريط، فهو إسقاط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رجع إلى الإذن في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w:t>
      </w:r>
      <w:r>
        <w:rPr>
          <w:rStyle w:val="FootnoteAnchor"/>
          <w:rtl w:val="true"/>
        </w:rPr>
        <w:footnoteReference w:id="799"/>
      </w:r>
      <w:r>
        <w:rPr>
          <w:rFonts w:ascii="Amiri" w:hAnsi="Amiri" w:eastAsia="Amiri" w:cs="Amiri"/>
          <w:color w:val="111111"/>
          <w:sz w:val="28"/>
          <w:sz w:val="28"/>
          <w:szCs w:val="28"/>
          <w:rtl w:val="true"/>
          <w:lang w:bidi="ar-SA"/>
        </w:rPr>
        <w:t xml:space="preserve">في وجه مشروعية اشتراط عدم ضمان العارية مع التعدي أو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دلالته على الإذن في التلف، فإنّ إسقاط الضمان مع التعدي لا يوجب الإذن فيه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التعدي أو التفريط المفضي إلى التلف، قد يحرم من قبل الشارع، كما في التعدي والتفريط في العبد المستأجر، والحيوان المستأجر المحترم شرعاً، فلا يؤثر إذن المالك في جوازه</w:t>
      </w:r>
      <w:r>
        <w:rPr>
          <w:rFonts w:eastAsia="Amiri" w:cs="Amiri" w:ascii="Amiri" w:hAnsi="Amiri"/>
          <w:color w:val="111111"/>
          <w:sz w:val="28"/>
          <w:szCs w:val="28"/>
          <w:rtl w:val="true"/>
          <w:lang w:bidi="ar-SA"/>
        </w:rPr>
        <w:t xml:space="preserve">. </w:t>
      </w:r>
      <w:bookmarkStart w:id="444" w:name="pg9076_119902"/>
    </w:p>
    <w:p>
      <w:pPr>
        <w:pStyle w:val="BookText"/>
        <w:rPr/>
      </w:pPr>
      <w:bookmarkEnd w:id="444"/>
      <w:r>
        <w:rPr>
          <w:rFonts w:ascii="Amiri" w:hAnsi="Amiri" w:eastAsia="Amiri" w:cs="Amiri"/>
          <w:color w:val="111111"/>
          <w:sz w:val="28"/>
          <w:sz w:val="28"/>
          <w:szCs w:val="28"/>
          <w:rtl w:val="true"/>
          <w:lang w:bidi="ar-SA"/>
        </w:rPr>
        <w:t>وقد يمنع من سببية التعدي والتفريط للضمان مع اشتراط عدمه، فإنّ المسلّم هو سببيتها ما لم يشترط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2580635_2870459653"/>
      <w:bookmarkStart w:id="446" w:name="_Toc155"/>
      <w:bookmarkEnd w:id="445"/>
      <w:r>
        <w:rPr>
          <w:rtl w:val="true"/>
        </w:rPr>
        <w:t>ما يثبت وما لا يثبت من الخيار في الإجارة</w:t>
      </w:r>
      <w:bookmarkEnd w:id="446"/>
    </w:p>
    <w:p>
      <w:pPr>
        <w:pStyle w:val="BookText"/>
        <w:rPr/>
      </w:pPr>
      <w:r>
        <w:rPr>
          <w:rFonts w:ascii="Amiri" w:hAnsi="Amiri" w:eastAsia="Amiri" w:cs="Amiri"/>
          <w:color w:val="111111"/>
          <w:sz w:val="28"/>
          <w:sz w:val="28"/>
          <w:szCs w:val="28"/>
          <w:rtl w:val="true"/>
          <w:lang w:bidi="ar-SA"/>
        </w:rPr>
        <w:t xml:space="preserve">ليس في الإجارة خيار المجلس إجماعاً بقسميه؛ لاختصاصه بالبيع، والتعدي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مخالفة الأصل وعدم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اشتراط الخيار في مجلس العقد، إذا كان أجله مضبوطاً، لا مطلق خيار المجلس، لأنّه مجهول المدة، ولا يقدح في البيع، لأنّه من أحكامه شرعاً، وليس بجعل المتعاقدين حتى يقدح جهالته لرجوعه إلى الغرر وتجهيل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بين ما يُنشؤه المتعاقدان، ويلزمانه على أنفسهما باختيارهما، وبين ما يترتب شرعاً من دون مدخلية اختيارهما على إنشائهما، فإنّه مجعولٌ مع وصف الجهالة، كما في مشروعية السكنى مدة العمر، وعدم مشروعية اشتراطها في عقد إلا أن يشترط فيه إيقاع عقد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خيار الشرط، فهو يدخل الإجارة قطعاً، بل إجماعاً، لعموم أدلة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خيار الغبن والرؤية وتبعض الصفقة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المستند في ثبوته دليل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اشتهر ثبوته في جميع المعاوضات الحقيقية، ولا يخلو عن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قوة</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2580637_2870459653"/>
      <w:bookmarkStart w:id="448" w:name="_Toc156"/>
      <w:bookmarkEnd w:id="447"/>
      <w:r>
        <w:rPr>
          <w:rtl w:val="true"/>
        </w:rPr>
        <w:t>وقت دفع الأُجرة</w:t>
      </w:r>
      <w:bookmarkEnd w:id="44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عقد الإجارة تملّك المؤجر للأجرة، وهو مما لا خلاف فيه</w:t>
      </w:r>
      <w:r>
        <w:rPr>
          <w:rFonts w:eastAsia="Amiri" w:cs="Amiri" w:ascii="Amiri" w:hAnsi="Amiri"/>
          <w:color w:val="111111"/>
          <w:sz w:val="28"/>
          <w:szCs w:val="28"/>
          <w:rtl w:val="true"/>
          <w:lang w:bidi="ar-SA"/>
        </w:rPr>
        <w:t xml:space="preserve">. </w:t>
      </w:r>
      <w:bookmarkStart w:id="449" w:name="pg9076_119903"/>
    </w:p>
    <w:p>
      <w:pPr>
        <w:pStyle w:val="BookText"/>
        <w:rPr/>
      </w:pPr>
      <w:bookmarkEnd w:id="449"/>
      <w:r>
        <w:rPr>
          <w:rFonts w:ascii="IRNazanin" w:hAnsi="IRNazanin" w:eastAsia="IRNazanin"/>
          <w:color w:val="111111"/>
          <w:sz w:val="28"/>
          <w:sz w:val="28"/>
          <w:szCs w:val="28"/>
          <w:rtl w:val="true"/>
          <w:lang w:bidi="fa-IR"/>
        </w:rPr>
        <w:t>قالوا</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يجب تسليمها إلا بإتمام العمل، أو بتسليم العين المعمول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أخبار استحباب إعطاء الأجير أُجرته بعد الفراغ</w:t>
      </w:r>
      <w:r>
        <w:rPr>
          <w:rStyle w:val="FootnoteAnchor"/>
          <w:rtl w:val="true"/>
        </w:rPr>
        <w:footnoteReference w:id="803"/>
      </w:r>
      <w:r>
        <w:rPr>
          <w:rFonts w:ascii="Amiri" w:hAnsi="Amiri" w:eastAsia="Amiri" w:cs="Amiri"/>
          <w:color w:val="111111"/>
          <w:sz w:val="28"/>
          <w:sz w:val="28"/>
          <w:szCs w:val="28"/>
          <w:rtl w:val="true"/>
          <w:lang w:bidi="ar-SA"/>
        </w:rPr>
        <w:t>دلالةٌ على عدم وجوب الدفع قبل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شرطا تأجيل الأُجرة صح مع ضبط الأجل، وكذا لو شرطا تعجيله ولو قبل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أخل بالشرط تسلّط المشروط له على الفسخ، فيرجع فيما إذا شرطا أجلاً فرغ من العمل قبله إلى أُجرة المثل</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2580639_2870459653"/>
      <w:bookmarkStart w:id="451" w:name="_Toc157"/>
      <w:bookmarkEnd w:id="450"/>
      <w:r>
        <w:rPr>
          <w:rtl w:val="true"/>
        </w:rPr>
        <w:t>حكم تبين عيب في الأُجرة</w:t>
      </w:r>
      <w:bookmarkEnd w:id="451"/>
    </w:p>
    <w:p>
      <w:pPr>
        <w:pStyle w:val="BookText"/>
        <w:rPr/>
      </w:pPr>
      <w:r>
        <w:rPr>
          <w:rFonts w:ascii="Amiri" w:hAnsi="Amiri" w:eastAsia="Amiri" w:cs="Amiri"/>
          <w:color w:val="111111"/>
          <w:sz w:val="28"/>
          <w:sz w:val="28"/>
          <w:szCs w:val="28"/>
          <w:rtl w:val="true"/>
          <w:lang w:bidi="ar-SA"/>
        </w:rPr>
        <w:t xml:space="preserve">لو وجد المؤجر عيباً في الأُجرة، فإن كانت عيناً شخصية، كان له الخيار بين الرد والأرش، لأنّ وصف الصحة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داخلٌ في طبيعة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يقسّط العوض عليه، وليس كسائر الأوصاف الخارجة عن مقتضى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كلية، فإن تعذر إبدالها أيضاً، قيل بالتسلط على الفسخ أيضاً</w:t>
      </w:r>
      <w:r>
        <w:rPr>
          <w:rStyle w:val="FootnoteAnchor"/>
          <w:rtl w:val="true"/>
        </w:rPr>
        <w:footnoteReference w:id="804"/>
      </w:r>
      <w:r>
        <w:rPr>
          <w:rFonts w:ascii="Amiri" w:hAnsi="Amiri" w:eastAsia="Amiri" w:cs="Amiri"/>
          <w:color w:val="111111"/>
          <w:sz w:val="28"/>
          <w:sz w:val="28"/>
          <w:szCs w:val="28"/>
          <w:rtl w:val="true"/>
          <w:lang w:bidi="ar-SA"/>
        </w:rPr>
        <w:t>، بل ادُعي ظهور عدم الخلاف فيه</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بأنّ الإلزام بالصبر إلى التمكن من البدل، أو بالصبر على المعيب ضررٌ 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بالتسلط على الإمضاء والأرش، فيكون بمنزلة العين الشخصية نظراً إلى تعذر الإبدال</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يتعذر إبدالها، فالظاهر عدم التسلط على الفسخ ولا الأرش، بل له </w:t>
      </w:r>
      <w:bookmarkStart w:id="452" w:name="pg9076_119904"/>
    </w:p>
    <w:p>
      <w:pPr>
        <w:pStyle w:val="BookText"/>
        <w:rPr/>
      </w:pPr>
      <w:bookmarkEnd w:id="452"/>
      <w:r>
        <w:rPr>
          <w:rFonts w:ascii="Amiri" w:hAnsi="Amiri" w:eastAsia="Amiri" w:cs="Amiri"/>
          <w:color w:val="111111"/>
          <w:sz w:val="28"/>
          <w:sz w:val="28"/>
          <w:szCs w:val="28"/>
          <w:rtl w:val="true"/>
          <w:lang w:bidi="ar-SA"/>
        </w:rPr>
        <w:t>الإمضاء والمطالبة بالبدل، وحكي القول بالخيار فيما لو وجد العيب في أحد العوضين في الصرف</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2580641_2870459653"/>
      <w:bookmarkStart w:id="454" w:name="_Toc158"/>
      <w:bookmarkEnd w:id="453"/>
      <w:r>
        <w:rPr>
          <w:rtl w:val="true"/>
        </w:rPr>
        <w:t>اخلال الأجير بالعمل في الوقت المعين</w:t>
      </w:r>
      <w:bookmarkEnd w:id="454"/>
    </w:p>
    <w:p>
      <w:pPr>
        <w:pStyle w:val="BookText"/>
        <w:rPr/>
      </w:pPr>
      <w:r>
        <w:rPr>
          <w:rFonts w:ascii="Amiri" w:hAnsi="Amiri" w:eastAsia="Amiri" w:cs="Amiri"/>
          <w:color w:val="111111"/>
          <w:sz w:val="28"/>
          <w:sz w:val="28"/>
          <w:szCs w:val="28"/>
          <w:rtl w:val="true"/>
          <w:lang w:bidi="ar-SA"/>
        </w:rPr>
        <w:t>لو استأجر من يحمل له متاعاً إلى مكان معين في وقت بأجرةٍ معينةٍ، فإن لم يبلغه في ذلك الوقت، نقص من اُجرته شيئاً معيناً يتراضيان عليه، صح كما عن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للأصل، ولعمومات الوفاء بالعقود و الشروط</w:t>
      </w:r>
      <w:r>
        <w:rPr>
          <w:rStyle w:val="FootnoteAnchor"/>
          <w:rtl w:val="true"/>
        </w:rPr>
        <w:footnoteReference w:id="808"/>
      </w:r>
      <w:r>
        <w:rPr>
          <w:rFonts w:ascii="Amiri" w:hAnsi="Amiri" w:eastAsia="Amiri" w:cs="Amiri"/>
          <w:color w:val="111111"/>
          <w:sz w:val="28"/>
          <w:sz w:val="28"/>
          <w:szCs w:val="28"/>
          <w:rtl w:val="true"/>
          <w:lang w:bidi="ar-SA"/>
        </w:rPr>
        <w:t>، خلافاً للمحكي عن الحلي</w:t>
      </w:r>
      <w:r>
        <w:rPr>
          <w:rStyle w:val="FootnoteAnchor"/>
          <w:rtl w:val="true"/>
        </w:rPr>
        <w:footnoteReference w:id="809"/>
      </w:r>
      <w:r>
        <w:rPr>
          <w:rFonts w:ascii="Amiri" w:hAnsi="Amiri" w:eastAsia="Amiri" w:cs="Amiri"/>
          <w:color w:val="111111"/>
          <w:sz w:val="28"/>
          <w:sz w:val="28"/>
          <w:szCs w:val="28"/>
          <w:rtl w:val="true"/>
          <w:lang w:bidi="ar-SA"/>
        </w:rPr>
        <w:t>، فأبطل الشرط لعدم تعيين الأُجرة باختلافها على التقديرين، كما لو باعه بثمنين نقداً ونسيئةً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المفروضة قد تنحل إلى إجارتين على تقديرين، بأن يستأجره لإيصاله في يوم كذا بكذا، ولإيصاله فيما بعده بكذا، وحينئذ فالمتجه البطلان، لأن القصد لم يتعلق بكلتا الإجارتين؛ لامتناع اجتماع العملين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المتاع في يوم كذا، وإيصاله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وتعلقه بأحدهما المعين مخالف للغرض، وموجبٌ لبطلان الآخر، وتعلقه بأحدهما التخييري يرجعه إلى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خِطته رومياً فلك كذا، وإن خطته فارسياً فلك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تنحل إلى إجارة وشرط، بأن يستأجره للحمل إلى المكان في يوم كذا، ويشترط عليه، أنّه مع عدم تحقق هذا العمل لا يستحق إلا كذا، بأن تكون فائدة الشرط، هو أن يستحق في صورة المخالفة شيئاً، إذ لو لا الشرط لم يستحق شيئاً في صورة المخالفة، أو استحق تقسيط الاُجرة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باطل؛ إذ وجوب الوفاء بالشرط فرع الوفاء بالعقد، فإذا لم يفِ </w:t>
      </w:r>
    </w:p>
    <w:p>
      <w:pPr>
        <w:pStyle w:val="BookText"/>
        <w:rPr/>
      </w:pPr>
      <w:r>
        <w:rPr>
          <w:rFonts w:ascii="Amiri" w:hAnsi="Amiri" w:eastAsia="Amiri" w:cs="Amiri"/>
          <w:color w:val="111111"/>
          <w:sz w:val="28"/>
          <w:sz w:val="28"/>
          <w:szCs w:val="28"/>
          <w:rtl w:val="true"/>
          <w:lang w:bidi="ar-SA"/>
        </w:rPr>
        <w:t>الأجير بمقتضى العقد وانفسخ العقد، فكيف يجب على المستأجر الوفاء بما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وقع على مطلق الإيصال </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لكن اشترط عليه الإيصال في يوم كذا، وشرط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يف بالشرط نقص عنه كذا وكذا، فحينئذٍ، فإذا لم يوصله في اليوم المعين، فقد عمل بالعقد وأخل بالشرط، لا أنّه لم يعمل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إخلاله بشرط الإيصال، هو تسلط المستأجر على الفسخ، والرجوع إلى أُجرة المثل، لكنّه شرط على المكاري عدم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الإخلال بالإيصال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أُجرة المثل، بل يرجعان إلى ما اشترطا من النقصان بحساب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الإيصال في اليوم المعين وإن لم يكن بالشرط، بل بنفس العقد، إلا أنّ مخالفته لا توجب الانفساخ، بل توجب التقسيط إذا لم يشترط النقصان، وحيث شرطه يجب الوفاء به عند مخالفة الإجارة المقتضية للتقسيط لولا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تنحل إلى إجارة وشرط، بأن يستأجره للحمل إلى مكان كذا بالأقل، ويشترط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أوصلها قبل ذلك، فيكون له زيادة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الوجه الظاهر أنّه صحيح، لأنّه شرطٌ صحيح في ضمن عقد صحيح، لكنه خلاف ظاهر فرض الأصحاب، وخلاف ظاهر موثقة محمد الحلبي، التي هي الأصل في هذه المسألة،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عند قاض من القضاة، وعنده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فأتاه رجلان،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تكاريت إبل هذا الرجل، ليحمل لي متاعاً إلى بعض المعادن واشترطت عليه، أن يدخلني المعدن يوم كذا وكذا، لأنها سوقٌ، أخاف أن يفوتني، فإن احتبست عن ذلك، حططت من الكراء، عن كل يوم احتبستني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حبسني عن ذلك الوقت كذا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شرطٌ فاسد، وفّه 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الرجل، أقبل إليّ أبو جعفر عليه الصلاة والسلام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شرطٌ جائزٌ ما لم يحط بجميع كراه</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bookmarkStart w:id="455" w:name="pg9076_119906"/>
    </w:p>
    <w:p>
      <w:pPr>
        <w:pStyle w:val="BookText"/>
        <w:rPr/>
      </w:pPr>
      <w:bookmarkEnd w:id="455"/>
      <w:r>
        <w:rPr>
          <w:rFonts w:ascii="Amiri" w:hAnsi="Amiri" w:eastAsia="Amiri" w:cs="Amiri"/>
          <w:color w:val="111111"/>
          <w:sz w:val="28"/>
          <w:sz w:val="28"/>
          <w:szCs w:val="28"/>
          <w:rtl w:val="true"/>
          <w:lang w:bidi="ar-SA"/>
        </w:rPr>
        <w:t xml:space="preserve">فإنّ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بل صريحةٌ، في إيقاع الإجارة على الحمل والإيصال في اليوم المعين، وأنّ النقصان كان بالشرط، لا أنّ الإجارة وقعت على مطلق الإيصال، والزيادة حصلت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المفروض في الرواية اشتراط النقصان بإزاء كل يوم حبسه شيئاً معيناً، فالناقص مجهولٌ عند العقد لا يعلمانه، فكيف يمكن إرادة الإجارة على مطلق الإيصال بأُجرة غير معينة عند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تنحل إلى إجارات عديدة بالنسبة إلى كل يوم حبسه، وقد عرفت الإشكال في الإجارة المنحلة إلى إجارتين</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2580643_2870459653"/>
      <w:bookmarkStart w:id="457" w:name="_Toc159"/>
      <w:bookmarkEnd w:id="456"/>
      <w:r>
        <w:rPr>
          <w:rtl w:val="true"/>
        </w:rPr>
        <w:t>حكم ما لو شرط على المكاري سقوط الأجرة إذا لم يوصله</w:t>
      </w:r>
      <w:bookmarkEnd w:id="457"/>
    </w:p>
    <w:p>
      <w:pPr>
        <w:pStyle w:val="BookText"/>
        <w:rPr/>
      </w:pPr>
      <w:r>
        <w:rPr>
          <w:rFonts w:ascii="Amiri" w:hAnsi="Amiri" w:eastAsia="Amiri" w:cs="Amiri"/>
          <w:color w:val="111111"/>
          <w:sz w:val="28"/>
          <w:sz w:val="28"/>
          <w:szCs w:val="28"/>
          <w:rtl w:val="true"/>
          <w:lang w:bidi="ar-SA"/>
        </w:rPr>
        <w:t>ثم إنهم ذكروا</w:t>
      </w:r>
      <w:r>
        <w:rPr>
          <w:rStyle w:val="FootnoteAnchor"/>
          <w:rtl w:val="true"/>
        </w:rPr>
        <w:footnoteReference w:id="812"/>
      </w:r>
      <w:r>
        <w:rPr>
          <w:rFonts w:ascii="Amiri" w:hAnsi="Amiri" w:eastAsia="Amiri" w:cs="Amiri"/>
          <w:color w:val="111111"/>
          <w:sz w:val="28"/>
          <w:sz w:val="28"/>
          <w:szCs w:val="28"/>
          <w:rtl w:val="true"/>
          <w:lang w:bidi="ar-SA"/>
        </w:rPr>
        <w:t>أنّه لو شرط عليه سقوط الأُجرة إن لم يوصله، لم يجز، وفسد الشرط، بل العقد، بناءً على أن الشرط الفاسد مفسدٌ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فساد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مرجعه إلى استحقاق ذلك العمل عليه بعقد الإجارة بلا أُجرة، فيكون منافياً لمقتضى العقد، مثل 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بلا 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وتنظَّر فيه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اللمعة </w:t>
      </w:r>
      <w:r>
        <w:rPr>
          <w:rStyle w:val="FootnoteAnchor"/>
          <w:rtl w:val="true"/>
        </w:rPr>
        <w:footnoteReference w:id="813"/>
      </w:r>
      <w:r>
        <w:rPr>
          <w:rFonts w:ascii="Amiri" w:hAnsi="Amiri" w:eastAsia="Amiri" w:cs="Amiri"/>
          <w:color w:val="111111"/>
          <w:sz w:val="28"/>
          <w:sz w:val="28"/>
          <w:szCs w:val="28"/>
          <w:rtl w:val="true"/>
          <w:lang w:bidi="ar-SA"/>
        </w:rPr>
        <w:t xml:space="preserve">، بأنّ قضية كل إجارة المنع عن نقيضها، فيكون قد شرط قضية العقد، فإذا أخل الأجير بمقتضى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الحمل في الزمان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يستحق أُجرة، </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البطلان، فيكون بمنزلة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لفعل كذا في زمان كذا، وشرطت عليك أنّك إن لم تفعله في زمان كذا لم تستحق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الشرط مؤكدٌ لمقتضى العقد لا مناف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الإجارة لا يختص بالفعل في الزمان المعين، إذ لو كان مختصاً به، لم يكن وجهٌ للصحة فيما إذا شرط الأجرة الناقصة على تقدير التعدي عنه، لأنّ اشتراط الأُجرة على تقدير مخالفة مقتضى العقد فاسدٌ، فيفسد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الشهيد وسائر الأصحاب حكموا بالصحة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يلتزم، بأن في صورة ذكر الأُجرة يكون مورد الإجارة كلا القسمين، وفي صورة شرط عدم الأُجرة يكون موردها هو النقل في الزمان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تعيّن الأُجرة على التقديرين في الفرض الأول المحكوم بالصحة قرينةٌ على كون مورد الإجارة كلا القسمين، واشتراط إسقاطها على التقدير الآخر في الفرض الثاني قرينة على اختصاص مورد الإجارة بالقسم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النقل والإيصال في الزمان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شرط عدم الأُجرة على التقدير الآخر مؤكداً لمقتضى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كذلك أولى من جعله أجنبياً مفسداً للعقد بتخلله بين الايجاب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 لولا مخالفة إطلاق الأصحاب، والنص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مورد السؤال في الموثقة هو اشتراط النقص على تقدير التأخير عن اليوم المعين بحساب الأيام المؤخرة عن اليوم المعين، بأن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لتوصل المتاع إلى السوق الفلاني في يوم الجمعة الآتي بعشرة دراهم، فإن أخرت عن الجمعة يوماً، نقصتك عن الأُجرة درهمين، وإن أخرت ليومين فأربعة دراهم، وهكذا أُنقصّك بحساب الأيام، كما هو صريح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احتبست عن ذلك، حططت من الكرى عن كل يوم احتبستني كذا وكذا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هذه مسألة واحدة لم يسأل إلا عنها، لكن التأخير قد يؤدي إلى سقوط جميع الأُجرة، و يكون النقص بها، مثل ما إذا أخر الحمل في الفرض </w:t>
      </w:r>
      <w:bookmarkStart w:id="458" w:name="pg9076_119908"/>
    </w:p>
    <w:p>
      <w:pPr>
        <w:pStyle w:val="BookText"/>
        <w:rPr/>
      </w:pPr>
      <w:bookmarkEnd w:id="458"/>
      <w:r>
        <w:rPr>
          <w:rFonts w:ascii="IRNazanin" w:hAnsi="IRNazanin" w:eastAsia="IRNazanin"/>
          <w:color w:val="111111"/>
          <w:sz w:val="28"/>
          <w:sz w:val="28"/>
          <w:szCs w:val="28"/>
          <w:rtl w:val="true"/>
          <w:lang w:bidi="fa-IR"/>
        </w:rPr>
        <w:t xml:space="preserve">المذكور إلى خمسة أيام بعد الجمعة، وقد لا يؤدي كما إذا أخر يوماً أو يومين،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الشرط جائزٌ إلا أن يكون محيطاً بجميع الكراء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أدى الشرط إلى إسقاط الثمن بالمرة في بعض الأحيان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الفرض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الشرط غير جائز، أو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المذكور جائز، ويجب الوفاء به، إلا في صورة ما اتفق التأخير على وجه يوجب سقوط الثمن بالمرة، فلا يجب الوفاء به، بل يجب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أُجرة المثل، أو أقل ما يقتضيه حساب التأخير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المعنى الثاني أقرب إلى ظاهر السؤال، حيث إن كلام السائل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احتبست إلى آخره، ظاهرٌ بل صريح في اشتراط النقص بحساب التأخير كائناً ما كان، وهذا لا محالة يؤدي في بعض صور التأخير إلى سقوط الثمن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يورد على ما ذكره الشهيد بنحو آخر،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اقتضاء تعيين زمان الإيصال عدم الأُجرة لو خالف، وإنّما يسلّم ذلك لو كان الزمان مشخصاً للعمل المستأجر عليه، مثل ما إذا استأجره لصوم أول رجب، وأمّا إذا استأجره لمطلق العمل، وشرط عليه في متن العقد إيقاعه في زمان خاص، فإيقاعه لا في ذلك الزمان، لا يوجب مخالفة الإجارة، وإنما يوجب مخالفة الشرط، فيتخير المستأجر المشروط له بين الفسخ والرجوع إلى أُجرة المثل، والإمضاء، فاشتراط عدم الأُجرة على تقدير مخالفة الشرط مناف لمقتضى الإجارة، فيفسد، فتفسد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2580645_2870459653"/>
      <w:bookmarkStart w:id="460" w:name="_Toc160"/>
      <w:bookmarkEnd w:id="459"/>
      <w:r>
        <w:rPr>
          <w:rtl w:val="true"/>
        </w:rPr>
        <w:t>وجوب تسليم العوضين</w:t>
      </w:r>
      <w:bookmarkEnd w:id="46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مقتضى المعاوضة المفيدة لتملك كل واحد من المتعاقدين لأحد العوضين هو وجوب تسليم كل منهما ما ملكه الآخر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مشتركٌ بينهما، وأنّه يستحق المطالبة بعد بذله العوض، وأنّه لو امتنع الآخر لم يجب عليه البذل، وأمّا لو عرض أحدهما نفسه لبذل ما في يده أو ذمته، بأن 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 إليّ ما انتقل إليّ، حتى أدفع إليك ما انتقل إليك، ولم تظهر قرينة على كذبه وتدليسه، فهل يجب على الآخر البذل؟ </w:t>
      </w:r>
    </w:p>
    <w:p>
      <w:pPr>
        <w:pStyle w:val="BookText"/>
        <w:rPr/>
      </w:pPr>
      <w:r>
        <w:rPr>
          <w:rFonts w:ascii="Amiri" w:hAnsi="Amiri" w:eastAsia="Amiri" w:cs="Amiri"/>
          <w:color w:val="111111"/>
          <w:sz w:val="28"/>
          <w:sz w:val="28"/>
          <w:szCs w:val="28"/>
          <w:rtl w:val="true"/>
          <w:lang w:bidi="ar-SA"/>
        </w:rPr>
        <w:t xml:space="preserve">الظاهر نعم في العين، أما في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وجوب تسليم الأُجرة على المستأجر بمجرد بذل الأجير نفسه للعمل، أو بذل العين المستأجرة، لأن المنفعة مما لا يمكن إقباضها إلا تدريجاً، بخلاف العين، فبمجرد بذل الأجير نفسه للعمل لا يجب على المستأجر بذل الأُجرة، ويشهد لذلك ما ورد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يجف عرقه حتى تعطيه الأُجرة</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على الأجير العمل إذا عرض المستأجر نفسه لبذل الأُجرة بمجرد الفراغ، ولم يخف الأجير امتناعه؟ مقتضى أدلة وجوب الوفاء بالشروط والعقود نعم، كما ذكرنا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الكلام في الحكم التكليفي المستفاد من وجوب الوفاء بالعقود، ومن مقتضى المعاوضة الموجبة للتملك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استحقاق المطالبة، فقد عرفت أنه لا إشكال ولا خلاف فيه بعد البذل في الجملة، كما سيجيء</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بمجرد التعريض للبذل، مع كونه عيناً والمبدل عيناً، فهل يستحق المطالبة بالبدل؟ الظاهر لا؛ للزوم الترجيح بلا مرجح، فإنّ صاحبه أيضاً إذا عرض ما بيده للبذل، فالحكم باستحقاق أحدهما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تعريض ما بيدهما للبذل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من غير مرجح</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بيده المعوّض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ملّك أو تملّك بعوض كالبائع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أولى بوجوب دفع ما بيده، إذا عرض المشتري الثمن للبذل، وليس له </w:t>
      </w:r>
    </w:p>
    <w:p>
      <w:pPr>
        <w:pStyle w:val="BookText"/>
        <w:rPr/>
      </w:pPr>
      <w:r>
        <w:rPr>
          <w:rFonts w:ascii="Amiri" w:hAnsi="Amiri" w:eastAsia="Amiri" w:cs="Amiri"/>
          <w:color w:val="111111"/>
          <w:sz w:val="28"/>
          <w:sz w:val="28"/>
          <w:szCs w:val="28"/>
          <w:rtl w:val="true"/>
          <w:lang w:bidi="ar-SA"/>
        </w:rPr>
        <w:t>الامتناع حتى يأخذ الثمن، وللمشتري الامتناع من دفع الثمن المعرّض للدفع حتى يأخذ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ظاهر تمليك الشيء بعوض الالتزام بدفعه قبل أخذ العوض، وظاهر قبول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التملك بالعوض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الالتزام ببذل العوض بعد قبض المعوّض من غير 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يستلزم الالتزام بتعريضه للبذل قبل أخذ المعوض، ولا فرق فيما ذكرنا بين تقديم الإيجاب وتأخيره؛ لأن الثمن عوض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العين والمنفعة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استحقاق المؤجر المطالبة بمجرد تعريض المنفعة للإقباض؛ لأن المنفعة أمرٌ تدريجي لا يمكن إقباضها بمجرد قبض الثمن؛ لأن بناء المعاوضة </w:t>
      </w:r>
      <w:r>
        <w:rPr>
          <w:rStyle w:val="FootnoteAnchor"/>
          <w:rtl w:val="true"/>
        </w:rPr>
        <w:footnoteReference w:id="819"/>
      </w:r>
      <w:r>
        <w:rPr>
          <w:rFonts w:ascii="Amiri" w:hAnsi="Amiri" w:eastAsia="Amiri" w:cs="Amiri"/>
          <w:color w:val="111111"/>
          <w:sz w:val="28"/>
          <w:sz w:val="28"/>
          <w:szCs w:val="28"/>
          <w:rtl w:val="true"/>
          <w:lang w:bidi="ar-SA"/>
        </w:rPr>
        <w:t>التي التزم بها المتعاقدان على تقابض العوضين معاً، أو قبض أحدهما عقيب الآخر من دون فصل، فإنّهما قد أقدما على المعاوضة في الملكية، والكون تحت اليد، فلا بد أن يحصل كل من المالين في يد الآخر عوض ما ذهب من تحت يده، ولا ريب في أنّ التقابض هنا معاً غير ممكن، وكذا قبض المنفعة بعد إقباض الأُجرة من دون فصل، فلم يبق إلا العكس،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الأُجرة بعد إقباض المنفعة من دون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فمطالبة المؤجر بالثمن قبل إقباض المنفعة الراجعة إلى إرادة قبض أحد العوضين وإقباض الآخر بعد مدة، مما لم يلتزم بها في عقد المعاوضة، مضافاً إلى أن المؤجر بمنزلة البائع، والمستأجر بمنزلة المشتري، وقد عرفت أنّ هناك وجهاً في استحقاق المشتري المطالبة بالمبيع بمجرد تعريض نفسه لدفع الثمن، وكذلك المستأجر هنا، مع أنّ الظاهر، عدم الخلاف هنا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استظهر الإجماع بعض المعاصرين، وحكى دعواه ودعوى عدم الخلاف عن بعض آخر</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شرط تسلّم الأُجرة قبل العمل، أو فهم ذلك من العادة الجارية في إجارة خاصة، لزم؛ لأن مقتضى شخص العقد المشتمل على الاشتراط الصريح، أو المستفاد </w:t>
      </w:r>
      <w:bookmarkStart w:id="461" w:name="pg9076_119911"/>
    </w:p>
    <w:p>
      <w:pPr>
        <w:pStyle w:val="BookText"/>
        <w:rPr/>
      </w:pPr>
      <w:bookmarkEnd w:id="461"/>
      <w:r>
        <w:rPr>
          <w:rFonts w:ascii="Amiri" w:hAnsi="Amiri" w:eastAsia="Amiri" w:cs="Amiri"/>
          <w:color w:val="111111"/>
          <w:sz w:val="28"/>
          <w:sz w:val="28"/>
          <w:szCs w:val="28"/>
          <w:rtl w:val="true"/>
          <w:lang w:bidi="ar-SA"/>
        </w:rPr>
        <w:t>من العادة، حاكمٌ على مقتضى نوع العقد، كما هو كذلك في كل مورد</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2580647_2870459653"/>
      <w:bookmarkStart w:id="463" w:name="_Toc161"/>
      <w:bookmarkEnd w:id="462"/>
      <w:r>
        <w:rPr>
          <w:rtl w:val="true"/>
        </w:rPr>
        <w:t>ما يحصل به تسليم العمل المستأجر عليه</w:t>
      </w:r>
      <w:bookmarkEnd w:id="463"/>
    </w:p>
    <w:p>
      <w:pPr>
        <w:pStyle w:val="BookText"/>
        <w:rPr/>
      </w:pPr>
      <w:r>
        <w:rPr>
          <w:rFonts w:ascii="Amiri" w:hAnsi="Amiri" w:eastAsia="Amiri" w:cs="Amiri"/>
          <w:color w:val="111111"/>
          <w:sz w:val="28"/>
          <w:sz w:val="28"/>
          <w:szCs w:val="28"/>
          <w:rtl w:val="true"/>
          <w:lang w:bidi="ar-SA"/>
        </w:rPr>
        <w:t>ثم إنّه لا إشكال بمقتضى ما ذكرنا في استحقاق الأجير المطالبة بالأُجرة بعد تسليم العمل، وهو يحصل في مثل الصلاة والصوم والحج بمجرد فعلها، وكذا في مثل البناء في أرض المستأجر والغرس والنقش ونحوها، وكذا في مثل خياطة ثوب المستأجر، وكتابة القرآن في قرطاسه، مع كونهما في يد المستأجر، وأمّا مع كونهما تحت يد الأجير، فهل يستحق الأُجرة بمجرد الفراغ من العمل، أو يعتبر تسليم الثوب؟</w:t>
      </w:r>
    </w:p>
    <w:p>
      <w:pPr>
        <w:pStyle w:val="BookText"/>
        <w:rPr/>
      </w:pPr>
      <w:r>
        <w:rPr>
          <w:rFonts w:ascii="Amiri" w:hAnsi="Amiri" w:eastAsia="Amiri" w:cs="Amiri"/>
          <w:color w:val="111111"/>
          <w:sz w:val="28"/>
          <w:sz w:val="28"/>
          <w:szCs w:val="28"/>
          <w:rtl w:val="true"/>
          <w:lang w:bidi="ar-SA"/>
        </w:rPr>
        <w:t>الأقوى الأول؛ لمقتضى ما دل على وجوب الوفاء بالعقود، المقتضي لتملك الأجير للأُجرة، المقتضي لوجوب تسليمها إليه وتسلطه عليها، السالم هنا عن مزاحمة ما اقتضى عدم التسلط على المطالبة قبل العمل، مضافاً إلى ما ورد،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يجف عرقه حتى يعطى الأُجرة</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صدق تسليم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استحقاق المطالبة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بتسليم العين المعمول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لو سلم الإجماع على اشتراط ما يسمى تسليماً، ولم نقل بأنّ المسلم هو الإجماع على عدم الاستحقاق قبل إكمال العمل، أما بعد الإكمال فلا إجماع يزاحم عموم ما دل على وجوب الوفاء وتسلط الناس على أملاكهم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وسند المنع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التسليم في كل شيء بحسبه، ولذا كان التسليم في البيع مختلفاً بحسب أفراد المبيع، فكما أن تسليم الثوب المبيع على نحو، وتسليم العقار على نحو، فكذلك تسليم العمل المستأجر عليه هو إكماله والفراغ منه، لا تسليم العين المعمول فيها، بل تسليم العمل، هو نفس العمل، وليس التسليم أمراً زائداً عليه، كما أنّ </w:t>
      </w:r>
    </w:p>
    <w:p>
      <w:pPr>
        <w:pStyle w:val="BookText"/>
        <w:rPr/>
      </w:pPr>
      <w:r>
        <w:rPr>
          <w:rFonts w:ascii="Amiri" w:hAnsi="Amiri" w:eastAsia="Amiri" w:cs="Amiri"/>
          <w:color w:val="111111"/>
          <w:sz w:val="28"/>
          <w:sz w:val="28"/>
          <w:szCs w:val="28"/>
          <w:rtl w:val="true"/>
          <w:lang w:bidi="ar-SA"/>
        </w:rPr>
        <w:t>تسليم العين أمرٌ آخر غير العين، وإنّما اعتبر التسليم في العين مقدمة لتسلط مالكها عليها، وتصرفه فيها على مقتضى الملكية، وأمّا العمل الذي يحدث من الأجير لأجل المستأجر فإنّما يوجد مملوكاً للمستأجر، ويعدم مملوكاً له، فالنتيجة والغاية الحاصلة من تسليم الأعيان يحصل بمجرد وجود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أن تسليم العمل لا يعقل له مفهوم، سوى نفس العمل على الوجه المستأجر، وتسليم العين المعمول فيها ليس تسليماً للعمل، بل هو تسليم لعين مال المالك، وليس هنا شيء من مال الأجير، حتى يسلّمه في ضمن الثوب إلى المستأجر، فإنّ الهيئة الحاصلة في الثوب من خياطتها من مال المالك؛ لأنّه من توابع ملكه، وليس ملكاً للمستأجر حتى يسلمه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الإجارة الصفة المزبورة، والفعل مقدمة لها، فهي بدل الأُجرة، فلا يجب تسليمها إلا بتسليم الصفة، المتوقف على تسليم الثوب، كما هو الشأن في البيع وسائر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الإجارة هي الأعمال، والصفة من توابع الموصوف ملك لصاحب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كله،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عدم استحقاق المؤجر المطالبة بالأُجرة إلا بعد تسليم المبدل، لما كان هو التزام كل من المتعاقدين حين العقد بالقبض والإقباض على هذا الوجه، لا حصول التسلط الباتّ لكل منهما فيما انتقل إليه على وجه الإطلاق، بحيث يكون له مطالبته ولو مع امتناعه من تسليم عوضه، اقتضى هذا الوجه بعينه عدم استحقاق الأجير للأُجرة إلا بعد تسليم العين المعمول فيها؛ لأنّه الذي يلتزمانه عند الاستئجار على عمل في عين، بحيث يكون له تأثير خارجي فيه، كالخياطة والكتابة والحياكة في الثوب والقرطاس والغزل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لوقلنا بأنّ المدرك في عدم استحقاق المطالبة بمجرد العقد 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دعوى ظهوره عن بعض وحكايته عن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العقد الملكية، و مقتضاها التسلط، خرج من ذلك ما قبل العمل، و لا دليل على </w:t>
      </w:r>
    </w:p>
    <w:p>
      <w:pPr>
        <w:pStyle w:val="BookText"/>
        <w:rPr/>
      </w:pPr>
      <w:r>
        <w:rPr>
          <w:rFonts w:ascii="Amiri" w:hAnsi="Amiri" w:eastAsia="Amiri" w:cs="Amiri"/>
          <w:color w:val="111111"/>
          <w:sz w:val="28"/>
          <w:sz w:val="28"/>
          <w:szCs w:val="28"/>
          <w:rtl w:val="true"/>
          <w:lang w:bidi="ar-SA"/>
        </w:rPr>
        <w:t>خروج ما بعد العمل وقبل تسليم العين المعمول فيها، فيحكم فيها بمقتضى القاعدة، والمسألة مشكلة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يترتب على ما ذكرنا من أن التسليم في العمل في العين هو مجرد العمل، أو تسليم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لو تلفت العين في يد الأجير من غير تفريط، فإنّه لا يستحق الأُجرة على الثاني؛ لعدم إقباض عوض الأُجرة، فقد تلف المعوض قبل قبضه، فهو من مال صاحبه كما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قاعدة المعاوضة اللزوم، وانفساخه بتلف أحد العوضين، مخالف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فيقتصر فيه</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على مورد النص والإجماع، وهو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ظاهرهم، إنّ تعذر المنفعة في العين المستأجرة قبل القبض يوجب انفساخ الإجارة، والفرق بينهما، لا يخلو 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عليه، ما لو أتلفها الأجير عدواناً، فإنّه على القول الثاني يكون مثل ما لو أتلف البائع المبيع قبل القبض، فإنّه على القول بتخير المشتري هناك بين فسخ العقد، وبين الرجوع إلى المثل أو القيمة، هنا يتخير المستأجر أيضاً بين تضمين الأجير العين غير معمول فيها ويمنعه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يفسخ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يعطيه الاُجرة، فيضمنه العين معمولاً فيها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محكي عن القواعد وشرحه والتذكرة والتحرير</w:t>
      </w:r>
      <w:r>
        <w:rPr>
          <w:rStyle w:val="FootnoteAnchor"/>
          <w:rtl w:val="true"/>
        </w:rPr>
        <w:footnoteReference w:id="824"/>
      </w:r>
      <w:r>
        <w:rPr>
          <w:rFonts w:ascii="Amiri" w:hAnsi="Amiri" w:eastAsia="Amiri" w:cs="Amiri"/>
          <w:color w:val="111111"/>
          <w:sz w:val="28"/>
          <w:sz w:val="28"/>
          <w:szCs w:val="28"/>
          <w:rtl w:val="true"/>
          <w:lang w:bidi="ar-SA"/>
        </w:rPr>
        <w:t>، وحكي عن الشيخ</w:t>
      </w:r>
      <w:r>
        <w:rPr>
          <w:rStyle w:val="FootnoteAnchor"/>
          <w:rtl w:val="true"/>
        </w:rPr>
        <w:footnoteReference w:id="825"/>
      </w:r>
      <w:r>
        <w:rPr>
          <w:rFonts w:ascii="Amiri" w:hAnsi="Amiri" w:eastAsia="Amiri" w:cs="Amiri"/>
          <w:color w:val="111111"/>
          <w:sz w:val="28"/>
          <w:sz w:val="28"/>
          <w:szCs w:val="28"/>
          <w:rtl w:val="true"/>
          <w:lang w:bidi="ar-SA"/>
        </w:rPr>
        <w:t>، القول بتضمينه إياها معمولاً فيها، مع دفع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مبني على أن إتلاف المالك لا يوجب الفسخ ولا التخيير، بل يوجب الرجوع إلى قيمة المتلف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حبس الصانع العين المعمول فيها لأجل أُجرته، فحكم في القواعد بالضمان</w:t>
      </w:r>
      <w:r>
        <w:rPr>
          <w:rStyle w:val="FootnoteAnchor"/>
          <w:rtl w:val="true"/>
        </w:rPr>
        <w:footnoteReference w:id="826"/>
      </w:r>
      <w:r>
        <w:rPr>
          <w:rFonts w:ascii="Amiri" w:hAnsi="Amiri" w:eastAsia="Amiri" w:cs="Amiri"/>
          <w:color w:val="111111"/>
          <w:sz w:val="28"/>
          <w:sz w:val="28"/>
          <w:szCs w:val="28"/>
          <w:rtl w:val="true"/>
          <w:lang w:bidi="ar-SA"/>
        </w:rPr>
        <w:t>، وهو ظاهر بناءً على حصول التسليم بمجرد إكمال العمل، لأنّ المعاوضة قد تمت، وصار العمل ملكاً مستقراً للمستأجر، كالمعمول فيه، فحبسه بغير حق موجبٌ لضمانه بالتلف، فإنّ مجرد اشتغال ذمة المستأجر بالأُجرة لا يوجب كون حبس ماله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عدم حصول التسليم إلا بتسليم العين المعمول فيها، فلا يظهر وجه للضمان؛ لأنّ حبس العمل الحاصل في الثوب قبل أخذ عوضه 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لما تقرر من أنّه لا يجب على أحد المتعاقدين تسليم ما بيده قبل تسلم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الضمان من جهة حبس العين لا الصفة،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المتعين حينئذٍ ضمان العين مجردة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حبس العين التي أقبضها مالكها اختياراً لأجل العمل فيها، الذي من حكمه شرعاً عدم وجوب تسليمه إلا بعد تسلّم عوضه، ليس عدواناً موجباً للضمان، ولا ينافى ذلك ما عرفت سابقاً، من وجوب التسليم على الأجير بمقتضى أدلة الوفاء؛ لأنّ ذلك إنّما كان من حيث التكليف الدائر مدار الاعتقاد بأن المستأجر في مقام بذل الأُجرة بمجرد تسليم العين المعمول فيها، وعدم خوف امتناعه، وهذا لا يدل على وجوب التسليم مطلقاً، بمعنى استحقاق المطالبة عليه مع الامتناع ولو اعتذر بخوف امتناع المستأجر من تسليم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يحكى عن المبسوط، بأنّ العمل إن كان في ملك الصانع لا يستحق الأُجرة حتى يسلّم، وإن كان في ملك المستأجر استحق الأُجرة بنفس العمل</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بحسب الظاهر قولٌ ثالث، لكن لا يبعد إرجاعه إلى القول باشتراط تسليم العين المعمول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حمل الفقرة الثانية على ما لو كانت العين المستأجرة للعمل فيها في ملك المستأجر وتحت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تقييدها بحضور المالك، فيما </w:t>
      </w:r>
      <w:bookmarkStart w:id="464" w:name="pg9076_119915"/>
    </w:p>
    <w:p>
      <w:pPr>
        <w:pStyle w:val="BookText"/>
        <w:rPr/>
      </w:pPr>
      <w:bookmarkEnd w:id="464"/>
      <w:r>
        <w:rPr>
          <w:rFonts w:ascii="Amiri" w:hAnsi="Amiri" w:eastAsia="Amiri" w:cs="Amiri"/>
          <w:color w:val="111111"/>
          <w:sz w:val="28"/>
          <w:sz w:val="28"/>
          <w:szCs w:val="28"/>
          <w:rtl w:val="true"/>
          <w:lang w:bidi="ar-SA"/>
        </w:rPr>
        <w:t>حكي عن التنقيح</w:t>
      </w:r>
      <w:r>
        <w:rPr>
          <w:rStyle w:val="FootnoteAnchor"/>
          <w:rtl w:val="true"/>
        </w:rPr>
        <w:footnoteReference w:id="829"/>
      </w:r>
      <w:r>
        <w:rPr>
          <w:rFonts w:ascii="Amiri" w:hAnsi="Amiri" w:eastAsia="Amiri" w:cs="Amiri"/>
          <w:color w:val="111111"/>
          <w:sz w:val="28"/>
          <w:sz w:val="28"/>
          <w:szCs w:val="28"/>
          <w:rtl w:val="true"/>
          <w:lang w:bidi="ar-SA"/>
        </w:rPr>
        <w:t>و التحرير</w:t>
      </w:r>
      <w:r>
        <w:rPr>
          <w:rStyle w:val="FootnoteAnchor"/>
          <w:rtl w:val="true"/>
        </w:rPr>
        <w:footnoteReference w:id="830"/>
      </w:r>
      <w:r>
        <w:rPr>
          <w:rFonts w:ascii="Amiri" w:hAnsi="Amiri" w:eastAsia="Amiri" w:cs="Amiri"/>
          <w:color w:val="111111"/>
          <w:sz w:val="28"/>
          <w:sz w:val="28"/>
          <w:szCs w:val="28"/>
          <w:rtl w:val="true"/>
          <w:lang w:bidi="ar-SA"/>
        </w:rPr>
        <w:t>من كلام الشيخ</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2580649_2870459653"/>
      <w:bookmarkStart w:id="466" w:name="_Toc162"/>
      <w:bookmarkEnd w:id="465"/>
      <w:r>
        <w:rPr>
          <w:rtl w:val="true"/>
        </w:rPr>
        <w:t>الرجوع الى أُجرة المثل عند بطلان الإجارة</w:t>
      </w:r>
      <w:bookmarkEnd w:id="466"/>
    </w:p>
    <w:p>
      <w:pPr>
        <w:pStyle w:val="BookText"/>
        <w:rPr/>
      </w:pPr>
      <w:r>
        <w:rPr>
          <w:rFonts w:ascii="Amiri" w:hAnsi="Amiri" w:eastAsia="Amiri" w:cs="Amiri"/>
          <w:color w:val="111111"/>
          <w:sz w:val="28"/>
          <w:sz w:val="28"/>
          <w:szCs w:val="28"/>
          <w:rtl w:val="true"/>
          <w:lang w:bidi="ar-SA"/>
        </w:rPr>
        <w:t>كل موضع تبطل فيه الإجارة، يرجع المؤجر فيه إلى أُجرة المثل؛ لأنّ مقتضى البطلان رجوع كل من مالكي العوضين إلى ملكه، ولما لم يمكن الرجوع في المنفعة المنقضية، تعين الرجوع إلى بدلها، وهي أُجرة المثل، وقد استُثني من هذا صورتان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فساد الإجارة بسبب أخذ عدم الأُجرة، بأن يقول آجرتك بلا أُجرة، فقد حكم هنا بالصحة غير واحد</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833"/>
      </w:r>
      <w:r>
        <w:rPr>
          <w:rFonts w:ascii="Amiri" w:hAnsi="Amiri" w:eastAsia="Amiri" w:cs="Amiri"/>
          <w:color w:val="111111"/>
          <w:sz w:val="28"/>
          <w:sz w:val="28"/>
          <w:szCs w:val="28"/>
          <w:rtl w:val="true"/>
          <w:lang w:bidi="ar-SA"/>
        </w:rPr>
        <w:t xml:space="preserve">للأصل، ورجوعه إلى العارية، وإن عبر عنها بلفظ الإجارة الظاهر في عدم التبرع ولزوم الأُجرة، فإنّ التصريح بعدمهما أقوى من الظهور المستفاد منها قبله، فالظاهر يُدفع بالنص، سيما مع اعتضاده بالأصل، فيرجع إلى العارية، بناءً على عدم اشتراط لفظ فيها، وأنّه يكتفى فيها بما يدل على التبرع بالمنفعة، وقد تحقق في فرض المسألة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بالإجارة الفاسدة ما حصل فيه التمليك والتملك للمنفعة، بحسب قصد المتعاقدين مع عدم ترتب مقصودهما شرعاً، ولا ريب أن جعل قيد عدم الأُجرة قرينة على إرادة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التبرع بالمنفعة لا تمليكها على وجه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يكشف هذا القيد عن إرادة التبرع من لفظ الإجارة الموضوع للتمليك، يخرج هذا الكلام عن فرض المسألة، إذ لا يكون هنا حينئذٍ إجارة فاسدة، بل عارية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الكلام فيما لو قصد التمليك الحاصل في الإجارات الصحيحة، ولا ريب أن المؤجر إنّما يقدم على العمل من حيث كونها ملكاً للمستأجر، لا من حيث إنّه متبرعٌ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استيفاء المستأجر للمنفعة من العين المؤجرة بهذه الإجارة، إنّما هو من حيث إنّه مالكٌ ومستحقٌ لها، لا من حيث إنّه مأذون؛ إذ لا إذن هنا غير ما تحقق في ضمن التمليك الغير الحاصل شرعاً، بل لا إذن في ضمنه أيضاً، كما في البيع الفاسد، فقد تصرف المستأجر في المنفعة واستوفاها مع عدم إذن المالك، فكيف لا تستقر عليه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بالفساد هنا أولى من الفساد فيما إذا باع بغير ثمن؛ لأنّ المعنى المقصود من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التمليك بلا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حقيقةً، بخلاف تمليك المنفعة بلا عوض، فإنّه ليس من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لم تتحقق العارية الصحيحة، إلا أن مالك المنفعة قد أقدم على عدم استحقاق العوض، ومملك لها مجاناً، فيمكن إدخاله تحت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هذا العقد لو صح لم تكن المنفعة مضمونةً بعوض، فكذا مع الفساد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835"/>
      </w:r>
      <w:r>
        <w:rPr>
          <w:rFonts w:ascii="Amiri" w:hAnsi="Amiri" w:eastAsia="Amiri" w:cs="Amiri"/>
          <w:color w:val="111111"/>
          <w:sz w:val="28"/>
          <w:sz w:val="28"/>
          <w:szCs w:val="28"/>
          <w:rtl w:val="true"/>
          <w:lang w:bidi="ar-SA"/>
        </w:rPr>
        <w:t>الوجه في تبعية ضمان الفاسد لضمان الصحيح، هو أنّ المتعاقدين في العقد الصحيح إذا أقدما على الضمان، فيترتب عليه مع الفساد ما أقدما عليه، وإن أقدما على عدم الضمان، فيترتب هذا أيضاً مع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فيه؛ لأنّ مالك المنفعة لم يقدم إلا على التمليك مجاناً، ولم يحصل شرعاً، وليس الإقدام على المجانية غير ما حصل في ضمن التمليك، فكان كما لو باعه فاسداً بأقل من القيمة، فلا يوجب هذا الإقدام منه على الإعراض عن كمال القيمة عدم ضمان المشتري للقيمة الكاملة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مدركها هو اتفاق الفقهاء عليه، فحصوله ثم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يبلغ حد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ممنوعان، مع أنّ مرادهم </w:t>
      </w:r>
    </w:p>
    <w:p>
      <w:pPr>
        <w:pStyle w:val="BookText"/>
        <w:rPr/>
      </w:pPr>
      <w:r>
        <w:rPr>
          <w:rFonts w:ascii="Amiri" w:hAnsi="Amiri" w:eastAsia="Amiri" w:cs="Amiri"/>
          <w:color w:val="111111"/>
          <w:sz w:val="28"/>
          <w:sz w:val="28"/>
          <w:szCs w:val="28"/>
          <w:rtl w:val="true"/>
          <w:lang w:bidi="ar-SA"/>
        </w:rPr>
        <w:t>من العقد الصحيح والفاسد هو نوع العقد، لا شخصه على فرض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مدركها قاعدة اليد، واحترام مال المسلم، والضرر، فهي مسلمةٌ إذا وافقت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القواعد</w:t>
      </w:r>
      <w:r>
        <w:rPr>
          <w:rFonts w:eastAsia="Amiri" w:cs="Amiri" w:ascii="Amiri" w:hAnsi="Amiri"/>
          <w:color w:val="111111"/>
          <w:sz w:val="28"/>
          <w:szCs w:val="28"/>
          <w:rtl w:val="true"/>
          <w:lang w:bidi="ar-SA"/>
        </w:rPr>
        <w:t>]</w:t>
      </w:r>
      <w:r>
        <w:rPr>
          <w:rStyle w:val="FootnoteAnchor"/>
          <w:rtl w:val="true"/>
        </w:rPr>
        <w:footnoteReference w:id="836"/>
      </w:r>
      <w:r>
        <w:rPr>
          <w:rFonts w:ascii="IRNazanin" w:hAnsi="IRNazanin" w:eastAsia="IRNazanin"/>
          <w:color w:val="111111"/>
          <w:sz w:val="28"/>
          <w:sz w:val="28"/>
          <w:szCs w:val="28"/>
          <w:rtl w:val="true"/>
          <w:lang w:bidi="fa-IR"/>
        </w:rPr>
        <w:t xml:space="preserve">،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تحققت</w:t>
      </w:r>
      <w:r>
        <w:rPr>
          <w:rFonts w:eastAsia="IRNazanin" w:cs="IRNazanin"/>
          <w:color w:val="111111"/>
          <w:sz w:val="28"/>
          <w:szCs w:val="28"/>
          <w:rtl w:val="true"/>
          <w:lang w:bidi="fa-IR"/>
        </w:rPr>
        <w:t>]</w:t>
      </w:r>
      <w:r>
        <w:rPr>
          <w:rStyle w:val="FootnoteAnchor"/>
          <w:rtl w:val="true"/>
        </w:rPr>
        <w:footnoteReference w:id="837"/>
      </w:r>
      <w:r>
        <w:rPr>
          <w:rFonts w:ascii="Amiri" w:hAnsi="Amiri" w:eastAsia="Amiri" w:cs="Amiri"/>
          <w:color w:val="111111"/>
          <w:sz w:val="28"/>
          <w:sz w:val="28"/>
          <w:szCs w:val="28"/>
          <w:rtl w:val="true"/>
          <w:lang w:bidi="ar-SA"/>
        </w:rPr>
        <w:t>فيما نحن فيه، فوجب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شبهة في أنّ استيفاء المنفعة في المقام من العين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تبرع مستقل زائد على الإذن المتوهم تحققه في ضمن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للمال بالباطل، وهو محرمٌ يجب عليه عوضها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سبق من الرواية في شرط عدم الأُجرة للمكاري لو لم يوصله إلى موضع كذا في يوم كذا</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المحقق الثاني</w:t>
      </w:r>
      <w:r>
        <w:rPr>
          <w:rStyle w:val="FootnoteAnchor"/>
          <w:rtl w:val="true"/>
        </w:rPr>
        <w:footnoteReference w:id="839"/>
      </w:r>
      <w:r>
        <w:rPr>
          <w:rFonts w:ascii="Amiri" w:hAnsi="Amiri" w:eastAsia="Amiri" w:cs="Amiri"/>
          <w:color w:val="111111"/>
          <w:sz w:val="28"/>
          <w:sz w:val="28"/>
          <w:szCs w:val="28"/>
          <w:rtl w:val="true"/>
          <w:lang w:bidi="ar-SA"/>
        </w:rPr>
        <w:t xml:space="preserve">، التفصيل بين أن يؤجره عيناً ينتفع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 أو دابة أو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عليه أُجرة المثل، وبين أن يؤجره نفسه ليعمل له عملاً فلا يثبت، حيث إنّ مالك المنفعة مباشر لإتلافها، فهو 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فإنّ مباشرته لإتلافها مباشرةٌ لتسليمها إلى المستأجر، إما جهلاً بالحكم، أو تشريعاً، ولا ريب أنّ العمل مالٌ مقابل بالمال، فإذا سلمه إلى المستأجر بعنوان الملكية والاستحقاق المنتفيين شرعاً فهو ضامن له، وإلا لكان اللازم فيما إذا آجر نفسه بإجارةٍ فاسدةٍ لشيءٍ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عشر أعشار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يستحق أزيد منه؛ لإقدامه على عدم استحقاق الزائد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الإقدام على العمل ومباشرة إتلافه للغير ابتداءً، يتبع كيفية الإقدام، فإن كان بلا عوض لا يستحق شيئاً، وإن كان بعوض يسير، فلا يستحق أزيد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الإقدام على العمل ومباشرة إتلافه، من حيث بناء العامل على استحقاق الغير له وتملكه له، فهو غير متبّع شرعاً، فكأن الغير قد وصل إليه العمل من غير إقدام، والمفروض أنّ العمل يقابل شرعاً وعرفاً بالمال، فيجب عليه العوض، لعدم حل مال المسلم إلا عن طيب نفسه</w:t>
      </w:r>
      <w:r>
        <w:rPr>
          <w:rStyle w:val="FootnoteAnchor"/>
          <w:rtl w:val="true"/>
        </w:rPr>
        <w:footnoteReference w:id="840"/>
      </w:r>
      <w:r>
        <w:rPr>
          <w:rFonts w:ascii="Amiri" w:hAnsi="Amiri" w:eastAsia="Amiri" w:cs="Amiri"/>
          <w:color w:val="111111"/>
          <w:sz w:val="28"/>
          <w:sz w:val="28"/>
          <w:szCs w:val="28"/>
          <w:rtl w:val="true"/>
          <w:lang w:bidi="ar-SA"/>
        </w:rPr>
        <w:t>، والمفروض أنّه لم يحصل إلا في ضمن العقد الفاسد، الذي لا أثر له شرعاً، فكأنه لم يقع،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إخراج هذا القسم من قاعدة الإجارة الفاسدة لعدم صدق الإجارة عليه، لأخذ العوض في مفهومها شرعاً وعرفاً، لا أنّه إجارة فاسدة، خرجت عن القاعدة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صدق الإجارة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فساد هذا العقد وترتب رجوع كل من العوضين، أو عوضه إلى مالكه، وإن لم يصدق عليه الإجارة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الإجارة إلى الإعارة، قد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إخراج للكلام</w:t>
      </w:r>
      <w:r>
        <w:rPr>
          <w:rStyle w:val="FootnoteAnchor"/>
          <w:rtl w:val="true"/>
        </w:rPr>
        <w:footnoteReference w:id="842"/>
      </w:r>
      <w:r>
        <w:rPr>
          <w:rFonts w:ascii="IRNazanin" w:hAnsi="IRNazanin" w:eastAsia="IRNazanin"/>
          <w:color w:val="111111"/>
          <w:sz w:val="28"/>
          <w:sz w:val="28"/>
          <w:szCs w:val="28"/>
          <w:rtl w:val="true"/>
          <w:lang w:bidi="fa-IR"/>
        </w:rPr>
        <w:t>عن محل الفرض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يذكر العوض، فإنّه حكم جماعة</w:t>
      </w:r>
      <w:r>
        <w:rPr>
          <w:rStyle w:val="FootnoteAnchor"/>
          <w:rtl w:val="true"/>
        </w:rPr>
        <w:footnoteReference w:id="843"/>
      </w:r>
      <w:r>
        <w:rPr>
          <w:rFonts w:ascii="Amiri" w:hAnsi="Amiri" w:eastAsia="Amiri" w:cs="Amiri"/>
          <w:color w:val="111111"/>
          <w:sz w:val="28"/>
          <w:sz w:val="28"/>
          <w:szCs w:val="28"/>
          <w:rtl w:val="true"/>
          <w:lang w:bidi="ar-SA"/>
        </w:rPr>
        <w:t>حينئذٍ أيضاً بعدم لزوم أُجرة المثل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عدم ذكره لأجل إرادة الإخلاء عن العوض، فيكون </w:t>
      </w:r>
      <w:bookmarkStart w:id="467" w:name="pg9076_119919"/>
    </w:p>
    <w:p>
      <w:pPr>
        <w:pStyle w:val="BookText"/>
        <w:rPr/>
      </w:pPr>
      <w:bookmarkEnd w:id="467"/>
      <w:r>
        <w:rPr>
          <w:rFonts w:ascii="Amiri" w:hAnsi="Amiri" w:eastAsia="Amiri" w:cs="Amiri"/>
          <w:color w:val="111111"/>
          <w:sz w:val="28"/>
          <w:sz w:val="28"/>
          <w:szCs w:val="28"/>
          <w:rtl w:val="true"/>
          <w:lang w:bidi="ar-SA"/>
        </w:rPr>
        <w:t>الفرق بين هذه الصورة وسابقتها التصريح هناك بعدم الاُجرة، والحوالة هنا على الظهور المستفاد من عدم الذكر، فالكلام هنا كما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عدم ذكره لأجل نسيان، فالحكم بعدم الأُجرة هنا أضعف من سابقه؛ لعدم إقدام المؤجر حينئذٍ على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اختلفا في إرادة التبرع أو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الأُجرة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الحكم؛ من جهة تعارض ظهور عدم النسيان وغلبة عدم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يرجع إلى قاعدة احترام مال المسلم وعدمه، وعدم حلّه إلا بطيب نفسه، الغير المعلوم هنا على جهة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أنّه يرجع المؤجر في الإجارة الفاسدة إلى أُجرة المنفعة، كذلك يرجع المستأجر إلى ما دفعه أُجرة إن كان عيناً موجودة، وإلا فإلى بدله، ولا فرق في الحكم بالتراجع بين ما إذا علما بالفساد، أو جهلا به، أو علم أحدهما وجهل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علمها، لا يستحق المؤجر شيئاً؛ إذ يصير دفعه المنفعة في حكم التبرع والبذل من دون عوض وأُجرةٍ، فيصير كالعارية، ولا يجب على المستأجر بذل الأُجرة، فلو بذلها مع العلم بالفساد كان بمنزلة الهبة فله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اختص المستأجر بالجهل، كان له الرجوع في الأُجرة مطلقاً، فإن الدفع هنا ليس بمنزلة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فاختص الجهل بالمؤجر، كان له أُجرة المثل</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ذكره نظر لا يخفى</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2580651_2870459653"/>
      <w:bookmarkStart w:id="469" w:name="_Toc163"/>
      <w:bookmarkEnd w:id="468"/>
      <w:r>
        <w:rPr>
          <w:rtl w:val="true"/>
        </w:rPr>
        <w:t>ضمان العين المستأجرة في الإجارة الفاسدة</w:t>
      </w:r>
      <w:bookmarkEnd w:id="46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ضمان العين المستأجرة بالإجارة الفاسدة إذا تلفت بتعدي المستأجر، أو تفريطه، حتى لو كان الفساد باشتراط عدم الضمان مع التعدي أو التفريط، لو قلنا بفساد هذا الشرط وإفساده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تلفت من غير تعد وتفريط، فقد حكي عن القواعد وجامع المقاصد</w:t>
      </w:r>
      <w:r>
        <w:rPr>
          <w:rStyle w:val="FootnoteAnchor"/>
          <w:rtl w:val="true"/>
        </w:rPr>
        <w:footnoteReference w:id="845"/>
      </w:r>
      <w:r>
        <w:rPr>
          <w:rFonts w:ascii="Amiri" w:hAnsi="Amiri" w:eastAsia="Amiri" w:cs="Amiri"/>
          <w:color w:val="111111"/>
          <w:sz w:val="28"/>
          <w:sz w:val="28"/>
          <w:szCs w:val="28"/>
          <w:rtl w:val="true"/>
          <w:lang w:bidi="ar-SA"/>
        </w:rPr>
        <w:t>ومحكي التذكرة</w:t>
      </w:r>
      <w:r>
        <w:rPr>
          <w:rStyle w:val="FootnoteAnchor"/>
          <w:rtl w:val="true"/>
        </w:rPr>
        <w:footnoteReference w:id="846"/>
      </w:r>
      <w:r>
        <w:rPr>
          <w:rFonts w:ascii="Amiri" w:hAnsi="Amiri" w:eastAsia="Amiri" w:cs="Amiri"/>
          <w:color w:val="111111"/>
          <w:sz w:val="28"/>
          <w:sz w:val="28"/>
          <w:szCs w:val="28"/>
          <w:rtl w:val="true"/>
          <w:lang w:bidi="ar-SA"/>
        </w:rPr>
        <w:t>عدم الضمان، ولعله لإلحاق فاسد كل عقد بصحيحه في الضمان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عدم الضمان في الإجارة الصحيحة ليس من جهة اقتضاء الصحيح لذلك، حتى يلحق به الفاسد، بل هو من جهة كون العين أمانة، وهي لا تضمن إلا مع التعدي أو التفريط، والمفروض أنّ العين في الإجارة الفاسدة ليست أمانة؛ إذ لم يأذن مالكها في كونها في يد المستأجر إلا بتوهم صحة العقد، بل الإذن الحاصل في ضمن صحة العقد ليس إذناً من المالك فقط، بل هو أمرٌ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ولا ريب في انتفاء هذا الأمر وذلك الإذن الذي أقدم عليه بتوهم استحقاق استيفاء المنفعة في صورة الفساد، ولهذا يحرم على المستأجر إمساكه مع علمه بفساد الإجارة، ولا يفيده إذن المؤجر الجاهل له بتوهم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جهل المؤجر بالفساد سواءً كان المستأجر عالماً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المؤجر عالماً بالفساد، ومع ذلك دفعه، فمقتضى قاعدة اليد، الضمان أيضاً، ولا يعارضها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على عدم ضمان الأمين والمؤتمن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بعض أخبار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قاعدة اليد، فيقدم عليه أو يعتضد به قاعدة ما لا يضمن بصحيحه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يشكل هذا مع علم المستأجر، حيث إنّه يحرم عليه إمساك العين والانتفاع بها؛ لعدم حصول طيب النفس من المالك إلا بالبناء على ترتب ما قصداه من العقد عليه أو زعماً منه وتوهماً، والمفروض أنّه لم يحصل طيب نفس بغير ذلك، فيحرم التصرف، بل يؤمر بالرد فوراً، لما سمعت من انتفاء الإذن من غير جهة اقتضاء العقد </w:t>
      </w:r>
      <w:bookmarkStart w:id="470" w:name="pg9076_119921"/>
    </w:p>
    <w:p>
      <w:pPr>
        <w:pStyle w:val="BookText"/>
        <w:rPr/>
      </w:pPr>
      <w:bookmarkEnd w:id="470"/>
      <w:r>
        <w:rPr>
          <w:rFonts w:ascii="Amiri" w:hAnsi="Amiri" w:eastAsia="Amiri" w:cs="Amiri"/>
          <w:color w:val="111111"/>
          <w:sz w:val="28"/>
          <w:sz w:val="28"/>
          <w:szCs w:val="28"/>
          <w:rtl w:val="true"/>
          <w:lang w:bidi="ar-SA"/>
        </w:rPr>
        <w:t>الفاسد الذي هو بمنزلة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العقد الفاسد لا فرق بين إذن المالك في قبض العين المستأجرة بالإجارة الفاسدة، وبين إذنه في الإنتفاع بها، وبين إذنه في التصرف في المبيع بالبيع الفاسد، فكما أنّ إذنه في الانتفاع في الإجارة الفاسدة وفي التصرف في المبيع بالبيع الفاسد لا أثر له، إذ بعد البناء على تملك المنفعة في الإجارة و العين في البيع لا يعد ذلك إذناً، بل هو مسلط عليه بحكم المالكية، فكذلك إذنه في قبض العين المستأجرة بالإجارة الفاسدة لا أثر له؛ إذ لا يعد ذلك إذناً، بل هو مسلطٌ على التصرف فيه وقبضه، من جهة تسلطه على منفعته، ولا إذن من غير هذه الجهة، حتى يصير أمانة 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علم المستأجر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إمكان انسحاب الحكم مع جهله؛ إذ لا فرق بين العلم والجهل</w:t>
      </w:r>
      <w:r>
        <w:rPr>
          <w:rStyle w:val="FootnoteAnchor"/>
          <w:rtl w:val="true"/>
        </w:rPr>
        <w:footnoteReference w:id="848"/>
      </w:r>
      <w:r>
        <w:rPr>
          <w:rFonts w:ascii="Amiri" w:hAnsi="Amiri" w:eastAsia="Amiri" w:cs="Amiri"/>
          <w:color w:val="111111"/>
          <w:sz w:val="28"/>
          <w:sz w:val="28"/>
          <w:szCs w:val="28"/>
          <w:rtl w:val="true"/>
          <w:lang w:bidi="ar-SA"/>
        </w:rPr>
        <w:t>في عموم قاعدة اليد، وعدم إذن المالك من غير جهة البناء على استحقاق الأخذ أو توهمه، نعم يتفاوت المستأجر العالم مع الجاهل في وجوب الرد فوراً على العالم دون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أنّه لا وجه لتخصيص النظر والبحث في الضمان، وفي دعوى عدم صدق الأمانة بصورة جهلهما، بل الأولى تخصيص هذا النظر بصورة علم المؤجر وجهل المستأجر، أو تعميمه لصورة جهل المستأجر مطلقاً، عالماً كان المؤجر أو جاهلاً، فإنّ جهل المؤجر لا يقوي النظر في الضمان وعدم صدق الأمانة</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2580653_2870459653"/>
      <w:bookmarkStart w:id="472" w:name="_Toc164"/>
      <w:bookmarkEnd w:id="471"/>
      <w:r>
        <w:rPr>
          <w:rtl w:val="true"/>
        </w:rPr>
        <w:t>صحة استئجار العين المستأجرة</w:t>
      </w:r>
      <w:bookmarkEnd w:id="47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أن يؤجر العين المستأجرة؛ لأن المنفعة المنتقلة إلى المستأجر بالإجارة ملك له، فيجوز له نقلها إلى غيره حتى نفس المؤجر، فيجوز أن يستأجر المؤجر من المستأجر، فيتعاكس الاستئجار في مرتبة واحدة، أو مراتب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والدليل على هذا الحكم مضافاً إلى عدم ظهور الخلاف، والإجماع المحكي</w:t>
      </w:r>
      <w:r>
        <w:rPr>
          <w:rStyle w:val="FootnoteAnchor"/>
          <w:rtl w:val="true"/>
        </w:rPr>
        <w:footnoteReference w:id="849"/>
      </w:r>
      <w:r>
        <w:rPr>
          <w:rFonts w:ascii="Amiri" w:hAnsi="Amiri" w:eastAsia="Amiri" w:cs="Amiri"/>
          <w:color w:val="111111"/>
          <w:sz w:val="28"/>
          <w:sz w:val="28"/>
          <w:szCs w:val="28"/>
          <w:rtl w:val="true"/>
          <w:lang w:bidi="ar-SA"/>
        </w:rPr>
        <w:t>عن ظاهر الغنية</w:t>
      </w:r>
      <w:r>
        <w:rPr>
          <w:rStyle w:val="FootnoteAnchor"/>
          <w:rtl w:val="true"/>
        </w:rPr>
        <w:footnoteReference w:id="850"/>
      </w:r>
      <w:r>
        <w:rPr>
          <w:rFonts w:ascii="Amiri" w:hAnsi="Amiri" w:eastAsia="Amiri" w:cs="Amiri"/>
          <w:color w:val="111111"/>
          <w:sz w:val="28"/>
          <w:sz w:val="28"/>
          <w:szCs w:val="28"/>
          <w:rtl w:val="true"/>
          <w:lang w:bidi="ar-SA"/>
        </w:rPr>
        <w:t>، وصريح التذكرة</w:t>
      </w:r>
      <w:r>
        <w:rPr>
          <w:rStyle w:val="FootnoteAnchor"/>
          <w:rtl w:val="true"/>
        </w:rPr>
        <w:footnoteReference w:id="851"/>
      </w:r>
      <w:r>
        <w:rPr>
          <w:rFonts w:ascii="Amiri" w:hAnsi="Amiri" w:eastAsia="Amiri" w:cs="Amiri"/>
          <w:color w:val="111111"/>
          <w:sz w:val="28"/>
          <w:sz w:val="28"/>
          <w:szCs w:val="28"/>
          <w:rtl w:val="true"/>
          <w:lang w:bidi="ar-SA"/>
        </w:rPr>
        <w:t>، وعموم أدلة وجوب الوفاء</w:t>
      </w:r>
      <w:r>
        <w:rPr>
          <w:rStyle w:val="FootnoteAnchor"/>
          <w:rtl w:val="true"/>
        </w:rPr>
        <w:footnoteReference w:id="852"/>
      </w:r>
      <w:r>
        <w:rPr>
          <w:rFonts w:ascii="IRNazanin" w:hAnsi="IRNazanin" w:eastAsia="IRNazanin"/>
          <w:color w:val="111111"/>
          <w:sz w:val="28"/>
          <w:sz w:val="28"/>
          <w:szCs w:val="28"/>
          <w:rtl w:val="true"/>
          <w:lang w:bidi="fa-IR"/>
        </w:rPr>
        <w:t>، وتسلط الناس على أموالهم</w:t>
      </w:r>
      <w:r>
        <w:rPr>
          <w:rStyle w:val="FootnoteAnchor"/>
          <w:rtl w:val="true"/>
        </w:rPr>
        <w:footnoteReference w:id="853"/>
      </w:r>
      <w:r>
        <w:rPr>
          <w:rFonts w:ascii="Amiri" w:hAnsi="Amiri" w:eastAsia="Amiri" w:cs="Amiri"/>
          <w:color w:val="111111"/>
          <w:sz w:val="28"/>
          <w:sz w:val="28"/>
          <w:szCs w:val="28"/>
          <w:rtl w:val="true"/>
          <w:lang w:bidi="ar-SA"/>
        </w:rPr>
        <w:t>، خصوص الأخبار المستفيضة الواردة في باب إجارة الأرض بأكثر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المؤجر على المستأجر مباشرة استيفاء المنفعة بنفسه، لم يجز له أن يؤجرها من ثالث، عملاً بمقتضى الشرط، إلا أن يشترط على المستأجر الثاني أن يستوفي المستأجر الأول المنفعة له فيما يقبل ذلك 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الحكم في المستثنى والمستثنى منه الرواية المصححة، في رجل استأجر دابة فأعطاها غيره فنفقت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شرط أن لا يركبها غيره فهو ضامن، وإن لم يسم فليس عليه شيء</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هل يجوز للمستأجر تسليمها إلى المستأجر الثاني بدون إذن المالك</w:t>
      </w:r>
      <w:r>
        <w:rPr>
          <w:rStyle w:val="FootnoteAnchor"/>
          <w:rtl w:val="true"/>
        </w:rPr>
        <w:footnoteReference w:id="855"/>
      </w:r>
      <w:r>
        <w:rPr>
          <w:rFonts w:ascii="IRNazanin" w:hAnsi="IRNazanin" w:eastAsia="IRNazanin"/>
          <w:color w:val="111111"/>
          <w:sz w:val="28"/>
          <w:sz w:val="28"/>
          <w:szCs w:val="28"/>
          <w:rtl w:val="true"/>
          <w:lang w:bidi="fa-IR"/>
        </w:rPr>
        <w:t>، أم لا</w:t>
      </w:r>
      <w:r>
        <w:rPr>
          <w:rStyle w:val="FootnoteAnchor"/>
          <w:rtl w:val="true"/>
        </w:rPr>
        <w:footnoteReference w:id="856"/>
      </w:r>
      <w:r>
        <w:rPr>
          <w:rFonts w:ascii="Amiri" w:hAnsi="Amiri" w:eastAsia="Amiri" w:cs="Amiri"/>
          <w:color w:val="111111"/>
          <w:sz w:val="28"/>
          <w:sz w:val="28"/>
          <w:szCs w:val="28"/>
          <w:rtl w:val="true"/>
          <w:lang w:bidi="ar-SA"/>
        </w:rPr>
        <w:t>، أم يجوز بشرط كون الثاني أميناً؟ أقوالٌ، ثالثها لابن الجنيد</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بالتسليم المختلف في جوازه، إن كان هو الذي لابد منه و لو عادة في استيفاء المنفعة، فالحق جوازه؛ لأنّ إذن الشارع في الاستئجار، بل </w:t>
      </w:r>
    </w:p>
    <w:p>
      <w:pPr>
        <w:pStyle w:val="BookText"/>
        <w:rPr/>
      </w:pPr>
      <w:r>
        <w:rPr>
          <w:rFonts w:ascii="Amiri" w:hAnsi="Amiri" w:eastAsia="Amiri" w:cs="Amiri"/>
          <w:color w:val="111111"/>
          <w:sz w:val="28"/>
          <w:sz w:val="28"/>
          <w:szCs w:val="28"/>
          <w:rtl w:val="true"/>
          <w:lang w:bidi="ar-SA"/>
        </w:rPr>
        <w:t xml:space="preserve">إذن المالك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تسليطه إياه على المنفعة، وتمليكها إياه بالملكية التي يراد منها جواز أن يتصرف فيه بأنواع التصرفات، التي منها نقلها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 مقدماته التي منها تسليم العين إليه؛ إذ لا معنى لجواز نقل منفعة ركوب الدابة إلى المستأجر الثاني وعدم جواز تسليمها له ليركب، والتسليم بهذا المعنى مما لم يتوقف على إذن المالك في الإجارة الأولى أيضاً، ولهذا كان يجبر عليه لو امتنع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صريح المصححة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المراد تسليم العين إليه، بحيث تكون يد المستأجر مستقلاً عليه في غير أوقات استيفاء المنفعة، بل وفي أوقات استيفاء المنفعة، فالحق أنّه لا يجوز؛ لعدم دلالة جواز الاستئجار على ذلك، بل لم يجب ذلك على المالك للمستأجر الأول، فإنّ من آجر دابته للركوب لا يجب عليه تسليمها إليه مستقلاً بأن تكون تحت يده في الليل، بل وفي النهار أيضاً في أوقات الركوب؛ لأنّ استيفاء منفعتها بالركوب لا يتوقف على استقلال يده عليها، وليس في المصححة المذكورة،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على جواز إجارة الأرض بأكثر مما استأجرها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جواز ذلك؛ لأنها في مقام بيان حكم آخر، لا في مقام بيان جواز التسليم بدون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المصححة صريحة في عدم الإذن بالتسليم، لكن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دلالة، بل ولا إشعار بالتسليم الزائد على ما لابد منه في استيفاء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الثانية بمنزلة الإجارة الأولى، فكل ما كان من التسليم موقوفاً في الأولى على إذن المالك، ولم يكن يجبر عليه، فهو كذلك في الإجارة الثانية، وكلما كان غير موقوف على إذنه، بل كان يجبر عليه لو امتنع منه، فهو كذلك في الإجارة الثانية، عملاً بالقواعد عند فقد ما يخرج عنها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قلنا بتوقف التسليم على الإذن، تكون الإجارة الثانية متزلزلة، فإنْ أذن المالك في التسليم فهو، وإن لم يأذن انفسخت الإجارة؛ لعدم القدرة على التسليم، </w:t>
      </w:r>
      <w:bookmarkStart w:id="473" w:name="pg9076_119924"/>
    </w:p>
    <w:p>
      <w:pPr>
        <w:pStyle w:val="BookText"/>
        <w:rPr/>
      </w:pPr>
      <w:bookmarkEnd w:id="473"/>
      <w:r>
        <w:rPr>
          <w:rFonts w:ascii="Amiri" w:hAnsi="Amiri" w:eastAsia="Amiri" w:cs="Amiri"/>
          <w:color w:val="111111"/>
          <w:sz w:val="28"/>
          <w:sz w:val="28"/>
          <w:szCs w:val="28"/>
          <w:rtl w:val="true"/>
          <w:lang w:bidi="ar-SA"/>
        </w:rPr>
        <w:t>فيشبه الفضولي في كونها معاملة يتوقع سلامتها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سلمها إليه بغير الإذن كان معتدياً ضامناً، وحرم على المستأجر الثاني التصرف فيه، إلا أنّه لا تشتغل ذمته بأجرة؛ لأنّه استوفى المنفعة المملوكة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آجرها الغير وسلمها إليه عند اشتراط مباشرة المنفعة بنفسه، فإن جعل شخص المستأجر من مشخصات المنفعة،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الدار لسكونك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يفهم أنّ سكون الغير ليس متعلقاً للإجارة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مع بطلان الإجارة وجوب أُجرة المثل للمالك على المستأجر الثاني؛ لأنّه استوفى منفعة مملوكة للغير، لم تنتقل إليه من المستأجر الأول؛ لأنه إنّما ملك سكونه، لا سكون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خصوص المستأجر الأول من مشخصات المنفعة، بل آجره للمنفعة المطلقة، وشرط عليه استيفاءها</w:t>
      </w:r>
      <w:r>
        <w:rPr>
          <w:rStyle w:val="FootnoteAnchor"/>
          <w:rtl w:val="true"/>
        </w:rPr>
        <w:footnoteReference w:id="860"/>
      </w:r>
      <w:r>
        <w:rPr>
          <w:rFonts w:ascii="Amiri" w:hAnsi="Amiri" w:eastAsia="Amiri" w:cs="Amiri"/>
          <w:color w:val="111111"/>
          <w:sz w:val="28"/>
          <w:sz w:val="28"/>
          <w:szCs w:val="28"/>
          <w:rtl w:val="true"/>
          <w:lang w:bidi="ar-SA"/>
        </w:rPr>
        <w:t xml:space="preserve">بنفسه، فالظاهر عدم البطلان، بل الفائدة تسلط المؤجر المالك على فسخ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استوفاها غيره</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 xml:space="preserve">، وعلى تقدير الإجارة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على المستأجر الأول تسليمها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سلمها إليه واستوفى المنفعة، فلا تستقر عليه أُجرةٌ وإن فعل محرماً</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2580655_2870459653"/>
      <w:bookmarkStart w:id="475" w:name="_Toc165"/>
      <w:bookmarkEnd w:id="474"/>
      <w:r>
        <w:rPr>
          <w:rtl w:val="true"/>
        </w:rPr>
        <w:t>حكم الأجير الخاص</w:t>
      </w:r>
      <w:bookmarkEnd w:id="475"/>
    </w:p>
    <w:p>
      <w:pPr>
        <w:pStyle w:val="BookText"/>
        <w:rPr/>
      </w:pPr>
      <w:r>
        <w:rPr>
          <w:rFonts w:ascii="Amiri" w:hAnsi="Amiri" w:eastAsia="Amiri" w:cs="Amiri"/>
          <w:color w:val="111111"/>
          <w:sz w:val="28"/>
          <w:sz w:val="28"/>
          <w:szCs w:val="28"/>
          <w:rtl w:val="true"/>
          <w:lang w:bidi="ar-SA"/>
        </w:rPr>
        <w:t>يجوز إجارة الإنسان نفسه لعمل معين مع قيد المباشرة أو في الذمة، في زمان معين أو مطلقاً، ولكل عمل من غير تعيين مع ضبط المدة،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لأن تعمل لي ما آمرك به مما هو في وسعك،كما يستأجر الدابة للعمل المطلق، والعبد كذلك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والأجير الخاص من هذه الأقسام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xml:space="preserve">هو الذي يؤجر نفسه لمباشرة مطلق العمل </w:t>
      </w:r>
    </w:p>
    <w:p>
      <w:pPr>
        <w:pStyle w:val="BookText"/>
        <w:rPr/>
      </w:pPr>
      <w:r>
        <w:rPr>
          <w:rFonts w:ascii="Amiri" w:hAnsi="Amiri" w:eastAsia="Amiri" w:cs="Amiri"/>
          <w:color w:val="111111"/>
          <w:sz w:val="28"/>
          <w:sz w:val="28"/>
          <w:szCs w:val="28"/>
          <w:rtl w:val="true"/>
          <w:lang w:bidi="ar-SA"/>
        </w:rPr>
        <w:t xml:space="preserve">أو لعمل معين في زمان معين بأن يؤجر نفسه لمباشرة الخياطة أو مباشرة مطلق العمل في زمان معين لا يجوز له أن يعمل لغيره عملاً منافياً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لإكمال</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العمل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الحرمة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العمل الغير المنافي فيجوز،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لو آجر نفسه للخياطة يوماً، وآجر نفسه لتلاوة القرآن عن ظهر القلب في ذلك اليوم، فإنّه يصح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ارتكب المؤجر المحرّم، وعمل لغيره عملاً منافياً، فإمّا أن يعمله بالأُجرة، أو بالجُعل، أو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عمل لغيره بالإجارة، فحيث إنّه قد أتلف على المستأجر بعض المنفعة، فيتسلط المستأجر على فسخ إجارته، فإن فسخها رجع إلى الأجير بالمسمى لو دفعه إليه، أو بباقيه لو عمل له قبل عمل الغير شيئاً من العمل المستأجر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الخيار تبعض الصفقة على المستأجر، أو إتلاف بعض المعوّض قبل قبضه، لأن القبض في العمل هو الفراغ عنه، فإذا أتلف بعض العمل، فقد أتلفه قبل قبضه، فله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ينفسخ بنفسه لأنّ التلف ليس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يفسخ يتخير بين إجازة الإجارة الثانية و ردّها لأنّ المنفعة التي نقلها الأجير إلى المستأجر الثاني ملك ملكٌ للمستأجر الأول، فهو فضولي، فإن أجاز يرجع بالمسمى على المستأجر الثاني؛ لأنّ المنفعة انتقلت إليه، فالأُجرة عليه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إن كان المسمى في الذمة، أو عيناً وهو عند المستأجر الثاني إن لم يقبضه الأجير، وإن قبضه الأجير فإن أجاز المستأجر الأول هذا القبض أيضاً كما أجاز الإجارة رجع إلى الأجير، وإن لم يجز القبض رجع إلى المستأجر الثاني إن كانت الأجرة مطلقة في الذمة، وإن كانت عيناً وتلف عند الأجير تخير في الرجوع على كل منهما لأنه تلف في يد الأجير بقبض غير مأذون، والمستأجر الثاني أيضاً سبب فيرجع تخييراً على السبب أو المباشر، نعم لو رجع إلى السبب رجع هو إلى المباشر وإن </w:t>
      </w:r>
    </w:p>
    <w:p>
      <w:pPr>
        <w:pStyle w:val="BookText"/>
        <w:rPr/>
      </w:pPr>
      <w:r>
        <w:rPr>
          <w:rFonts w:ascii="Amiri" w:hAnsi="Amiri" w:eastAsia="Amiri" w:cs="Amiri"/>
          <w:color w:val="111111"/>
          <w:sz w:val="28"/>
          <w:sz w:val="28"/>
          <w:szCs w:val="28"/>
          <w:rtl w:val="true"/>
          <w:lang w:bidi="ar-SA"/>
        </w:rPr>
        <w:t xml:space="preserve">كانت عيناً سلمه إلى الأجير، فيرجع به إلى الأجير مع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فإلى</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ردّ العقد الثاني، تخير في الرجوع إلى أُجرة مثل العمل الذي فوّته الأجير واستوفاه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بين الرجوع إلى الأجير؛ لأنّه مفوتٌ، وإلى المستأجر؛ لأنّه مستوفٍ، وقد يمنع صدق الاستيفاء والإتلاف على ما إذا عمل الأجير للمستأجر، من غير مدخلية المستأجر في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عمل لغيره بالجعل، فهو كالإجارة، يتخير المالك بين فسخ الجعالة والرجوع إلى أُجرة المثل، وبين إمضائها والرجوع إلى الجعل، كما مرّ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الحكم بتملك المستأجر الأول عمل الحر الذي يعمله للغير، نظراً إلى أنّ الحر وإن صار أجيراً خاصاً لعمل خاص، إلا أنّ المملوك للمستأجر هو العمل في ذمة الأجير، فلا يتشخص من دون نيته، فإذا عمل هذا العمل للغير وبقصد الغير، فليس هذا العمل الشخصي مملوكاً للمستأجر حتى ينفذ في العقد الوارد عليه إجازته وردّه، بخلاف مثل العبد والدابة، ونحوهما، مما تكون المنفعة فيه مملوكة تبعاً للعين، ومن هنا تُضمن منافعهما بالفوات، ولا تضمن منافع الحرّ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الإجارة لما كانت شرعاً موجبةً لتملك المنفعة، فيمكن كون منفعة الحر بالإجارة مملوكةً كمنفعة العبد، وإن كانت مع قطع النظر عن الإجارة لا تجري عليها أحكام الملك في ضمانها بالفوات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المملوك للمستأجر إنّما يتشخص بنية المؤجر، لو سلمت، فإنما تقتضي عدم جواز إجارة المستأجر هذا الأجير من شخص آخر ليعمل له هذا العمل، مع أنّ الظاهر خلافه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يجوز أن يؤجر من استأجر أجيراً للخياطة في يوم معين من غيره ليخيط له، وكذلك لو أجر الأجير نفسه من غير المستأجر الأول ليخيط له، لكن بإذن المستأجر، </w:t>
      </w:r>
    </w:p>
    <w:p>
      <w:pPr>
        <w:pStyle w:val="BookText"/>
        <w:rPr/>
      </w:pPr>
      <w:r>
        <w:rPr>
          <w:rFonts w:ascii="Amiri" w:hAnsi="Amiri" w:eastAsia="Amiri" w:cs="Amiri"/>
          <w:color w:val="111111"/>
          <w:sz w:val="28"/>
          <w:sz w:val="28"/>
          <w:szCs w:val="28"/>
          <w:rtl w:val="true"/>
          <w:lang w:bidi="ar-SA"/>
        </w:rPr>
        <w:t>فكذلك يجوز لا بإذنه مع تعقب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عمل الأجير للغير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عمل للغير تبرعاً، فعن الروضة</w:t>
      </w:r>
      <w:r>
        <w:rPr>
          <w:rStyle w:val="FootnoteAnchor"/>
          <w:rtl w:val="true"/>
        </w:rPr>
        <w:footnoteReference w:id="868"/>
      </w:r>
      <w:r>
        <w:rPr>
          <w:rFonts w:ascii="Amiri" w:hAnsi="Amiri" w:eastAsia="Amiri" w:cs="Amiri"/>
          <w:color w:val="111111"/>
          <w:sz w:val="28"/>
          <w:sz w:val="28"/>
          <w:szCs w:val="28"/>
          <w:rtl w:val="true"/>
          <w:lang w:bidi="ar-SA"/>
        </w:rPr>
        <w:t>أنّ المالك يتخير مع عدم فسخ العقد بين الرجوع إلى العامل الأجير، والمعمول له، بأُجرة مثل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وتنظّر بعض مشايخنا</w:t>
      </w:r>
      <w:r>
        <w:rPr>
          <w:rStyle w:val="FootnoteAnchor"/>
          <w:rtl w:val="true"/>
        </w:rPr>
        <w:footnoteReference w:id="869"/>
      </w:r>
      <w:r>
        <w:rPr>
          <w:rFonts w:ascii="Amiri" w:hAnsi="Amiri" w:eastAsia="Amiri" w:cs="Amiri"/>
          <w:color w:val="111111"/>
          <w:sz w:val="28"/>
          <w:sz w:val="28"/>
          <w:szCs w:val="28"/>
          <w:rtl w:val="true"/>
          <w:lang w:bidi="ar-SA"/>
        </w:rPr>
        <w:t>، بأن المتجه هو الرجوع إلى الأجير خاصة، إذا كان عمله للغير لا بأمر منه، فإنّه لا يزيد على عبد الغير الذي يعمل في مال الغير من دون علم المالك، أو من دون استدعائه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النظر عدم صدق استيفاء المنفعة، ويمكن انسحاب هذا الكلام في الجعالة، حيث إنّ المجعول له لا يستوفي العمل، إذ لم يتسلط عليه، ولم يتسلمه بتسليط الأجير المالك وتسليمه، حتى يكون كالمباشر لإتلافه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العمل إذا صار للغير بأُجرة فهو كالعين الحاصلة بيده الواصلة إليه المتلفة منه، ولهذا يستحق العامل عوضه، فإذا فرض أن العمل كان مال غير العامل فالغير يجوز أن يرجع إليه؛ لأنّه مباشر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باستدعائه لم يكن عليه شيء؛ لأنه لم يستوف العمل، ولا يبعد أن يكون مراد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تبرعاً مع استدعاء المعمول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عمل الأجير لنفسه تعين الرجوع عليه بأُجرة المثل، مع إبقاء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عمل الأجير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بعوض أو بغيره، أو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ذلك العمل المستأجر عليه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عمل غيره فلم يستوف أحد حينئذٍ المنفعة المملوكة للمستأجر، وإنّما أتلفه عليه الأجير فيستحق عليه أُجرة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الأجير قد آجر نفسه لكل منفعة، فحينئذٍ يكون هذا العمل من جملة منافعه المملوكة للمستأجر التي منها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حاز الأجير شيئاً من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قد آجر نفسه لخصوص الحيازة، وإما أن يكون قد آجر نفسه لعمل خاص آخر، وإما أن يكون قد آجر نفسه بجميع 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آجر نفسه لخصوص الحيازة وقلنا بصحة الإجارة لحيازة المباحات</w:t>
      </w:r>
      <w:r>
        <w:rPr>
          <w:rFonts w:eastAsia="Amiri" w:cs="Amiri" w:ascii="Amiri" w:hAnsi="Amiri"/>
          <w:color w:val="111111"/>
          <w:sz w:val="28"/>
          <w:szCs w:val="28"/>
          <w:rtl w:val="true"/>
          <w:lang w:bidi="ar-SA"/>
        </w:rPr>
        <w:t>]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حكى بعض مشايخنا</w:t>
      </w:r>
      <w:r>
        <w:rPr>
          <w:rStyle w:val="FootnoteAnchor"/>
          <w:rtl w:val="true"/>
        </w:rPr>
        <w:footnoteReference w:id="871"/>
      </w:r>
      <w:r>
        <w:rPr>
          <w:rFonts w:ascii="Amiri" w:hAnsi="Amiri" w:eastAsia="Amiri" w:cs="Amiri"/>
          <w:color w:val="111111"/>
          <w:sz w:val="28"/>
          <w:sz w:val="28"/>
          <w:szCs w:val="28"/>
          <w:rtl w:val="true"/>
          <w:lang w:bidi="ar-SA"/>
        </w:rPr>
        <w:t>عن بعض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تخير المستأجر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عمل الأجير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فسخ عقد نفسه وإمضائه، مخيراً بعد الإمضاء بين فسخ العقد الثاني وإمضائه، إنّما هو فيما إذا لم يعمل الأجير له شيئاً من العمل، وأمّا إذا عمل له شيئاً من العمل، ثم عمل للغير بأُجرة أو جعالة أو تبرعاً، فهو بمنزلة غصب الغاصب العين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سلمت إلى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يستحق إلا أُجرة المثل، ولا يتسلط على الفسخ، إذ لا فرق بين أن يكون الغاصب هو المؤجر أو غيره، وهنا قد غصب المؤجر نفسه ومنعه المستأجر بعد أن استوفى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من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ردّ على الشهيدين</w:t>
      </w:r>
      <w:r>
        <w:rPr>
          <w:rStyle w:val="FootnoteAnchor"/>
          <w:rtl w:val="true"/>
        </w:rPr>
        <w:footnoteReference w:id="873"/>
      </w:r>
      <w:r>
        <w:rPr>
          <w:rFonts w:ascii="Amiri" w:hAnsi="Amiri" w:eastAsia="Amiri" w:cs="Amiri"/>
          <w:color w:val="111111"/>
          <w:sz w:val="28"/>
          <w:sz w:val="28"/>
          <w:szCs w:val="28"/>
          <w:rtl w:val="true"/>
          <w:lang w:bidi="ar-SA"/>
        </w:rPr>
        <w:t>وغيرهما</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كما صرح بعض مشايخنا</w:t>
      </w:r>
      <w:r>
        <w:rPr>
          <w:rStyle w:val="FootnoteAnchor"/>
          <w:rtl w:val="true"/>
        </w:rPr>
        <w:footnoteReference w:id="875"/>
      </w:r>
      <w:r>
        <w:rPr>
          <w:rFonts w:ascii="Amiri" w:hAnsi="Amiri" w:eastAsia="Amiri" w:cs="Amiri"/>
          <w:color w:val="111111"/>
          <w:sz w:val="28"/>
          <w:sz w:val="28"/>
          <w:szCs w:val="28"/>
          <w:rtl w:val="true"/>
          <w:lang w:bidi="ar-SA"/>
        </w:rPr>
        <w:t xml:space="preserve">، إن مرادهم من الأجير الخاص هو الحرّ، كما لا يخفى على من لاحظ كلماتهم، ولا شك أن تسليم العمل في إجارة الحر ليس إلا </w:t>
      </w:r>
      <w:bookmarkStart w:id="476" w:name="pg9076_119929"/>
    </w:p>
    <w:p>
      <w:pPr>
        <w:pStyle w:val="BookText"/>
        <w:rPr/>
      </w:pPr>
      <w:bookmarkEnd w:id="476"/>
      <w:r>
        <w:rPr>
          <w:rFonts w:ascii="Amiri" w:hAnsi="Amiri" w:eastAsia="Amiri" w:cs="Amiri"/>
          <w:color w:val="111111"/>
          <w:sz w:val="28"/>
          <w:sz w:val="28"/>
          <w:szCs w:val="28"/>
          <w:rtl w:val="true"/>
          <w:lang w:bidi="ar-SA"/>
        </w:rPr>
        <w:t>إكمال العمل، أو بتسليم نفسه في جميع المدّة، وليس تسليم نفسه في بعض المدة، أو العمل في بعض المدة، إلا كتسليم بعض المبيع، وليس كالعين المملوكة المستأجرة، في تحقق تسليمها بمجرد تسليمها بعد العقد، واستيفاء شيء من منفعتها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 ما ذكره في العبد إذا صار أجيراً خاصاً، وسلمه إلى المستأجر مدة، ثم منعه</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2580657_2870459653"/>
      <w:bookmarkStart w:id="478" w:name="_Toc166"/>
      <w:bookmarkEnd w:id="477"/>
      <w:r>
        <w:rPr>
          <w:rtl w:val="true"/>
        </w:rPr>
        <w:t>وقت استقرار ملكية الأجرة</w:t>
      </w:r>
      <w:bookmarkEnd w:id="478"/>
    </w:p>
    <w:p>
      <w:pPr>
        <w:pStyle w:val="BookText"/>
        <w:rPr/>
      </w:pPr>
      <w:r>
        <w:rPr>
          <w:rFonts w:ascii="Amiri" w:hAnsi="Amiri" w:eastAsia="Amiri" w:cs="Amiri"/>
          <w:color w:val="111111"/>
          <w:sz w:val="28"/>
          <w:sz w:val="28"/>
          <w:szCs w:val="28"/>
          <w:rtl w:val="true"/>
          <w:lang w:bidi="ar-SA"/>
        </w:rPr>
        <w:t>قد عرفت أن العقد موجب لتملك كل من المتعاقدين كلاً من العوضين، إلا أن الأُجرة لا تستقر ملكاً لمؤجر نفسه للعمل إلا بعد الفراغ من العمل، أو بتسليم العين المعمول فيها،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مؤجر العين، كالعبد والدابة للعمل والدار للسكنى، فإذا آجرهما فلا يستقر ملكه على أُجرتهما، إلا إذا سلمهما إلى المستأجر، ومضت مدةٌ يمكن فيها استيفاء المنفعة المعوض عنها، سواء استوفاها المستأجر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الاستيفاء فواضح، وأمّا مع عدمه، فلأنّها فاتت تحت يده بعد قبضها، الحاصل بقبض العين المشتمل عليها، ومضي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يضمن أُجرة المثل لو قبضها في الإجارة الفاسدة، ولم يستوف المنفعة؟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w:t>
      </w:r>
      <w:r>
        <w:rPr>
          <w:rStyle w:val="FootnoteAnchor"/>
          <w:rtl w:val="true"/>
        </w:rPr>
        <w:footnoteReference w:id="876"/>
      </w:r>
      <w:r>
        <w:rPr>
          <w:rFonts w:ascii="Amiri" w:hAnsi="Amiri" w:eastAsia="Amiri" w:cs="Amiri"/>
          <w:color w:val="111111"/>
          <w:sz w:val="28"/>
          <w:sz w:val="28"/>
          <w:szCs w:val="28"/>
          <w:rtl w:val="true"/>
          <w:lang w:bidi="ar-SA"/>
        </w:rPr>
        <w:t>عن التذكرة والتحرير</w:t>
      </w:r>
      <w:r>
        <w:rPr>
          <w:rStyle w:val="FootnoteAnchor"/>
          <w:rtl w:val="true"/>
        </w:rPr>
        <w:footnoteReference w:id="877"/>
      </w:r>
      <w:r>
        <w:rPr>
          <w:rFonts w:ascii="Amiri" w:hAnsi="Amiri" w:eastAsia="Amiri" w:cs="Amiri"/>
          <w:color w:val="111111"/>
          <w:sz w:val="28"/>
          <w:sz w:val="28"/>
          <w:szCs w:val="28"/>
          <w:rtl w:val="true"/>
          <w:lang w:bidi="ar-SA"/>
        </w:rPr>
        <w:t xml:space="preserve">العدم، ولعل وجهه أنّ المنفعة ليست ملكاً له مع </w:t>
      </w:r>
    </w:p>
    <w:p>
      <w:pPr>
        <w:pStyle w:val="BookText"/>
        <w:rPr/>
      </w:pPr>
      <w:r>
        <w:rPr>
          <w:rFonts w:ascii="Amiri" w:hAnsi="Amiri" w:eastAsia="Amiri" w:cs="Amiri"/>
          <w:color w:val="111111"/>
          <w:sz w:val="28"/>
          <w:sz w:val="28"/>
          <w:szCs w:val="28"/>
          <w:rtl w:val="true"/>
          <w:lang w:bidi="ar-SA"/>
        </w:rPr>
        <w:t xml:space="preserve">فرض الفساد حتى يكون تلفه منه، بل ملك للمؤجر فتلفه منه، وهو مخالف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يضمن بصحيحه يضمن بفاسده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وقاعدة 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شمولها للمنفعة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w:t>
      </w:r>
      <w:r>
        <w:rPr>
          <w:rStyle w:val="FootnoteAnchor"/>
          <w:rtl w:val="true"/>
        </w:rPr>
        <w:footnoteReference w:id="878"/>
      </w:r>
      <w:r>
        <w:rPr>
          <w:rFonts w:ascii="Amiri" w:hAnsi="Amiri" w:eastAsia="Amiri" w:cs="Amiri"/>
          <w:color w:val="111111"/>
          <w:sz w:val="28"/>
          <w:sz w:val="28"/>
          <w:szCs w:val="28"/>
          <w:rtl w:val="true"/>
          <w:lang w:bidi="ar-SA"/>
        </w:rPr>
        <w:t xml:space="preserve">عن بعض نسخ الشرائع المقروءة على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وهو أنّه لو سلم العين وكانت مقيدة بمدة لزمت الأُجرة، انتفع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كالدابة والمتاع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في المدة أُجرة المثل، والإجارة على العمل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w:t>
      </w:r>
      <w:r>
        <w:rPr>
          <w:rStyle w:val="FootnoteAnchor"/>
          <w:rtl w:val="true"/>
        </w:rPr>
        <w:footnoteReference w:id="879"/>
      </w:r>
      <w:r>
        <w:rPr>
          <w:rFonts w:ascii="Amiri" w:hAnsi="Amiri" w:eastAsia="Amiri" w:cs="Amiri"/>
          <w:color w:val="111111"/>
          <w:sz w:val="28"/>
          <w:sz w:val="28"/>
          <w:szCs w:val="28"/>
          <w:rtl w:val="true"/>
          <w:lang w:bidi="ar-SA"/>
        </w:rPr>
        <w:t xml:space="preserve">عن الشيخ التفصيل في استقرار الأُجرة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عدم الاستيفاء بين المعينة، فتستقر، وبين المطلقة، فلا تستقر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العين المعينة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المهذب البارع</w:t>
      </w:r>
      <w:r>
        <w:rPr>
          <w:rStyle w:val="FootnoteAnchor"/>
          <w:rtl w:val="true"/>
        </w:rPr>
        <w:footnoteReference w:id="881"/>
      </w:r>
      <w:r>
        <w:rPr>
          <w:rFonts w:ascii="Amiri" w:hAnsi="Amiri" w:eastAsia="Amiri" w:cs="Amiri"/>
          <w:color w:val="111111"/>
          <w:sz w:val="28"/>
          <w:sz w:val="28"/>
          <w:szCs w:val="28"/>
          <w:rtl w:val="true"/>
          <w:lang w:bidi="ar-SA"/>
        </w:rPr>
        <w:t>الفرق بين المعينة بوقت، والمعلقة بالذمة، فتستقر في الأول دون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ثالث</w:t>
      </w:r>
      <w:r>
        <w:rPr>
          <w:rStyle w:val="FootnoteAnchor"/>
          <w:rtl w:val="true"/>
        </w:rPr>
        <w:footnoteReference w:id="882"/>
      </w:r>
      <w:r>
        <w:rPr>
          <w:rFonts w:ascii="Amiri" w:hAnsi="Amiri" w:eastAsia="Amiri" w:cs="Amiri"/>
          <w:color w:val="111111"/>
          <w:sz w:val="28"/>
          <w:sz w:val="28"/>
          <w:szCs w:val="28"/>
          <w:rtl w:val="true"/>
          <w:lang w:bidi="ar-SA"/>
        </w:rPr>
        <w:t>الفرق بين الحر والعبد، فلا يستقر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لما صرحوا به من أنّه لو استأجر شخصاً لقلع ضرسه، فبذل نفسه، فلم يستوف منه المنفعة، استقرت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قبض العين المستأجرة، ما لو بذلها المؤجر ولم يقبلها المستأجر حتى مضت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هنا أجرة مثل مع فرض فساد الإجارة، لعدم القبض</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يستشكل ذلك في غير العين الشخصية المقيدة بزمان، بأنّ الحال فيه، كدفع المديون الدين، بأنّ في صورة الامتناع يقوم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479" w:name="pg9076_119931"/>
    </w:p>
    <w:p>
      <w:pPr>
        <w:pStyle w:val="BookText"/>
        <w:rPr/>
      </w:pPr>
      <w:bookmarkEnd w:id="479"/>
      <w:r>
        <w:rPr>
          <w:rFonts w:ascii="Amiri" w:hAnsi="Amiri" w:eastAsia="Amiri" w:cs="Amiri"/>
          <w:color w:val="111111"/>
          <w:sz w:val="28"/>
          <w:sz w:val="28"/>
          <w:szCs w:val="28"/>
          <w:rtl w:val="true"/>
          <w:lang w:bidi="ar-SA"/>
        </w:rPr>
        <w:t>وقد يدفع الإشكال بعموم الأدلة، وبأن القبض الذي تدور عليه هذه الأحكام عبارة عن التخلية، التي قد فرض حصولها، فلا يحتاج حينئذٍ إلى الحاكم لصدق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Style w:val="FootnoteAnchor"/>
          <w:rtl w:val="true"/>
        </w:rPr>
        <w:footnoteReference w:id="884"/>
      </w:r>
      <w:r>
        <w:rPr>
          <w:rFonts w:ascii="Amiri" w:hAnsi="Amiri" w:eastAsia="Amiri" w:cs="Amiri"/>
          <w:color w:val="111111"/>
          <w:sz w:val="28"/>
          <w:sz w:val="28"/>
          <w:szCs w:val="28"/>
          <w:rtl w:val="true"/>
          <w:lang w:bidi="ar-SA"/>
        </w:rPr>
        <w:t>، أن المقبوض هنا ليس نفس الحق حتى يقبضه، بل القبض لتحصيل الحق واستيفائه، والحاكم لا يستوفي الحق من العين، بل قبض الحق الذي هو استيفاؤه من العين مختص بالمستأجر، فإذا امتنع، فقد فاتت عليه</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2580659_2870459653"/>
      <w:bookmarkStart w:id="481" w:name="_Toc167"/>
      <w:bookmarkEnd w:id="480"/>
      <w:r>
        <w:rPr>
          <w:rtl w:val="true"/>
        </w:rPr>
        <w:t>حكم تلف العين المستأجرة قبل قبض المستأجر</w:t>
      </w:r>
      <w:bookmarkEnd w:id="481"/>
    </w:p>
    <w:p>
      <w:pPr>
        <w:pStyle w:val="BookText"/>
        <w:rPr/>
      </w:pPr>
      <w:r>
        <w:rPr>
          <w:rFonts w:ascii="Amiri" w:hAnsi="Amiri" w:eastAsia="Amiri" w:cs="Amiri"/>
          <w:color w:val="111111"/>
          <w:sz w:val="28"/>
          <w:sz w:val="28"/>
          <w:szCs w:val="28"/>
          <w:rtl w:val="true"/>
          <w:lang w:bidi="ar-SA"/>
        </w:rPr>
        <w:t xml:space="preserve">لو تلفت العين المستأجرة قبل قبض المستأجر انفسخت الإجارة، إن كان التلف بآفة من الله تعالى، بلا خلاف يحكى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w:t>
      </w:r>
      <w:r>
        <w:rPr>
          <w:rStyle w:val="FootnoteAnchor"/>
          <w:rtl w:val="true"/>
        </w:rPr>
        <w:footnoteReference w:id="885"/>
      </w:r>
      <w:r>
        <w:rPr>
          <w:rFonts w:ascii="Amiri" w:hAnsi="Amiri" w:eastAsia="Amiri" w:cs="Amiri"/>
          <w:color w:val="111111"/>
          <w:sz w:val="28"/>
          <w:sz w:val="28"/>
          <w:szCs w:val="28"/>
          <w:rtl w:val="true"/>
          <w:lang w:bidi="ar-SA"/>
        </w:rPr>
        <w:t>بأن مبنى أمثال هذه العقود على المعاوضة الشرعية والعرفية، التي هي بمعنى تبديل سلطنة بسلطنة، بل لعل ذلك من مقوماتها فتعذره يقتضي انتفاءها، لكن ذلك مقتضٍ لكون التلف موجباً للفسخ من أصله كما حكي</w:t>
      </w:r>
      <w:r>
        <w:rPr>
          <w:rStyle w:val="FootnoteAnchor"/>
          <w:rtl w:val="true"/>
        </w:rPr>
        <w:footnoteReference w:id="886"/>
      </w:r>
      <w:r>
        <w:rPr>
          <w:rFonts w:ascii="Amiri" w:hAnsi="Amiri" w:eastAsia="Amiri" w:cs="Amiri"/>
          <w:color w:val="111111"/>
          <w:sz w:val="28"/>
          <w:sz w:val="28"/>
          <w:szCs w:val="28"/>
          <w:rtl w:val="true"/>
          <w:lang w:bidi="ar-SA"/>
        </w:rPr>
        <w:t>عن العلامة، لا من حينه كما يحكى</w:t>
      </w:r>
      <w:r>
        <w:rPr>
          <w:rStyle w:val="FootnoteAnchor"/>
          <w:rtl w:val="true"/>
        </w:rPr>
        <w:footnoteReference w:id="887"/>
      </w:r>
      <w:r>
        <w:rPr>
          <w:rFonts w:ascii="Amiri" w:hAnsi="Amiri" w:eastAsia="Amiri" w:cs="Amiri"/>
          <w:color w:val="111111"/>
          <w:sz w:val="28"/>
          <w:sz w:val="28"/>
          <w:szCs w:val="28"/>
          <w:rtl w:val="true"/>
          <w:lang w:bidi="ar-SA"/>
        </w:rPr>
        <w:t>عن الأكثر،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التقابض، الذي هو مقتضى المعاوضة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إمكانها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صحة المعاوضة، واستدامة الإمكان إلى حصول الفعل شرطٌ في الاستدامة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وظاهرهم اتحاد الحكم هنا وفي البيع في أحكام هذه المسألة، من أن التلف إن كان من المستأجر فهو بمنزلة قبض المنفعة، بل يضمن العين إن أتلفها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المؤجر أو منعه حتى انقضت المدة أو منعه ظالم، تخير بين الابقاء والرجوع إلى المتلف بأُجرة مثل المنفعة، وبين الفسخ والرجوع إلى الأُجرة لو دفعها، </w:t>
      </w:r>
      <w:bookmarkStart w:id="482" w:name="pg9076_119932"/>
    </w:p>
    <w:p>
      <w:pPr>
        <w:pStyle w:val="BookText"/>
        <w:rPr/>
      </w:pPr>
      <w:bookmarkEnd w:id="482"/>
      <w:r>
        <w:rPr>
          <w:rFonts w:ascii="IRNazanin" w:hAnsi="IRNazanin" w:eastAsia="IRNazanin"/>
          <w:color w:val="111111"/>
          <w:sz w:val="28"/>
          <w:sz w:val="28"/>
          <w:szCs w:val="28"/>
          <w:rtl w:val="true"/>
          <w:lang w:bidi="fa-IR"/>
        </w:rPr>
        <w:t>وعلل</w:t>
      </w:r>
      <w:r>
        <w:rPr>
          <w:rStyle w:val="FootnoteAnchor"/>
          <w:rtl w:val="true"/>
        </w:rPr>
        <w:footnoteReference w:id="888"/>
      </w:r>
      <w:r>
        <w:rPr>
          <w:rFonts w:ascii="Amiri" w:hAnsi="Amiri" w:eastAsia="Amiri" w:cs="Amiri"/>
          <w:color w:val="111111"/>
          <w:sz w:val="28"/>
          <w:sz w:val="28"/>
          <w:szCs w:val="28"/>
          <w:rtl w:val="true"/>
          <w:lang w:bidi="ar-SA"/>
        </w:rPr>
        <w:t>الخيار هنا، بأن المعاوضة الحقيقية وإن تعذرت، إلا أن القيمة لما استقرت على المتلف، فيمكن المعاوضة، باعتبار ثبوت بدل التالف، بخلاف ما لو كان التلف من الله، فإنّه لا تستقر قيمته هنا على أحد، فلا بدل للمنفعة حتى تقع المعاوضة المجازية عليه، بعد تعذر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تلف العين ما لو غصبها غاصب بعد القبض وقبل استيفاء المنفعة بلا فاصلة، لأن المعوض هي المنفعة، وقبض العين ليس قبضاً للمنفعة مع عدم مضي زمان استيفاء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قبضها واستوفى منها شيئاً، أو مضت مدة يمكن استيفاء شيء منها في مثل الدار المستأجرة لسكنى سنة مثلاً، أو العبد المستأجر لعمل يوم، ولم يستوف العمل إلى أن مضى بعض المدة، فغصبه غاصب، أو تجدد فسخ الإجارة بسبب من أسبابه، صح فيما مضى، وبطل في الباقي، فيرجع من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دفعها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التخلف</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2580661_2870459653"/>
      <w:bookmarkStart w:id="484" w:name="_Toc168"/>
      <w:bookmarkEnd w:id="483"/>
      <w:r>
        <w:rPr>
          <w:rtl w:val="true"/>
        </w:rPr>
        <w:t>حكم آلات الركوب على الدابة المستأجرة</w:t>
      </w:r>
      <w:bookmarkEnd w:id="484"/>
    </w:p>
    <w:p>
      <w:pPr>
        <w:pStyle w:val="BookText"/>
        <w:rPr/>
      </w:pPr>
      <w:r>
        <w:rPr>
          <w:rFonts w:ascii="Amiri" w:hAnsi="Amiri" w:eastAsia="Amiri" w:cs="Amiri"/>
          <w:color w:val="111111"/>
          <w:sz w:val="28"/>
          <w:sz w:val="28"/>
          <w:szCs w:val="28"/>
          <w:rtl w:val="true"/>
          <w:lang w:bidi="ar-SA"/>
        </w:rPr>
        <w:t>ما يلزم على مؤجر الدابة من الآلات التي يتوقف عليها الركوب ونحوها مما جرت العادة بكونها على المؤجر، الظاهر أن المستأجر إنّما يستحقها عليه بمحض الوجوب، فلا تقابل بشيء من الأجرة لو أخل المؤجر بها، مع استيفاء المنفعة المقصودة، ولا خيار أيضاً للمستأجر مع إخلال المؤجر بها، مع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تقسط الأُجرة عليها، حتى يكون للمستأجر الخيار للتبعيض، فضعيف؛ لأنّ الأُجرة إنّما هي في مقابلة المشروط، ومثل هذا الكلام جار فيما يدخل في المبيع تبعاً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ما وجدناه بخطه الشريف رضوان الله عليه</w:t>
      </w:r>
      <w:r>
        <w:rPr>
          <w:rFonts w:eastAsia="Amiri" w:cs="Amiri" w:ascii="Amiri" w:hAnsi="Amiri"/>
          <w:color w:val="111111"/>
          <w:sz w:val="28"/>
          <w:szCs w:val="28"/>
          <w:rtl w:val="true"/>
          <w:lang w:bidi="ar-SA"/>
        </w:rPr>
        <w:t xml:space="preserve">]. </w:t>
      </w:r>
      <w:bookmarkStart w:id="485" w:name="pg9076_119933"/>
    </w:p>
    <w:p>
      <w:pPr>
        <w:pStyle w:val="Heading3"/>
        <w:numPr>
          <w:ilvl w:val="2"/>
          <w:numId w:val="1"/>
        </w:numPr>
        <w:rPr/>
      </w:pPr>
      <w:bookmarkStart w:id="486" w:name="__RefHeading___Toc2580663_2870459653"/>
      <w:bookmarkStart w:id="487" w:name="_Toc169"/>
      <w:bookmarkEnd w:id="485"/>
      <w:bookmarkEnd w:id="486"/>
      <w:r>
        <w:rPr>
          <w:rtl w:val="true"/>
        </w:rPr>
        <w:t>المصادر والمراجع</w:t>
      </w:r>
      <w:bookmarkEnd w:id="4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الاذهان الى احكام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الحسن بن يوسف بن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لجامعة مدرسي الحوزة في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الاحكام الشرعية على مذهب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الحلي الحسن بن يوسف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الحسن بن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ﮪ الطبعة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للطباعة والنشر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وسائل الشيعة الى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الرائع لمختصر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بن عبد 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اية الله المرعشي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في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الكركي علي بن الحسين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التابعة لجامعة مدرسي الحوزة في قم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التابعة لجامعة مدرسي الحوزة في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زين الدين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المسائل في تحقيق الاحكام بالدلائل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 بن محمد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الحاوي لتحرير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ادريس الحلي محمد بن منصور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لجامعة مدرسي الحوزة في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الاسلام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اسماعيليان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النزوع الى علمي الاصول والفروع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زهرة الحلبي حمزة بن علي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الاحكام في معرفة الحلال والحرام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w:t>
      </w:r>
    </w:p>
    <w:p>
      <w:pPr>
        <w:pStyle w:val="BookText"/>
        <w:rPr/>
      </w:pPr>
      <w:r>
        <w:rPr>
          <w:rFonts w:ascii="Amiri" w:hAnsi="Amiri" w:eastAsia="Amiri" w:cs="Amiri"/>
          <w:color w:val="111111"/>
          <w:sz w:val="28"/>
          <w:sz w:val="28"/>
          <w:szCs w:val="28"/>
          <w:rtl w:val="true"/>
          <w:lang w:bidi="ar-SA"/>
        </w:rPr>
        <w:t>التابعة لجامعة مدرسي الحوزة في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الصلاح الحلبي تقي الدين بن نجم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لجامعة مدرسي الحوزة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في حل مشكلات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عميد الدين بن محمد العميدي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لجامعة مدرسي الحوزة في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الدمشقية في فقه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الاول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الرضوية لإحياء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لجامعة مدرسي الحوزة في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المراسم العلوية والأحكام النبوية في الفقه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العزيز سلار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الحرمين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الافهام الى تنقيح 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زين الدين بن علي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في شرح 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جواد بن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لجامعة مدرسي الحوزة في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لجامعة مدرسي الحوزة في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لجامعة مدرسي الحوزة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الى نيل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حمزة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23/211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تهذيب الأحكام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تثيب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الصحيح</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روايتان أخريان في سندهما ضعفٌ هما رواية إبراهيم بن ميمون ورواية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مسائل علي بن جعفر ومستدركاتها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معتبرة صفوان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ويكون ذلك برضاها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في التشريك لا ظاهر فيه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 كتاب الزكاة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 الشيعة وأصولهم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اصول الفقه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مرسلة أبي سعيد القماط لسانها أعمّ من الزواج المنقطع، وكون المراد منها ذلك إنّما هو حمل لها عليه، لا أنّه موردها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خصوصيات السؤال والجواب تدلّنا على أنّ موردها المتعة خاصّة، فإنّ قوله في السؤال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تدعوني إلى نفسها سرّاً من أبويها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في أنها كانت تدعوه إلى التمتّع بها لأنّها كانت تهدف إلى قضاء وطرها منه سرّاً من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تتم هذه السريّة عادةً في الزواج 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أقل من احتمال انكشاف أمرها لو تقدّم إليها خاطب وامتنع الزوج من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رضيت فإنّه عار على الأبكار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في أن مورد السؤال هو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ما هو عار على الأبكار إنما هو افتضاضهن في الزواج المنقطع، لا في الدائم، كما دلّت عليه صحيحة زياد ابن أبي الحلال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أن يتمتّع البكر ما لم يفض إليها كراهية العيب على أهلها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بابي سعيد هو خالد بن سعيد الذي وثّقه النجاشي بقرينة كون الراوي عنه محمد ابن سنان فإنه من رواة كتّابه، وأمّا صالح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الموثّق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وإن كان يكنّى أيضاً بأبي سعيد كما ذكره النجاشي الا أنه لم ترد رواية محمد بن سنان عنه فلاحظ</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تعارض بين الطائفتين لإمكان الجمع العرفي بعد أن كانت الطائفة الأولى مشروطة بعدم الدخول و الطائفة الثانية مطلقة من هذه الجهة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المناقشة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عدم توثيق علي بن إسماعيل الميثمي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الرجال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 الفقهية في شرح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الموضوعي لنهج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 على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لأعمال الأبرار في فقه الإمام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 على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إلى تحصيل مسائل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لإحياء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إلى تحصيل مسائل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لإحياء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الله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من لا يحضره الفقيه –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تنظيم برزكر بفروبي ط أولى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مط تكي –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الدية في قتل العمد والخطأ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العقوبات القسم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العقوبات القسم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العقوبات القسم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العقوبات القسم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العقوبات القسم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زفت إلى رجل من دون العقد الشرعي جهلاً بالحكم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في شرح الكفاية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الأصولية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حسين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بالمسامحة في ذلك ما يقابل النظر الدقيق العقلي وليس ما يقابل النظر الدقيق العرفي كما هو واضح بملاحظة سياقه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وسائل الإنجاب الصناعية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شرح مناسك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مقام البيع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الأصولية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عبد الكريم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في أصول الفقه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شرح مناسك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حسين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تفاصيل أكثر عن هذه الأقوال وغيرها في تعليقه الوحيد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وتوضيح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علي 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وتكملة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النبي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الكجوري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الحادية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خبر الواحد من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الاستدلال على حجية خبر الواحد بالسيرة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تفاصيل أكثر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الأخبار التي دلت على اعتبار أخبار الآحاد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206/591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w:t>
      </w:r>
      <w:r>
        <w:rPr>
          <w:rFonts w:eastAsia="IRNazanin" w:cs="IRNazanin"/>
          <w:b w:val="false"/>
          <w:bCs w:val="false"/>
          <w:i w:val="false"/>
          <w:iCs w:val="false"/>
          <w:color w:val="333333"/>
          <w:sz w:val="20"/>
          <w:szCs w:val="20"/>
        </w:rPr>
        <w:t>424/6110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أحد الأعلام المتأخرين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العلامة المجدد الوحيد البهبهاني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11/304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أُحيل على تنقيح المقال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تنقيح المقال على الحجر بثلاثة أجزاء وكانت سنة طباعة الجزء الأول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نفس سنة الفراغ من الجزء الثاني من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ﻫ والثالث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ﻫ أي بعد وفاة مؤلفه بسنة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 والإرشاد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المبيدي وموسويان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441/705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599/1050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10/370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القرائن التي تدل على صحة اخبار الآحاد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وحكم المراسيل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الفصل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623/1094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599/1050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561/989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185/490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332/894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 عن عمر بن عبد العزيز، في ثنايا ترجمة أبان بن تغلب وتعليقة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إبراهيم بن إسحاق الأحمري النهاوندي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14/455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الإيضاح للمراد من الأجلاء مستفاد من ملاحظة تراجم رجال عُدوا في كلمات السيد الحكيم من جملتهم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117/302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221/580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حديثه عمن لا يروي إلا عن ثقة، والتنقيح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مطهرّية الشمس</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156/391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توقيعات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 عن الحسين بن روح</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أبي العلاء، 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 بن عبد الله السجستاني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الوحيد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ايضاً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الكجوري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408/5940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409/5945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420/6073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441/6301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449/6386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مقدمة فهرست الشيخ ورقم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439/6273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ابن عبد الرحمن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348/939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ابراهيم بن هاشم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مرار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الوقوع في سند محكوم بالصحة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نسبة الفتاوى إلى الأبواب الفقهية راعينا كتاب المقنع للصدوق فمثلاً باب النوادر لم يتضح لنا وجود هكذا باب في الرسالة ولكننا ذكرناه فيها تبعاً للمقنع ويؤيده وجوده في الفقه الرضوي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اللمعات النيرة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الأخبار الدخيلة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الحاشية على مدارك الأحكام للوحيد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الطهارة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الأعظم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القبيل ما نسبه الشهيد إلى ابني بابويه والمفيد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تأخير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إذا تعمد المكلف التأخير إلى ما بعد الزوال تسقط ويأثم ولكن بالرجوع إلى الرسالة تجد خلافه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موارد عديدة مماثله نبهنا عليها في مواردها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فُقدت عدَّة أوراق من وسط المخطوطة –من بداية تكبيرة الإحرام إلى صلاة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وفتاوى هذا الباب تناسب ذلك المقدار المفقود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شرائع الإسلام التي نشرناها في العدد السابق من هذه المجلة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ابني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مفاده التنقيح الرائع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ذلك علي بن الحسين بن بابويه وسمعناه من الشيوخ مذاكرة ولم أعرف به خبراً مسنداً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اختلف الشيخان في التكبيرات في الصلوات الخمس فالمفيد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أربعاً وتسعين تكبيرة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جعفر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خمساً وتسعين تكبيرة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وبالأول أفتى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رفع اليدين عند الانتصاب من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واختاره الصدوقان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اليدين عند رفع الرأس من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أقف على قائل باستحبابه الا ابني بابويه وصاحب الفاخر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أوجب ابن البراج التسبيح فيهما – يقصد الركوع والسجود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من كلام ابني بابويه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بحول الله وقوته أقوم وأقعد وأركع وأسجد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ذكره علي بن بابويه وولده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القول يقوله عند الأخذ بالقيام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اسجد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اسجد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شيء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علي بن بابويه يحفر حفيرة ذو الدمل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بجبهته علّة تمنعه من السجود سجد على قرنه الأيمن من 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عجز فعلى قرنه الأيسر من 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عجز فعلى ظهر كفه فإن عجز فعلى ذقنه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دخل وقت الصلاة فسافر والوقت باقٍ قصّر على الأشهر، وكذا لو دخل من سفره أتم مع بقاء الوقت، والمصنف اعتبر حال الأداء في دخوله وخروجه، وبه قال المفيد وعلي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ومفاده في 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يكون قد فاتك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عليه ما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فأما إذا لم يصلِّ لا في منزله ولا لمّا خرج إلى السفر وفاته أداء الصلاة فالواجب عليه قضاؤها بحسب حاله عند دخول أول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مذهب الشيخ أبي جعفر الطوسي وابن بابويه في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ما في 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ظاهر كلام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هو التعبير المذكور في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 أكثر علمائنا كالشيخين وابني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المسافر إذا نوى إقامة عشرة أيام في بلد الغربة أتمّ، وإن لم ينوِ قصر إلى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المسافة أربعة فراسخ وكان راجعاً من يومه قصّر واجباً، وإن كان من غده فهو مخير بين التقصير والاتمام، وهو قول ابني بابويه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قصد أربعة فراسخ ولم يرد الرجوع في يومه تخيّر في التقصير والإتمام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الصدوقين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ومفاده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ابني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أردت أن تصلّي 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بالإيماء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اعلم 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ليس في المقنع</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نحوه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يقطع الصلاة ما يبطل الطهارة ولو سهواً، وبه قال الخمسة وأتباعهم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ذكرت أنك على غير 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وأعد صلاتك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مع تأخير صدر العبارة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أفضلية التسبيح للإمام والمأموم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ظاهر ابني بابويه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وسبّح في الأخيرتين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من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 الواجب عنده تسع تسبيحات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والينابيع الفقهية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المقنع عن الرسالة كما في المتن، وقال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 في الأخراوين إماماً كنت أو غير إمام،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والحمد لله ولا اله إلا الله والله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 وفي الثالثة الله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تكبر وتركع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نقله موجود في 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المقنع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اعلم يا بني ان اولى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وتركع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مع اختلاف عما في الفقيه نبّهت على المهم منه، وما بعده مقاطع يحتمل أنها من الرسالة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كنت في صلاة 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مع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 مع اختلاف غير مضر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صلّيت أربع ركعات وقام الإمام إلى رابعته فقم معه وتشهّد من قيام وسلّم من قيام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تصلِّ خلف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من 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إمامة المتم للمقصّر ولا 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ابنا بابويه الحائط عن يساره كافياً في التسليمتين للمأموم فلا بأس باتباعهما لأنهما جليلان لا يقولان إلا عن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الروضة البهية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استدراك على المخطوطة فقد حصلت على شواهد تثبت أن بقية المقاطع هي لعلي بن بابويه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 كما سبق في القسم الأول من الرسالة – انتهت نسخه الأصل المعتمدة في التحقيق</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 الصدوقين في الرسالة والمقنع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النوافل فيه إذا قدمت على الزوال أو أخرت عن المكتوبة فهي ست عشرة ركعة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استطعت أن تصلي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 تقديمها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ومضمونه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ابني بابويه، وقال في 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 وابنه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الأولى تأخير النوافل إلى الزوال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الثانية من الغداة المنافقين واختاره علي بن بابويه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يجب قراءة السورتين، أي الجمعة والمنافقين في الجمعة؟ قال المرتضى في المصباح وأبو الصلاح وابنا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وتجب الإعادة للصلاة مع الإخلال بهما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استطعت أن تصلي يوم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قلّم أظافرك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ولكن في 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يقرأ في الاولى مع الحمد الشمس، وفي الثانية معها الغاشية وبه قال علي 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 نحوه فی الفقه الرضوی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فی الثانیة خیر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علي بن بابويه فإنه ذهب إلى تقديم التكبيرات على القراءة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التكبير والقنوت في الثانية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ابني بابويه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يكبّر في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ابني بابويه، وورد خلافه فی الفقه الرضوی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مفاده في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بتسليمة واحدة، ولم أعثر علی مورد مشابه له فی الفقه الرضوی فلاحظ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وقال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يجعلها بتسليمة وابن الجنيد بتسليمتين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أعثر علی مورد مشابه له فی الفقه الرضوی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بعض أصحابنا وهو ابن بابويه في رسالته في دبر الست صلوات المذكورات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ويقصد المغرب والعشاء والفجر وصلاة العيد والظهر والعصر من يوم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 نحوه فی الفقه الرضوی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الكسوف واجبة عند الزلازل، والرياح العظيمة، والظلمة العارضة، والحمرة الشديدة، وغير ذلك من الآيات التي تظهر في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وابنا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ذهبا إلى ما قاله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مفاده في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الرضوی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وابنا بابويه أوجبا القضاء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سواء احترق القرص كله أم بعضه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انكسفت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وأنظر الفقه الرضوی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الشيخان وابنا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باستحباب الإعادة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الرضوی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ابنا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يصلّيها في وقت فريضة حتى يصلّي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 مثله فی الفقه الرضوی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والشيخ في النهاية أطلق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بدأ بصلاة الكسوف وقد دخل عليه وقت فريضة قطعها وصلّى الفريضة ثم رجع فتمم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ابنا بابويه وابن البرّاج مثل قول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احترق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ابني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ومفاده في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وابنا بابويه يصلّي مع احتراق القرص فرادى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والصدوقان نفيا الجماعة في غير الموعب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شئت حسبتها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المشهور أنه يستحب العشر بعد السجدة الثانية قبل القيام الى الركعة الثانية، وكذا في الثالثة قبل القيام في الرابعة، ذهب إليه الشيخان والسيد المرتضى وابنا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قمت من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الوتر بما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نحوه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ومفاده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يقوم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بتسليمة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من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قول العلامة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 أبي عقيل وصف صلاة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يصلي الإمام بالأولى ركعة ويتم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تأتي الأخرى فيصلي بهم الثانية ويتمون ركعة أخرى ويسلّم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يفصّل الى سفر أو 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يريد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المفيد وابنا بابويه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بابويه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صلِّ عليه وسأبيّن الصلاة على الجنازة في باب الصلاة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ضمن مجلة دراسات علمية العدد التجريبي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وكبر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أيدي الرجال قال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والأصحاب بأجمعهم يذكرون ذلك ويقصد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كيفية الصلاة كابني بابويه والجعفي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يقف عند رأس الرجل وعند صدر المرأة، وبه قال علي بن بابويه، ولكن نقل التنقيع الرائع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علي بن بابويه عند الصدر رجلاً كان الميت أوامرأة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اتفق الكل على استحباب الرفع في التكبير الأول واختلف في الباقي فقال علي بن بابويه بالرفع في الكل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فقدم المرأة الى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تصلِّ على الجنائز بنعل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اعلم – يا بني – إن 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غاصب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واخلع خفيك ونعليك ولا بأس بالخف إن كان تقية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كانت لك – يا بني –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وأعطاني مسألتي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مع الاختصار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بني وإذا فزعت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مجموعة الجباعي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نزل بك مهم أو أصابك غم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حزبك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مجموعة الجباعي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كنت مجهوداً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وفرج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مجموعة الجباعي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بصيامه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ابني بابويه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نوى صوم يوم الشك من شهر رمضان من غير أمارة من رؤية أو خبر مَن ظاهره العدالة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صام بنية الفرض روى أصحابنا أنه لا يجزئه واختاره السيد المرتضى وابنا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استفاده من قول علي بن بابويه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ونهينا أن ينفرد الرجل بصيامه في اليوم الذي يشك فيه الناس</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ونقل بعضه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الجدير بالذكر أنّ الموردين قد انفرد بنقلهما ابن إدريس في السرائر، وقد شكك العلامة في المختلف في بعض ما نقله ابن إدريس عن رسالة ابن بابويه، ومن تلك الموارد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مفاده 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إن تعمّد البقاء على الجنابة من غير عذر في ليل شهر رمضان إلى الصباح موجب للقضاء والكفارة، ذهب إليه الشيخان وعلي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مفاده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ونقل مفاده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والتذكرة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الصيد للتجارة وجب عليه التقصير في الصوم والتمام في الصلاة وهو اختيار المفيد وعلي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ومفاده في كشف الرموز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والده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بابويه في رسالته يجوز صوم جزاء الصيد في السفر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واستثنى علي بن بابويه في رسالته وابنه محمد في مقنعه الصوم في كفارة صيد المحرم، وصوم كفارة الإحلال من الإحرام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إشارة إلى بدل الهدي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كان به أذى من رأسه وصوم الاعتكاف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ابنا بابويه لا يصوم في السفر تطوعاً ولا فرضاً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واستثنيا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التطوع صوم ثلاثة أيام للحاجة في مسجد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وصوم الاعتكاف في المساجد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الدراسات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استحب ابنا بابويه صوم الاعتكاف نفلاً في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وظاهر علي بن بابويه وجوب الفدية وسقوط القضاء عن حامل تخاف على ولدها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لم يتهيأ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ونقل مفاده عن الرسالة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أن كفارة إفطار يوم من شهر رمضان عتق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صيام شهرين متتابعين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إطعام ستين مسكيناً مخيّراً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وابنا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ومفاده في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الرموز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بالخيار إن شئت قضيت متتابعاً وإن شئت قضيت متفرقاً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مستفاد من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قضيت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قضيت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عن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الأبحاث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مثل ما على من أفطر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في الرسالة وولده في المقنع، وما في المتن مقطع واحد فصّل بينهما العلامة في المختلف، ويدل عليه وحدة الموضوع وما في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الرسالة سقوط القضاء في المورد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والتنقيح الرائع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الأبحاث</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شهري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السرائر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 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عن المختلف بطبعتيه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مرض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ويقضي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السرائر عن 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أشرنا إليه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يؤخذ بالصيام إذا بلغ تسع 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ابني بابويه، والإضافة من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لحاجة السياق إلى ذلك</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مثله في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صام ثلاثة أيام ولاءً فلا يأخذه بصيام الشهر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ثبت هذا الذيل يكون من موارد المخالفة مع الرسالة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ومفاده في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بابويه والشيخان وابن أبي عقيل إن أفضل ما يخرج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الابحاث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ابنا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تعطي ما يلزم الواحد 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مفاده في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مفاده في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ظاهر ابني بابويه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ونقل في المختلف مقاطع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الشهيد في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ابنا بابويه والمفيد تسقط ويأثم إن تعمّد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تعمد تأخيرها بعد الزوال، ولكن الموجود في المقنعة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أخرّها إلى بعد الصلاة فقد فاته الوقت وخرجت عن كونها زكاة الفرض إلى الصدقة والتطوع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موافق لما في الرسالة فلاحظ</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البيان للشهيد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زادت واحدة ففيها 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ابني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للشهيد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 بالقول النادر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ابني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ما نُقل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يختلف عمّا ذكره الشهيد في خصوص النصاب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ثلاثمائة وواحدة فأربع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فلاحظ</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هذه إحدى موارد المخالفة تضاف إلى عشرات الموارد التي ذكرناها في الدراسة عن الرسالة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التمتع فرض من ليس من أهل مكة وحاضريها، وهو ممن لا يكون بمكة أو يكون بينه وبينها ثمانية وأربعون ميلاً، وكذا قال ابنا بابويه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صرّح بذلك الفقيه محمد بن علي بن بابويه في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 حاضري المسجد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مكة وحواليها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ثمانية وأربعين 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أبوه علي بن بابويه في رسالته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ابنا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لهم التمتع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ويقصد حاضري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مفاده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الصدوقين، وما في المتن من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نحوه في 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المتن مستفاد من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المشهور أن الإحرام من ذات عرق مختاراً سائغ لكن الأفضل المسلخ وأدون منه غمرة، وكلام الشيخ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يشعر بأنه لا يجوز التأخير إلى ذات عرق إلا للعليل أو 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وظاهر علي بن بابويه والشيخ في النهاية أن التأخير إلى ذات عرق للتقية أو المرض</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ابنا بابويه ثم يلبي سراً بالتلبية الأربعة المفروضة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المهذب البارع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خمس وهو قول الصدوقين والقديمين والمفيد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والملاحظ أن التلبيات في الفقه الرضوي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فتكون هذه من موارد المخالفة بين الرسالة والفقه الرضوي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 اللّهم لبيك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شريك لك 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قال علي بن بابويه في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اتق في إحرامك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والده، ونقل مقاطع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مفاده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عن علي بن بابويه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حكم كفارة صيد حمار الوحش</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الثعلب والأرنب وأوجب علي بن بابويه فيهما شاة شاة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المفيد فإن صاد ظبياً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أيام وكذا قال السيد المرتضى والصدوق في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وشيخنا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وكرر هنا قدر الإطعام وهو مدّ لكل مسكين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شيخنا علي بن بابويه والمفيد وسلار يتصدق بشيء لو كسر قرنه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ولكن في غاية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وأوجب علي بن بابويه في القرنين الصدقة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العينين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أعثر على من نسب حكم العينين لعلي بن بابويه غيره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رمى الصيد فأدماه أو كسر يده أو رجله ثم رآه بعد ذلك صحيحاً كان عليه ربع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يتصدق بشيء</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وذهب علي بن بابويه إلى أن في الطائر جميعه دم شاة، ما عدا النعامة فإن فيها جزوراً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في كفارة قتل النعامة إذا لم يجد البدنة إطعام ستين مسكيناً لكل مسكين نصف صاع، وقال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مسكين مدّ من طعام وكذا قال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العلامة بصدد بيان بدلية كفارة قتل النعامة وهي الإطعام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بصدد بيان ما هي كفارة الصيد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 الصيد نعامة فعليك بدنة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فيكون هذا أيضاً من موارد المخالفة مع الرسالة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طبعة جماعة المدرسين من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ولكنه موجود في الطبعة نفسها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طبعته الأخرى موجودٌ في الموردين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مفاده نزهة الناظر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الصدوقين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وقال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علي بن بابويه في رسالته إلى أن في الطائر جميعه دم شاة ما عدا النعامة فإن فيها جزوراً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حكم الطير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ونقل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مفاده عن الرسالة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ذلك علي بن الحسين بن بابويه في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 به حديثاً مسنداً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واعترض العلامة على نقل ابن إدريس في السرائر عن الرسالة في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ابن ادريس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أكلت جرادةً فعليك دمُ شاةٍ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قتل زنبوراً تصدق بكف من طعام، وهو قول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ومفاده عن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 أيضاً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وكل ما أتيته من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وكل ما أتيته من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النحر بمنى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طاف بالبيت فلم يدر ستاً طاف أو سبعاً فليطف طوافاً آخر يستيقن أنه طاف سبعاً، وبالثاني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قول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علي بن بابويه وأبو الصلاح وهو قول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شك في النقيصة بطل مطلقاً، وقال علي بن بابويه وجماعة بنى على الأقل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زاد على السبع شوطاً ناسياً 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 إليها ستة أشواط أخر، وصلى معها أربع ركعات، يصلي اثنين منها عند الفراغ من الطواف لطواف الفريضة ويمضي إلى الصفا ويسعى فإذا فرغ عاد فصلى ركعتين أخراوين، وبه قال علي 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يكمل أسبوعين والثاني منهما هو الفريضة عند ابن الجنيد وعلي بن بابويه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يجوز أن يصلي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ركعتي طواف النساء عن ابني بابويه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حاضت المرأة في أثناء الطواف قطعته، وانصرفت، فإن كان ما طافت أكثر من النصف بنت عليه إذا طهرت، وإن كان أقل استأنفت، وهو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واختاره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ولابنه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أيضاً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مفاده 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ولكنها موجودة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ومتى لم يطف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باختلاف أشرنا إليه، ونقل مفاده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كان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وأوجب علي بن بابويه والشيخ قطعها عند الزوال لكل 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ابنا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مخير يقطع أي موضع أراد، كعبة كان أو 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أن ذلك جمعاً بين رواية محمد بن عذافر ورواية عمر بن يزيد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بلغ الهدي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ابني بابويه ويدل عليه أيضاً ما نقله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بأس بمواقعة النساء لأنه مصدود وليس كالمحصور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وأوجب علي بن بابويه وابنه على المتمتع بالعمرة يفوته الموقفان العمرةَ ودم شاة ولم يذكرا أيضا طواف النساء</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 أن رجلاً حبسه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ويلحق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ونقل صدره وذيله 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حكم الإفاضة من عرفات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ابني بابويه، ولكنه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إلى ابني بابويه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خرج من المشعر قبل طلوع الفجر عامداً مختاراً لم يبطل حجه ووجب عليه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سميت مزدلفة جمعاً لأنه يجمع فيها المغرب والعشاء بأذان واحد وإقامتين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وما قبله وما بعده زيادة –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اقتضاها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ما في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 أنك إذا رميت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وتغسل لزيارة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ويدل عليه قول العلامة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يستحب لمن أراد الزيارة والطواف أن يغتسل، ويكفيه غسل النهار ليومه وغسل الليل لليلته ما لم ينم أو ينقض الوضوء، فإن نقض الوضوء بحدث أو نوم أعاد الغسل استحباباً ذهب إليه الشيخ وعلي بن بابويه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وجدت الثمن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الفقيه تجزي البقرة عن خمسة إذا كانوا أهل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المختلف وليس في المقنع</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وتجزي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بني 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وما بعده مقاطع لم تتضح أنها للصدوق أم لأبيه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 ظاهر ابني بابويه المنع من الرمي بعد الزوال، ولكن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علي بن بابويه يجوز من أول النهار إلى الزوال، وروي رخصة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رويت رخصة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 بعد أن اتفق مع المختلف بما قبل القوس، وأشار الى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موافق للمشهور إلا في موقف الدعاء</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استحباب المنقطة الكحلية، قاله الشيخان وابنا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جهلت ورميت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وانظر الرسائل العشر لابن فهد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 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الجباعي في مجموعته في الورقة الأخيرة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ونقل مفاده 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ابني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الصدوقين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القرناء من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في فرجها مانع يمنع من سلوك الذكر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بغدّة غليظة أو لحمة مرتفقة أو عظم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 مدور يخرج بالفرج والعفل لا يكون إلا في الأبكار ولا يصيب المرأة إلا بعدما تلد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داء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بياض يقع في الجسد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 بابويه في الرسالة لم يذكر الجذام والرتق، وزاد 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 في المقنع لم يذكر الرتق والإفضاء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بعد أن عدّ العيوب التي ترد بسببها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لو 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مركزالدراسات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نزهة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وجوب الكفارة على الزوج بوطء الحائض روايتان أحوطهما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الوجوب، وهو مذهب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وابنا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الصدوق في المقنع وأبوه في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يقعد الرجل في ماء بارد فإن استرخى ذكره فهو عنين، وإن تشنج فليس بعنين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وأشار إليه في 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اختلفا في الإصابة وادعاها وأنكرت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ثيباً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اليمين وعليها البيّنة، لأنّها مدعية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أن العنّين يجب عليه نصف المهر مع فسخ المرأة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نصّ عليه الصدوق في المقنع وأبوه، والشيخ في النهاية وغيرها، وليس هنا فسخ من قبل الزوجة يستعقب شيئاً من المهر سوى هذا، والأصل فيه إشرافه على محارمها وخلوته بها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لمختصر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النشوز فهو ارتفاع أحد الزوجين عن طاعة صاحبه فيما يجب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علي بن بابويه في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صريحة في كون النشوز يكون من كل واحد من الزوجين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الأبحاث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وإيضاح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اختيار علي بن بابويه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الصدوق في المقنع وأبوه في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يختار الرجل رجلاً والمرأة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الأبحاث</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ونقل مفاده عن الرسالة في 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في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ظاهر علي بن بابويه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فرق في الجنون المتجدد بين الطارئ على العقد أو الوطء</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يا بني أن أصل التخيير هو أن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مقالة قالتها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وعوالي اللئالي ورسائل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يقع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يقع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الأبحاث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وكذا 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الصبية التي لا تبلغ تسع سنين والآيسة من المحيض ومثلها لا تحيض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بلغت خمسين سنة، وفي القرشية والنبطية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عدّة عليهما من الطلاق بعد الدخول وهو اختيار الشيخ علي بن بابويه وابنه الصدوق في 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مذهب الصدوقين، وإيضاح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مذهب ابني بابويه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 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وكذا 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والتنقيح الرائع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ابني بابويه، ولكن ما نقل في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الصدوقين يختلف عن بقية المصادر فلينظر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وفي 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جميعاً عن الرسالة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بلغ 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لم يذكر تحديد العمر عن علي بن بابويه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والتنقيح الرائع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مفاده عن علي بن بابويه ولكن مع الغبطة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وانظر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طلقها سقطت عنه الكفارة، فإن راجعها وجبت عليه، فإن نكحت زوجاً غيره وطلقها الزوج فقضت العدّة، وعادت إلى زوجها الأول بنكاح مستقل حلّت له، ولم تلزمه الكفارة على ما كان منه في الظهار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قال الصدوق وأبوه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والكفارة 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يطيق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بعض مقاطعه 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أن سبب اللعان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قذف الزوجة بالزنا مع ادعاء المشاهدة ونفي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الشيخين وعلي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علماؤنا فی المرأة حال تلفظ الرجل بالشهادات واللعن هل تکون قائمة أو قاعدة؟ قال الشیخ فی المبسوط بالثانی، و هو الظاهر من کلام الصدوق وأبیه رحمهما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فی ایضاح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 علي بن بابويه في رسالته في المباراة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أن يأخذ منها دون الصداق الذي أعطاها، وليس له أن يأخذ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مفاده عن ابني بابويه في تلخيص 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للصيمري، 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وصية والده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هي الرسالة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تجارتك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وصية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مقاطع من المحتمل أنها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لكنني لم أعثر على شواهد تؤيد ذلك</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خيار الحيوان، وهو ثلاثة أيام للمشتري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الشيخان وابنا بابويه وسلار إلى أن هذا الخيار للمشتري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للشيخين وسلار والصدوق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ولده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نسبه في كشف الرموز لابني بابويه محل تأمل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كان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وكذا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مع اختلاف يسير، ونقل مفاده في 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علي بن بابويه لو ظفر به في الحرم لم تجز مطالبته إلا أن يكون قد أدانه في الحرم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مرّ الإنسان بالثمرة جاز له أن يأكل منها قدر كفايته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يحمل منها شيئاً على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قال علي بن بابويه وابنه في 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مفاده عن علي ابن بابويه 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غاية المراد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بأس 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والوالدة لا يجوز لها أن تأخذ من مال ولدها شيئاً إلا على سبيل القرض على نفسها، وتبعه ابن البرّاج وهو قول علي 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يثبت بين المسلم وأهل الذمة؟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المفيد والسيد المرتضى وابنا بابويه لا 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الربا، وكذا 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وغاية المراد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الربا يجري في المكيل والموزون مع اتفاق الجنسين بالإجماع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يثبت في المعدود؟ قال في الخلاف لا يثبت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ابني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ما في غاية المراد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ابني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اختلف الجنس فلا بأس ببيع الواحد بالإثنين من المكيل والموزون على العموم والإطلاق من سائر المكيلات والموزونات، ولم يستثنوا من ذلك إلا الدنانير والدراهم في بيع النسيئة فحسب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شيخنا ابن بابويه في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مقاطع لم يظهر كونه منها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كان قد أنفق بالمعروف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قبله اقتضاه السياق، 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الصدوقان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أنفقه في المعصية طولب وإن كان معسراً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تحرير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دفع آخر كفناً ثانياً قال ابن بابويه في الرسالة يكون للورثة دون الديّان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لم يخلف الميت إلا مقدار ما يكفّن به، سقط الدين وكفّن بما خلّف حسب ما قدمناه، فإن تبرع إنسان بتكفينه، كان ما خلّف للديّان دون الورثة، فإن تبرّع عليه آخر بكفن آخر كان للورثة دون الديّان؛ لأن الديّان لا يستحقون إلا ما خلّفه الميت وهذا ما خلفه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المسألة ذكرها شيخنا ابن بابويه في رسالته وأطلق القول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كان لك 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مجموعة الجباعي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وانظر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اللقطة لقطتان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بعض مقاطعه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بعضه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وقال في 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علي بن بابويه في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والأفضل له ترك لقطة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في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اعلم 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ويدفع المال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 أن رجلاً ادعى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عن الرسالة باختلافٍ أشرنا إليه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شهد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تزول أقدامهما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عند علمائنا أنه إذا حضر خصمان عند الحاكم وتداعيا مع كل منهما على صاحبه تقدّم دعوى من يكون على يمين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الشيخ في النهاية، والمفيد في المقنعة، والشيخ علي بن بابويه في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ابني بابويه المنع من قبول شهادتهن في الطلاق</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وتقبل 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وتقبل في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ونقل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مفاده عن ظاهر الصدوقين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وتقبل في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شهادة الأجير وبه قال ابنا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مفاده 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عن الصدوقين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الشيخان لا تقبل شهادة الابن على الأب وبه قال ابنا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كثير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بابويه،، ونقل مفاده 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ظاهر الصدوقين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علي بن بابويه توبته أن يقف في الموضع الذي قال فيه ما قال فيكذّب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ما في 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أيضاً، 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 أنهما حضرا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بطلت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وتقبل شهادة الثاني ويطرح إنكار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ما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جميعاً عن الرسالة، وكنز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شفعة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ابني بابويه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شفعة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ابني بابويه، وانظر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فالحضور مع السكوت يدلّ على الرضا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مسقطاً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 المباركة قلّما تقع إلا عن التراضي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الشيخين وابني بابويه وأتباعهم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الابحاث والدراسات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وأبيه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إليه في غاية المراد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ابني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وروي كفارة 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كفارة 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غاية المراد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ظاهر علي بن بابويه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ونصّ على التعميم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يدفع إلى كل مسكين مدّين في سائر الكفارات، وقال الصدوق وأبوه لكل مسكين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إجزاء المدّ هو مذهب ابني بابويه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اختار أن يكفّر بكسوة فعليه أن يكسو عشرة 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وأقل الكسوة ثوب واحد، وقد روى أصحابنا ثوبين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رجل ثوبان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أبوه لكل رجل 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غاية المراد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ابن أبي عقيل وابني بابويه أنه يؤكل صيده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منه أم لم يأكل ليس مشهوراً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مفاده الدروس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الصدوقين، وانظر المقنع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والفقه الرضوي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رميته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صيدت سمكة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مفاده 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عن علي بن بابويه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السمك يشبه الحيّة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ويسمى بالفارسيه مارماهي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الجري لغة في الجريث من السمك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كان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ونقل مفاده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ابني بابويه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جعلت سمكة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غاية المراد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وجد لحم وجهلت ذكاته فهل إلى تمييزه طريق؟ قال الأصحاب كابني بابويه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يختبر بالإلقاء على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انقبض فهو ذكي وإن انبسط فهو 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بين المعقوفين مستفاد من المختلف</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اللواط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العلامة في المختلف عن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أوقب فهو الكفر بالله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هو المناسب لموضع التلف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كما وصفناه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ومقصوده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الدبر فهو الكفر بالله العظيم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اثبتناه اقتضاه السياق</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تلف وما اثبتناه مستفاد من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قبّل الرجل غلاما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ينسبه إلى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قال بعده بأسطر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ألفاظ الأخبار عن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التحريم من ذلك ما يكون بالشهوة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ذلك ابن بابويه في رسالته وقيّده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الأخير أورده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واللواط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بحرمة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مجموعة الجباعي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الورقة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تحرير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يصلب اللائط يوم القيامة على شفير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يفرغ الله من حساب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يلقيه في النار فيعذبه بطبقة طبقة حتى ير إلى أسفلها ولا يخرج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وحرمة الدبر أعظم من حرمة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عز وجل أهلك أمَّةً لحرمة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يُهلِك أحداً لحرمة الفرج</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 المملوك في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أيضاً قول شيخنا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 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نقل في 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ابني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يقتل في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اشتباه منه قطعاً؛ لأنه نسب القول به الى الشيخ والمفيد والسيد المرتضى وابني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وبالرجوع إلى كلماتهم تجد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لبعضهم رأيان في المسألة كالشيخ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العلامة في المختلف عنه ذلك</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الذي وجب عليه الرجم قد قامت عليه به البيّنة كان أول من يرجمه الشهود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قال شيخنا المفيد وعلى بن بابويه والصدوق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فرّ المقر قبل إصابة الحجارة أعيد وإلا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من كلام علي بن بابويه في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افتض بكرا بإصبعه 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الصدوقان عليه الحد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تأكل على 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لكل أهلاً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الجباعي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ومرسلاً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بقي في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الجباعي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والأخرى مثلها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ليس في المقنع ولعله سقط</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المقنع وليس في الفقيه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أصل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صب فيه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وصية والده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في مجموعة الجباعي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وأدّي إليك 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الجباعي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مع تقديم وتأخير بعض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وبعدها مباشرة مقطع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يا بني إن شارب الخمر كعابد الوثن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اعلم إن أصل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باختلاف عن المقنع ومجموعة الجباعي أشرنا اليه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باس بالصلاة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أشرنا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بأس بأن يصلي في ثوب فيه 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الصولجان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يعقف طرفها يضرب بها الكرة على الدواب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واجتنب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الجباعي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أوصى بجزء من ماله للشيخ 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قاله في كتاب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علي بن بابويه وابنه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أوصى بسهم من ماله للشيخ 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الخلاف والمبسوط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السدس، وبه قال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أوصى بحج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هو الصحيح الموافق للمقنع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الأبحاث</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شاء جعله لإمام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الأبحاث</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أوصى بماله كله فهو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ويلزم الوصي انفاذه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المورد على من لا وارث له ولا عصبة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أوصى بالثلث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أوصى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ومفاده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ظاهر علي بن بابويه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أوصى لمملوكه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وأشار إلى مفاده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مفاده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 وآخرين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ترك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ونقل في التنقيح الرائع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مذهب علي بن بابويه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اجتمع الخال والعم كان للخال الثلث وللعم الثلثان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 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مفاده 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ابني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ترك أخوات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المفيد وابنا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يحجب الأخوة للأب لأنهم عياله وعليه نفقتهم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 الشيخ ميراث ابن الملاعنة لأمه خاصّة دون بيت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وأبوه في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فذهب الشيخان وابنا بابويه وأبو الصلاح وأتباعهم إلى أن ولد الولد، يقوم مقام والده يأخذ نصيبه، ابناً كان أو بنتاً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 أنّه لا يتوارث أهل 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ذمياً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مات رجل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فيورثها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مفاده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والتنقيح الرائع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عن علي بن بابويه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مات رجل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لورثة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إلى إحليله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قبله اقتضاه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أن أخوين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مفاده في 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عن ظاهر كلام ابني بابويه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اكتحلت 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ألقاك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المقنع عن الرسالة</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أردت أخذ المشط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المقنع عن الرسالة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أخذت في 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المقنع عن الرسالة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أردت أخذ المشط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مع تغيير وهو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امر المشط على صدرك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امسح وجهك بماء الورد فإنه روي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أخذ في حاجة ومسح وجهه بماء الورد لم يرهق وجهه قتر ولا 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في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نحوه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خرجت من منزلك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الجباعي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لبست يا بني ثوبا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مقاطع من المحتمل أنّها من الرسالة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الجباعي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الجباعي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الجباعي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مصدر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مصادقة الإخوان للصدوق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ذيلها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 عند شروطهم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وما ينعقد من النكاح من ذلك وما لا ينعقد، وفي لفظ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 عند شروطهم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باب الشرط في النكاح وما يجوز منه وما لا يجوز،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استصحاب بقاء ملكية المستأجر للمنفعة وملكية المؤجر للأجرة عند الشك في نفوذ الفسخ</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الرجل يتكارى البيت و السفينة،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وأورده عنه في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إشارة إلى أنّ للحديث تكملة لكن المصدر خالٍ منها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3654</w:t>
      </w:r>
      <w:r>
        <w:rPr>
          <w:rFonts w:ascii="IRNazanin" w:hAnsi="IRNazanin" w:eastAsia="IRNazanin"/>
          <w:b w:val="false"/>
          <w:b w:val="false"/>
          <w:bCs w:val="false"/>
          <w:i w:val="false"/>
          <w:i w:val="false"/>
          <w:iCs w:val="false"/>
          <w:color w:val="333333"/>
          <w:sz w:val="20"/>
          <w:sz w:val="20"/>
          <w:szCs w:val="20"/>
          <w:rtl w:val="true"/>
        </w:rPr>
        <w:t xml:space="preserve">، وأورده عنه في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وأورده في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النذر والعهد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تفسير العياشي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الوقف والصدقة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وحكاه في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غير مقروء في الأصل، وما أثبتناه مضافاً إلى أنّه مما يقتضيه السياق مذكور في عبارة أخرى شطب عليها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استبدلها بالمقطع المذكور في أعلاه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سهو القلم، والصحيح ما أثبتناه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الديلمي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بين الأصحاب</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ابراهيم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قلب من سهو القلم فإن ما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ابراهيم بن محمد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يؤاجر أرضاً ثم يبيعها قبل انقضاء الأجل،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عنه في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الطباطبائي بحر العلوم في المصابيح على ما حكي عنه في الجواهر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يستقيم معه المعنى</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وحكاه في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لم يرد في الأصل ويقتضيه السياق</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ويقتضيه السياق</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وحكاه في كنز الفوائد في حل مشكلات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وحكاه في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الوقف والصدقة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لم يرد في الأصل ويقتضيه السياق</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ضمان العارية والوديعة،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الوديعة،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باب أداء الامانة،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 وجوب أداء الأمانة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وحكاه في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 وهو الإسكافي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،باب الرجل يكتري الدابة فيجاوز بها الحد،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المختصر النافع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وأورده عنه في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وقد حكاه عنه في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شطب عليه في الأصل، والسياق يقتضيه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27:217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إضافة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أنها حشو</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يكون له على غيره مال فيجحده، أو لا يدفعه إليه مع وجوبه، فله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الاستقلال بأخذه من ماله قهراً من جنس حقه إن وجده، و إلا فمن غيره بالقيمة، مخيراً بين بيعه من غيره، و من نفسه وقد اختلفوا في أنه هل يضمنه لو تلف في يده بلا تعد ولا تفريط قبل البيع أو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ليس في الأصل ويقتضيه السياق</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،باب كراهة استعمال الأجير قبل مقاطعته على أجرته،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وقد أورده عنه في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27:221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xml:space="preserve">، وحكاه في رياض المسائل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لم يتيسر قراءتها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الرجل يكتري الدابة فيجاوز بها الحد،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غير واضحة والمناسب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ومآله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،باب كراهة استعمال الأجير قبل مقاطعته على أجرته،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عنه في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بدلاً 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هو الكلام في الحكم التكليفي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هذا هو الكلام في التكليف المستفاد من أدلة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استحقاق المطالبة من أحدهما في مقام لم يجب على الآخر البذل لخوف امتناع صاحبه أو بادعاء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المصنف قدس سره غفل عن الشطب عليه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تقابض العوضين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حشو</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ومقصوده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كراهة استعمال الأجير قبل مقاطعته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وقد أورده عنه في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يجف عرقه حتى تعطيه أجرته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الصحيح ما أثبتناه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يقتصر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والأنسب ما أثبتناه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وحكاه في جواهر الكلام </w:t>
      </w:r>
      <w:r>
        <w:rPr>
          <w:rFonts w:eastAsia="IRNazanin" w:cs="IRNazanin"/>
          <w:b w:val="false"/>
          <w:bCs w:val="false"/>
          <w:i w:val="false"/>
          <w:iCs w:val="false"/>
          <w:color w:val="333333"/>
          <w:sz w:val="20"/>
          <w:szCs w:val="20"/>
        </w:rPr>
        <w:t>27:239</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وجدناه في المبسوط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ومحكيه في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ينافي ما في المتن اذ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تضمينه إياه غير معمول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وحكاه في مفتاح الكرامة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وتقتضيه المقابلة مع ما سيأتي من الصورة الثانية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الثاني في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عن حواشي الشهيد، ولكنها لا توجد لدينا، ونقله الشهيد الثاني أيضا في المسالك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قدس سره تحته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هاتين القاعدتين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ومنشأ ما في الأصل هو أنه قدس سره أضاف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العبارة لاحقاً وغفل عن إصلاحها بموجب هذه الإضافة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 على وفق الهامش المتقدم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الرجل يكتري الدابة فيجاوز بها الحد،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وقد أورده عنه في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وحكاه في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القتل من كتاب الديات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وأورده عنه في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القتل ظلماً من أبواب القصاص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ولكن يقتضيه السياق</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أولى</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الثاني في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عن حواشي الشهيد، ونقله الشهيد الثاني أيضا في المسالك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حسن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حكاه في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حكاه في مفتاح الكرامة </w:t>
      </w:r>
      <w:r>
        <w:rPr>
          <w:rFonts w:eastAsia="IRNazanin" w:cs="IRNazanin"/>
          <w:b w:val="false"/>
          <w:bCs w:val="false"/>
          <w:i w:val="false"/>
          <w:iCs w:val="false"/>
          <w:color w:val="333333"/>
          <w:sz w:val="20"/>
          <w:szCs w:val="20"/>
        </w:rPr>
        <w:t>19:441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ولكن يقتضيه السياق</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إضافة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حشو</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مسلطون على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 الشيخ في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 ولكن لم نعثر عليه في المصادر الروائية لدى الفريقين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الرجل يكتري الدابة فيجاوز بها الحد،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وقد أورده عنه في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والبرهان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استيفاؤه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ويقتضيه السياق</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ويقتضيه السياق</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ولكن يقتضيه السياق</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ما أثبتناه هو الصحيح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ويقتضيه السياق</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ومقصوده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تحته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ومقصوده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والمقصود ببعض مشايخه صاحب مفتاح الكرامة، لاحظ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على ما نقله عنه في مفتاح الكرامة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الحواشي المنسوبة إلى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أنها الحاشية النجارية ولم أجدها في المطبوع 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لكنه لم يكن جازماً بعدم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كان هذا في إجارة فاسدة إذا عرضها على المستأجر فلم يأخذها لم يكن عليه أجرة لأنها لم تتلف تحت يده و لا في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قبضها و مضت المدة أو مدة يمكن استيفاء المنفعة فيها احتمل أن لا يكون عليه شي‌ء وبه قال أبو حنيفة لأنه عقد فاسد على منافع لم يستوفها فلم يلزمه عوضاً كالنكاح الفاسد، وأن يكون عليه أُجرة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الشافعي؛ لأن المنافع تلفت تحت يده بعوض لم يسلم له فرجع الى قيمتها كما لو استوفاها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التحرير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 هذه العبارة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وحكاه في المسالك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ويقتضيه السياق</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ويقتضيه السياق</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إضافة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حشو</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image" Target="media/image3.jpeg"/><Relationship Id="rId314" Type="http://schemas.openxmlformats.org/officeDocument/2006/relationships/image" Target="media/image3.jpeg"/><Relationship Id="rId315" Type="http://schemas.openxmlformats.org/officeDocument/2006/relationships/footer" Target="footer308.xml"/><Relationship Id="rId316" Type="http://schemas.openxmlformats.org/officeDocument/2006/relationships/image" Target="media/image4.jpeg"/><Relationship Id="rId317" Type="http://schemas.openxmlformats.org/officeDocument/2006/relationships/image" Target="media/image4.jpeg"/><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image" Target="media/image2.jpeg"/><Relationship Id="rId371" Type="http://schemas.openxmlformats.org/officeDocument/2006/relationships/image" Target="media/image2.jpeg"/><Relationship Id="rId372" Type="http://schemas.openxmlformats.org/officeDocument/2006/relationships/footer" Target="footer361.xml"/><Relationship Id="rId373" Type="http://schemas.openxmlformats.org/officeDocument/2006/relationships/footnotes" Target="footnotes.xml"/><Relationship Id="rId374" Type="http://schemas.openxmlformats.org/officeDocument/2006/relationships/numbering" Target="numbering.xml"/><Relationship Id="rId375" Type="http://schemas.openxmlformats.org/officeDocument/2006/relationships/fontTable" Target="fontTable.xml"/><Relationship Id="rId376" Type="http://schemas.openxmlformats.org/officeDocument/2006/relationships/settings" Target="settings.xml"/><Relationship Id="rId3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67436</Words>
  <Characters>302860</Characters>
  <CharactersWithSpaces>367666</CharactersWithSpaces>
  <Paragraphs>3009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2026-08-20T08:59:48Z</dcterms:created>
  <dc:creator>ghaemiyeh.com</dc:creator>
  <dc:description/>
  <dc:language>en-US</dc:language>
  <cp:lastModifiedBy/>
  <dcterms:modified xsi:type="dcterms:W3CDTF">2026-08-20T12:30:00Z</dcterms:modified>
  <cp:revision>1</cp:revision>
  <dc:subject/>
  <dc:title>دراسات علمیة - 4 مجلة تعنى بالأبحاث التخصصیة فی الحوزة العلمیة</dc:title>
</cp:coreProperties>
</file>

<file path=docProps/custom.xml><?xml version="1.0" encoding="utf-8"?>
<Properties xmlns="http://schemas.openxmlformats.org/officeDocument/2006/custom-properties" xmlns:vt="http://schemas.openxmlformats.org/officeDocument/2006/docPropsVTypes"/>
</file>