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نتائج الأفکار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1303_2870459653">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2001305_2870459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001307_2870459653">
            <w:r>
              <w:rPr>
                <w:webHidden/>
                <w:rStyle w:val="IndexLink"/>
                <w:rtl w:val="true"/>
              </w:rPr>
              <w:t>مقدمة المرکز</w:t>
            </w:r>
            <w:r>
              <w:rPr>
                <w:rStyle w:val="IndexLink"/>
                <w:rtl w:val="true"/>
              </w:rPr>
              <w:tab/>
            </w:r>
            <w:r>
              <w:rPr>
                <w:rStyle w:val="IndexLink"/>
              </w:rPr>
              <w:t>16</w:t>
            </w:r>
          </w:hyperlink>
        </w:p>
        <w:p>
          <w:pPr>
            <w:pStyle w:val="Contents2"/>
            <w:tabs>
              <w:tab w:val="clear" w:pos="8743"/>
              <w:tab w:val="right" w:pos="9026" w:leader="dot"/>
            </w:tabs>
            <w:rPr/>
          </w:pPr>
          <w:hyperlink w:anchor="__RefHeading___Toc2001309_2870459653">
            <w:r>
              <w:rPr>
                <w:webHidden/>
                <w:rStyle w:val="IndexLink"/>
                <w:rtl w:val="true"/>
              </w:rPr>
              <w:t>مقدمة التحقیق</w:t>
            </w:r>
            <w:r>
              <w:rPr>
                <w:rStyle w:val="IndexLink"/>
                <w:rtl w:val="true"/>
              </w:rPr>
              <w:tab/>
            </w:r>
            <w:r>
              <w:rPr>
                <w:rStyle w:val="IndexLink"/>
              </w:rPr>
              <w:t>24</w:t>
            </w:r>
          </w:hyperlink>
        </w:p>
        <w:p>
          <w:pPr>
            <w:pStyle w:val="Contents2"/>
            <w:tabs>
              <w:tab w:val="clear" w:pos="8743"/>
              <w:tab w:val="right" w:pos="9026" w:leader="dot"/>
            </w:tabs>
            <w:rPr/>
          </w:pPr>
          <w:hyperlink w:anchor="__RefHeading___Toc2001311_2870459653">
            <w:r>
              <w:rPr>
                <w:webHidden/>
                <w:rStyle w:val="IndexLink"/>
                <w:rtl w:val="true"/>
              </w:rPr>
              <w:t>مقدمة المصنّف</w:t>
            </w:r>
            <w:r>
              <w:rPr>
                <w:rStyle w:val="IndexLink"/>
                <w:rtl w:val="true"/>
              </w:rPr>
              <w:t>:</w:t>
              <w:tab/>
            </w:r>
            <w:r>
              <w:rPr>
                <w:rStyle w:val="IndexLink"/>
              </w:rPr>
              <w:t>68</w:t>
            </w:r>
          </w:hyperlink>
        </w:p>
        <w:p>
          <w:pPr>
            <w:pStyle w:val="Contents2"/>
            <w:tabs>
              <w:tab w:val="clear" w:pos="8743"/>
              <w:tab w:val="right" w:pos="9026" w:leader="dot"/>
            </w:tabs>
            <w:rPr/>
          </w:pPr>
          <w:hyperlink w:anchor="__RefHeading___Toc2001313_2870459653">
            <w:r>
              <w:rPr>
                <w:webHidden/>
                <w:rStyle w:val="IndexLink"/>
                <w:rtl w:val="true"/>
              </w:rPr>
              <w:t>اما المقدمة</w:t>
            </w:r>
            <w:r>
              <w:rPr>
                <w:rStyle w:val="IndexLink"/>
                <w:rtl w:val="true"/>
              </w:rPr>
              <w:tab/>
            </w:r>
            <w:r>
              <w:rPr>
                <w:rStyle w:val="IndexLink"/>
              </w:rPr>
              <w:t>70</w:t>
            </w:r>
          </w:hyperlink>
        </w:p>
        <w:p>
          <w:pPr>
            <w:pStyle w:val="Contents3"/>
            <w:tabs>
              <w:tab w:val="clear" w:pos="8459"/>
              <w:tab w:val="right" w:pos="9026" w:leader="dot"/>
            </w:tabs>
            <w:rPr/>
          </w:pPr>
          <w:hyperlink w:anchor="__RefHeading___Toc2001315_2870459653">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2001317_2870459653">
            <w:r>
              <w:rPr>
                <w:webHidden/>
                <w:rStyle w:val="IndexLink"/>
                <w:rtl w:val="true"/>
              </w:rPr>
              <w:t>[</w:t>
            </w:r>
            <w:r>
              <w:rPr>
                <w:rStyle w:val="IndexLink"/>
                <w:rtl w:val="true"/>
              </w:rPr>
              <w:t>في تعريف العلم وفائدته وموضوعه</w:t>
            </w:r>
            <w:r>
              <w:rPr>
                <w:rStyle w:val="IndexLink"/>
                <w:rtl w:val="true"/>
              </w:rPr>
              <w:t>]</w:t>
              <w:tab/>
            </w:r>
            <w:r>
              <w:rPr>
                <w:rStyle w:val="IndexLink"/>
              </w:rPr>
              <w:t>70</w:t>
            </w:r>
          </w:hyperlink>
        </w:p>
        <w:p>
          <w:pPr>
            <w:pStyle w:val="Contents3"/>
            <w:tabs>
              <w:tab w:val="clear" w:pos="8459"/>
              <w:tab w:val="right" w:pos="9026" w:leader="dot"/>
            </w:tabs>
            <w:rPr/>
          </w:pPr>
          <w:hyperlink w:anchor="__RefHeading___Toc2001319_2870459653">
            <w:r>
              <w:rPr>
                <w:webHidden/>
                <w:rStyle w:val="IndexLink"/>
                <w:rtl w:val="true"/>
              </w:rPr>
              <w:t>[</w:t>
            </w:r>
            <w:r>
              <w:rPr>
                <w:rStyle w:val="IndexLink"/>
                <w:rtl w:val="true"/>
              </w:rPr>
              <w:t>معنى الأصل</w:t>
            </w:r>
            <w:r>
              <w:rPr>
                <w:rStyle w:val="IndexLink"/>
                <w:rtl w:val="true"/>
              </w:rPr>
              <w:t>]</w:t>
              <w:tab/>
            </w:r>
            <w:r>
              <w:rPr>
                <w:rStyle w:val="IndexLink"/>
              </w:rPr>
              <w:t>70</w:t>
            </w:r>
          </w:hyperlink>
        </w:p>
        <w:p>
          <w:pPr>
            <w:pStyle w:val="Contents3"/>
            <w:tabs>
              <w:tab w:val="clear" w:pos="8459"/>
              <w:tab w:val="right" w:pos="9026" w:leader="dot"/>
            </w:tabs>
            <w:rPr/>
          </w:pPr>
          <w:hyperlink w:anchor="__RefHeading___Toc2001321_2870459653">
            <w:r>
              <w:rPr>
                <w:webHidden/>
                <w:rStyle w:val="IndexLink"/>
                <w:rtl w:val="true"/>
              </w:rPr>
              <w:t>[</w:t>
            </w:r>
            <w:r>
              <w:rPr>
                <w:rStyle w:val="IndexLink"/>
                <w:rtl w:val="true"/>
              </w:rPr>
              <w:t>معنى الفقه</w:t>
            </w:r>
            <w:r>
              <w:rPr>
                <w:rStyle w:val="IndexLink"/>
                <w:rtl w:val="true"/>
              </w:rPr>
              <w:t>]</w:t>
              <w:tab/>
            </w:r>
            <w:r>
              <w:rPr>
                <w:rStyle w:val="IndexLink"/>
              </w:rPr>
              <w:t>71</w:t>
            </w:r>
          </w:hyperlink>
        </w:p>
        <w:p>
          <w:pPr>
            <w:pStyle w:val="Contents3"/>
            <w:tabs>
              <w:tab w:val="clear" w:pos="8459"/>
              <w:tab w:val="right" w:pos="9026" w:leader="dot"/>
            </w:tabs>
            <w:rPr/>
          </w:pPr>
          <w:hyperlink w:anchor="__RefHeading___Toc2001323_2870459653">
            <w:r>
              <w:rPr>
                <w:webHidden/>
                <w:rStyle w:val="IndexLink"/>
                <w:rtl w:val="true"/>
              </w:rPr>
              <w:t>[</w:t>
            </w:r>
            <w:r>
              <w:rPr>
                <w:rStyle w:val="IndexLink"/>
                <w:rtl w:val="true"/>
              </w:rPr>
              <w:t>في تقرير الإيرادين المشهورين</w:t>
            </w:r>
            <w:r>
              <w:rPr>
                <w:rStyle w:val="IndexLink"/>
                <w:rtl w:val="true"/>
              </w:rPr>
              <w:t>]</w:t>
              <w:tab/>
            </w:r>
            <w:r>
              <w:rPr>
                <w:rStyle w:val="IndexLink"/>
              </w:rPr>
              <w:t>78</w:t>
            </w:r>
          </w:hyperlink>
        </w:p>
        <w:p>
          <w:pPr>
            <w:pStyle w:val="Contents3"/>
            <w:tabs>
              <w:tab w:val="clear" w:pos="8459"/>
              <w:tab w:val="right" w:pos="9026" w:leader="dot"/>
            </w:tabs>
            <w:rPr/>
          </w:pPr>
          <w:hyperlink w:anchor="__RefHeading___Toc2001325_2870459653">
            <w:r>
              <w:rPr>
                <w:webHidden/>
                <w:rStyle w:val="IndexLink"/>
                <w:rtl w:val="true"/>
              </w:rPr>
              <w:t>[</w:t>
            </w:r>
            <w:r>
              <w:rPr>
                <w:rStyle w:val="IndexLink"/>
                <w:rtl w:val="true"/>
              </w:rPr>
              <w:t>بيان موضوع هذا العلم</w:t>
            </w:r>
            <w:r>
              <w:rPr>
                <w:rStyle w:val="IndexLink"/>
                <w:rtl w:val="true"/>
              </w:rPr>
              <w:t>]</w:t>
              <w:tab/>
            </w:r>
            <w:r>
              <w:rPr>
                <w:rStyle w:val="IndexLink"/>
              </w:rPr>
              <w:t>83</w:t>
            </w:r>
          </w:hyperlink>
        </w:p>
        <w:p>
          <w:pPr>
            <w:pStyle w:val="Contents3"/>
            <w:tabs>
              <w:tab w:val="clear" w:pos="8459"/>
              <w:tab w:val="right" w:pos="9026" w:leader="dot"/>
            </w:tabs>
            <w:rPr/>
          </w:pPr>
          <w:hyperlink w:anchor="__RefHeading___Toc2001327_2870459653">
            <w:r>
              <w:rPr>
                <w:webHidden/>
                <w:rStyle w:val="IndexLink"/>
                <w:rtl w:val="true"/>
              </w:rPr>
              <w:t>[</w:t>
            </w:r>
            <w:r>
              <w:rPr>
                <w:rStyle w:val="IndexLink"/>
                <w:rtl w:val="true"/>
              </w:rPr>
              <w:t>بيان غاية هذا العلم</w:t>
            </w:r>
            <w:r>
              <w:rPr>
                <w:rStyle w:val="IndexLink"/>
                <w:rtl w:val="true"/>
              </w:rPr>
              <w:t>]</w:t>
              <w:tab/>
            </w:r>
            <w:r>
              <w:rPr>
                <w:rStyle w:val="IndexLink"/>
              </w:rPr>
              <w:t>83</w:t>
            </w:r>
          </w:hyperlink>
        </w:p>
        <w:p>
          <w:pPr>
            <w:pStyle w:val="Contents2"/>
            <w:tabs>
              <w:tab w:val="clear" w:pos="8743"/>
              <w:tab w:val="right" w:pos="9026" w:leader="dot"/>
            </w:tabs>
            <w:rPr/>
          </w:pPr>
          <w:hyperlink w:anchor="__RefHeading___Toc2001329_2870459653">
            <w:r>
              <w:rPr>
                <w:webHidden/>
                <w:rStyle w:val="IndexLink"/>
                <w:rtl w:val="true"/>
              </w:rPr>
              <w:t xml:space="preserve">أصل </w:t>
            </w:r>
            <w:r>
              <w:rPr>
                <w:rStyle w:val="IndexLink"/>
                <w:rtl w:val="true"/>
              </w:rPr>
              <w:t>[</w:t>
            </w:r>
            <w:r>
              <w:rPr>
                <w:rStyle w:val="IndexLink"/>
                <w:rtl w:val="true"/>
              </w:rPr>
              <w:t>في تقسيم اللفظ والمعنى</w:t>
            </w:r>
            <w:r>
              <w:rPr>
                <w:rStyle w:val="IndexLink"/>
                <w:rtl w:val="true"/>
              </w:rPr>
              <w:t>]</w:t>
              <w:tab/>
            </w:r>
            <w:r>
              <w:rPr>
                <w:rStyle w:val="IndexLink"/>
              </w:rPr>
              <w:t>84</w:t>
            </w:r>
          </w:hyperlink>
        </w:p>
        <w:p>
          <w:pPr>
            <w:pStyle w:val="Contents3"/>
            <w:tabs>
              <w:tab w:val="clear" w:pos="8459"/>
              <w:tab w:val="right" w:pos="9026" w:leader="dot"/>
            </w:tabs>
            <w:rPr/>
          </w:pPr>
          <w:hyperlink w:anchor="__RefHeading___Toc2001331_2870459653">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2001333_2870459653">
            <w:r>
              <w:rPr>
                <w:webHidden/>
                <w:rStyle w:val="IndexLink"/>
                <w:rtl w:val="true"/>
              </w:rPr>
              <w:t>[</w:t>
            </w:r>
            <w:r>
              <w:rPr>
                <w:rStyle w:val="IndexLink"/>
                <w:rtl w:val="true"/>
              </w:rPr>
              <w:t>تقسيمات الكلي</w:t>
            </w:r>
            <w:r>
              <w:rPr>
                <w:rStyle w:val="IndexLink"/>
                <w:rtl w:val="true"/>
              </w:rPr>
              <w:t>]</w:t>
              <w:tab/>
            </w:r>
            <w:r>
              <w:rPr>
                <w:rStyle w:val="IndexLink"/>
              </w:rPr>
              <w:t>84</w:t>
            </w:r>
          </w:hyperlink>
        </w:p>
        <w:p>
          <w:pPr>
            <w:pStyle w:val="Contents2"/>
            <w:tabs>
              <w:tab w:val="clear" w:pos="8743"/>
              <w:tab w:val="right" w:pos="9026" w:leader="dot"/>
            </w:tabs>
            <w:rPr/>
          </w:pPr>
          <w:hyperlink w:anchor="__RefHeading___Toc2001335_2870459653">
            <w:r>
              <w:rPr>
                <w:webHidden/>
                <w:rStyle w:val="IndexLink"/>
                <w:rtl w:val="true"/>
              </w:rPr>
              <w:t xml:space="preserve">أصل </w:t>
            </w:r>
            <w:r>
              <w:rPr>
                <w:rStyle w:val="IndexLink"/>
                <w:rtl w:val="true"/>
              </w:rPr>
              <w:t>[</w:t>
            </w:r>
            <w:r>
              <w:rPr>
                <w:rStyle w:val="IndexLink"/>
                <w:rtl w:val="true"/>
              </w:rPr>
              <w:t>في تعريف الوضع وتقسيمه باعتبار أركانه</w:t>
            </w:r>
            <w:r>
              <w:rPr>
                <w:rStyle w:val="IndexLink"/>
                <w:rtl w:val="true"/>
              </w:rPr>
              <w:t>]</w:t>
              <w:tab/>
            </w:r>
            <w:r>
              <w:rPr>
                <w:rStyle w:val="IndexLink"/>
              </w:rPr>
              <w:t>87</w:t>
            </w:r>
          </w:hyperlink>
        </w:p>
        <w:p>
          <w:pPr>
            <w:pStyle w:val="Contents2"/>
            <w:tabs>
              <w:tab w:val="clear" w:pos="8743"/>
              <w:tab w:val="right" w:pos="9026" w:leader="dot"/>
            </w:tabs>
            <w:rPr/>
          </w:pPr>
          <w:hyperlink w:anchor="__RefHeading___Toc2001337_2870459653">
            <w:r>
              <w:rPr>
                <w:webHidden/>
                <w:rStyle w:val="IndexLink"/>
                <w:rtl w:val="true"/>
              </w:rPr>
              <w:t>[</w:t>
            </w:r>
            <w:r>
              <w:rPr>
                <w:rStyle w:val="IndexLink"/>
                <w:rtl w:val="true"/>
              </w:rPr>
              <w:t>أقسام الوضع</w:t>
            </w:r>
            <w:r>
              <w:rPr>
                <w:rStyle w:val="IndexLink"/>
                <w:rtl w:val="true"/>
              </w:rPr>
              <w:t>]</w:t>
              <w:tab/>
            </w:r>
            <w:r>
              <w:rPr>
                <w:rStyle w:val="IndexLink"/>
              </w:rPr>
              <w:t>88</w:t>
            </w:r>
          </w:hyperlink>
        </w:p>
        <w:p>
          <w:pPr>
            <w:pStyle w:val="Contents2"/>
            <w:tabs>
              <w:tab w:val="clear" w:pos="8743"/>
              <w:tab w:val="right" w:pos="9026" w:leader="dot"/>
            </w:tabs>
            <w:rPr/>
          </w:pPr>
          <w:hyperlink w:anchor="__RefHeading___Toc2001339_2870459653">
            <w:r>
              <w:rPr>
                <w:webHidden/>
                <w:rStyle w:val="IndexLink"/>
                <w:rtl w:val="true"/>
              </w:rPr>
              <w:t>أصل</w:t>
            </w:r>
            <w:r>
              <w:rPr>
                <w:rStyle w:val="IndexLink"/>
                <w:rtl w:val="true"/>
              </w:rPr>
              <w:t>[</w:t>
            </w:r>
            <w:r>
              <w:rPr>
                <w:rStyle w:val="IndexLink"/>
                <w:rtl w:val="true"/>
              </w:rPr>
              <w:t>في الحقيقة الشرعية</w:t>
            </w:r>
            <w:r>
              <w:rPr>
                <w:rStyle w:val="IndexLink"/>
                <w:rtl w:val="true"/>
              </w:rPr>
              <w:t>]</w:t>
              <w:tab/>
            </w:r>
            <w:r>
              <w:rPr>
                <w:rStyle w:val="IndexLink"/>
              </w:rPr>
              <w:t>90</w:t>
            </w:r>
          </w:hyperlink>
        </w:p>
        <w:p>
          <w:pPr>
            <w:pStyle w:val="Contents3"/>
            <w:tabs>
              <w:tab w:val="clear" w:pos="8459"/>
              <w:tab w:val="right" w:pos="9026" w:leader="dot"/>
            </w:tabs>
            <w:rPr/>
          </w:pPr>
          <w:hyperlink w:anchor="__RefHeading___Toc2001341_2870459653">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2001343_2870459653">
            <w:r>
              <w:rPr>
                <w:webHidden/>
                <w:rStyle w:val="IndexLink"/>
                <w:rtl w:val="true"/>
              </w:rPr>
              <w:t>[</w:t>
            </w:r>
            <w:r>
              <w:rPr>
                <w:rStyle w:val="IndexLink"/>
                <w:rtl w:val="true"/>
              </w:rPr>
              <w:t>ثمرة النزاع مع القاضي</w:t>
            </w:r>
            <w:r>
              <w:rPr>
                <w:rStyle w:val="IndexLink"/>
                <w:rtl w:val="true"/>
              </w:rPr>
              <w:t>]</w:t>
              <w:tab/>
            </w:r>
            <w:r>
              <w:rPr>
                <w:rStyle w:val="IndexLink"/>
              </w:rPr>
              <w:t>91</w:t>
            </w:r>
          </w:hyperlink>
        </w:p>
        <w:p>
          <w:pPr>
            <w:pStyle w:val="Contents3"/>
            <w:tabs>
              <w:tab w:val="clear" w:pos="8459"/>
              <w:tab w:val="right" w:pos="9026" w:leader="dot"/>
            </w:tabs>
            <w:rPr/>
          </w:pPr>
          <w:hyperlink w:anchor="__RefHeading___Toc2001345_2870459653">
            <w:r>
              <w:rPr>
                <w:webHidden/>
                <w:rStyle w:val="IndexLink"/>
                <w:rtl w:val="true"/>
              </w:rPr>
              <w:t>[</w:t>
            </w:r>
            <w:r>
              <w:rPr>
                <w:rStyle w:val="IndexLink"/>
                <w:rtl w:val="true"/>
              </w:rPr>
              <w:t>المختار في المسألة</w:t>
            </w:r>
            <w:r>
              <w:rPr>
                <w:rStyle w:val="IndexLink"/>
                <w:rtl w:val="true"/>
              </w:rPr>
              <w:t>]</w:t>
              <w:tab/>
            </w:r>
            <w:r>
              <w:rPr>
                <w:rStyle w:val="IndexLink"/>
              </w:rPr>
              <w:t>92</w:t>
            </w:r>
          </w:hyperlink>
        </w:p>
        <w:p>
          <w:pPr>
            <w:pStyle w:val="Contents3"/>
            <w:tabs>
              <w:tab w:val="clear" w:pos="8459"/>
              <w:tab w:val="right" w:pos="9026" w:leader="dot"/>
            </w:tabs>
            <w:rPr/>
          </w:pPr>
          <w:hyperlink w:anchor="__RefHeading___Toc2001347_2870459653">
            <w:r>
              <w:rPr>
                <w:webHidden/>
                <w:rStyle w:val="IndexLink"/>
                <w:rtl w:val="true"/>
              </w:rPr>
              <w:t>[</w:t>
            </w:r>
            <w:r>
              <w:rPr>
                <w:rStyle w:val="IndexLink"/>
                <w:rtl w:val="true"/>
              </w:rPr>
              <w:t>المختار في المسألة</w:t>
            </w:r>
            <w:r>
              <w:rPr>
                <w:rStyle w:val="IndexLink"/>
                <w:rtl w:val="true"/>
              </w:rPr>
              <w:t>]</w:t>
              <w:tab/>
            </w:r>
            <w:r>
              <w:rPr>
                <w:rStyle w:val="IndexLink"/>
              </w:rPr>
              <w:t>97</w:t>
            </w:r>
          </w:hyperlink>
        </w:p>
        <w:p>
          <w:pPr>
            <w:pStyle w:val="Contents3"/>
            <w:tabs>
              <w:tab w:val="clear" w:pos="8459"/>
              <w:tab w:val="right" w:pos="9026" w:leader="dot"/>
            </w:tabs>
            <w:rPr/>
          </w:pPr>
          <w:hyperlink w:anchor="__RefHeading___Toc2001349_2870459653">
            <w:r>
              <w:rPr>
                <w:webHidden/>
                <w:rStyle w:val="IndexLink"/>
                <w:rtl w:val="true"/>
              </w:rPr>
              <w:t>[</w:t>
            </w:r>
            <w:r>
              <w:rPr>
                <w:rStyle w:val="IndexLink"/>
                <w:rtl w:val="true"/>
              </w:rPr>
              <w:t>ثمرة المسألة</w:t>
            </w:r>
            <w:r>
              <w:rPr>
                <w:rStyle w:val="IndexLink"/>
                <w:rtl w:val="true"/>
              </w:rPr>
              <w:t>]</w:t>
              <w:tab/>
            </w:r>
            <w:r>
              <w:rPr>
                <w:rStyle w:val="IndexLink"/>
              </w:rPr>
              <w:t>97</w:t>
            </w:r>
          </w:hyperlink>
        </w:p>
        <w:p>
          <w:pPr>
            <w:pStyle w:val="Contents2"/>
            <w:tabs>
              <w:tab w:val="clear" w:pos="8743"/>
              <w:tab w:val="right" w:pos="9026" w:leader="dot"/>
            </w:tabs>
            <w:rPr/>
          </w:pPr>
          <w:hyperlink w:anchor="__RefHeading___Toc2001351_2870459653">
            <w:r>
              <w:rPr>
                <w:webHidden/>
                <w:rStyle w:val="IndexLink"/>
                <w:rtl w:val="true"/>
              </w:rPr>
              <w:t xml:space="preserve">أصل </w:t>
            </w:r>
            <w:r>
              <w:rPr>
                <w:rStyle w:val="IndexLink"/>
                <w:rtl w:val="true"/>
              </w:rPr>
              <w:t>[</w:t>
            </w:r>
            <w:r>
              <w:rPr>
                <w:rStyle w:val="IndexLink"/>
                <w:rtl w:val="true"/>
              </w:rPr>
              <w:t>في أن الألفاظ اسام للصحيح أو الأعمّ</w:t>
            </w:r>
            <w:r>
              <w:rPr>
                <w:rStyle w:val="IndexLink"/>
                <w:rtl w:val="true"/>
              </w:rPr>
              <w:t>]</w:t>
              <w:tab/>
            </w:r>
            <w:r>
              <w:rPr>
                <w:rStyle w:val="IndexLink"/>
              </w:rPr>
              <w:t>98</w:t>
            </w:r>
          </w:hyperlink>
        </w:p>
        <w:p>
          <w:pPr>
            <w:pStyle w:val="Contents3"/>
            <w:tabs>
              <w:tab w:val="clear" w:pos="8459"/>
              <w:tab w:val="right" w:pos="9026" w:leader="dot"/>
            </w:tabs>
            <w:rPr/>
          </w:pPr>
          <w:hyperlink w:anchor="__RefHeading___Toc2001353_2870459653">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2001355_2870459653">
            <w:r>
              <w:rPr>
                <w:webHidden/>
                <w:rStyle w:val="IndexLink"/>
                <w:rtl w:val="true"/>
              </w:rPr>
              <w:t>[</w:t>
            </w:r>
            <w:r>
              <w:rPr>
                <w:rStyle w:val="IndexLink"/>
                <w:rtl w:val="true"/>
              </w:rPr>
              <w:t>تحرير محل النزاع</w:t>
            </w:r>
            <w:r>
              <w:rPr>
                <w:rStyle w:val="IndexLink"/>
                <w:rtl w:val="true"/>
              </w:rPr>
              <w:t>]</w:t>
              <w:tab/>
            </w:r>
            <w:r>
              <w:rPr>
                <w:rStyle w:val="IndexLink"/>
              </w:rPr>
              <w:t>99</w:t>
            </w:r>
          </w:hyperlink>
        </w:p>
        <w:p>
          <w:pPr>
            <w:pStyle w:val="Contents3"/>
            <w:tabs>
              <w:tab w:val="clear" w:pos="8459"/>
              <w:tab w:val="right" w:pos="9026" w:leader="dot"/>
            </w:tabs>
            <w:rPr/>
          </w:pPr>
          <w:hyperlink w:anchor="__RefHeading___Toc2001357_2870459653">
            <w:r>
              <w:rPr>
                <w:webHidden/>
                <w:rStyle w:val="IndexLink"/>
                <w:rtl w:val="true"/>
              </w:rPr>
              <w:t>[</w:t>
            </w:r>
            <w:r>
              <w:rPr>
                <w:rStyle w:val="IndexLink"/>
                <w:rtl w:val="true"/>
              </w:rPr>
              <w:t>بيان معنى الأعم والصحيح والصحة</w:t>
            </w:r>
            <w:r>
              <w:rPr>
                <w:rStyle w:val="IndexLink"/>
                <w:rtl w:val="true"/>
              </w:rPr>
              <w:t>]</w:t>
              <w:tab/>
            </w:r>
            <w:r>
              <w:rPr>
                <w:rStyle w:val="IndexLink"/>
              </w:rPr>
              <w:t>99</w:t>
            </w:r>
          </w:hyperlink>
        </w:p>
        <w:p>
          <w:pPr>
            <w:pStyle w:val="Contents3"/>
            <w:tabs>
              <w:tab w:val="clear" w:pos="8459"/>
              <w:tab w:val="right" w:pos="9026" w:leader="dot"/>
            </w:tabs>
            <w:rPr/>
          </w:pPr>
          <w:hyperlink w:anchor="__RefHeading___Toc2001359_2870459653">
            <w:r>
              <w:rPr>
                <w:webHidden/>
                <w:rStyle w:val="IndexLink"/>
                <w:rtl w:val="true"/>
              </w:rPr>
              <w:t>[</w:t>
            </w:r>
            <w:r>
              <w:rPr>
                <w:rStyle w:val="IndexLink"/>
                <w:rtl w:val="true"/>
              </w:rPr>
              <w:t>المختار في المسألة</w:t>
            </w:r>
            <w:r>
              <w:rPr>
                <w:rStyle w:val="IndexLink"/>
                <w:rtl w:val="true"/>
              </w:rPr>
              <w:t>]</w:t>
              <w:tab/>
            </w:r>
            <w:r>
              <w:rPr>
                <w:rStyle w:val="IndexLink"/>
              </w:rPr>
              <w:t>100</w:t>
            </w:r>
          </w:hyperlink>
        </w:p>
        <w:p>
          <w:pPr>
            <w:pStyle w:val="Contents3"/>
            <w:tabs>
              <w:tab w:val="clear" w:pos="8459"/>
              <w:tab w:val="right" w:pos="9026" w:leader="dot"/>
            </w:tabs>
            <w:rPr/>
          </w:pPr>
          <w:hyperlink w:anchor="__RefHeading___Toc2001361_2870459653">
            <w:r>
              <w:rPr>
                <w:webHidden/>
                <w:rStyle w:val="IndexLink"/>
                <w:rtl w:val="true"/>
              </w:rPr>
              <w:t>[</w:t>
            </w:r>
            <w:r>
              <w:rPr>
                <w:rStyle w:val="IndexLink"/>
                <w:rtl w:val="true"/>
              </w:rPr>
              <w:t>أدلة الصحيحي</w:t>
            </w:r>
            <w:r>
              <w:rPr>
                <w:rStyle w:val="IndexLink"/>
                <w:rtl w:val="true"/>
              </w:rPr>
              <w:t>]</w:t>
              <w:tab/>
            </w:r>
            <w:r>
              <w:rPr>
                <w:rStyle w:val="IndexLink"/>
              </w:rPr>
              <w:t>101</w:t>
            </w:r>
          </w:hyperlink>
        </w:p>
        <w:p>
          <w:pPr>
            <w:pStyle w:val="Contents3"/>
            <w:tabs>
              <w:tab w:val="clear" w:pos="8459"/>
              <w:tab w:val="right" w:pos="9026" w:leader="dot"/>
            </w:tabs>
            <w:rPr/>
          </w:pPr>
          <w:hyperlink w:anchor="__RefHeading___Toc2001363_2870459653">
            <w:r>
              <w:rPr>
                <w:webHidden/>
                <w:rStyle w:val="IndexLink"/>
                <w:rtl w:val="true"/>
              </w:rPr>
              <w:t>[</w:t>
            </w:r>
            <w:r>
              <w:rPr>
                <w:rStyle w:val="IndexLink"/>
                <w:rtl w:val="true"/>
              </w:rPr>
              <w:t>ثمرة المسألة</w:t>
            </w:r>
            <w:r>
              <w:rPr>
                <w:rStyle w:val="IndexLink"/>
                <w:rtl w:val="true"/>
              </w:rPr>
              <w:t>]</w:t>
              <w:tab/>
            </w:r>
            <w:r>
              <w:rPr>
                <w:rStyle w:val="IndexLink"/>
              </w:rPr>
              <w:t>103</w:t>
            </w:r>
          </w:hyperlink>
        </w:p>
        <w:p>
          <w:pPr>
            <w:pStyle w:val="Contents2"/>
            <w:tabs>
              <w:tab w:val="clear" w:pos="8743"/>
              <w:tab w:val="right" w:pos="9026" w:leader="dot"/>
            </w:tabs>
            <w:rPr/>
          </w:pPr>
          <w:hyperlink w:anchor="__RefHeading___Toc2001365_2870459653">
            <w:r>
              <w:rPr>
                <w:webHidden/>
                <w:rStyle w:val="IndexLink"/>
                <w:rtl w:val="true"/>
              </w:rPr>
              <w:t xml:space="preserve">أصل </w:t>
            </w:r>
            <w:r>
              <w:rPr>
                <w:rStyle w:val="IndexLink"/>
                <w:rtl w:val="true"/>
              </w:rPr>
              <w:t>[</w:t>
            </w:r>
            <w:r>
              <w:rPr>
                <w:rStyle w:val="IndexLink"/>
                <w:rtl w:val="true"/>
              </w:rPr>
              <w:t>في معرفة الوضع وعلائمه</w:t>
            </w:r>
            <w:r>
              <w:rPr>
                <w:rStyle w:val="IndexLink"/>
                <w:rtl w:val="true"/>
              </w:rPr>
              <w:t>]</w:t>
              <w:tab/>
            </w:r>
            <w:r>
              <w:rPr>
                <w:rStyle w:val="IndexLink"/>
              </w:rPr>
              <w:t>104</w:t>
            </w:r>
          </w:hyperlink>
        </w:p>
        <w:p>
          <w:pPr>
            <w:pStyle w:val="Contents2"/>
            <w:tabs>
              <w:tab w:val="clear" w:pos="8743"/>
              <w:tab w:val="right" w:pos="9026" w:leader="dot"/>
            </w:tabs>
            <w:rPr/>
          </w:pPr>
          <w:hyperlink w:anchor="__RefHeading___Toc2001367_2870459653">
            <w:r>
              <w:rPr>
                <w:webHidden/>
                <w:rStyle w:val="IndexLink"/>
                <w:rtl w:val="true"/>
              </w:rPr>
              <w:t xml:space="preserve">أصل </w:t>
            </w:r>
            <w:r>
              <w:rPr>
                <w:rStyle w:val="IndexLink"/>
                <w:rtl w:val="true"/>
              </w:rPr>
              <w:t>[</w:t>
            </w:r>
            <w:r>
              <w:rPr>
                <w:rStyle w:val="IndexLink"/>
                <w:rtl w:val="true"/>
              </w:rPr>
              <w:t>في التبادر وعدمه</w:t>
            </w:r>
            <w:r>
              <w:rPr>
                <w:rStyle w:val="IndexLink"/>
                <w:rtl w:val="true"/>
              </w:rPr>
              <w:t>]</w:t>
              <w:tab/>
            </w:r>
            <w:r>
              <w:rPr>
                <w:rStyle w:val="IndexLink"/>
              </w:rPr>
              <w:t>107</w:t>
            </w:r>
          </w:hyperlink>
        </w:p>
        <w:p>
          <w:pPr>
            <w:pStyle w:val="Contents2"/>
            <w:tabs>
              <w:tab w:val="clear" w:pos="8743"/>
              <w:tab w:val="right" w:pos="9026" w:leader="dot"/>
            </w:tabs>
            <w:rPr/>
          </w:pPr>
          <w:hyperlink w:anchor="__RefHeading___Toc2001369_2870459653">
            <w:r>
              <w:rPr>
                <w:webHidden/>
                <w:rStyle w:val="IndexLink"/>
                <w:rtl w:val="true"/>
              </w:rPr>
              <w:t xml:space="preserve">أصل </w:t>
            </w:r>
            <w:r>
              <w:rPr>
                <w:rStyle w:val="IndexLink"/>
                <w:rtl w:val="true"/>
              </w:rPr>
              <w:t>[</w:t>
            </w:r>
            <w:r>
              <w:rPr>
                <w:rStyle w:val="IndexLink"/>
                <w:rtl w:val="true"/>
              </w:rPr>
              <w:t>في صحة السلب وعدمها</w:t>
            </w:r>
            <w:r>
              <w:rPr>
                <w:rStyle w:val="IndexLink"/>
                <w:rtl w:val="true"/>
              </w:rPr>
              <w:t>]</w:t>
              <w:tab/>
            </w:r>
            <w:r>
              <w:rPr>
                <w:rStyle w:val="IndexLink"/>
              </w:rPr>
              <w:t>109</w:t>
            </w:r>
          </w:hyperlink>
        </w:p>
        <w:p>
          <w:pPr>
            <w:pStyle w:val="Contents2"/>
            <w:tabs>
              <w:tab w:val="clear" w:pos="8743"/>
              <w:tab w:val="right" w:pos="9026" w:leader="dot"/>
            </w:tabs>
            <w:rPr/>
          </w:pPr>
          <w:hyperlink w:anchor="__RefHeading___Toc2001371_2870459653">
            <w:r>
              <w:rPr>
                <w:webHidden/>
                <w:rStyle w:val="IndexLink"/>
                <w:rtl w:val="true"/>
              </w:rPr>
              <w:t xml:space="preserve">أصل </w:t>
            </w:r>
            <w:r>
              <w:rPr>
                <w:rStyle w:val="IndexLink"/>
                <w:rtl w:val="true"/>
              </w:rPr>
              <w:t>[</w:t>
            </w:r>
            <w:r>
              <w:rPr>
                <w:rStyle w:val="IndexLink"/>
                <w:rtl w:val="true"/>
              </w:rPr>
              <w:t>في الاطراد وعدمه</w:t>
            </w:r>
            <w:r>
              <w:rPr>
                <w:rStyle w:val="IndexLink"/>
                <w:rtl w:val="true"/>
              </w:rPr>
              <w:t>]</w:t>
              <w:tab/>
            </w:r>
            <w:r>
              <w:rPr>
                <w:rStyle w:val="IndexLink"/>
              </w:rPr>
              <w:t>112</w:t>
            </w:r>
          </w:hyperlink>
        </w:p>
        <w:p>
          <w:pPr>
            <w:pStyle w:val="Contents3"/>
            <w:tabs>
              <w:tab w:val="clear" w:pos="8459"/>
              <w:tab w:val="right" w:pos="9026" w:leader="dot"/>
            </w:tabs>
            <w:rPr/>
          </w:pPr>
          <w:hyperlink w:anchor="__RefHeading___Toc2001373_2870459653">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2001375_2870459653">
            <w:r>
              <w:rPr>
                <w:webHidden/>
                <w:rStyle w:val="IndexLink"/>
                <w:rtl w:val="true"/>
              </w:rPr>
              <w:t>[</w:t>
            </w:r>
            <w:r>
              <w:rPr>
                <w:rStyle w:val="IndexLink"/>
                <w:rtl w:val="true"/>
              </w:rPr>
              <w:t>المختار في المسألة</w:t>
            </w:r>
            <w:r>
              <w:rPr>
                <w:rStyle w:val="IndexLink"/>
                <w:rtl w:val="true"/>
              </w:rPr>
              <w:t>]</w:t>
              <w:tab/>
            </w:r>
            <w:r>
              <w:rPr>
                <w:rStyle w:val="IndexLink"/>
              </w:rPr>
              <w:t>112</w:t>
            </w:r>
          </w:hyperlink>
        </w:p>
        <w:p>
          <w:pPr>
            <w:pStyle w:val="Contents2"/>
            <w:tabs>
              <w:tab w:val="clear" w:pos="8743"/>
              <w:tab w:val="right" w:pos="9026" w:leader="dot"/>
            </w:tabs>
            <w:rPr/>
          </w:pPr>
          <w:hyperlink w:anchor="__RefHeading___Toc2001377_2870459653">
            <w:r>
              <w:rPr>
                <w:webHidden/>
                <w:rStyle w:val="IndexLink"/>
                <w:rtl w:val="true"/>
              </w:rPr>
              <w:t xml:space="preserve">أصل </w:t>
            </w:r>
            <w:r>
              <w:rPr>
                <w:rStyle w:val="IndexLink"/>
                <w:rtl w:val="true"/>
              </w:rPr>
              <w:t>[</w:t>
            </w:r>
            <w:r>
              <w:rPr>
                <w:rStyle w:val="IndexLink"/>
                <w:rtl w:val="true"/>
              </w:rPr>
              <w:t>في أصالة الاستعمال</w:t>
            </w:r>
            <w:r>
              <w:rPr>
                <w:rStyle w:val="IndexLink"/>
                <w:rtl w:val="true"/>
              </w:rPr>
              <w:t>]</w:t>
              <w:tab/>
            </w:r>
            <w:r>
              <w:rPr>
                <w:rStyle w:val="IndexLink"/>
              </w:rPr>
              <w:t>113</w:t>
            </w:r>
          </w:hyperlink>
        </w:p>
        <w:p>
          <w:pPr>
            <w:pStyle w:val="Contents3"/>
            <w:tabs>
              <w:tab w:val="clear" w:pos="8459"/>
              <w:tab w:val="right" w:pos="9026" w:leader="dot"/>
            </w:tabs>
            <w:rPr/>
          </w:pPr>
          <w:hyperlink w:anchor="__RefHeading___Toc2001379_2870459653">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2001381_2870459653">
            <w:r>
              <w:rPr>
                <w:webHidden/>
                <w:rStyle w:val="IndexLink"/>
                <w:rtl w:val="true"/>
              </w:rPr>
              <w:t>[</w:t>
            </w:r>
            <w:r>
              <w:rPr>
                <w:rStyle w:val="IndexLink"/>
                <w:rtl w:val="true"/>
              </w:rPr>
              <w:t>المختار في المسألة</w:t>
            </w:r>
            <w:r>
              <w:rPr>
                <w:rStyle w:val="IndexLink"/>
                <w:rtl w:val="true"/>
              </w:rPr>
              <w:t>]</w:t>
              <w:tab/>
            </w:r>
            <w:r>
              <w:rPr>
                <w:rStyle w:val="IndexLink"/>
              </w:rPr>
              <w:t>113</w:t>
            </w:r>
          </w:hyperlink>
        </w:p>
        <w:p>
          <w:pPr>
            <w:pStyle w:val="Contents2"/>
            <w:tabs>
              <w:tab w:val="clear" w:pos="8743"/>
              <w:tab w:val="right" w:pos="9026" w:leader="dot"/>
            </w:tabs>
            <w:rPr/>
          </w:pPr>
          <w:hyperlink w:anchor="__RefHeading___Toc2001383_2870459653">
            <w:r>
              <w:rPr>
                <w:webHidden/>
                <w:rStyle w:val="IndexLink"/>
                <w:rtl w:val="true"/>
              </w:rPr>
              <w:t xml:space="preserve">أصل </w:t>
            </w:r>
            <w:r>
              <w:rPr>
                <w:rStyle w:val="IndexLink"/>
                <w:rtl w:val="true"/>
              </w:rPr>
              <w:t>[</w:t>
            </w:r>
            <w:r>
              <w:rPr>
                <w:rStyle w:val="IndexLink"/>
                <w:rtl w:val="true"/>
              </w:rPr>
              <w:t>في سائر العلائم</w:t>
            </w:r>
            <w:r>
              <w:rPr>
                <w:rStyle w:val="IndexLink"/>
                <w:rtl w:val="true"/>
              </w:rPr>
              <w:t>]</w:t>
              <w:tab/>
            </w:r>
            <w:r>
              <w:rPr>
                <w:rStyle w:val="IndexLink"/>
              </w:rPr>
              <w:t>116</w:t>
            </w:r>
          </w:hyperlink>
        </w:p>
        <w:p>
          <w:pPr>
            <w:pStyle w:val="Contents2"/>
            <w:tabs>
              <w:tab w:val="clear" w:pos="8743"/>
              <w:tab w:val="right" w:pos="9026" w:leader="dot"/>
            </w:tabs>
            <w:rPr/>
          </w:pPr>
          <w:hyperlink w:anchor="__RefHeading___Toc2001385_2870459653">
            <w:r>
              <w:rPr>
                <w:webHidden/>
                <w:rStyle w:val="IndexLink"/>
                <w:rtl w:val="true"/>
              </w:rPr>
              <w:t xml:space="preserve">أصل </w:t>
            </w:r>
            <w:r>
              <w:rPr>
                <w:rStyle w:val="IndexLink"/>
                <w:rtl w:val="true"/>
              </w:rPr>
              <w:t>[</w:t>
            </w:r>
            <w:r>
              <w:rPr>
                <w:rStyle w:val="IndexLink"/>
                <w:rtl w:val="true"/>
              </w:rPr>
              <w:t>في المشترك واستعمالاته</w:t>
            </w:r>
            <w:r>
              <w:rPr>
                <w:rStyle w:val="IndexLink"/>
                <w:rtl w:val="true"/>
              </w:rPr>
              <w:t>]</w:t>
              <w:tab/>
            </w:r>
            <w:r>
              <w:rPr>
                <w:rStyle w:val="IndexLink"/>
              </w:rPr>
              <w:t>117</w:t>
            </w:r>
          </w:hyperlink>
        </w:p>
        <w:p>
          <w:pPr>
            <w:pStyle w:val="Contents3"/>
            <w:tabs>
              <w:tab w:val="clear" w:pos="8459"/>
              <w:tab w:val="right" w:pos="9026" w:leader="dot"/>
            </w:tabs>
            <w:rPr/>
          </w:pPr>
          <w:hyperlink w:anchor="__RefHeading___Toc2001387_2870459653">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2001389_2870459653">
            <w:r>
              <w:rPr>
                <w:webHidden/>
                <w:rStyle w:val="IndexLink"/>
                <w:rtl w:val="true"/>
              </w:rPr>
              <w:t>[</w:t>
            </w:r>
            <w:r>
              <w:rPr>
                <w:rStyle w:val="IndexLink"/>
                <w:rtl w:val="true"/>
              </w:rPr>
              <w:t>المختار في المسألة</w:t>
            </w:r>
            <w:r>
              <w:rPr>
                <w:rStyle w:val="IndexLink"/>
                <w:rtl w:val="true"/>
              </w:rPr>
              <w:t>]</w:t>
              <w:tab/>
            </w:r>
            <w:r>
              <w:rPr>
                <w:rStyle w:val="IndexLink"/>
              </w:rPr>
              <w:t>117</w:t>
            </w:r>
          </w:hyperlink>
        </w:p>
        <w:p>
          <w:pPr>
            <w:pStyle w:val="Contents3"/>
            <w:tabs>
              <w:tab w:val="clear" w:pos="8459"/>
              <w:tab w:val="right" w:pos="9026" w:leader="dot"/>
            </w:tabs>
            <w:rPr/>
          </w:pPr>
          <w:hyperlink w:anchor="__RefHeading___Toc2001391_2870459653">
            <w:r>
              <w:rPr>
                <w:webHidden/>
                <w:rStyle w:val="IndexLink"/>
                <w:rtl w:val="true"/>
              </w:rPr>
              <w:t>[</w:t>
            </w:r>
            <w:r>
              <w:rPr>
                <w:rStyle w:val="IndexLink"/>
                <w:rtl w:val="true"/>
              </w:rPr>
              <w:t>استعمال المشترك في أكثر من معنى</w:t>
            </w:r>
            <w:r>
              <w:rPr>
                <w:rStyle w:val="IndexLink"/>
                <w:rtl w:val="true"/>
              </w:rPr>
              <w:t>]</w:t>
              <w:tab/>
            </w:r>
            <w:r>
              <w:rPr>
                <w:rStyle w:val="IndexLink"/>
              </w:rPr>
              <w:t>119</w:t>
            </w:r>
          </w:hyperlink>
        </w:p>
        <w:p>
          <w:pPr>
            <w:pStyle w:val="Contents3"/>
            <w:tabs>
              <w:tab w:val="clear" w:pos="8459"/>
              <w:tab w:val="right" w:pos="9026" w:leader="dot"/>
            </w:tabs>
            <w:rPr/>
          </w:pPr>
          <w:hyperlink w:anchor="__RefHeading___Toc2001393_2870459653">
            <w:r>
              <w:rPr>
                <w:webHidden/>
                <w:rStyle w:val="IndexLink"/>
                <w:rtl w:val="true"/>
              </w:rPr>
              <w:t>[</w:t>
            </w:r>
            <w:r>
              <w:rPr>
                <w:rStyle w:val="IndexLink"/>
                <w:rtl w:val="true"/>
              </w:rPr>
              <w:t>تحرير محل النزاع</w:t>
            </w:r>
            <w:r>
              <w:rPr>
                <w:rStyle w:val="IndexLink"/>
                <w:rtl w:val="true"/>
              </w:rPr>
              <w:t>]</w:t>
              <w:tab/>
            </w:r>
            <w:r>
              <w:rPr>
                <w:rStyle w:val="IndexLink"/>
              </w:rPr>
              <w:t>119</w:t>
            </w:r>
          </w:hyperlink>
        </w:p>
        <w:p>
          <w:pPr>
            <w:pStyle w:val="Contents3"/>
            <w:tabs>
              <w:tab w:val="clear" w:pos="8459"/>
              <w:tab w:val="right" w:pos="9026" w:leader="dot"/>
            </w:tabs>
            <w:rPr/>
          </w:pPr>
          <w:hyperlink w:anchor="__RefHeading___Toc2001395_2870459653">
            <w:r>
              <w:rPr>
                <w:webHidden/>
                <w:rStyle w:val="IndexLink"/>
                <w:rtl w:val="true"/>
              </w:rPr>
              <w:t>[</w:t>
            </w:r>
            <w:r>
              <w:rPr>
                <w:rStyle w:val="IndexLink"/>
                <w:rtl w:val="true"/>
              </w:rPr>
              <w:t>بيان كيفية أوضاع المفردات</w:t>
            </w:r>
            <w:r>
              <w:rPr>
                <w:rStyle w:val="IndexLink"/>
                <w:rtl w:val="true"/>
              </w:rPr>
              <w:t>]</w:t>
              <w:tab/>
            </w:r>
            <w:r>
              <w:rPr>
                <w:rStyle w:val="IndexLink"/>
              </w:rPr>
              <w:t>120</w:t>
            </w:r>
          </w:hyperlink>
        </w:p>
        <w:p>
          <w:pPr>
            <w:pStyle w:val="Contents3"/>
            <w:tabs>
              <w:tab w:val="clear" w:pos="8459"/>
              <w:tab w:val="right" w:pos="9026" w:leader="dot"/>
            </w:tabs>
            <w:rPr/>
          </w:pPr>
          <w:hyperlink w:anchor="__RefHeading___Toc2001397_2870459653">
            <w:r>
              <w:rPr>
                <w:webHidden/>
                <w:rStyle w:val="IndexLink"/>
                <w:rtl w:val="true"/>
              </w:rPr>
              <w:t>[</w:t>
            </w:r>
            <w:r>
              <w:rPr>
                <w:rStyle w:val="IndexLink"/>
                <w:rtl w:val="true"/>
              </w:rPr>
              <w:t>بيان كيفية أوضاع التثنية والجمع وأداة النفي</w:t>
            </w:r>
            <w:r>
              <w:rPr>
                <w:rStyle w:val="IndexLink"/>
                <w:rtl w:val="true"/>
              </w:rPr>
              <w:t>]</w:t>
              <w:tab/>
            </w:r>
            <w:r>
              <w:rPr>
                <w:rStyle w:val="IndexLink"/>
              </w:rPr>
              <w:t>121</w:t>
            </w:r>
          </w:hyperlink>
        </w:p>
        <w:p>
          <w:pPr>
            <w:pStyle w:val="Contents3"/>
            <w:tabs>
              <w:tab w:val="clear" w:pos="8459"/>
              <w:tab w:val="right" w:pos="9026" w:leader="dot"/>
            </w:tabs>
            <w:rPr/>
          </w:pPr>
          <w:hyperlink w:anchor="__RefHeading___Toc2001399_2870459653">
            <w:r>
              <w:rPr>
                <w:webHidden/>
                <w:rStyle w:val="IndexLink"/>
                <w:rtl w:val="true"/>
              </w:rPr>
              <w:t xml:space="preserve">[ </w:t>
            </w:r>
            <w:r>
              <w:rPr>
                <w:rStyle w:val="IndexLink"/>
                <w:rtl w:val="true"/>
              </w:rPr>
              <w:t>ثمرة المسألة</w:t>
            </w:r>
            <w:r>
              <w:rPr>
                <w:rStyle w:val="IndexLink"/>
                <w:rtl w:val="true"/>
              </w:rPr>
              <w:t>]</w:t>
              <w:tab/>
            </w:r>
            <w:r>
              <w:rPr>
                <w:rStyle w:val="IndexLink"/>
              </w:rPr>
              <w:t>122</w:t>
            </w:r>
          </w:hyperlink>
        </w:p>
        <w:p>
          <w:pPr>
            <w:pStyle w:val="Contents3"/>
            <w:tabs>
              <w:tab w:val="clear" w:pos="8459"/>
              <w:tab w:val="right" w:pos="9026" w:leader="dot"/>
            </w:tabs>
            <w:rPr/>
          </w:pPr>
          <w:hyperlink w:anchor="__RefHeading___Toc2001401_2870459653">
            <w:r>
              <w:rPr>
                <w:webHidden/>
                <w:rStyle w:val="IndexLink"/>
                <w:rtl w:val="true"/>
              </w:rPr>
              <w:t>[</w:t>
            </w:r>
            <w:r>
              <w:rPr>
                <w:rStyle w:val="IndexLink"/>
                <w:rtl w:val="true"/>
              </w:rPr>
              <w:t>تأسيس الأصل</w:t>
            </w:r>
            <w:r>
              <w:rPr>
                <w:rStyle w:val="IndexLink"/>
                <w:rtl w:val="true"/>
              </w:rPr>
              <w:t>]</w:t>
              <w:tab/>
            </w:r>
            <w:r>
              <w:rPr>
                <w:rStyle w:val="IndexLink"/>
              </w:rPr>
              <w:t>122</w:t>
            </w:r>
          </w:hyperlink>
        </w:p>
        <w:p>
          <w:pPr>
            <w:pStyle w:val="Contents2"/>
            <w:tabs>
              <w:tab w:val="clear" w:pos="8743"/>
              <w:tab w:val="right" w:pos="9026" w:leader="dot"/>
            </w:tabs>
            <w:rPr/>
          </w:pPr>
          <w:hyperlink w:anchor="__RefHeading___Toc2001403_2870459653">
            <w:r>
              <w:rPr>
                <w:webHidden/>
                <w:rStyle w:val="IndexLink"/>
                <w:rtl w:val="true"/>
              </w:rPr>
              <w:t xml:space="preserve">أصل </w:t>
            </w:r>
            <w:r>
              <w:rPr>
                <w:rStyle w:val="IndexLink"/>
                <w:rtl w:val="true"/>
              </w:rPr>
              <w:t>[</w:t>
            </w:r>
            <w:r>
              <w:rPr>
                <w:rStyle w:val="IndexLink"/>
                <w:rtl w:val="true"/>
              </w:rPr>
              <w:t>في استعمال اللفظ في معنييه الحقيقي والمجازي</w:t>
            </w:r>
            <w:r>
              <w:rPr>
                <w:rStyle w:val="IndexLink"/>
                <w:rtl w:val="true"/>
              </w:rPr>
              <w:t>]</w:t>
              <w:tab/>
            </w:r>
            <w:r>
              <w:rPr>
                <w:rStyle w:val="IndexLink"/>
              </w:rPr>
              <w:t>123</w:t>
            </w:r>
          </w:hyperlink>
        </w:p>
        <w:p>
          <w:pPr>
            <w:pStyle w:val="Contents3"/>
            <w:tabs>
              <w:tab w:val="clear" w:pos="8459"/>
              <w:tab w:val="right" w:pos="9026" w:leader="dot"/>
            </w:tabs>
            <w:rPr/>
          </w:pPr>
          <w:hyperlink w:anchor="__RefHeading___Toc2001405_2870459653">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2001407_2870459653">
            <w:r>
              <w:rPr>
                <w:webHidden/>
                <w:rStyle w:val="IndexLink"/>
                <w:rtl w:val="true"/>
              </w:rPr>
              <w:t>[</w:t>
            </w:r>
            <w:r>
              <w:rPr>
                <w:rStyle w:val="IndexLink"/>
                <w:rtl w:val="true"/>
              </w:rPr>
              <w:t>بيان معنى الحقيقة والمجاز والكناية</w:t>
            </w:r>
            <w:r>
              <w:rPr>
                <w:rStyle w:val="IndexLink"/>
                <w:rtl w:val="true"/>
              </w:rPr>
              <w:t>]</w:t>
              <w:tab/>
            </w:r>
            <w:r>
              <w:rPr>
                <w:rStyle w:val="IndexLink"/>
              </w:rPr>
              <w:t>123</w:t>
            </w:r>
          </w:hyperlink>
        </w:p>
        <w:p>
          <w:pPr>
            <w:pStyle w:val="Contents2"/>
            <w:tabs>
              <w:tab w:val="clear" w:pos="8743"/>
              <w:tab w:val="right" w:pos="9026" w:leader="dot"/>
            </w:tabs>
            <w:rPr/>
          </w:pPr>
          <w:hyperlink w:anchor="__RefHeading___Toc2001409_2870459653">
            <w:r>
              <w:rPr>
                <w:webHidden/>
                <w:rStyle w:val="IndexLink"/>
                <w:rtl w:val="true"/>
              </w:rPr>
              <w:t xml:space="preserve">أصل </w:t>
            </w:r>
            <w:r>
              <w:rPr>
                <w:rStyle w:val="IndexLink"/>
                <w:rtl w:val="true"/>
              </w:rPr>
              <w:t>[</w:t>
            </w:r>
            <w:r>
              <w:rPr>
                <w:rStyle w:val="IndexLink"/>
                <w:rtl w:val="true"/>
              </w:rPr>
              <w:t>في أن الألفاظ موضوعة للمعاني اللابشرط</w:t>
            </w:r>
            <w:r>
              <w:rPr>
                <w:rStyle w:val="IndexLink"/>
                <w:rtl w:val="true"/>
              </w:rPr>
              <w:t>]</w:t>
              <w:tab/>
            </w:r>
            <w:r>
              <w:rPr>
                <w:rStyle w:val="IndexLink"/>
              </w:rPr>
              <w:t>125</w:t>
            </w:r>
          </w:hyperlink>
        </w:p>
        <w:p>
          <w:pPr>
            <w:pStyle w:val="Contents3"/>
            <w:tabs>
              <w:tab w:val="clear" w:pos="8459"/>
              <w:tab w:val="right" w:pos="9026" w:leader="dot"/>
            </w:tabs>
            <w:rPr/>
          </w:pPr>
          <w:hyperlink w:anchor="__RefHeading___Toc2001411_2870459653">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2001413_2870459653">
            <w:r>
              <w:rPr>
                <w:webHidden/>
                <w:rStyle w:val="IndexLink"/>
                <w:rtl w:val="true"/>
              </w:rPr>
              <w:t>[</w:t>
            </w:r>
            <w:r>
              <w:rPr>
                <w:rStyle w:val="IndexLink"/>
                <w:rtl w:val="true"/>
              </w:rPr>
              <w:t>ثمرة المسألة</w:t>
            </w:r>
            <w:r>
              <w:rPr>
                <w:rStyle w:val="IndexLink"/>
                <w:rtl w:val="true"/>
              </w:rPr>
              <w:t>]</w:t>
              <w:tab/>
            </w:r>
            <w:r>
              <w:rPr>
                <w:rStyle w:val="IndexLink"/>
              </w:rPr>
              <w:t>125</w:t>
            </w:r>
          </w:hyperlink>
        </w:p>
        <w:p>
          <w:pPr>
            <w:pStyle w:val="Contents2"/>
            <w:tabs>
              <w:tab w:val="clear" w:pos="8743"/>
              <w:tab w:val="right" w:pos="9026" w:leader="dot"/>
            </w:tabs>
            <w:rPr/>
          </w:pPr>
          <w:hyperlink w:anchor="__RefHeading___Toc2001415_2870459653">
            <w:r>
              <w:rPr>
                <w:webHidden/>
                <w:rStyle w:val="IndexLink"/>
                <w:rtl w:val="true"/>
              </w:rPr>
              <w:t xml:space="preserve">أصل </w:t>
            </w:r>
            <w:r>
              <w:rPr>
                <w:rStyle w:val="IndexLink"/>
                <w:rtl w:val="true"/>
              </w:rPr>
              <w:t>[</w:t>
            </w:r>
            <w:r>
              <w:rPr>
                <w:rStyle w:val="IndexLink"/>
                <w:rtl w:val="true"/>
              </w:rPr>
              <w:t>في أن الألفاظ موضوعة للأمور النفس الأمرية</w:t>
            </w:r>
            <w:r>
              <w:rPr>
                <w:rStyle w:val="IndexLink"/>
                <w:rtl w:val="true"/>
              </w:rPr>
              <w:t>]</w:t>
              <w:tab/>
            </w:r>
            <w:r>
              <w:rPr>
                <w:rStyle w:val="IndexLink"/>
              </w:rPr>
              <w:t>126</w:t>
            </w:r>
          </w:hyperlink>
        </w:p>
        <w:p>
          <w:pPr>
            <w:pStyle w:val="Contents3"/>
            <w:tabs>
              <w:tab w:val="clear" w:pos="8459"/>
              <w:tab w:val="right" w:pos="9026" w:leader="dot"/>
            </w:tabs>
            <w:rPr/>
          </w:pPr>
          <w:hyperlink w:anchor="__RefHeading___Toc2001417_2870459653">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2001419_2870459653">
            <w:r>
              <w:rPr>
                <w:webHidden/>
                <w:rStyle w:val="IndexLink"/>
                <w:rtl w:val="true"/>
              </w:rPr>
              <w:t>[</w:t>
            </w:r>
            <w:r>
              <w:rPr>
                <w:rStyle w:val="IndexLink"/>
                <w:rtl w:val="true"/>
              </w:rPr>
              <w:t>ثمرة المسألة</w:t>
            </w:r>
            <w:r>
              <w:rPr>
                <w:rStyle w:val="IndexLink"/>
                <w:rtl w:val="true"/>
              </w:rPr>
              <w:t>]</w:t>
              <w:tab/>
            </w:r>
            <w:r>
              <w:rPr>
                <w:rStyle w:val="IndexLink"/>
              </w:rPr>
              <w:t>126</w:t>
            </w:r>
          </w:hyperlink>
        </w:p>
        <w:p>
          <w:pPr>
            <w:pStyle w:val="Contents2"/>
            <w:tabs>
              <w:tab w:val="clear" w:pos="8743"/>
              <w:tab w:val="right" w:pos="9026" w:leader="dot"/>
            </w:tabs>
            <w:rPr/>
          </w:pPr>
          <w:hyperlink w:anchor="__RefHeading___Toc2001421_2870459653">
            <w:r>
              <w:rPr>
                <w:webHidden/>
                <w:rStyle w:val="IndexLink"/>
                <w:rtl w:val="true"/>
              </w:rPr>
              <w:t xml:space="preserve">أصل </w:t>
            </w:r>
            <w:r>
              <w:rPr>
                <w:rStyle w:val="IndexLink"/>
                <w:rtl w:val="true"/>
              </w:rPr>
              <w:t>[</w:t>
            </w:r>
            <w:r>
              <w:rPr>
                <w:rStyle w:val="IndexLink"/>
                <w:rtl w:val="true"/>
              </w:rPr>
              <w:t>في تعارض العرف واللغة</w:t>
            </w:r>
            <w:r>
              <w:rPr>
                <w:rStyle w:val="IndexLink"/>
                <w:rtl w:val="true"/>
              </w:rPr>
              <w:t>]</w:t>
              <w:tab/>
            </w:r>
            <w:r>
              <w:rPr>
                <w:rStyle w:val="IndexLink"/>
              </w:rPr>
              <w:t>127</w:t>
            </w:r>
          </w:hyperlink>
        </w:p>
        <w:p>
          <w:pPr>
            <w:pStyle w:val="Contents2"/>
            <w:tabs>
              <w:tab w:val="clear" w:pos="8743"/>
              <w:tab w:val="right" w:pos="9026" w:leader="dot"/>
            </w:tabs>
            <w:rPr/>
          </w:pPr>
          <w:hyperlink w:anchor="__RefHeading___Toc2001423_2870459653">
            <w:r>
              <w:rPr>
                <w:webHidden/>
                <w:rStyle w:val="IndexLink"/>
                <w:rtl w:val="true"/>
              </w:rPr>
              <w:t xml:space="preserve">أصل </w:t>
            </w:r>
            <w:r>
              <w:rPr>
                <w:rStyle w:val="IndexLink"/>
                <w:rtl w:val="true"/>
              </w:rPr>
              <w:t>[</w:t>
            </w:r>
            <w:r>
              <w:rPr>
                <w:rStyle w:val="IndexLink"/>
                <w:rtl w:val="true"/>
              </w:rPr>
              <w:t>في تعارض عرف السائل والمسؤول</w:t>
            </w:r>
            <w:r>
              <w:rPr>
                <w:rStyle w:val="IndexLink"/>
                <w:rtl w:val="true"/>
              </w:rPr>
              <w:t>]</w:t>
              <w:tab/>
            </w:r>
            <w:r>
              <w:rPr>
                <w:rStyle w:val="IndexLink"/>
              </w:rPr>
              <w:t>128</w:t>
            </w:r>
          </w:hyperlink>
        </w:p>
        <w:p>
          <w:pPr>
            <w:pStyle w:val="Contents2"/>
            <w:tabs>
              <w:tab w:val="clear" w:pos="8743"/>
              <w:tab w:val="right" w:pos="9026" w:leader="dot"/>
            </w:tabs>
            <w:rPr/>
          </w:pPr>
          <w:hyperlink w:anchor="__RefHeading___Toc2001425_2870459653">
            <w:r>
              <w:rPr>
                <w:webHidden/>
                <w:rStyle w:val="IndexLink"/>
                <w:rtl w:val="true"/>
              </w:rPr>
              <w:t xml:space="preserve">أصل </w:t>
            </w:r>
            <w:r>
              <w:rPr>
                <w:rStyle w:val="IndexLink"/>
                <w:rtl w:val="true"/>
              </w:rPr>
              <w:t>[</w:t>
            </w:r>
            <w:r>
              <w:rPr>
                <w:rStyle w:val="IndexLink"/>
                <w:rtl w:val="true"/>
              </w:rPr>
              <w:t>في إطلاق ألفاظ الموازين والمقادير</w:t>
            </w:r>
            <w:r>
              <w:rPr>
                <w:rStyle w:val="IndexLink"/>
                <w:rtl w:val="true"/>
              </w:rPr>
              <w:t>]</w:t>
              <w:tab/>
            </w:r>
            <w:r>
              <w:rPr>
                <w:rStyle w:val="IndexLink"/>
              </w:rPr>
              <w:t>129</w:t>
            </w:r>
          </w:hyperlink>
        </w:p>
        <w:p>
          <w:pPr>
            <w:pStyle w:val="Contents2"/>
            <w:tabs>
              <w:tab w:val="clear" w:pos="8743"/>
              <w:tab w:val="right" w:pos="9026" w:leader="dot"/>
            </w:tabs>
            <w:rPr/>
          </w:pPr>
          <w:hyperlink w:anchor="__RefHeading___Toc2001427_2870459653">
            <w:r>
              <w:rPr>
                <w:webHidden/>
                <w:rStyle w:val="IndexLink"/>
                <w:rtl w:val="true"/>
              </w:rPr>
              <w:t xml:space="preserve">أصل </w:t>
            </w:r>
            <w:r>
              <w:rPr>
                <w:rStyle w:val="IndexLink"/>
                <w:rtl w:val="true"/>
              </w:rPr>
              <w:t>[</w:t>
            </w:r>
            <w:r>
              <w:rPr>
                <w:rStyle w:val="IndexLink"/>
                <w:rtl w:val="true"/>
              </w:rPr>
              <w:t>في المشتق</w:t>
            </w:r>
            <w:r>
              <w:rPr>
                <w:rStyle w:val="IndexLink"/>
                <w:rtl w:val="true"/>
              </w:rPr>
              <w:t>]</w:t>
              <w:tab/>
            </w:r>
            <w:r>
              <w:rPr>
                <w:rStyle w:val="IndexLink"/>
              </w:rPr>
              <w:t>129</w:t>
            </w:r>
          </w:hyperlink>
        </w:p>
        <w:p>
          <w:pPr>
            <w:pStyle w:val="Contents3"/>
            <w:tabs>
              <w:tab w:val="clear" w:pos="8459"/>
              <w:tab w:val="right" w:pos="9026" w:leader="dot"/>
            </w:tabs>
            <w:rPr/>
          </w:pPr>
          <w:hyperlink w:anchor="__RefHeading___Toc2001429_2870459653">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2001431_2870459653">
            <w:r>
              <w:rPr>
                <w:webHidden/>
                <w:rStyle w:val="IndexLink"/>
                <w:rtl w:val="true"/>
              </w:rPr>
              <w:t>[</w:t>
            </w:r>
            <w:r>
              <w:rPr>
                <w:rStyle w:val="IndexLink"/>
                <w:rtl w:val="true"/>
              </w:rPr>
              <w:t>تأسيس للأصل</w:t>
            </w:r>
            <w:r>
              <w:rPr>
                <w:rStyle w:val="IndexLink"/>
                <w:rtl w:val="true"/>
              </w:rPr>
              <w:t>]</w:t>
              <w:tab/>
            </w:r>
            <w:r>
              <w:rPr>
                <w:rStyle w:val="IndexLink"/>
              </w:rPr>
              <w:t>131</w:t>
            </w:r>
          </w:hyperlink>
        </w:p>
        <w:p>
          <w:pPr>
            <w:pStyle w:val="Contents2"/>
            <w:tabs>
              <w:tab w:val="clear" w:pos="8743"/>
              <w:tab w:val="right" w:pos="9026" w:leader="dot"/>
            </w:tabs>
            <w:rPr/>
          </w:pPr>
          <w:hyperlink w:anchor="__RefHeading___Toc2001433_2870459653">
            <w:r>
              <w:rPr>
                <w:webHidden/>
                <w:rStyle w:val="IndexLink"/>
                <w:rtl w:val="true"/>
              </w:rPr>
              <w:t>[</w:t>
            </w:r>
            <w:r>
              <w:rPr>
                <w:rStyle w:val="IndexLink"/>
                <w:rtl w:val="true"/>
              </w:rPr>
              <w:t>ثمرة المسألة</w:t>
            </w:r>
            <w:r>
              <w:rPr>
                <w:rStyle w:val="IndexLink"/>
                <w:rtl w:val="true"/>
              </w:rPr>
              <w:t>]</w:t>
              <w:tab/>
            </w:r>
            <w:r>
              <w:rPr>
                <w:rStyle w:val="IndexLink"/>
              </w:rPr>
              <w:t>131</w:t>
            </w:r>
          </w:hyperlink>
        </w:p>
        <w:p>
          <w:pPr>
            <w:pStyle w:val="Contents3"/>
            <w:tabs>
              <w:tab w:val="clear" w:pos="8459"/>
              <w:tab w:val="right" w:pos="9026" w:leader="dot"/>
            </w:tabs>
            <w:rPr/>
          </w:pPr>
          <w:hyperlink w:anchor="__RefHeading___Toc2001435_2870459653">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2001437_2870459653">
            <w:r>
              <w:rPr>
                <w:webHidden/>
                <w:rStyle w:val="IndexLink"/>
                <w:rtl w:val="true"/>
              </w:rPr>
              <w:t>[</w:t>
            </w:r>
            <w:r>
              <w:rPr>
                <w:rStyle w:val="IndexLink"/>
                <w:rtl w:val="true"/>
              </w:rPr>
              <w:t>المختار في المسألة</w:t>
            </w:r>
            <w:r>
              <w:rPr>
                <w:rStyle w:val="IndexLink"/>
                <w:rtl w:val="true"/>
              </w:rPr>
              <w:t>]</w:t>
              <w:tab/>
            </w:r>
            <w:r>
              <w:rPr>
                <w:rStyle w:val="IndexLink"/>
              </w:rPr>
              <w:t>132</w:t>
            </w:r>
          </w:hyperlink>
        </w:p>
        <w:p>
          <w:pPr>
            <w:pStyle w:val="Contents2"/>
            <w:tabs>
              <w:tab w:val="clear" w:pos="8743"/>
              <w:tab w:val="right" w:pos="9026" w:leader="dot"/>
            </w:tabs>
            <w:rPr/>
          </w:pPr>
          <w:hyperlink w:anchor="__RefHeading___Toc2001439_2870459653">
            <w:r>
              <w:rPr>
                <w:webHidden/>
                <w:rStyle w:val="IndexLink"/>
                <w:rtl w:val="true"/>
              </w:rPr>
              <w:t xml:space="preserve">أصل </w:t>
            </w:r>
            <w:r>
              <w:rPr>
                <w:rStyle w:val="IndexLink"/>
                <w:rtl w:val="true"/>
              </w:rPr>
              <w:t>[</w:t>
            </w:r>
            <w:r>
              <w:rPr>
                <w:rStyle w:val="IndexLink"/>
                <w:rtl w:val="true"/>
              </w:rPr>
              <w:t>في مادة الأمر</w:t>
            </w:r>
            <w:r>
              <w:rPr>
                <w:rStyle w:val="IndexLink"/>
                <w:rtl w:val="true"/>
              </w:rPr>
              <w:t>]</w:t>
              <w:tab/>
            </w:r>
            <w:r>
              <w:rPr>
                <w:rStyle w:val="IndexLink"/>
              </w:rPr>
              <w:t>133</w:t>
            </w:r>
          </w:hyperlink>
        </w:p>
        <w:p>
          <w:pPr>
            <w:pStyle w:val="Contents2"/>
            <w:tabs>
              <w:tab w:val="clear" w:pos="8743"/>
              <w:tab w:val="right" w:pos="9026" w:leader="dot"/>
            </w:tabs>
            <w:rPr/>
          </w:pPr>
          <w:hyperlink w:anchor="__RefHeading___Toc2001441_2870459653">
            <w:r>
              <w:rPr>
                <w:webHidden/>
                <w:rStyle w:val="IndexLink"/>
                <w:rtl w:val="true"/>
              </w:rPr>
              <w:t xml:space="preserve">أصل </w:t>
            </w:r>
            <w:r>
              <w:rPr>
                <w:rStyle w:val="IndexLink"/>
                <w:rtl w:val="true"/>
              </w:rPr>
              <w:t>[</w:t>
            </w:r>
            <w:r>
              <w:rPr>
                <w:rStyle w:val="IndexLink"/>
                <w:rtl w:val="true"/>
              </w:rPr>
              <w:t>في صيغة الأمر</w:t>
            </w:r>
            <w:r>
              <w:rPr>
                <w:rStyle w:val="IndexLink"/>
                <w:rtl w:val="true"/>
              </w:rPr>
              <w:t>]</w:t>
              <w:tab/>
            </w:r>
            <w:r>
              <w:rPr>
                <w:rStyle w:val="IndexLink"/>
              </w:rPr>
              <w:t>134</w:t>
            </w:r>
          </w:hyperlink>
        </w:p>
        <w:p>
          <w:pPr>
            <w:pStyle w:val="Contents3"/>
            <w:tabs>
              <w:tab w:val="clear" w:pos="8459"/>
              <w:tab w:val="right" w:pos="9026" w:leader="dot"/>
            </w:tabs>
            <w:rPr/>
          </w:pPr>
          <w:hyperlink w:anchor="__RefHeading___Toc2001443_2870459653">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2001445_2870459653">
            <w:r>
              <w:rPr>
                <w:webHidden/>
                <w:rStyle w:val="IndexLink"/>
                <w:rtl w:val="true"/>
              </w:rPr>
              <w:t>تبصرة</w:t>
            </w:r>
            <w:r>
              <w:rPr>
                <w:rStyle w:val="IndexLink"/>
                <w:rtl w:val="true"/>
              </w:rPr>
              <w:tab/>
            </w:r>
            <w:r>
              <w:rPr>
                <w:rStyle w:val="IndexLink"/>
              </w:rPr>
              <w:t>138</w:t>
            </w:r>
          </w:hyperlink>
        </w:p>
        <w:p>
          <w:pPr>
            <w:pStyle w:val="Contents3"/>
            <w:tabs>
              <w:tab w:val="clear" w:pos="8459"/>
              <w:tab w:val="right" w:pos="9026" w:leader="dot"/>
            </w:tabs>
            <w:rPr/>
          </w:pPr>
          <w:hyperlink w:anchor="__RefHeading___Toc2001447_2870459653">
            <w:r>
              <w:rPr>
                <w:webHidden/>
                <w:rStyle w:val="IndexLink"/>
                <w:rtl w:val="true"/>
              </w:rPr>
              <w:t>[</w:t>
            </w:r>
            <w:r>
              <w:rPr>
                <w:rStyle w:val="IndexLink"/>
                <w:rtl w:val="true"/>
              </w:rPr>
              <w:t>في المجاز المشهور</w:t>
            </w:r>
            <w:r>
              <w:rPr>
                <w:rStyle w:val="IndexLink"/>
                <w:rtl w:val="true"/>
              </w:rPr>
              <w:t>]</w:t>
              <w:tab/>
            </w:r>
            <w:r>
              <w:rPr>
                <w:rStyle w:val="IndexLink"/>
              </w:rPr>
              <w:t>138</w:t>
            </w:r>
          </w:hyperlink>
        </w:p>
        <w:p>
          <w:pPr>
            <w:pStyle w:val="Contents2"/>
            <w:tabs>
              <w:tab w:val="clear" w:pos="8743"/>
              <w:tab w:val="right" w:pos="9026" w:leader="dot"/>
            </w:tabs>
            <w:rPr/>
          </w:pPr>
          <w:hyperlink w:anchor="__RefHeading___Toc2001449_2870459653">
            <w:r>
              <w:rPr>
                <w:webHidden/>
                <w:rStyle w:val="IndexLink"/>
                <w:rtl w:val="true"/>
              </w:rPr>
              <w:t xml:space="preserve">أصل </w:t>
            </w:r>
            <w:r>
              <w:rPr>
                <w:rStyle w:val="IndexLink"/>
                <w:rtl w:val="true"/>
              </w:rPr>
              <w:t>[</w:t>
            </w:r>
            <w:r>
              <w:rPr>
                <w:rStyle w:val="IndexLink"/>
                <w:rtl w:val="true"/>
              </w:rPr>
              <w:t>في أن الأمر بالأمر أمر أم لا</w:t>
            </w:r>
            <w:r>
              <w:rPr>
                <w:rStyle w:val="IndexLink"/>
                <w:rtl w:val="true"/>
              </w:rPr>
              <w:t>]</w:t>
              <w:tab/>
            </w:r>
            <w:r>
              <w:rPr>
                <w:rStyle w:val="IndexLink"/>
              </w:rPr>
              <w:t>140</w:t>
            </w:r>
          </w:hyperlink>
        </w:p>
        <w:p>
          <w:pPr>
            <w:pStyle w:val="Contents3"/>
            <w:tabs>
              <w:tab w:val="clear" w:pos="8459"/>
              <w:tab w:val="right" w:pos="9026" w:leader="dot"/>
            </w:tabs>
            <w:rPr/>
          </w:pPr>
          <w:hyperlink w:anchor="__RefHeading___Toc2001451_2870459653">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2001453_2870459653">
            <w:r>
              <w:rPr>
                <w:webHidden/>
                <w:rStyle w:val="IndexLink"/>
                <w:rtl w:val="true"/>
              </w:rPr>
              <w:t>[</w:t>
            </w:r>
            <w:r>
              <w:rPr>
                <w:rStyle w:val="IndexLink"/>
                <w:rtl w:val="true"/>
              </w:rPr>
              <w:t>ثمرة المسألة</w:t>
            </w:r>
            <w:r>
              <w:rPr>
                <w:rStyle w:val="IndexLink"/>
                <w:rtl w:val="true"/>
              </w:rPr>
              <w:t>]</w:t>
              <w:tab/>
            </w:r>
            <w:r>
              <w:rPr>
                <w:rStyle w:val="IndexLink"/>
              </w:rPr>
              <w:t>141</w:t>
            </w:r>
          </w:hyperlink>
        </w:p>
        <w:p>
          <w:pPr>
            <w:pStyle w:val="Contents2"/>
            <w:tabs>
              <w:tab w:val="clear" w:pos="8743"/>
              <w:tab w:val="right" w:pos="9026" w:leader="dot"/>
            </w:tabs>
            <w:rPr/>
          </w:pPr>
          <w:hyperlink w:anchor="__RefHeading___Toc2001455_2870459653">
            <w:r>
              <w:rPr>
                <w:webHidden/>
                <w:rStyle w:val="IndexLink"/>
                <w:rtl w:val="true"/>
              </w:rPr>
              <w:t xml:space="preserve">أصل </w:t>
            </w:r>
            <w:r>
              <w:rPr>
                <w:rStyle w:val="IndexLink"/>
                <w:rtl w:val="true"/>
              </w:rPr>
              <w:t>[</w:t>
            </w:r>
            <w:r>
              <w:rPr>
                <w:rStyle w:val="IndexLink"/>
                <w:rtl w:val="true"/>
              </w:rPr>
              <w:t>في الأمر الوارد عقيب الحظر</w:t>
            </w:r>
            <w:r>
              <w:rPr>
                <w:rStyle w:val="IndexLink"/>
                <w:rtl w:val="true"/>
              </w:rPr>
              <w:t>]</w:t>
              <w:tab/>
            </w:r>
            <w:r>
              <w:rPr>
                <w:rStyle w:val="IndexLink"/>
              </w:rPr>
              <w:t>141</w:t>
            </w:r>
          </w:hyperlink>
        </w:p>
        <w:p>
          <w:pPr>
            <w:pStyle w:val="Contents3"/>
            <w:tabs>
              <w:tab w:val="clear" w:pos="8459"/>
              <w:tab w:val="right" w:pos="9026" w:leader="dot"/>
            </w:tabs>
            <w:rPr/>
          </w:pPr>
          <w:hyperlink w:anchor="__RefHeading___Toc2001457_2870459653">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2001459_2870459653">
            <w:r>
              <w:rPr>
                <w:webHidden/>
                <w:rStyle w:val="IndexLink"/>
                <w:rtl w:val="true"/>
              </w:rPr>
              <w:t>[</w:t>
            </w:r>
            <w:r>
              <w:rPr>
                <w:rStyle w:val="IndexLink"/>
                <w:rtl w:val="true"/>
              </w:rPr>
              <w:t>تحرير محل النزاع</w:t>
            </w:r>
            <w:r>
              <w:rPr>
                <w:rStyle w:val="IndexLink"/>
                <w:rtl w:val="true"/>
              </w:rPr>
              <w:t>]</w:t>
              <w:tab/>
            </w:r>
            <w:r>
              <w:rPr>
                <w:rStyle w:val="IndexLink"/>
              </w:rPr>
              <w:t>142</w:t>
            </w:r>
          </w:hyperlink>
        </w:p>
        <w:p>
          <w:pPr>
            <w:pStyle w:val="Contents3"/>
            <w:tabs>
              <w:tab w:val="clear" w:pos="8459"/>
              <w:tab w:val="right" w:pos="9026" w:leader="dot"/>
            </w:tabs>
            <w:rPr/>
          </w:pPr>
          <w:hyperlink w:anchor="__RefHeading___Toc2001461_2870459653">
            <w:r>
              <w:rPr>
                <w:webHidden/>
                <w:rStyle w:val="IndexLink"/>
                <w:rtl w:val="true"/>
              </w:rPr>
              <w:t>[</w:t>
            </w:r>
            <w:r>
              <w:rPr>
                <w:rStyle w:val="IndexLink"/>
                <w:rtl w:val="true"/>
              </w:rPr>
              <w:t>المختار في المسألة</w:t>
            </w:r>
            <w:r>
              <w:rPr>
                <w:rStyle w:val="IndexLink"/>
                <w:rtl w:val="true"/>
              </w:rPr>
              <w:t>]</w:t>
              <w:tab/>
            </w:r>
            <w:r>
              <w:rPr>
                <w:rStyle w:val="IndexLink"/>
              </w:rPr>
              <w:t>142</w:t>
            </w:r>
          </w:hyperlink>
        </w:p>
        <w:p>
          <w:pPr>
            <w:pStyle w:val="Contents2"/>
            <w:tabs>
              <w:tab w:val="clear" w:pos="8743"/>
              <w:tab w:val="right" w:pos="9026" w:leader="dot"/>
            </w:tabs>
            <w:rPr/>
          </w:pPr>
          <w:hyperlink w:anchor="__RefHeading___Toc2001463_2870459653">
            <w:r>
              <w:rPr>
                <w:webHidden/>
                <w:rStyle w:val="IndexLink"/>
                <w:rtl w:val="true"/>
              </w:rPr>
              <w:t xml:space="preserve">أصل </w:t>
            </w:r>
            <w:r>
              <w:rPr>
                <w:rStyle w:val="IndexLink"/>
                <w:rtl w:val="true"/>
              </w:rPr>
              <w:t>[</w:t>
            </w:r>
            <w:r>
              <w:rPr>
                <w:rStyle w:val="IndexLink"/>
                <w:rtl w:val="true"/>
              </w:rPr>
              <w:t>في المرة والتكرار</w:t>
            </w:r>
            <w:r>
              <w:rPr>
                <w:rStyle w:val="IndexLink"/>
                <w:rtl w:val="true"/>
              </w:rPr>
              <w:t>]</w:t>
              <w:tab/>
            </w:r>
            <w:r>
              <w:rPr>
                <w:rStyle w:val="IndexLink"/>
              </w:rPr>
              <w:t>143</w:t>
            </w:r>
          </w:hyperlink>
        </w:p>
        <w:p>
          <w:pPr>
            <w:pStyle w:val="Contents3"/>
            <w:tabs>
              <w:tab w:val="clear" w:pos="8459"/>
              <w:tab w:val="right" w:pos="9026" w:leader="dot"/>
            </w:tabs>
            <w:rPr/>
          </w:pPr>
          <w:hyperlink w:anchor="__RefHeading___Toc2001465_2870459653">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2001467_2870459653">
            <w:r>
              <w:rPr>
                <w:webHidden/>
                <w:rStyle w:val="IndexLink"/>
                <w:rtl w:val="true"/>
              </w:rPr>
              <w:t>[</w:t>
            </w:r>
            <w:r>
              <w:rPr>
                <w:rStyle w:val="IndexLink"/>
                <w:rtl w:val="true"/>
              </w:rPr>
              <w:t>ثمرة المسألة</w:t>
            </w:r>
            <w:r>
              <w:rPr>
                <w:rStyle w:val="IndexLink"/>
                <w:rtl w:val="true"/>
              </w:rPr>
              <w:t>]</w:t>
              <w:tab/>
            </w:r>
            <w:r>
              <w:rPr>
                <w:rStyle w:val="IndexLink"/>
              </w:rPr>
              <w:t>144</w:t>
            </w:r>
          </w:hyperlink>
        </w:p>
        <w:p>
          <w:pPr>
            <w:pStyle w:val="Contents3"/>
            <w:tabs>
              <w:tab w:val="clear" w:pos="8459"/>
              <w:tab w:val="right" w:pos="9026" w:leader="dot"/>
            </w:tabs>
            <w:rPr/>
          </w:pPr>
          <w:hyperlink w:anchor="__RefHeading___Toc2001469_2870459653">
            <w:r>
              <w:rPr>
                <w:webHidden/>
                <w:rStyle w:val="IndexLink"/>
                <w:rtl w:val="true"/>
              </w:rPr>
              <w:t>[</w:t>
            </w:r>
            <w:r>
              <w:rPr>
                <w:rStyle w:val="IndexLink"/>
                <w:rtl w:val="true"/>
              </w:rPr>
              <w:t>تأسيس الأصل</w:t>
            </w:r>
            <w:r>
              <w:rPr>
                <w:rStyle w:val="IndexLink"/>
                <w:rtl w:val="true"/>
              </w:rPr>
              <w:t>]</w:t>
              <w:tab/>
            </w:r>
            <w:r>
              <w:rPr>
                <w:rStyle w:val="IndexLink"/>
              </w:rPr>
              <w:t>145</w:t>
            </w:r>
          </w:hyperlink>
        </w:p>
        <w:p>
          <w:pPr>
            <w:pStyle w:val="Contents2"/>
            <w:tabs>
              <w:tab w:val="clear" w:pos="8743"/>
              <w:tab w:val="right" w:pos="9026" w:leader="dot"/>
            </w:tabs>
            <w:rPr/>
          </w:pPr>
          <w:hyperlink w:anchor="__RefHeading___Toc2001471_2870459653">
            <w:r>
              <w:rPr>
                <w:webHidden/>
                <w:rStyle w:val="IndexLink"/>
                <w:rtl w:val="true"/>
              </w:rPr>
              <w:t xml:space="preserve">أصل </w:t>
            </w:r>
            <w:r>
              <w:rPr>
                <w:rStyle w:val="IndexLink"/>
                <w:rtl w:val="true"/>
              </w:rPr>
              <w:t>[</w:t>
            </w:r>
            <w:r>
              <w:rPr>
                <w:rStyle w:val="IndexLink"/>
                <w:rtl w:val="true"/>
              </w:rPr>
              <w:t>في الفور والتراخي</w:t>
            </w:r>
            <w:r>
              <w:rPr>
                <w:rStyle w:val="IndexLink"/>
                <w:rtl w:val="true"/>
              </w:rPr>
              <w:t>]</w:t>
              <w:tab/>
            </w:r>
            <w:r>
              <w:rPr>
                <w:rStyle w:val="IndexLink"/>
              </w:rPr>
              <w:t>147</w:t>
            </w:r>
          </w:hyperlink>
        </w:p>
        <w:p>
          <w:pPr>
            <w:pStyle w:val="Contents3"/>
            <w:tabs>
              <w:tab w:val="clear" w:pos="8459"/>
              <w:tab w:val="right" w:pos="9026" w:leader="dot"/>
            </w:tabs>
            <w:rPr/>
          </w:pPr>
          <w:hyperlink w:anchor="__RefHeading___Toc2001473_2870459653">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2001475_2870459653">
            <w:r>
              <w:rPr>
                <w:webHidden/>
                <w:rStyle w:val="IndexLink"/>
                <w:rtl w:val="true"/>
              </w:rPr>
              <w:t>[</w:t>
            </w:r>
            <w:r>
              <w:rPr>
                <w:rStyle w:val="IndexLink"/>
                <w:rtl w:val="true"/>
              </w:rPr>
              <w:t>ثمرة المسألة</w:t>
            </w:r>
            <w:r>
              <w:rPr>
                <w:rStyle w:val="IndexLink"/>
                <w:rtl w:val="true"/>
              </w:rPr>
              <w:t>]</w:t>
              <w:tab/>
            </w:r>
            <w:r>
              <w:rPr>
                <w:rStyle w:val="IndexLink"/>
              </w:rPr>
              <w:t>148</w:t>
            </w:r>
          </w:hyperlink>
        </w:p>
        <w:p>
          <w:pPr>
            <w:pStyle w:val="Contents3"/>
            <w:tabs>
              <w:tab w:val="clear" w:pos="8459"/>
              <w:tab w:val="right" w:pos="9026" w:leader="dot"/>
            </w:tabs>
            <w:rPr/>
          </w:pPr>
          <w:hyperlink w:anchor="__RefHeading___Toc2001477_2870459653">
            <w:r>
              <w:rPr>
                <w:webHidden/>
                <w:rStyle w:val="IndexLink"/>
                <w:rtl w:val="true"/>
              </w:rPr>
              <w:t>[</w:t>
            </w:r>
            <w:r>
              <w:rPr>
                <w:rStyle w:val="IndexLink"/>
                <w:rtl w:val="true"/>
              </w:rPr>
              <w:t>تأسيس الأصل</w:t>
            </w:r>
            <w:r>
              <w:rPr>
                <w:rStyle w:val="IndexLink"/>
                <w:rtl w:val="true"/>
              </w:rPr>
              <w:t>]</w:t>
              <w:tab/>
            </w:r>
            <w:r>
              <w:rPr>
                <w:rStyle w:val="IndexLink"/>
              </w:rPr>
              <w:t>149</w:t>
            </w:r>
          </w:hyperlink>
        </w:p>
        <w:p>
          <w:pPr>
            <w:pStyle w:val="Contents3"/>
            <w:tabs>
              <w:tab w:val="clear" w:pos="8459"/>
              <w:tab w:val="right" w:pos="9026" w:leader="dot"/>
            </w:tabs>
            <w:rPr/>
          </w:pPr>
          <w:hyperlink w:anchor="__RefHeading___Toc2001479_2870459653">
            <w:r>
              <w:rPr>
                <w:webHidden/>
                <w:rStyle w:val="IndexLink"/>
                <w:rtl w:val="true"/>
              </w:rPr>
              <w:t>[</w:t>
            </w:r>
            <w:r>
              <w:rPr>
                <w:rStyle w:val="IndexLink"/>
                <w:rtl w:val="true"/>
              </w:rPr>
              <w:t>المختار في المسألة</w:t>
            </w:r>
            <w:r>
              <w:rPr>
                <w:rStyle w:val="IndexLink"/>
                <w:rtl w:val="true"/>
              </w:rPr>
              <w:t>]</w:t>
              <w:tab/>
            </w:r>
            <w:r>
              <w:rPr>
                <w:rStyle w:val="IndexLink"/>
              </w:rPr>
              <w:t>149</w:t>
            </w:r>
          </w:hyperlink>
        </w:p>
        <w:p>
          <w:pPr>
            <w:pStyle w:val="Contents3"/>
            <w:tabs>
              <w:tab w:val="clear" w:pos="8459"/>
              <w:tab w:val="right" w:pos="9026" w:leader="dot"/>
            </w:tabs>
            <w:rPr/>
          </w:pPr>
          <w:hyperlink w:anchor="__RefHeading___Toc2001481_2870459653">
            <w:r>
              <w:rPr>
                <w:webHidden/>
                <w:rStyle w:val="IndexLink"/>
                <w:rtl w:val="true"/>
              </w:rPr>
              <w:t>[</w:t>
            </w:r>
            <w:r>
              <w:rPr>
                <w:rStyle w:val="IndexLink"/>
                <w:rtl w:val="true"/>
              </w:rPr>
              <w:t>أدلة القول بالفور</w:t>
            </w:r>
            <w:r>
              <w:rPr>
                <w:rStyle w:val="IndexLink"/>
                <w:rtl w:val="true"/>
              </w:rPr>
              <w:t>]</w:t>
              <w:tab/>
            </w:r>
            <w:r>
              <w:rPr>
                <w:rStyle w:val="IndexLink"/>
              </w:rPr>
              <w:t>149</w:t>
            </w:r>
          </w:hyperlink>
        </w:p>
        <w:p>
          <w:pPr>
            <w:pStyle w:val="Contents2"/>
            <w:tabs>
              <w:tab w:val="clear" w:pos="8743"/>
              <w:tab w:val="right" w:pos="9026" w:leader="dot"/>
            </w:tabs>
            <w:rPr/>
          </w:pPr>
          <w:hyperlink w:anchor="__RefHeading___Toc2001483_2870459653">
            <w:r>
              <w:rPr>
                <w:webHidden/>
                <w:rStyle w:val="IndexLink"/>
                <w:rtl w:val="true"/>
              </w:rPr>
              <w:t xml:space="preserve">أصل </w:t>
            </w:r>
            <w:r>
              <w:rPr>
                <w:rStyle w:val="IndexLink"/>
                <w:rtl w:val="true"/>
              </w:rPr>
              <w:t>[</w:t>
            </w:r>
            <w:r>
              <w:rPr>
                <w:rStyle w:val="IndexLink"/>
                <w:rtl w:val="true"/>
              </w:rPr>
              <w:t>في أن القضاء بفرض جديد أم لا بل بالأمر الأول</w:t>
            </w:r>
            <w:r>
              <w:rPr>
                <w:rStyle w:val="IndexLink"/>
                <w:rtl w:val="true"/>
              </w:rPr>
              <w:t>]</w:t>
              <w:tab/>
            </w:r>
            <w:r>
              <w:rPr>
                <w:rStyle w:val="IndexLink"/>
              </w:rPr>
              <w:t>151</w:t>
            </w:r>
          </w:hyperlink>
        </w:p>
        <w:p>
          <w:pPr>
            <w:pStyle w:val="Contents2"/>
            <w:tabs>
              <w:tab w:val="clear" w:pos="8743"/>
              <w:tab w:val="right" w:pos="9026" w:leader="dot"/>
            </w:tabs>
            <w:rPr/>
          </w:pPr>
          <w:hyperlink w:anchor="__RefHeading___Toc2001485_2870459653">
            <w:r>
              <w:rPr>
                <w:webHidden/>
                <w:rStyle w:val="IndexLink"/>
                <w:rtl w:val="true"/>
              </w:rPr>
              <w:t xml:space="preserve">أصل </w:t>
            </w:r>
            <w:r>
              <w:rPr>
                <w:rStyle w:val="IndexLink"/>
                <w:rtl w:val="true"/>
              </w:rPr>
              <w:t>[</w:t>
            </w:r>
            <w:r>
              <w:rPr>
                <w:rStyle w:val="IndexLink"/>
                <w:rtl w:val="true"/>
              </w:rPr>
              <w:t>في مقدمة الواجب</w:t>
            </w:r>
            <w:r>
              <w:rPr>
                <w:rStyle w:val="IndexLink"/>
                <w:rtl w:val="true"/>
              </w:rPr>
              <w:t>]</w:t>
              <w:tab/>
            </w:r>
            <w:r>
              <w:rPr>
                <w:rStyle w:val="IndexLink"/>
              </w:rPr>
              <w:t>152</w:t>
            </w:r>
          </w:hyperlink>
        </w:p>
        <w:p>
          <w:pPr>
            <w:pStyle w:val="Contents3"/>
            <w:tabs>
              <w:tab w:val="clear" w:pos="8459"/>
              <w:tab w:val="right" w:pos="9026" w:leader="dot"/>
            </w:tabs>
            <w:rPr/>
          </w:pPr>
          <w:hyperlink w:anchor="__RefHeading___Toc2001487_2870459653">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2001489_2870459653">
            <w:r>
              <w:rPr>
                <w:webHidden/>
                <w:rStyle w:val="IndexLink"/>
                <w:rtl w:val="true"/>
              </w:rPr>
              <w:t xml:space="preserve">[ </w:t>
            </w:r>
            <w:r>
              <w:rPr>
                <w:rStyle w:val="IndexLink"/>
                <w:rtl w:val="true"/>
              </w:rPr>
              <w:t>أقسام الواجب</w:t>
            </w:r>
            <w:r>
              <w:rPr>
                <w:rStyle w:val="IndexLink"/>
                <w:rtl w:val="true"/>
              </w:rPr>
              <w:t>]</w:t>
              <w:tab/>
            </w:r>
            <w:r>
              <w:rPr>
                <w:rStyle w:val="IndexLink"/>
              </w:rPr>
              <w:t>152</w:t>
            </w:r>
          </w:hyperlink>
        </w:p>
        <w:p>
          <w:pPr>
            <w:pStyle w:val="Contents3"/>
            <w:tabs>
              <w:tab w:val="clear" w:pos="8459"/>
              <w:tab w:val="right" w:pos="9026" w:leader="dot"/>
            </w:tabs>
            <w:rPr/>
          </w:pPr>
          <w:hyperlink w:anchor="__RefHeading___Toc2001491_2870459653">
            <w:r>
              <w:rPr>
                <w:webHidden/>
                <w:rStyle w:val="IndexLink"/>
                <w:rtl w:val="true"/>
              </w:rPr>
              <w:t>[</w:t>
            </w:r>
            <w:r>
              <w:rPr>
                <w:rStyle w:val="IndexLink"/>
                <w:rtl w:val="true"/>
              </w:rPr>
              <w:t>معنى المقدمة وبيان أقسامها</w:t>
            </w:r>
            <w:r>
              <w:rPr>
                <w:rStyle w:val="IndexLink"/>
                <w:rtl w:val="true"/>
              </w:rPr>
              <w:t>]</w:t>
              <w:tab/>
            </w:r>
            <w:r>
              <w:rPr>
                <w:rStyle w:val="IndexLink"/>
              </w:rPr>
              <w:t>153</w:t>
            </w:r>
          </w:hyperlink>
        </w:p>
        <w:p>
          <w:pPr>
            <w:pStyle w:val="Contents3"/>
            <w:tabs>
              <w:tab w:val="clear" w:pos="8459"/>
              <w:tab w:val="right" w:pos="9026" w:leader="dot"/>
            </w:tabs>
            <w:rPr/>
          </w:pPr>
          <w:hyperlink w:anchor="__RefHeading___Toc2001493_2870459653">
            <w:r>
              <w:rPr>
                <w:webHidden/>
                <w:rStyle w:val="IndexLink"/>
                <w:rtl w:val="true"/>
              </w:rPr>
              <w:t>[</w:t>
            </w:r>
            <w:r>
              <w:rPr>
                <w:rStyle w:val="IndexLink"/>
                <w:rtl w:val="true"/>
              </w:rPr>
              <w:t>أنواع الدلالة</w:t>
            </w:r>
            <w:r>
              <w:rPr>
                <w:rStyle w:val="IndexLink"/>
                <w:rtl w:val="true"/>
              </w:rPr>
              <w:t>]</w:t>
              <w:tab/>
            </w:r>
            <w:r>
              <w:rPr>
                <w:rStyle w:val="IndexLink"/>
              </w:rPr>
              <w:t>154</w:t>
            </w:r>
          </w:hyperlink>
        </w:p>
        <w:p>
          <w:pPr>
            <w:pStyle w:val="Contents3"/>
            <w:tabs>
              <w:tab w:val="clear" w:pos="8459"/>
              <w:tab w:val="right" w:pos="9026" w:leader="dot"/>
            </w:tabs>
            <w:rPr/>
          </w:pPr>
          <w:hyperlink w:anchor="__RefHeading___Toc2001495_2870459653">
            <w:r>
              <w:rPr>
                <w:webHidden/>
                <w:rStyle w:val="IndexLink"/>
                <w:rtl w:val="true"/>
              </w:rPr>
              <w:t>[</w:t>
            </w:r>
            <w:r>
              <w:rPr>
                <w:rStyle w:val="IndexLink"/>
                <w:rtl w:val="true"/>
              </w:rPr>
              <w:t>تحرير محل النزاع</w:t>
            </w:r>
            <w:r>
              <w:rPr>
                <w:rStyle w:val="IndexLink"/>
                <w:rtl w:val="true"/>
              </w:rPr>
              <w:t>]</w:t>
              <w:tab/>
            </w:r>
            <w:r>
              <w:rPr>
                <w:rStyle w:val="IndexLink"/>
              </w:rPr>
              <w:t>154</w:t>
            </w:r>
          </w:hyperlink>
        </w:p>
        <w:p>
          <w:pPr>
            <w:pStyle w:val="Contents3"/>
            <w:tabs>
              <w:tab w:val="clear" w:pos="8459"/>
              <w:tab w:val="right" w:pos="9026" w:leader="dot"/>
            </w:tabs>
            <w:rPr/>
          </w:pPr>
          <w:hyperlink w:anchor="__RefHeading___Toc2001497_2870459653">
            <w:r>
              <w:rPr>
                <w:webHidden/>
                <w:rStyle w:val="IndexLink"/>
                <w:rtl w:val="true"/>
              </w:rPr>
              <w:t>[</w:t>
            </w:r>
            <w:r>
              <w:rPr>
                <w:rStyle w:val="IndexLink"/>
                <w:rtl w:val="true"/>
              </w:rPr>
              <w:t>ثمرة المسألة</w:t>
            </w:r>
            <w:r>
              <w:rPr>
                <w:rStyle w:val="IndexLink"/>
                <w:rtl w:val="true"/>
              </w:rPr>
              <w:t>]</w:t>
              <w:tab/>
            </w:r>
            <w:r>
              <w:rPr>
                <w:rStyle w:val="IndexLink"/>
              </w:rPr>
              <w:t>155</w:t>
            </w:r>
          </w:hyperlink>
        </w:p>
        <w:p>
          <w:pPr>
            <w:pStyle w:val="Contents3"/>
            <w:tabs>
              <w:tab w:val="clear" w:pos="8459"/>
              <w:tab w:val="right" w:pos="9026" w:leader="dot"/>
            </w:tabs>
            <w:rPr/>
          </w:pPr>
          <w:hyperlink w:anchor="__RefHeading___Toc2001499_2870459653">
            <w:r>
              <w:rPr>
                <w:webHidden/>
                <w:rStyle w:val="IndexLink"/>
                <w:rtl w:val="true"/>
              </w:rPr>
              <w:t>[</w:t>
            </w:r>
            <w:r>
              <w:rPr>
                <w:rStyle w:val="IndexLink"/>
                <w:rtl w:val="true"/>
              </w:rPr>
              <w:t>تأسيس الأصل</w:t>
            </w:r>
            <w:r>
              <w:rPr>
                <w:rStyle w:val="IndexLink"/>
                <w:rtl w:val="true"/>
              </w:rPr>
              <w:t>]</w:t>
              <w:tab/>
            </w:r>
            <w:r>
              <w:rPr>
                <w:rStyle w:val="IndexLink"/>
              </w:rPr>
              <w:t>156</w:t>
            </w:r>
          </w:hyperlink>
        </w:p>
        <w:p>
          <w:pPr>
            <w:pStyle w:val="Contents2"/>
            <w:tabs>
              <w:tab w:val="clear" w:pos="8743"/>
              <w:tab w:val="right" w:pos="9026" w:leader="dot"/>
            </w:tabs>
            <w:rPr/>
          </w:pPr>
          <w:hyperlink w:anchor="__RefHeading___Toc2001501_2870459653">
            <w:r>
              <w:rPr>
                <w:webHidden/>
                <w:rStyle w:val="IndexLink"/>
                <w:rtl w:val="true"/>
              </w:rPr>
              <w:t xml:space="preserve">أصل </w:t>
            </w:r>
            <w:r>
              <w:rPr>
                <w:rStyle w:val="IndexLink"/>
                <w:rtl w:val="true"/>
              </w:rPr>
              <w:t>[</w:t>
            </w:r>
            <w:r>
              <w:rPr>
                <w:rStyle w:val="IndexLink"/>
                <w:rtl w:val="true"/>
              </w:rPr>
              <w:t>في النهي عن الضد</w:t>
            </w:r>
            <w:r>
              <w:rPr>
                <w:rStyle w:val="IndexLink"/>
                <w:rtl w:val="true"/>
              </w:rPr>
              <w:t>]</w:t>
              <w:tab/>
            </w:r>
            <w:r>
              <w:rPr>
                <w:rStyle w:val="IndexLink"/>
              </w:rPr>
              <w:t>156</w:t>
            </w:r>
          </w:hyperlink>
        </w:p>
        <w:p>
          <w:pPr>
            <w:pStyle w:val="Contents3"/>
            <w:tabs>
              <w:tab w:val="clear" w:pos="8459"/>
              <w:tab w:val="right" w:pos="9026" w:leader="dot"/>
            </w:tabs>
            <w:rPr/>
          </w:pPr>
          <w:hyperlink w:anchor="__RefHeading___Toc2001503_2870459653">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2001505_2870459653">
            <w:r>
              <w:rPr>
                <w:webHidden/>
                <w:rStyle w:val="IndexLink"/>
                <w:rtl w:val="true"/>
              </w:rPr>
              <w:t>[</w:t>
            </w:r>
            <w:r>
              <w:rPr>
                <w:rStyle w:val="IndexLink"/>
                <w:rtl w:val="true"/>
              </w:rPr>
              <w:t>تحرير محل النزاع</w:t>
            </w:r>
            <w:r>
              <w:rPr>
                <w:rStyle w:val="IndexLink"/>
                <w:rtl w:val="true"/>
              </w:rPr>
              <w:t>]</w:t>
              <w:tab/>
            </w:r>
            <w:r>
              <w:rPr>
                <w:rStyle w:val="IndexLink"/>
              </w:rPr>
              <w:t>157</w:t>
            </w:r>
          </w:hyperlink>
        </w:p>
        <w:p>
          <w:pPr>
            <w:pStyle w:val="Contents3"/>
            <w:tabs>
              <w:tab w:val="clear" w:pos="8459"/>
              <w:tab w:val="right" w:pos="9026" w:leader="dot"/>
            </w:tabs>
            <w:rPr/>
          </w:pPr>
          <w:hyperlink w:anchor="__RefHeading___Toc2001507_2870459653">
            <w:r>
              <w:rPr>
                <w:webHidden/>
                <w:rStyle w:val="IndexLink"/>
                <w:rtl w:val="true"/>
              </w:rPr>
              <w:t>[</w:t>
            </w:r>
            <w:r>
              <w:rPr>
                <w:rStyle w:val="IndexLink"/>
                <w:rtl w:val="true"/>
              </w:rPr>
              <w:t>ثمرة المسألة</w:t>
            </w:r>
            <w:r>
              <w:rPr>
                <w:rStyle w:val="IndexLink"/>
                <w:rtl w:val="true"/>
              </w:rPr>
              <w:t>]</w:t>
              <w:tab/>
            </w:r>
            <w:r>
              <w:rPr>
                <w:rStyle w:val="IndexLink"/>
              </w:rPr>
              <w:t>160</w:t>
            </w:r>
          </w:hyperlink>
        </w:p>
        <w:p>
          <w:pPr>
            <w:pStyle w:val="Contents3"/>
            <w:tabs>
              <w:tab w:val="clear" w:pos="8459"/>
              <w:tab w:val="right" w:pos="9026" w:leader="dot"/>
            </w:tabs>
            <w:rPr/>
          </w:pPr>
          <w:hyperlink w:anchor="__RefHeading___Toc2001509_2870459653">
            <w:r>
              <w:rPr>
                <w:webHidden/>
                <w:rStyle w:val="IndexLink"/>
                <w:rtl w:val="true"/>
              </w:rPr>
              <w:t>[</w:t>
            </w:r>
            <w:r>
              <w:rPr>
                <w:rStyle w:val="IndexLink"/>
                <w:rtl w:val="true"/>
              </w:rPr>
              <w:t>تأسيس الأصل</w:t>
            </w:r>
            <w:r>
              <w:rPr>
                <w:rStyle w:val="IndexLink"/>
                <w:rtl w:val="true"/>
              </w:rPr>
              <w:t>]</w:t>
              <w:tab/>
            </w:r>
            <w:r>
              <w:rPr>
                <w:rStyle w:val="IndexLink"/>
              </w:rPr>
              <w:t>160</w:t>
            </w:r>
          </w:hyperlink>
        </w:p>
        <w:p>
          <w:pPr>
            <w:pStyle w:val="Contents2"/>
            <w:tabs>
              <w:tab w:val="clear" w:pos="8743"/>
              <w:tab w:val="right" w:pos="9026" w:leader="dot"/>
            </w:tabs>
            <w:rPr/>
          </w:pPr>
          <w:hyperlink w:anchor="__RefHeading___Toc2001511_2870459653">
            <w:r>
              <w:rPr>
                <w:webHidden/>
                <w:rStyle w:val="IndexLink"/>
                <w:rtl w:val="true"/>
              </w:rPr>
              <w:t xml:space="preserve">أصل </w:t>
            </w:r>
            <w:r>
              <w:rPr>
                <w:rStyle w:val="IndexLink"/>
                <w:rtl w:val="true"/>
              </w:rPr>
              <w:t>[</w:t>
            </w:r>
            <w:r>
              <w:rPr>
                <w:rStyle w:val="IndexLink"/>
                <w:rtl w:val="true"/>
              </w:rPr>
              <w:t>في نسخ الوجوب</w:t>
            </w:r>
            <w:r>
              <w:rPr>
                <w:rStyle w:val="IndexLink"/>
                <w:rtl w:val="true"/>
              </w:rPr>
              <w:t>]</w:t>
              <w:tab/>
            </w:r>
            <w:r>
              <w:rPr>
                <w:rStyle w:val="IndexLink"/>
              </w:rPr>
              <w:t>162</w:t>
            </w:r>
          </w:hyperlink>
        </w:p>
        <w:p>
          <w:pPr>
            <w:pStyle w:val="Contents3"/>
            <w:tabs>
              <w:tab w:val="clear" w:pos="8459"/>
              <w:tab w:val="right" w:pos="9026" w:leader="dot"/>
            </w:tabs>
            <w:rPr/>
          </w:pPr>
          <w:hyperlink w:anchor="__RefHeading___Toc2001513_2870459653">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2001515_2870459653">
            <w:r>
              <w:rPr>
                <w:webHidden/>
                <w:rStyle w:val="IndexLink"/>
                <w:rtl w:val="true"/>
              </w:rPr>
              <w:t>[</w:t>
            </w:r>
            <w:r>
              <w:rPr>
                <w:rStyle w:val="IndexLink"/>
                <w:rtl w:val="true"/>
              </w:rPr>
              <w:t>تحرير محل النزاع</w:t>
            </w:r>
            <w:r>
              <w:rPr>
                <w:rStyle w:val="IndexLink"/>
                <w:rtl w:val="true"/>
              </w:rPr>
              <w:t>]</w:t>
              <w:tab/>
            </w:r>
            <w:r>
              <w:rPr>
                <w:rStyle w:val="IndexLink"/>
              </w:rPr>
              <w:t>162</w:t>
            </w:r>
          </w:hyperlink>
        </w:p>
        <w:p>
          <w:pPr>
            <w:pStyle w:val="Contents2"/>
            <w:tabs>
              <w:tab w:val="clear" w:pos="8743"/>
              <w:tab w:val="right" w:pos="9026" w:leader="dot"/>
            </w:tabs>
            <w:rPr/>
          </w:pPr>
          <w:hyperlink w:anchor="__RefHeading___Toc2001517_2870459653">
            <w:r>
              <w:rPr>
                <w:webHidden/>
                <w:rStyle w:val="IndexLink"/>
                <w:rtl w:val="true"/>
              </w:rPr>
              <w:t xml:space="preserve">أصل </w:t>
            </w:r>
            <w:r>
              <w:rPr>
                <w:rStyle w:val="IndexLink"/>
                <w:rtl w:val="true"/>
              </w:rPr>
              <w:t>[</w:t>
            </w:r>
            <w:r>
              <w:rPr>
                <w:rStyle w:val="IndexLink"/>
                <w:rtl w:val="true"/>
              </w:rPr>
              <w:t>في الأمر مع العلم بانتفاء شرطه</w:t>
            </w:r>
            <w:r>
              <w:rPr>
                <w:rStyle w:val="IndexLink"/>
                <w:rtl w:val="true"/>
              </w:rPr>
              <w:t>]</w:t>
              <w:tab/>
            </w:r>
            <w:r>
              <w:rPr>
                <w:rStyle w:val="IndexLink"/>
              </w:rPr>
              <w:t>163</w:t>
            </w:r>
          </w:hyperlink>
        </w:p>
        <w:p>
          <w:pPr>
            <w:pStyle w:val="Contents3"/>
            <w:tabs>
              <w:tab w:val="clear" w:pos="8459"/>
              <w:tab w:val="right" w:pos="9026" w:leader="dot"/>
            </w:tabs>
            <w:rPr/>
          </w:pPr>
          <w:hyperlink w:anchor="__RefHeading___Toc2001519_2870459653">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2001521_2870459653">
            <w:r>
              <w:rPr>
                <w:webHidden/>
                <w:rStyle w:val="IndexLink"/>
                <w:rtl w:val="true"/>
              </w:rPr>
              <w:t>[</w:t>
            </w:r>
            <w:r>
              <w:rPr>
                <w:rStyle w:val="IndexLink"/>
                <w:rtl w:val="true"/>
              </w:rPr>
              <w:t>تحرير محل النزاع</w:t>
            </w:r>
            <w:r>
              <w:rPr>
                <w:rStyle w:val="IndexLink"/>
                <w:rtl w:val="true"/>
              </w:rPr>
              <w:t>]</w:t>
              <w:tab/>
            </w:r>
            <w:r>
              <w:rPr>
                <w:rStyle w:val="IndexLink"/>
              </w:rPr>
              <w:t>163</w:t>
            </w:r>
          </w:hyperlink>
        </w:p>
        <w:p>
          <w:pPr>
            <w:pStyle w:val="Contents3"/>
            <w:tabs>
              <w:tab w:val="clear" w:pos="8459"/>
              <w:tab w:val="right" w:pos="9026" w:leader="dot"/>
            </w:tabs>
            <w:rPr/>
          </w:pPr>
          <w:hyperlink w:anchor="__RefHeading___Toc2001523_2870459653">
            <w:r>
              <w:rPr>
                <w:webHidden/>
                <w:rStyle w:val="IndexLink"/>
                <w:rtl w:val="true"/>
              </w:rPr>
              <w:t>[</w:t>
            </w:r>
            <w:r>
              <w:rPr>
                <w:rStyle w:val="IndexLink"/>
                <w:rtl w:val="true"/>
              </w:rPr>
              <w:t>ثمرة المسألة</w:t>
            </w:r>
            <w:r>
              <w:rPr>
                <w:rStyle w:val="IndexLink"/>
                <w:rtl w:val="true"/>
              </w:rPr>
              <w:t>]</w:t>
              <w:tab/>
            </w:r>
            <w:r>
              <w:rPr>
                <w:rStyle w:val="IndexLink"/>
              </w:rPr>
              <w:t>165</w:t>
            </w:r>
          </w:hyperlink>
        </w:p>
        <w:p>
          <w:pPr>
            <w:pStyle w:val="Contents2"/>
            <w:tabs>
              <w:tab w:val="clear" w:pos="8743"/>
              <w:tab w:val="right" w:pos="9026" w:leader="dot"/>
            </w:tabs>
            <w:rPr/>
          </w:pPr>
          <w:hyperlink w:anchor="__RefHeading___Toc2001525_2870459653">
            <w:r>
              <w:rPr>
                <w:webHidden/>
                <w:rStyle w:val="IndexLink"/>
                <w:rtl w:val="true"/>
              </w:rPr>
              <w:t xml:space="preserve">أصل </w:t>
            </w:r>
            <w:r>
              <w:rPr>
                <w:rStyle w:val="IndexLink"/>
                <w:rtl w:val="true"/>
              </w:rPr>
              <w:t>[</w:t>
            </w:r>
            <w:r>
              <w:rPr>
                <w:rStyle w:val="IndexLink"/>
                <w:rtl w:val="true"/>
              </w:rPr>
              <w:t>في أن الأمر لطلب ايجاد الماهية لا الفرد</w:t>
            </w:r>
            <w:r>
              <w:rPr>
                <w:rStyle w:val="IndexLink"/>
                <w:rtl w:val="true"/>
              </w:rPr>
              <w:t>]</w:t>
              <w:tab/>
            </w:r>
            <w:r>
              <w:rPr>
                <w:rStyle w:val="IndexLink"/>
              </w:rPr>
              <w:t>166</w:t>
            </w:r>
          </w:hyperlink>
        </w:p>
        <w:p>
          <w:pPr>
            <w:pStyle w:val="Contents2"/>
            <w:tabs>
              <w:tab w:val="clear" w:pos="8743"/>
              <w:tab w:val="right" w:pos="9026" w:leader="dot"/>
            </w:tabs>
            <w:rPr/>
          </w:pPr>
          <w:hyperlink w:anchor="__RefHeading___Toc2001527_2870459653">
            <w:r>
              <w:rPr>
                <w:webHidden/>
                <w:rStyle w:val="IndexLink"/>
                <w:rtl w:val="true"/>
              </w:rPr>
              <w:t xml:space="preserve">أصل </w:t>
            </w:r>
            <w:r>
              <w:rPr>
                <w:rStyle w:val="IndexLink"/>
                <w:rtl w:val="true"/>
              </w:rPr>
              <w:t>[</w:t>
            </w:r>
            <w:r>
              <w:rPr>
                <w:rStyle w:val="IndexLink"/>
                <w:rtl w:val="true"/>
              </w:rPr>
              <w:t>في الإجزاء</w:t>
            </w:r>
            <w:r>
              <w:rPr>
                <w:rStyle w:val="IndexLink"/>
                <w:rtl w:val="true"/>
              </w:rPr>
              <w:t>]</w:t>
              <w:tab/>
            </w:r>
            <w:r>
              <w:rPr>
                <w:rStyle w:val="IndexLink"/>
              </w:rPr>
              <w:t>170</w:t>
            </w:r>
          </w:hyperlink>
        </w:p>
        <w:p>
          <w:pPr>
            <w:pStyle w:val="Contents3"/>
            <w:tabs>
              <w:tab w:val="clear" w:pos="8459"/>
              <w:tab w:val="right" w:pos="9026" w:leader="dot"/>
            </w:tabs>
            <w:rPr/>
          </w:pPr>
          <w:hyperlink w:anchor="__RefHeading___Toc2001529_2870459653">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2001531_2870459653">
            <w:r>
              <w:rPr>
                <w:webHidden/>
                <w:rStyle w:val="IndexLink"/>
                <w:rtl w:val="true"/>
              </w:rPr>
              <w:t>[</w:t>
            </w:r>
            <w:r>
              <w:rPr>
                <w:rStyle w:val="IndexLink"/>
                <w:rtl w:val="true"/>
              </w:rPr>
              <w:t>تحرير محل النزاع</w:t>
            </w:r>
            <w:r>
              <w:rPr>
                <w:rStyle w:val="IndexLink"/>
                <w:rtl w:val="true"/>
              </w:rPr>
              <w:t>]</w:t>
              <w:tab/>
            </w:r>
            <w:r>
              <w:rPr>
                <w:rStyle w:val="IndexLink"/>
              </w:rPr>
              <w:t>170</w:t>
            </w:r>
          </w:hyperlink>
        </w:p>
        <w:p>
          <w:pPr>
            <w:pStyle w:val="Contents2"/>
            <w:tabs>
              <w:tab w:val="clear" w:pos="8743"/>
              <w:tab w:val="right" w:pos="9026" w:leader="dot"/>
            </w:tabs>
            <w:rPr/>
          </w:pPr>
          <w:hyperlink w:anchor="__RefHeading___Toc2001533_2870459653">
            <w:r>
              <w:rPr>
                <w:webHidden/>
                <w:rStyle w:val="IndexLink"/>
                <w:rtl w:val="true"/>
              </w:rPr>
              <w:t>أصل</w:t>
            </w:r>
            <w:r>
              <w:rPr>
                <w:rStyle w:val="IndexLink"/>
                <w:rtl w:val="true"/>
              </w:rPr>
              <w:t>[</w:t>
            </w:r>
            <w:r>
              <w:rPr>
                <w:rStyle w:val="IndexLink"/>
                <w:rtl w:val="true"/>
              </w:rPr>
              <w:t>باب النواهي</w:t>
            </w:r>
            <w:r>
              <w:rPr>
                <w:rStyle w:val="IndexLink"/>
                <w:rtl w:val="true"/>
              </w:rPr>
              <w:t>]</w:t>
              <w:tab/>
            </w:r>
            <w:r>
              <w:rPr>
                <w:rStyle w:val="IndexLink"/>
              </w:rPr>
              <w:t>173</w:t>
            </w:r>
          </w:hyperlink>
        </w:p>
        <w:p>
          <w:pPr>
            <w:pStyle w:val="Contents2"/>
            <w:tabs>
              <w:tab w:val="clear" w:pos="8743"/>
              <w:tab w:val="right" w:pos="9026" w:leader="dot"/>
            </w:tabs>
            <w:rPr/>
          </w:pPr>
          <w:hyperlink w:anchor="__RefHeading___Toc2001535_2870459653">
            <w:r>
              <w:rPr>
                <w:webHidden/>
                <w:rStyle w:val="IndexLink"/>
                <w:rtl w:val="true"/>
              </w:rPr>
              <w:t>أصل</w:t>
            </w:r>
            <w:r>
              <w:rPr>
                <w:rStyle w:val="IndexLink"/>
                <w:rtl w:val="true"/>
              </w:rPr>
              <w:t>[</w:t>
            </w:r>
            <w:r>
              <w:rPr>
                <w:rStyle w:val="IndexLink"/>
                <w:rtl w:val="true"/>
              </w:rPr>
              <w:t>في اجتماع الأمر والنهي</w:t>
            </w:r>
            <w:r>
              <w:rPr>
                <w:rStyle w:val="IndexLink"/>
                <w:rtl w:val="true"/>
              </w:rPr>
              <w:t>]</w:t>
              <w:tab/>
            </w:r>
            <w:r>
              <w:rPr>
                <w:rStyle w:val="IndexLink"/>
              </w:rPr>
              <w:t>173</w:t>
            </w:r>
          </w:hyperlink>
        </w:p>
        <w:p>
          <w:pPr>
            <w:pStyle w:val="Contents3"/>
            <w:tabs>
              <w:tab w:val="clear" w:pos="8459"/>
              <w:tab w:val="right" w:pos="9026" w:leader="dot"/>
            </w:tabs>
            <w:rPr/>
          </w:pPr>
          <w:hyperlink w:anchor="__RefHeading___Toc2001537_2870459653">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2001539_2870459653">
            <w:r>
              <w:rPr>
                <w:webHidden/>
                <w:rStyle w:val="IndexLink"/>
                <w:rtl w:val="true"/>
              </w:rPr>
              <w:t>[</w:t>
            </w:r>
            <w:r>
              <w:rPr>
                <w:rStyle w:val="IndexLink"/>
                <w:rtl w:val="true"/>
              </w:rPr>
              <w:t>تحرير محل النزاع</w:t>
            </w:r>
            <w:r>
              <w:rPr>
                <w:rStyle w:val="IndexLink"/>
                <w:rtl w:val="true"/>
              </w:rPr>
              <w:t>]</w:t>
              <w:tab/>
            </w:r>
            <w:r>
              <w:rPr>
                <w:rStyle w:val="IndexLink"/>
              </w:rPr>
              <w:t>173</w:t>
            </w:r>
          </w:hyperlink>
        </w:p>
        <w:p>
          <w:pPr>
            <w:pStyle w:val="Contents3"/>
            <w:tabs>
              <w:tab w:val="clear" w:pos="8459"/>
              <w:tab w:val="right" w:pos="9026" w:leader="dot"/>
            </w:tabs>
            <w:rPr/>
          </w:pPr>
          <w:hyperlink w:anchor="__RefHeading___Toc2001541_2870459653">
            <w:r>
              <w:rPr>
                <w:webHidden/>
                <w:rStyle w:val="IndexLink"/>
                <w:rtl w:val="true"/>
              </w:rPr>
              <w:t xml:space="preserve">تذييل </w:t>
            </w:r>
            <w:r>
              <w:rPr>
                <w:rStyle w:val="IndexLink"/>
                <w:rtl w:val="true"/>
              </w:rPr>
              <w:t>[</w:t>
            </w:r>
            <w:r>
              <w:rPr>
                <w:rStyle w:val="IndexLink"/>
                <w:rtl w:val="true"/>
              </w:rPr>
              <w:t>في الامتناع بالاختيار</w:t>
            </w:r>
            <w:r>
              <w:rPr>
                <w:rStyle w:val="IndexLink"/>
                <w:rtl w:val="true"/>
              </w:rPr>
              <w:t>]</w:t>
              <w:tab/>
            </w:r>
            <w:r>
              <w:rPr>
                <w:rStyle w:val="IndexLink"/>
              </w:rPr>
              <w:t>184</w:t>
            </w:r>
          </w:hyperlink>
        </w:p>
        <w:p>
          <w:pPr>
            <w:pStyle w:val="Contents2"/>
            <w:tabs>
              <w:tab w:val="clear" w:pos="8743"/>
              <w:tab w:val="right" w:pos="9026" w:leader="dot"/>
            </w:tabs>
            <w:rPr/>
          </w:pPr>
          <w:hyperlink w:anchor="__RefHeading___Toc2001543_2870459653">
            <w:r>
              <w:rPr>
                <w:webHidden/>
                <w:rStyle w:val="IndexLink"/>
                <w:rtl w:val="true"/>
              </w:rPr>
              <w:t xml:space="preserve">أصل </w:t>
            </w:r>
            <w:r>
              <w:rPr>
                <w:rStyle w:val="IndexLink"/>
                <w:rtl w:val="true"/>
              </w:rPr>
              <w:t>[</w:t>
            </w:r>
            <w:r>
              <w:rPr>
                <w:rStyle w:val="IndexLink"/>
                <w:rtl w:val="true"/>
              </w:rPr>
              <w:t>في دلالة النهي على الفساد</w:t>
            </w:r>
            <w:r>
              <w:rPr>
                <w:rStyle w:val="IndexLink"/>
                <w:rtl w:val="true"/>
              </w:rPr>
              <w:t>]</w:t>
              <w:tab/>
            </w:r>
            <w:r>
              <w:rPr>
                <w:rStyle w:val="IndexLink"/>
              </w:rPr>
              <w:t>185</w:t>
            </w:r>
          </w:hyperlink>
        </w:p>
        <w:p>
          <w:pPr>
            <w:pStyle w:val="Contents3"/>
            <w:tabs>
              <w:tab w:val="clear" w:pos="8459"/>
              <w:tab w:val="right" w:pos="9026" w:leader="dot"/>
            </w:tabs>
            <w:rPr/>
          </w:pPr>
          <w:hyperlink w:anchor="__RefHeading___Toc2001545_2870459653">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2001547_2870459653">
            <w:r>
              <w:rPr>
                <w:webHidden/>
                <w:rStyle w:val="IndexLink"/>
                <w:rtl w:val="true"/>
              </w:rPr>
              <w:t>[</w:t>
            </w:r>
            <w:r>
              <w:rPr>
                <w:rStyle w:val="IndexLink"/>
                <w:rtl w:val="true"/>
              </w:rPr>
              <w:t>تحرير محل النزاع</w:t>
            </w:r>
            <w:r>
              <w:rPr>
                <w:rStyle w:val="IndexLink"/>
                <w:rtl w:val="true"/>
              </w:rPr>
              <w:t>]</w:t>
              <w:tab/>
            </w:r>
            <w:r>
              <w:rPr>
                <w:rStyle w:val="IndexLink"/>
              </w:rPr>
              <w:t>185</w:t>
            </w:r>
          </w:hyperlink>
        </w:p>
        <w:p>
          <w:pPr>
            <w:pStyle w:val="Contents3"/>
            <w:tabs>
              <w:tab w:val="clear" w:pos="8459"/>
              <w:tab w:val="right" w:pos="9026" w:leader="dot"/>
            </w:tabs>
            <w:rPr/>
          </w:pPr>
          <w:hyperlink w:anchor="__RefHeading___Toc2001549_2870459653">
            <w:r>
              <w:rPr>
                <w:webHidden/>
                <w:rStyle w:val="IndexLink"/>
                <w:rtl w:val="true"/>
              </w:rPr>
              <w:t>[</w:t>
            </w:r>
            <w:r>
              <w:rPr>
                <w:rStyle w:val="IndexLink"/>
                <w:rtl w:val="true"/>
              </w:rPr>
              <w:t>تأسيس الأصل</w:t>
            </w:r>
            <w:r>
              <w:rPr>
                <w:rStyle w:val="IndexLink"/>
                <w:rtl w:val="true"/>
              </w:rPr>
              <w:t>]</w:t>
              <w:tab/>
            </w:r>
            <w:r>
              <w:rPr>
                <w:rStyle w:val="IndexLink"/>
              </w:rPr>
              <w:t>188</w:t>
            </w:r>
          </w:hyperlink>
        </w:p>
        <w:p>
          <w:pPr>
            <w:pStyle w:val="Contents3"/>
            <w:tabs>
              <w:tab w:val="clear" w:pos="8459"/>
              <w:tab w:val="right" w:pos="9026" w:leader="dot"/>
            </w:tabs>
            <w:rPr/>
          </w:pPr>
          <w:hyperlink w:anchor="__RefHeading___Toc2001551_2870459653">
            <w:r>
              <w:rPr>
                <w:webHidden/>
                <w:rStyle w:val="IndexLink"/>
                <w:rtl w:val="true"/>
              </w:rPr>
              <w:t>[</w:t>
            </w:r>
            <w:r>
              <w:rPr>
                <w:rStyle w:val="IndexLink"/>
                <w:rtl w:val="true"/>
              </w:rPr>
              <w:t>المختار في المسألة</w:t>
            </w:r>
            <w:r>
              <w:rPr>
                <w:rStyle w:val="IndexLink"/>
                <w:rtl w:val="true"/>
              </w:rPr>
              <w:t>]</w:t>
              <w:tab/>
            </w:r>
            <w:r>
              <w:rPr>
                <w:rStyle w:val="IndexLink"/>
              </w:rPr>
              <w:t>188</w:t>
            </w:r>
          </w:hyperlink>
        </w:p>
        <w:p>
          <w:pPr>
            <w:pStyle w:val="Contents2"/>
            <w:tabs>
              <w:tab w:val="clear" w:pos="8743"/>
              <w:tab w:val="right" w:pos="9026" w:leader="dot"/>
            </w:tabs>
            <w:rPr/>
          </w:pPr>
          <w:hyperlink w:anchor="__RefHeading___Toc2001553_2870459653">
            <w:r>
              <w:rPr>
                <w:webHidden/>
                <w:rStyle w:val="IndexLink"/>
                <w:rtl w:val="true"/>
              </w:rPr>
              <w:t xml:space="preserve">أصل </w:t>
            </w:r>
            <w:r>
              <w:rPr>
                <w:rStyle w:val="IndexLink"/>
                <w:rtl w:val="true"/>
              </w:rPr>
              <w:t>[</w:t>
            </w:r>
            <w:r>
              <w:rPr>
                <w:rStyle w:val="IndexLink"/>
                <w:rtl w:val="true"/>
              </w:rPr>
              <w:t>في تعريف المنطوق والمفهوم</w:t>
            </w:r>
            <w:r>
              <w:rPr>
                <w:rStyle w:val="IndexLink"/>
                <w:rtl w:val="true"/>
              </w:rPr>
              <w:t>]</w:t>
              <w:tab/>
            </w:r>
            <w:r>
              <w:rPr>
                <w:rStyle w:val="IndexLink"/>
              </w:rPr>
              <w:t>191</w:t>
            </w:r>
          </w:hyperlink>
        </w:p>
        <w:p>
          <w:pPr>
            <w:pStyle w:val="Contents2"/>
            <w:tabs>
              <w:tab w:val="clear" w:pos="8743"/>
              <w:tab w:val="right" w:pos="9026" w:leader="dot"/>
            </w:tabs>
            <w:rPr/>
          </w:pPr>
          <w:hyperlink w:anchor="__RefHeading___Toc2001555_2870459653">
            <w:r>
              <w:rPr>
                <w:webHidden/>
                <w:rStyle w:val="IndexLink"/>
                <w:rtl w:val="true"/>
              </w:rPr>
              <w:t xml:space="preserve">أصل </w:t>
            </w:r>
            <w:r>
              <w:rPr>
                <w:rStyle w:val="IndexLink"/>
                <w:rtl w:val="true"/>
              </w:rPr>
              <w:t>[</w:t>
            </w:r>
            <w:r>
              <w:rPr>
                <w:rStyle w:val="IndexLink"/>
                <w:rtl w:val="true"/>
              </w:rPr>
              <w:t>في حجية مفهوم الشرط</w:t>
            </w:r>
            <w:r>
              <w:rPr>
                <w:rStyle w:val="IndexLink"/>
                <w:rtl w:val="true"/>
              </w:rPr>
              <w:t>]</w:t>
              <w:tab/>
            </w:r>
            <w:r>
              <w:rPr>
                <w:rStyle w:val="IndexLink"/>
              </w:rPr>
              <w:t>193</w:t>
            </w:r>
          </w:hyperlink>
        </w:p>
        <w:p>
          <w:pPr>
            <w:pStyle w:val="Contents3"/>
            <w:tabs>
              <w:tab w:val="clear" w:pos="8459"/>
              <w:tab w:val="right" w:pos="9026" w:leader="dot"/>
            </w:tabs>
            <w:rPr/>
          </w:pPr>
          <w:hyperlink w:anchor="__RefHeading___Toc2001557_2870459653">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2001559_2870459653">
            <w:r>
              <w:rPr>
                <w:webHidden/>
                <w:rStyle w:val="IndexLink"/>
                <w:rtl w:val="true"/>
              </w:rPr>
              <w:t>[</w:t>
            </w:r>
            <w:r>
              <w:rPr>
                <w:rStyle w:val="IndexLink"/>
                <w:rtl w:val="true"/>
              </w:rPr>
              <w:t>تحرير محل النزاع</w:t>
            </w:r>
            <w:r>
              <w:rPr>
                <w:rStyle w:val="IndexLink"/>
                <w:rtl w:val="true"/>
              </w:rPr>
              <w:t>]</w:t>
              <w:tab/>
            </w:r>
            <w:r>
              <w:rPr>
                <w:rStyle w:val="IndexLink"/>
              </w:rPr>
              <w:t>194</w:t>
            </w:r>
          </w:hyperlink>
        </w:p>
        <w:p>
          <w:pPr>
            <w:pStyle w:val="Contents3"/>
            <w:tabs>
              <w:tab w:val="clear" w:pos="8459"/>
              <w:tab w:val="right" w:pos="9026" w:leader="dot"/>
            </w:tabs>
            <w:rPr/>
          </w:pPr>
          <w:hyperlink w:anchor="__RefHeading___Toc2001561_2870459653">
            <w:r>
              <w:rPr>
                <w:webHidden/>
                <w:rStyle w:val="IndexLink"/>
                <w:rtl w:val="true"/>
              </w:rPr>
              <w:t>[</w:t>
            </w:r>
            <w:r>
              <w:rPr>
                <w:rStyle w:val="IndexLink"/>
                <w:rtl w:val="true"/>
              </w:rPr>
              <w:t>تأسيس الأصل</w:t>
            </w:r>
            <w:r>
              <w:rPr>
                <w:rStyle w:val="IndexLink"/>
                <w:rtl w:val="true"/>
              </w:rPr>
              <w:t>]</w:t>
              <w:tab/>
            </w:r>
            <w:r>
              <w:rPr>
                <w:rStyle w:val="IndexLink"/>
              </w:rPr>
              <w:t>195</w:t>
            </w:r>
          </w:hyperlink>
        </w:p>
        <w:p>
          <w:pPr>
            <w:pStyle w:val="Contents3"/>
            <w:tabs>
              <w:tab w:val="clear" w:pos="8459"/>
              <w:tab w:val="right" w:pos="9026" w:leader="dot"/>
            </w:tabs>
            <w:rPr/>
          </w:pPr>
          <w:hyperlink w:anchor="__RefHeading___Toc2001563_2870459653">
            <w:r>
              <w:rPr>
                <w:webHidden/>
                <w:rStyle w:val="IndexLink"/>
                <w:rtl w:val="true"/>
              </w:rPr>
              <w:t>[</w:t>
            </w:r>
            <w:r>
              <w:rPr>
                <w:rStyle w:val="IndexLink"/>
                <w:rtl w:val="true"/>
              </w:rPr>
              <w:t>ثمرة المسألة</w:t>
            </w:r>
            <w:r>
              <w:rPr>
                <w:rStyle w:val="IndexLink"/>
                <w:rtl w:val="true"/>
              </w:rPr>
              <w:t>]</w:t>
              <w:tab/>
            </w:r>
            <w:r>
              <w:rPr>
                <w:rStyle w:val="IndexLink"/>
              </w:rPr>
              <w:t>196</w:t>
            </w:r>
          </w:hyperlink>
        </w:p>
        <w:p>
          <w:pPr>
            <w:pStyle w:val="Contents2"/>
            <w:tabs>
              <w:tab w:val="clear" w:pos="8743"/>
              <w:tab w:val="right" w:pos="9026" w:leader="dot"/>
            </w:tabs>
            <w:rPr/>
          </w:pPr>
          <w:hyperlink w:anchor="__RefHeading___Toc2001565_2870459653">
            <w:r>
              <w:rPr>
                <w:webHidden/>
                <w:rStyle w:val="IndexLink"/>
                <w:rtl w:val="true"/>
              </w:rPr>
              <w:t xml:space="preserve">أصل </w:t>
            </w:r>
            <w:r>
              <w:rPr>
                <w:rStyle w:val="IndexLink"/>
                <w:rtl w:val="true"/>
              </w:rPr>
              <w:t>[</w:t>
            </w:r>
            <w:r>
              <w:rPr>
                <w:rStyle w:val="IndexLink"/>
                <w:rtl w:val="true"/>
              </w:rPr>
              <w:t>في حجية مفهوم الوصف</w:t>
            </w:r>
            <w:r>
              <w:rPr>
                <w:rStyle w:val="IndexLink"/>
                <w:rtl w:val="true"/>
              </w:rPr>
              <w:t>]</w:t>
              <w:tab/>
            </w:r>
            <w:r>
              <w:rPr>
                <w:rStyle w:val="IndexLink"/>
              </w:rPr>
              <w:t>198</w:t>
            </w:r>
          </w:hyperlink>
        </w:p>
        <w:p>
          <w:pPr>
            <w:pStyle w:val="Contents3"/>
            <w:tabs>
              <w:tab w:val="clear" w:pos="8459"/>
              <w:tab w:val="right" w:pos="9026" w:leader="dot"/>
            </w:tabs>
            <w:rPr/>
          </w:pPr>
          <w:hyperlink w:anchor="__RefHeading___Toc2001567_2870459653">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2001569_2870459653">
            <w:r>
              <w:rPr>
                <w:webHidden/>
                <w:rStyle w:val="IndexLink"/>
                <w:rtl w:val="true"/>
              </w:rPr>
              <w:t>[</w:t>
            </w:r>
            <w:r>
              <w:rPr>
                <w:rStyle w:val="IndexLink"/>
                <w:rtl w:val="true"/>
              </w:rPr>
              <w:t>تحرير محل النزاع</w:t>
            </w:r>
            <w:r>
              <w:rPr>
                <w:rStyle w:val="IndexLink"/>
                <w:rtl w:val="true"/>
              </w:rPr>
              <w:t>]</w:t>
              <w:tab/>
            </w:r>
            <w:r>
              <w:rPr>
                <w:rStyle w:val="IndexLink"/>
              </w:rPr>
              <w:t>198</w:t>
            </w:r>
          </w:hyperlink>
        </w:p>
        <w:p>
          <w:pPr>
            <w:pStyle w:val="Contents2"/>
            <w:tabs>
              <w:tab w:val="clear" w:pos="8743"/>
              <w:tab w:val="right" w:pos="9026" w:leader="dot"/>
            </w:tabs>
            <w:rPr/>
          </w:pPr>
          <w:hyperlink w:anchor="__RefHeading___Toc2001571_2870459653">
            <w:r>
              <w:rPr>
                <w:webHidden/>
                <w:rStyle w:val="IndexLink"/>
                <w:rtl w:val="true"/>
              </w:rPr>
              <w:t xml:space="preserve">أصل </w:t>
            </w:r>
            <w:r>
              <w:rPr>
                <w:rStyle w:val="IndexLink"/>
                <w:rtl w:val="true"/>
              </w:rPr>
              <w:t>[</w:t>
            </w:r>
            <w:r>
              <w:rPr>
                <w:rStyle w:val="IndexLink"/>
                <w:rtl w:val="true"/>
              </w:rPr>
              <w:t>في حجية مفهوم الغاية</w:t>
            </w:r>
            <w:r>
              <w:rPr>
                <w:rStyle w:val="IndexLink"/>
                <w:rtl w:val="true"/>
              </w:rPr>
              <w:t>]</w:t>
              <w:tab/>
            </w:r>
            <w:r>
              <w:rPr>
                <w:rStyle w:val="IndexLink"/>
              </w:rPr>
              <w:t>201</w:t>
            </w:r>
          </w:hyperlink>
        </w:p>
        <w:p>
          <w:pPr>
            <w:pStyle w:val="Contents3"/>
            <w:tabs>
              <w:tab w:val="clear" w:pos="8459"/>
              <w:tab w:val="right" w:pos="9026" w:leader="dot"/>
            </w:tabs>
            <w:rPr/>
          </w:pPr>
          <w:hyperlink w:anchor="__RefHeading___Toc2001573_2870459653">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2001575_2870459653">
            <w:r>
              <w:rPr>
                <w:webHidden/>
                <w:rStyle w:val="IndexLink"/>
                <w:rtl w:val="true"/>
              </w:rPr>
              <w:t>[</w:t>
            </w:r>
            <w:r>
              <w:rPr>
                <w:rStyle w:val="IndexLink"/>
                <w:rtl w:val="true"/>
              </w:rPr>
              <w:t>ثمرة المسألة</w:t>
            </w:r>
            <w:r>
              <w:rPr>
                <w:rStyle w:val="IndexLink"/>
                <w:rtl w:val="true"/>
              </w:rPr>
              <w:t>]</w:t>
              <w:tab/>
            </w:r>
            <w:r>
              <w:rPr>
                <w:rStyle w:val="IndexLink"/>
              </w:rPr>
              <w:t>201</w:t>
            </w:r>
          </w:hyperlink>
        </w:p>
        <w:p>
          <w:pPr>
            <w:pStyle w:val="Contents3"/>
            <w:tabs>
              <w:tab w:val="clear" w:pos="8459"/>
              <w:tab w:val="right" w:pos="9026" w:leader="dot"/>
            </w:tabs>
            <w:rPr/>
          </w:pPr>
          <w:hyperlink w:anchor="__RefHeading___Toc2001577_2870459653">
            <w:r>
              <w:rPr>
                <w:webHidden/>
                <w:rStyle w:val="IndexLink"/>
                <w:rtl w:val="true"/>
              </w:rPr>
              <w:t>[</w:t>
            </w:r>
            <w:r>
              <w:rPr>
                <w:rStyle w:val="IndexLink"/>
                <w:rtl w:val="true"/>
              </w:rPr>
              <w:t>تأسيس الأصل</w:t>
            </w:r>
            <w:r>
              <w:rPr>
                <w:rStyle w:val="IndexLink"/>
                <w:rtl w:val="true"/>
              </w:rPr>
              <w:t>]</w:t>
              <w:tab/>
            </w:r>
            <w:r>
              <w:rPr>
                <w:rStyle w:val="IndexLink"/>
              </w:rPr>
              <w:t>202</w:t>
            </w:r>
          </w:hyperlink>
        </w:p>
        <w:p>
          <w:pPr>
            <w:pStyle w:val="Contents2"/>
            <w:tabs>
              <w:tab w:val="clear" w:pos="8743"/>
              <w:tab w:val="right" w:pos="9026" w:leader="dot"/>
            </w:tabs>
            <w:rPr/>
          </w:pPr>
          <w:hyperlink w:anchor="__RefHeading___Toc2001579_2870459653">
            <w:r>
              <w:rPr>
                <w:webHidden/>
                <w:rStyle w:val="IndexLink"/>
                <w:rtl w:val="true"/>
              </w:rPr>
              <w:t xml:space="preserve">أصل </w:t>
            </w:r>
            <w:r>
              <w:rPr>
                <w:rStyle w:val="IndexLink"/>
                <w:rtl w:val="true"/>
              </w:rPr>
              <w:t>[</w:t>
            </w:r>
            <w:r>
              <w:rPr>
                <w:rStyle w:val="IndexLink"/>
                <w:rtl w:val="true"/>
              </w:rPr>
              <w:t>في مفهوم الحصر و غيره</w:t>
            </w:r>
            <w:r>
              <w:rPr>
                <w:rStyle w:val="IndexLink"/>
                <w:rtl w:val="true"/>
              </w:rPr>
              <w:t>]</w:t>
              <w:tab/>
            </w:r>
            <w:r>
              <w:rPr>
                <w:rStyle w:val="IndexLink"/>
              </w:rPr>
              <w:t>204</w:t>
            </w:r>
          </w:hyperlink>
        </w:p>
        <w:p>
          <w:pPr>
            <w:pStyle w:val="Contents2"/>
            <w:tabs>
              <w:tab w:val="clear" w:pos="8743"/>
              <w:tab w:val="right" w:pos="9026" w:leader="dot"/>
            </w:tabs>
            <w:rPr/>
          </w:pPr>
          <w:hyperlink w:anchor="__RefHeading___Toc2001581_2870459653">
            <w:r>
              <w:rPr>
                <w:webHidden/>
                <w:rStyle w:val="IndexLink"/>
                <w:rtl w:val="true"/>
              </w:rPr>
              <w:t xml:space="preserve">أصل </w:t>
            </w:r>
            <w:r>
              <w:rPr>
                <w:rStyle w:val="IndexLink"/>
                <w:rtl w:val="true"/>
              </w:rPr>
              <w:t>[</w:t>
            </w:r>
            <w:r>
              <w:rPr>
                <w:rStyle w:val="IndexLink"/>
                <w:rtl w:val="true"/>
              </w:rPr>
              <w:t>في تعريف العام</w:t>
            </w:r>
            <w:r>
              <w:rPr>
                <w:rStyle w:val="IndexLink"/>
                <w:rtl w:val="true"/>
              </w:rPr>
              <w:t>]</w:t>
              <w:tab/>
            </w:r>
            <w:r>
              <w:rPr>
                <w:rStyle w:val="IndexLink"/>
              </w:rPr>
              <w:t>205</w:t>
            </w:r>
          </w:hyperlink>
        </w:p>
        <w:p>
          <w:pPr>
            <w:pStyle w:val="Contents2"/>
            <w:tabs>
              <w:tab w:val="clear" w:pos="8743"/>
              <w:tab w:val="right" w:pos="9026" w:leader="dot"/>
            </w:tabs>
            <w:rPr/>
          </w:pPr>
          <w:hyperlink w:anchor="__RefHeading___Toc2001583_2870459653">
            <w:r>
              <w:rPr>
                <w:webHidden/>
                <w:rStyle w:val="IndexLink"/>
                <w:rtl w:val="true"/>
              </w:rPr>
              <w:t xml:space="preserve">أصل </w:t>
            </w:r>
            <w:r>
              <w:rPr>
                <w:rStyle w:val="IndexLink"/>
                <w:rtl w:val="true"/>
              </w:rPr>
              <w:t>[</w:t>
            </w:r>
            <w:r>
              <w:rPr>
                <w:rStyle w:val="IndexLink"/>
                <w:rtl w:val="true"/>
              </w:rPr>
              <w:t>في أن للعام صيغة تخصه</w:t>
            </w:r>
            <w:r>
              <w:rPr>
                <w:rStyle w:val="IndexLink"/>
                <w:rtl w:val="true"/>
              </w:rPr>
              <w:t>]</w:t>
              <w:tab/>
            </w:r>
            <w:r>
              <w:rPr>
                <w:rStyle w:val="IndexLink"/>
              </w:rPr>
              <w:t>206</w:t>
            </w:r>
          </w:hyperlink>
        </w:p>
        <w:p>
          <w:pPr>
            <w:pStyle w:val="Contents2"/>
            <w:tabs>
              <w:tab w:val="clear" w:pos="8743"/>
              <w:tab w:val="right" w:pos="9026" w:leader="dot"/>
            </w:tabs>
            <w:rPr/>
          </w:pPr>
          <w:hyperlink w:anchor="__RefHeading___Toc2001585_2870459653">
            <w:r>
              <w:rPr>
                <w:webHidden/>
                <w:rStyle w:val="IndexLink"/>
                <w:rtl w:val="true"/>
              </w:rPr>
              <w:t xml:space="preserve">أصل </w:t>
            </w:r>
            <w:r>
              <w:rPr>
                <w:rStyle w:val="IndexLink"/>
                <w:rtl w:val="true"/>
              </w:rPr>
              <w:t>[</w:t>
            </w:r>
            <w:r>
              <w:rPr>
                <w:rStyle w:val="IndexLink"/>
                <w:rtl w:val="true"/>
              </w:rPr>
              <w:t>في الجمع المحلّى باللام</w:t>
            </w:r>
            <w:r>
              <w:rPr>
                <w:rStyle w:val="IndexLink"/>
                <w:rtl w:val="true"/>
              </w:rPr>
              <w:t>]</w:t>
              <w:tab/>
            </w:r>
            <w:r>
              <w:rPr>
                <w:rStyle w:val="IndexLink"/>
              </w:rPr>
              <w:t>206</w:t>
            </w:r>
          </w:hyperlink>
        </w:p>
        <w:p>
          <w:pPr>
            <w:pStyle w:val="Contents2"/>
            <w:tabs>
              <w:tab w:val="clear" w:pos="8743"/>
              <w:tab w:val="right" w:pos="9026" w:leader="dot"/>
            </w:tabs>
            <w:rPr/>
          </w:pPr>
          <w:hyperlink w:anchor="__RefHeading___Toc2001587_2870459653">
            <w:r>
              <w:rPr>
                <w:webHidden/>
                <w:rStyle w:val="IndexLink"/>
                <w:rtl w:val="true"/>
              </w:rPr>
              <w:t xml:space="preserve">أصل </w:t>
            </w:r>
            <w:r>
              <w:rPr>
                <w:rStyle w:val="IndexLink"/>
                <w:rtl w:val="true"/>
              </w:rPr>
              <w:t>[</w:t>
            </w:r>
            <w:r>
              <w:rPr>
                <w:rStyle w:val="IndexLink"/>
                <w:rtl w:val="true"/>
              </w:rPr>
              <w:t>في المفرد المحلّى باللام</w:t>
            </w:r>
            <w:r>
              <w:rPr>
                <w:rStyle w:val="IndexLink"/>
                <w:rtl w:val="true"/>
              </w:rPr>
              <w:t>]</w:t>
              <w:tab/>
            </w:r>
            <w:r>
              <w:rPr>
                <w:rStyle w:val="IndexLink"/>
              </w:rPr>
              <w:t>208</w:t>
            </w:r>
          </w:hyperlink>
        </w:p>
        <w:p>
          <w:pPr>
            <w:pStyle w:val="Contents2"/>
            <w:tabs>
              <w:tab w:val="clear" w:pos="8743"/>
              <w:tab w:val="right" w:pos="9026" w:leader="dot"/>
            </w:tabs>
            <w:rPr/>
          </w:pPr>
          <w:hyperlink w:anchor="__RefHeading___Toc2001589_2870459653">
            <w:r>
              <w:rPr>
                <w:webHidden/>
                <w:rStyle w:val="IndexLink"/>
                <w:rtl w:val="true"/>
              </w:rPr>
              <w:t xml:space="preserve">أصل </w:t>
            </w:r>
            <w:r>
              <w:rPr>
                <w:rStyle w:val="IndexLink"/>
                <w:rtl w:val="true"/>
              </w:rPr>
              <w:t>[</w:t>
            </w:r>
            <w:r>
              <w:rPr>
                <w:rStyle w:val="IndexLink"/>
                <w:rtl w:val="true"/>
              </w:rPr>
              <w:t>في المفرد المضاف</w:t>
            </w:r>
            <w:r>
              <w:rPr>
                <w:rStyle w:val="IndexLink"/>
                <w:rtl w:val="true"/>
              </w:rPr>
              <w:t>]</w:t>
              <w:tab/>
            </w:r>
            <w:r>
              <w:rPr>
                <w:rStyle w:val="IndexLink"/>
              </w:rPr>
              <w:t>210</w:t>
            </w:r>
          </w:hyperlink>
        </w:p>
        <w:p>
          <w:pPr>
            <w:pStyle w:val="Contents2"/>
            <w:tabs>
              <w:tab w:val="clear" w:pos="8743"/>
              <w:tab w:val="right" w:pos="9026" w:leader="dot"/>
            </w:tabs>
            <w:rPr/>
          </w:pPr>
          <w:hyperlink w:anchor="__RefHeading___Toc2001591_2870459653">
            <w:r>
              <w:rPr>
                <w:webHidden/>
                <w:rStyle w:val="IndexLink"/>
                <w:rtl w:val="true"/>
              </w:rPr>
              <w:t xml:space="preserve">أصل </w:t>
            </w:r>
            <w:r>
              <w:rPr>
                <w:rStyle w:val="IndexLink"/>
                <w:rtl w:val="true"/>
              </w:rPr>
              <w:t>[</w:t>
            </w:r>
            <w:r>
              <w:rPr>
                <w:rStyle w:val="IndexLink"/>
                <w:rtl w:val="true"/>
              </w:rPr>
              <w:t>في المفرد المنون</w:t>
            </w:r>
            <w:r>
              <w:rPr>
                <w:rStyle w:val="IndexLink"/>
                <w:rtl w:val="true"/>
              </w:rPr>
              <w:t>]</w:t>
              <w:tab/>
            </w:r>
            <w:r>
              <w:rPr>
                <w:rStyle w:val="IndexLink"/>
              </w:rPr>
              <w:t>211</w:t>
            </w:r>
          </w:hyperlink>
        </w:p>
        <w:p>
          <w:pPr>
            <w:pStyle w:val="Contents2"/>
            <w:tabs>
              <w:tab w:val="clear" w:pos="8743"/>
              <w:tab w:val="right" w:pos="9026" w:leader="dot"/>
            </w:tabs>
            <w:rPr/>
          </w:pPr>
          <w:hyperlink w:anchor="__RefHeading___Toc2001593_2870459653">
            <w:r>
              <w:rPr>
                <w:webHidden/>
                <w:rStyle w:val="IndexLink"/>
                <w:rtl w:val="true"/>
              </w:rPr>
              <w:t xml:space="preserve">أصل </w:t>
            </w:r>
            <w:r>
              <w:rPr>
                <w:rStyle w:val="IndexLink"/>
                <w:rtl w:val="true"/>
              </w:rPr>
              <w:t>[</w:t>
            </w:r>
            <w:r>
              <w:rPr>
                <w:rStyle w:val="IndexLink"/>
                <w:rtl w:val="true"/>
              </w:rPr>
              <w:t>في الجمع المنكر</w:t>
            </w:r>
            <w:r>
              <w:rPr>
                <w:rStyle w:val="IndexLink"/>
                <w:rtl w:val="true"/>
              </w:rPr>
              <w:t>]</w:t>
              <w:tab/>
            </w:r>
            <w:r>
              <w:rPr>
                <w:rStyle w:val="IndexLink"/>
              </w:rPr>
              <w:t>212</w:t>
            </w:r>
          </w:hyperlink>
        </w:p>
        <w:p>
          <w:pPr>
            <w:pStyle w:val="Contents3"/>
            <w:tabs>
              <w:tab w:val="clear" w:pos="8459"/>
              <w:tab w:val="right" w:pos="9026" w:leader="dot"/>
            </w:tabs>
            <w:rPr/>
          </w:pPr>
          <w:hyperlink w:anchor="__RefHeading___Toc2001595_2870459653">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2001597_2870459653">
            <w:r>
              <w:rPr>
                <w:webHidden/>
                <w:rStyle w:val="IndexLink"/>
                <w:rtl w:val="true"/>
              </w:rPr>
              <w:t>[</w:t>
            </w:r>
            <w:r>
              <w:rPr>
                <w:rStyle w:val="IndexLink"/>
                <w:rtl w:val="true"/>
              </w:rPr>
              <w:t>المختار في المسألة</w:t>
            </w:r>
            <w:r>
              <w:rPr>
                <w:rStyle w:val="IndexLink"/>
                <w:rtl w:val="true"/>
              </w:rPr>
              <w:t>]</w:t>
              <w:tab/>
            </w:r>
            <w:r>
              <w:rPr>
                <w:rStyle w:val="IndexLink"/>
              </w:rPr>
              <w:t>213</w:t>
            </w:r>
          </w:hyperlink>
        </w:p>
        <w:p>
          <w:pPr>
            <w:pStyle w:val="Contents2"/>
            <w:tabs>
              <w:tab w:val="clear" w:pos="8743"/>
              <w:tab w:val="right" w:pos="9026" w:leader="dot"/>
            </w:tabs>
            <w:rPr/>
          </w:pPr>
          <w:hyperlink w:anchor="__RefHeading___Toc2001599_2870459653">
            <w:r>
              <w:rPr>
                <w:webHidden/>
                <w:rStyle w:val="IndexLink"/>
                <w:rtl w:val="true"/>
              </w:rPr>
              <w:t xml:space="preserve">أصل </w:t>
            </w:r>
            <w:r>
              <w:rPr>
                <w:rStyle w:val="IndexLink"/>
                <w:rtl w:val="true"/>
              </w:rPr>
              <w:t>[</w:t>
            </w:r>
            <w:r>
              <w:rPr>
                <w:rStyle w:val="IndexLink"/>
                <w:rtl w:val="true"/>
              </w:rPr>
              <w:t>في أقل ما يطلق عليه الجمع</w:t>
            </w:r>
            <w:r>
              <w:rPr>
                <w:rStyle w:val="IndexLink"/>
                <w:rtl w:val="true"/>
              </w:rPr>
              <w:t>]</w:t>
              <w:tab/>
            </w:r>
            <w:r>
              <w:rPr>
                <w:rStyle w:val="IndexLink"/>
              </w:rPr>
              <w:t>213</w:t>
            </w:r>
          </w:hyperlink>
        </w:p>
        <w:p>
          <w:pPr>
            <w:pStyle w:val="Contents3"/>
            <w:tabs>
              <w:tab w:val="clear" w:pos="8459"/>
              <w:tab w:val="right" w:pos="9026" w:leader="dot"/>
            </w:tabs>
            <w:rPr/>
          </w:pPr>
          <w:hyperlink w:anchor="__RefHeading___Toc2001601_2870459653">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2001603_2870459653">
            <w:r>
              <w:rPr>
                <w:webHidden/>
                <w:rStyle w:val="IndexLink"/>
                <w:rtl w:val="true"/>
              </w:rPr>
              <w:t xml:space="preserve">[ </w:t>
            </w:r>
            <w:r>
              <w:rPr>
                <w:rStyle w:val="IndexLink"/>
                <w:rtl w:val="true"/>
              </w:rPr>
              <w:t>تحرير محل النزاع</w:t>
            </w:r>
            <w:r>
              <w:rPr>
                <w:rStyle w:val="IndexLink"/>
                <w:rtl w:val="true"/>
              </w:rPr>
              <w:t>]</w:t>
              <w:tab/>
            </w:r>
            <w:r>
              <w:rPr>
                <w:rStyle w:val="IndexLink"/>
              </w:rPr>
              <w:t>213</w:t>
            </w:r>
          </w:hyperlink>
        </w:p>
        <w:p>
          <w:pPr>
            <w:pStyle w:val="Contents3"/>
            <w:tabs>
              <w:tab w:val="clear" w:pos="8459"/>
              <w:tab w:val="right" w:pos="9026" w:leader="dot"/>
            </w:tabs>
            <w:rPr/>
          </w:pPr>
          <w:hyperlink w:anchor="__RefHeading___Toc2001605_2870459653">
            <w:r>
              <w:rPr>
                <w:webHidden/>
                <w:rStyle w:val="IndexLink"/>
                <w:rtl w:val="true"/>
              </w:rPr>
              <w:t>[</w:t>
            </w:r>
            <w:r>
              <w:rPr>
                <w:rStyle w:val="IndexLink"/>
                <w:rtl w:val="true"/>
              </w:rPr>
              <w:t>المختار في المسألة</w:t>
            </w:r>
            <w:r>
              <w:rPr>
                <w:rStyle w:val="IndexLink"/>
                <w:rtl w:val="true"/>
              </w:rPr>
              <w:t>]</w:t>
              <w:tab/>
            </w:r>
            <w:r>
              <w:rPr>
                <w:rStyle w:val="IndexLink"/>
              </w:rPr>
              <w:t>214</w:t>
            </w:r>
          </w:hyperlink>
        </w:p>
        <w:p>
          <w:pPr>
            <w:pStyle w:val="Contents2"/>
            <w:tabs>
              <w:tab w:val="clear" w:pos="8743"/>
              <w:tab w:val="right" w:pos="9026" w:leader="dot"/>
            </w:tabs>
            <w:rPr/>
          </w:pPr>
          <w:hyperlink w:anchor="__RefHeading___Toc2001607_2870459653">
            <w:r>
              <w:rPr>
                <w:webHidden/>
                <w:rStyle w:val="IndexLink"/>
                <w:rtl w:val="true"/>
              </w:rPr>
              <w:t xml:space="preserve">أصل </w:t>
            </w:r>
            <w:r>
              <w:rPr>
                <w:rStyle w:val="IndexLink"/>
                <w:rtl w:val="true"/>
              </w:rPr>
              <w:t>[</w:t>
            </w:r>
            <w:r>
              <w:rPr>
                <w:rStyle w:val="IndexLink"/>
                <w:rtl w:val="true"/>
              </w:rPr>
              <w:t>في ترك الاستفصال</w:t>
            </w:r>
            <w:r>
              <w:rPr>
                <w:rStyle w:val="IndexLink"/>
                <w:rtl w:val="true"/>
              </w:rPr>
              <w:t>]</w:t>
              <w:tab/>
            </w:r>
            <w:r>
              <w:rPr>
                <w:rStyle w:val="IndexLink"/>
              </w:rPr>
              <w:t>214</w:t>
            </w:r>
          </w:hyperlink>
        </w:p>
        <w:p>
          <w:pPr>
            <w:pStyle w:val="Contents2"/>
            <w:tabs>
              <w:tab w:val="clear" w:pos="8743"/>
              <w:tab w:val="right" w:pos="9026" w:leader="dot"/>
            </w:tabs>
            <w:rPr/>
          </w:pPr>
          <w:hyperlink w:anchor="__RefHeading___Toc2001609_2870459653">
            <w:r>
              <w:rPr>
                <w:webHidden/>
                <w:rStyle w:val="IndexLink"/>
                <w:rtl w:val="true"/>
              </w:rPr>
              <w:t xml:space="preserve">أصل </w:t>
            </w:r>
            <w:r>
              <w:rPr>
                <w:rStyle w:val="IndexLink"/>
                <w:rtl w:val="true"/>
              </w:rPr>
              <w:t>[</w:t>
            </w:r>
            <w:r>
              <w:rPr>
                <w:rStyle w:val="IndexLink"/>
                <w:rtl w:val="true"/>
              </w:rPr>
              <w:t>في عموم التشبيه والمنزلة</w:t>
            </w:r>
            <w:r>
              <w:rPr>
                <w:rStyle w:val="IndexLink"/>
                <w:rtl w:val="true"/>
              </w:rPr>
              <w:t>]</w:t>
              <w:tab/>
            </w:r>
            <w:r>
              <w:rPr>
                <w:rStyle w:val="IndexLink"/>
              </w:rPr>
              <w:t>217</w:t>
            </w:r>
          </w:hyperlink>
        </w:p>
        <w:p>
          <w:pPr>
            <w:pStyle w:val="Contents3"/>
            <w:tabs>
              <w:tab w:val="clear" w:pos="8459"/>
              <w:tab w:val="right" w:pos="9026" w:leader="dot"/>
            </w:tabs>
            <w:rPr/>
          </w:pPr>
          <w:hyperlink w:anchor="__RefHeading___Toc2001611_2870459653">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2001613_2870459653">
            <w:r>
              <w:rPr>
                <w:webHidden/>
                <w:rStyle w:val="IndexLink"/>
                <w:rtl w:val="true"/>
              </w:rPr>
              <w:t>[</w:t>
            </w:r>
            <w:r>
              <w:rPr>
                <w:rStyle w:val="IndexLink"/>
                <w:rtl w:val="true"/>
              </w:rPr>
              <w:t>المختار في المسألة</w:t>
            </w:r>
            <w:r>
              <w:rPr>
                <w:rStyle w:val="IndexLink"/>
                <w:rtl w:val="true"/>
              </w:rPr>
              <w:t>]</w:t>
              <w:tab/>
            </w:r>
            <w:r>
              <w:rPr>
                <w:rStyle w:val="IndexLink"/>
              </w:rPr>
              <w:t>217</w:t>
            </w:r>
          </w:hyperlink>
        </w:p>
        <w:p>
          <w:pPr>
            <w:pStyle w:val="Contents2"/>
            <w:tabs>
              <w:tab w:val="clear" w:pos="8743"/>
              <w:tab w:val="right" w:pos="9026" w:leader="dot"/>
            </w:tabs>
            <w:rPr/>
          </w:pPr>
          <w:hyperlink w:anchor="__RefHeading___Toc2001615_2870459653">
            <w:r>
              <w:rPr>
                <w:webHidden/>
                <w:rStyle w:val="IndexLink"/>
                <w:rtl w:val="true"/>
              </w:rPr>
              <w:t xml:space="preserve">أصل </w:t>
            </w:r>
            <w:r>
              <w:rPr>
                <w:rStyle w:val="IndexLink"/>
                <w:rtl w:val="true"/>
              </w:rPr>
              <w:t>[</w:t>
            </w:r>
            <w:r>
              <w:rPr>
                <w:rStyle w:val="IndexLink"/>
                <w:rtl w:val="true"/>
              </w:rPr>
              <w:t>في الخطاب الشفاهي</w:t>
            </w:r>
            <w:r>
              <w:rPr>
                <w:rStyle w:val="IndexLink"/>
                <w:rtl w:val="true"/>
              </w:rPr>
              <w:t>]</w:t>
              <w:tab/>
            </w:r>
            <w:r>
              <w:rPr>
                <w:rStyle w:val="IndexLink"/>
              </w:rPr>
              <w:t>218</w:t>
            </w:r>
          </w:hyperlink>
        </w:p>
        <w:p>
          <w:pPr>
            <w:pStyle w:val="Contents3"/>
            <w:tabs>
              <w:tab w:val="clear" w:pos="8459"/>
              <w:tab w:val="right" w:pos="9026" w:leader="dot"/>
            </w:tabs>
            <w:rPr/>
          </w:pPr>
          <w:hyperlink w:anchor="__RefHeading___Toc2001617_2870459653">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2001619_2870459653">
            <w:r>
              <w:rPr>
                <w:webHidden/>
                <w:rStyle w:val="IndexLink"/>
                <w:rtl w:val="true"/>
              </w:rPr>
              <w:t>[</w:t>
            </w:r>
            <w:r>
              <w:rPr>
                <w:rStyle w:val="IndexLink"/>
                <w:rtl w:val="true"/>
              </w:rPr>
              <w:t>تحرير محل النزاع</w:t>
            </w:r>
            <w:r>
              <w:rPr>
                <w:rStyle w:val="IndexLink"/>
                <w:rtl w:val="true"/>
              </w:rPr>
              <w:t>]</w:t>
              <w:tab/>
            </w:r>
            <w:r>
              <w:rPr>
                <w:rStyle w:val="IndexLink"/>
              </w:rPr>
              <w:t>219</w:t>
            </w:r>
          </w:hyperlink>
        </w:p>
        <w:p>
          <w:pPr>
            <w:pStyle w:val="Contents3"/>
            <w:tabs>
              <w:tab w:val="clear" w:pos="8459"/>
              <w:tab w:val="right" w:pos="9026" w:leader="dot"/>
            </w:tabs>
            <w:rPr/>
          </w:pPr>
          <w:hyperlink w:anchor="__RefHeading___Toc2001621_2870459653">
            <w:r>
              <w:rPr>
                <w:webHidden/>
                <w:rStyle w:val="IndexLink"/>
                <w:rtl w:val="true"/>
              </w:rPr>
              <w:t>[</w:t>
            </w:r>
            <w:r>
              <w:rPr>
                <w:rStyle w:val="IndexLink"/>
                <w:rtl w:val="true"/>
              </w:rPr>
              <w:t>تأسيس الأصل</w:t>
            </w:r>
            <w:r>
              <w:rPr>
                <w:rStyle w:val="IndexLink"/>
                <w:rtl w:val="true"/>
              </w:rPr>
              <w:t>]</w:t>
              <w:tab/>
            </w:r>
            <w:r>
              <w:rPr>
                <w:rStyle w:val="IndexLink"/>
              </w:rPr>
              <w:t>221</w:t>
            </w:r>
          </w:hyperlink>
        </w:p>
        <w:p>
          <w:pPr>
            <w:pStyle w:val="Contents3"/>
            <w:tabs>
              <w:tab w:val="clear" w:pos="8459"/>
              <w:tab w:val="right" w:pos="9026" w:leader="dot"/>
            </w:tabs>
            <w:rPr/>
          </w:pPr>
          <w:hyperlink w:anchor="__RefHeading___Toc2001623_2870459653">
            <w:r>
              <w:rPr>
                <w:webHidden/>
                <w:rStyle w:val="IndexLink"/>
                <w:rtl w:val="true"/>
              </w:rPr>
              <w:t>[</w:t>
            </w:r>
            <w:r>
              <w:rPr>
                <w:rStyle w:val="IndexLink"/>
                <w:rtl w:val="true"/>
              </w:rPr>
              <w:t>ثمرة المسألة</w:t>
            </w:r>
            <w:r>
              <w:rPr>
                <w:rStyle w:val="IndexLink"/>
                <w:rtl w:val="true"/>
              </w:rPr>
              <w:t>]</w:t>
              <w:tab/>
            </w:r>
            <w:r>
              <w:rPr>
                <w:rStyle w:val="IndexLink"/>
              </w:rPr>
              <w:t>221</w:t>
            </w:r>
          </w:hyperlink>
        </w:p>
        <w:p>
          <w:pPr>
            <w:pStyle w:val="Contents2"/>
            <w:tabs>
              <w:tab w:val="clear" w:pos="8743"/>
              <w:tab w:val="right" w:pos="9026" w:leader="dot"/>
            </w:tabs>
            <w:rPr/>
          </w:pPr>
          <w:hyperlink w:anchor="__RefHeading___Toc2001625_2870459653">
            <w:r>
              <w:rPr>
                <w:webHidden/>
                <w:rStyle w:val="IndexLink"/>
                <w:rtl w:val="true"/>
              </w:rPr>
              <w:t xml:space="preserve">أصل </w:t>
            </w:r>
            <w:r>
              <w:rPr>
                <w:rStyle w:val="IndexLink"/>
                <w:rtl w:val="true"/>
              </w:rPr>
              <w:t>[</w:t>
            </w:r>
            <w:r>
              <w:rPr>
                <w:rStyle w:val="IndexLink"/>
                <w:rtl w:val="true"/>
              </w:rPr>
              <w:t>في تعريف التخصيص والخاص</w:t>
            </w:r>
            <w:r>
              <w:rPr>
                <w:rStyle w:val="IndexLink"/>
                <w:rtl w:val="true"/>
              </w:rPr>
              <w:t>]</w:t>
              <w:tab/>
            </w:r>
            <w:r>
              <w:rPr>
                <w:rStyle w:val="IndexLink"/>
              </w:rPr>
              <w:t>224</w:t>
            </w:r>
          </w:hyperlink>
        </w:p>
        <w:p>
          <w:pPr>
            <w:pStyle w:val="Contents2"/>
            <w:tabs>
              <w:tab w:val="clear" w:pos="8743"/>
              <w:tab w:val="right" w:pos="9026" w:leader="dot"/>
            </w:tabs>
            <w:rPr/>
          </w:pPr>
          <w:hyperlink w:anchor="__RefHeading___Toc2001627_2870459653">
            <w:r>
              <w:rPr>
                <w:webHidden/>
                <w:rStyle w:val="IndexLink"/>
                <w:rtl w:val="true"/>
              </w:rPr>
              <w:t xml:space="preserve">أصل </w:t>
            </w:r>
            <w:r>
              <w:rPr>
                <w:rStyle w:val="IndexLink"/>
                <w:rtl w:val="true"/>
              </w:rPr>
              <w:t>[</w:t>
            </w:r>
            <w:r>
              <w:rPr>
                <w:rStyle w:val="IndexLink"/>
                <w:rtl w:val="true"/>
              </w:rPr>
              <w:t>في منتهى التخصيص</w:t>
            </w:r>
            <w:r>
              <w:rPr>
                <w:rStyle w:val="IndexLink"/>
                <w:rtl w:val="true"/>
              </w:rPr>
              <w:t>]</w:t>
              <w:tab/>
            </w:r>
            <w:r>
              <w:rPr>
                <w:rStyle w:val="IndexLink"/>
              </w:rPr>
              <w:t>225</w:t>
            </w:r>
          </w:hyperlink>
        </w:p>
        <w:p>
          <w:pPr>
            <w:pStyle w:val="Contents3"/>
            <w:tabs>
              <w:tab w:val="clear" w:pos="8459"/>
              <w:tab w:val="right" w:pos="9026" w:leader="dot"/>
            </w:tabs>
            <w:rPr/>
          </w:pPr>
          <w:hyperlink w:anchor="__RefHeading___Toc2001629_2870459653">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2001631_2870459653">
            <w:r>
              <w:rPr>
                <w:webHidden/>
                <w:rStyle w:val="IndexLink"/>
                <w:rtl w:val="true"/>
              </w:rPr>
              <w:t>[</w:t>
            </w:r>
            <w:r>
              <w:rPr>
                <w:rStyle w:val="IndexLink"/>
                <w:rtl w:val="true"/>
              </w:rPr>
              <w:t>تحرير محل النزاع</w:t>
            </w:r>
            <w:r>
              <w:rPr>
                <w:rStyle w:val="IndexLink"/>
                <w:rtl w:val="true"/>
              </w:rPr>
              <w:t>]</w:t>
              <w:tab/>
            </w:r>
            <w:r>
              <w:rPr>
                <w:rStyle w:val="IndexLink"/>
              </w:rPr>
              <w:t>225</w:t>
            </w:r>
          </w:hyperlink>
        </w:p>
        <w:p>
          <w:pPr>
            <w:pStyle w:val="Contents3"/>
            <w:tabs>
              <w:tab w:val="clear" w:pos="8459"/>
              <w:tab w:val="right" w:pos="9026" w:leader="dot"/>
            </w:tabs>
            <w:rPr/>
          </w:pPr>
          <w:hyperlink w:anchor="__RefHeading___Toc2001633_2870459653">
            <w:r>
              <w:rPr>
                <w:webHidden/>
                <w:rStyle w:val="IndexLink"/>
                <w:rtl w:val="true"/>
              </w:rPr>
              <w:t>[</w:t>
            </w:r>
            <w:r>
              <w:rPr>
                <w:rStyle w:val="IndexLink"/>
                <w:rtl w:val="true"/>
              </w:rPr>
              <w:t>ثمرة المسألة</w:t>
            </w:r>
            <w:r>
              <w:rPr>
                <w:rStyle w:val="IndexLink"/>
                <w:rtl w:val="true"/>
              </w:rPr>
              <w:t>]</w:t>
              <w:tab/>
            </w:r>
            <w:r>
              <w:rPr>
                <w:rStyle w:val="IndexLink"/>
              </w:rPr>
              <w:t>226</w:t>
            </w:r>
          </w:hyperlink>
        </w:p>
        <w:p>
          <w:pPr>
            <w:pStyle w:val="Contents3"/>
            <w:tabs>
              <w:tab w:val="clear" w:pos="8459"/>
              <w:tab w:val="right" w:pos="9026" w:leader="dot"/>
            </w:tabs>
            <w:rPr/>
          </w:pPr>
          <w:hyperlink w:anchor="__RefHeading___Toc2001635_2870459653">
            <w:r>
              <w:rPr>
                <w:webHidden/>
                <w:rStyle w:val="IndexLink"/>
                <w:rtl w:val="true"/>
              </w:rPr>
              <w:t>[</w:t>
            </w:r>
            <w:r>
              <w:rPr>
                <w:rStyle w:val="IndexLink"/>
                <w:rtl w:val="true"/>
              </w:rPr>
              <w:t>تأسيس الأصل</w:t>
            </w:r>
            <w:r>
              <w:rPr>
                <w:rStyle w:val="IndexLink"/>
                <w:rtl w:val="true"/>
              </w:rPr>
              <w:t>]</w:t>
              <w:tab/>
            </w:r>
            <w:r>
              <w:rPr>
                <w:rStyle w:val="IndexLink"/>
              </w:rPr>
              <w:t>227</w:t>
            </w:r>
          </w:hyperlink>
        </w:p>
        <w:p>
          <w:pPr>
            <w:pStyle w:val="Contents2"/>
            <w:tabs>
              <w:tab w:val="clear" w:pos="8743"/>
              <w:tab w:val="right" w:pos="9026" w:leader="dot"/>
            </w:tabs>
            <w:rPr/>
          </w:pPr>
          <w:hyperlink w:anchor="__RefHeading___Toc2001637_2870459653">
            <w:r>
              <w:rPr>
                <w:webHidden/>
                <w:rStyle w:val="IndexLink"/>
                <w:rtl w:val="true"/>
              </w:rPr>
              <w:t xml:space="preserve">أصل </w:t>
            </w:r>
            <w:r>
              <w:rPr>
                <w:rStyle w:val="IndexLink"/>
                <w:rtl w:val="true"/>
              </w:rPr>
              <w:t>[</w:t>
            </w:r>
            <w:r>
              <w:rPr>
                <w:rStyle w:val="IndexLink"/>
                <w:rtl w:val="true"/>
              </w:rPr>
              <w:t>في استثناء النصف والأكثر</w:t>
            </w:r>
            <w:r>
              <w:rPr>
                <w:rStyle w:val="IndexLink"/>
                <w:rtl w:val="true"/>
              </w:rPr>
              <w:t>]</w:t>
              <w:tab/>
            </w:r>
            <w:r>
              <w:rPr>
                <w:rStyle w:val="IndexLink"/>
              </w:rPr>
              <w:t>227</w:t>
            </w:r>
          </w:hyperlink>
        </w:p>
        <w:p>
          <w:pPr>
            <w:pStyle w:val="Contents3"/>
            <w:tabs>
              <w:tab w:val="clear" w:pos="8459"/>
              <w:tab w:val="right" w:pos="9026" w:leader="dot"/>
            </w:tabs>
            <w:rPr/>
          </w:pPr>
          <w:hyperlink w:anchor="__RefHeading___Toc2001639_2870459653">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2001641_2870459653">
            <w:r>
              <w:rPr>
                <w:webHidden/>
                <w:rStyle w:val="IndexLink"/>
                <w:rtl w:val="true"/>
              </w:rPr>
              <w:t>[</w:t>
            </w:r>
            <w:r>
              <w:rPr>
                <w:rStyle w:val="IndexLink"/>
                <w:rtl w:val="true"/>
              </w:rPr>
              <w:t>تحرير محل النزاع</w:t>
            </w:r>
            <w:r>
              <w:rPr>
                <w:rStyle w:val="IndexLink"/>
                <w:rtl w:val="true"/>
              </w:rPr>
              <w:t>]</w:t>
              <w:tab/>
            </w:r>
            <w:r>
              <w:rPr>
                <w:rStyle w:val="IndexLink"/>
              </w:rPr>
              <w:t>228</w:t>
            </w:r>
          </w:hyperlink>
        </w:p>
        <w:p>
          <w:pPr>
            <w:pStyle w:val="Contents2"/>
            <w:tabs>
              <w:tab w:val="clear" w:pos="8743"/>
              <w:tab w:val="right" w:pos="9026" w:leader="dot"/>
            </w:tabs>
            <w:rPr/>
          </w:pPr>
          <w:hyperlink w:anchor="__RefHeading___Toc2001643_2870459653">
            <w:r>
              <w:rPr>
                <w:webHidden/>
                <w:rStyle w:val="IndexLink"/>
                <w:rtl w:val="true"/>
              </w:rPr>
              <w:t xml:space="preserve">أصل </w:t>
            </w:r>
            <w:r>
              <w:rPr>
                <w:rStyle w:val="IndexLink"/>
                <w:rtl w:val="true"/>
              </w:rPr>
              <w:t>[</w:t>
            </w:r>
            <w:r>
              <w:rPr>
                <w:rStyle w:val="IndexLink"/>
                <w:rtl w:val="true"/>
              </w:rPr>
              <w:t>في العام المخصص وأنه حقيقة أم مجاز</w:t>
            </w:r>
            <w:r>
              <w:rPr>
                <w:rStyle w:val="IndexLink"/>
                <w:rtl w:val="true"/>
              </w:rPr>
              <w:t>]</w:t>
              <w:tab/>
            </w:r>
            <w:r>
              <w:rPr>
                <w:rStyle w:val="IndexLink"/>
              </w:rPr>
              <w:t>229</w:t>
            </w:r>
          </w:hyperlink>
        </w:p>
        <w:p>
          <w:pPr>
            <w:pStyle w:val="Contents3"/>
            <w:tabs>
              <w:tab w:val="clear" w:pos="8459"/>
              <w:tab w:val="right" w:pos="9026" w:leader="dot"/>
            </w:tabs>
            <w:rPr/>
          </w:pPr>
          <w:hyperlink w:anchor="__RefHeading___Toc2001645_2870459653">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2001647_2870459653">
            <w:r>
              <w:rPr>
                <w:webHidden/>
                <w:rStyle w:val="IndexLink"/>
                <w:rtl w:val="true"/>
              </w:rPr>
              <w:t>[</w:t>
            </w:r>
            <w:r>
              <w:rPr>
                <w:rStyle w:val="IndexLink"/>
                <w:rtl w:val="true"/>
              </w:rPr>
              <w:t>تحرير محل النزاع</w:t>
            </w:r>
            <w:r>
              <w:rPr>
                <w:rStyle w:val="IndexLink"/>
                <w:rtl w:val="true"/>
              </w:rPr>
              <w:t>]</w:t>
              <w:tab/>
            </w:r>
            <w:r>
              <w:rPr>
                <w:rStyle w:val="IndexLink"/>
              </w:rPr>
              <w:t>229</w:t>
            </w:r>
          </w:hyperlink>
        </w:p>
        <w:p>
          <w:pPr>
            <w:pStyle w:val="Contents3"/>
            <w:tabs>
              <w:tab w:val="clear" w:pos="8459"/>
              <w:tab w:val="right" w:pos="9026" w:leader="dot"/>
            </w:tabs>
            <w:rPr/>
          </w:pPr>
          <w:hyperlink w:anchor="__RefHeading___Toc2001649_2870459653">
            <w:r>
              <w:rPr>
                <w:webHidden/>
                <w:rStyle w:val="IndexLink"/>
                <w:rtl w:val="true"/>
              </w:rPr>
              <w:t>[</w:t>
            </w:r>
            <w:r>
              <w:rPr>
                <w:rStyle w:val="IndexLink"/>
                <w:rtl w:val="true"/>
              </w:rPr>
              <w:t>ثمرة المسألة</w:t>
            </w:r>
            <w:r>
              <w:rPr>
                <w:rStyle w:val="IndexLink"/>
                <w:rtl w:val="true"/>
              </w:rPr>
              <w:t>]</w:t>
              <w:tab/>
            </w:r>
            <w:r>
              <w:rPr>
                <w:rStyle w:val="IndexLink"/>
              </w:rPr>
              <w:t>230</w:t>
            </w:r>
          </w:hyperlink>
        </w:p>
        <w:p>
          <w:pPr>
            <w:pStyle w:val="Contents2"/>
            <w:tabs>
              <w:tab w:val="clear" w:pos="8743"/>
              <w:tab w:val="right" w:pos="9026" w:leader="dot"/>
            </w:tabs>
            <w:rPr/>
          </w:pPr>
          <w:hyperlink w:anchor="__RefHeading___Toc2001651_2870459653">
            <w:r>
              <w:rPr>
                <w:webHidden/>
                <w:rStyle w:val="IndexLink"/>
                <w:rtl w:val="true"/>
              </w:rPr>
              <w:t xml:space="preserve">أصل </w:t>
            </w:r>
            <w:r>
              <w:rPr>
                <w:rStyle w:val="IndexLink"/>
                <w:rtl w:val="true"/>
              </w:rPr>
              <w:t>[</w:t>
            </w:r>
            <w:r>
              <w:rPr>
                <w:rStyle w:val="IndexLink"/>
                <w:rtl w:val="true"/>
              </w:rPr>
              <w:t>في عدم حجية المخصّص بالمجمل</w:t>
            </w:r>
            <w:r>
              <w:rPr>
                <w:rStyle w:val="IndexLink"/>
                <w:rtl w:val="true"/>
              </w:rPr>
              <w:t>]</w:t>
              <w:tab/>
            </w:r>
            <w:r>
              <w:rPr>
                <w:rStyle w:val="IndexLink"/>
              </w:rPr>
              <w:t>231</w:t>
            </w:r>
          </w:hyperlink>
        </w:p>
        <w:p>
          <w:pPr>
            <w:pStyle w:val="Contents2"/>
            <w:tabs>
              <w:tab w:val="clear" w:pos="8743"/>
              <w:tab w:val="right" w:pos="9026" w:leader="dot"/>
            </w:tabs>
            <w:rPr/>
          </w:pPr>
          <w:hyperlink w:anchor="__RefHeading___Toc2001653_2870459653">
            <w:r>
              <w:rPr>
                <w:webHidden/>
                <w:rStyle w:val="IndexLink"/>
                <w:rtl w:val="true"/>
              </w:rPr>
              <w:t xml:space="preserve">أصل </w:t>
            </w:r>
            <w:r>
              <w:rPr>
                <w:rStyle w:val="IndexLink"/>
                <w:rtl w:val="true"/>
              </w:rPr>
              <w:t>[</w:t>
            </w:r>
            <w:r>
              <w:rPr>
                <w:rStyle w:val="IndexLink"/>
                <w:rtl w:val="true"/>
              </w:rPr>
              <w:t>في عدم جواز العمل بالعام قبل الفحص</w:t>
            </w:r>
            <w:r>
              <w:rPr>
                <w:rStyle w:val="IndexLink"/>
                <w:rtl w:val="true"/>
              </w:rPr>
              <w:t>]</w:t>
              <w:tab/>
            </w:r>
            <w:r>
              <w:rPr>
                <w:rStyle w:val="IndexLink"/>
              </w:rPr>
              <w:t>232</w:t>
            </w:r>
          </w:hyperlink>
        </w:p>
        <w:p>
          <w:pPr>
            <w:pStyle w:val="Contents2"/>
            <w:tabs>
              <w:tab w:val="clear" w:pos="8743"/>
              <w:tab w:val="right" w:pos="9026" w:leader="dot"/>
            </w:tabs>
            <w:rPr/>
          </w:pPr>
          <w:hyperlink w:anchor="__RefHeading___Toc2001655_2870459653">
            <w:r>
              <w:rPr>
                <w:webHidden/>
                <w:rStyle w:val="IndexLink"/>
                <w:rtl w:val="true"/>
              </w:rPr>
              <w:t xml:space="preserve">أصل </w:t>
            </w:r>
            <w:r>
              <w:rPr>
                <w:rStyle w:val="IndexLink"/>
                <w:rtl w:val="true"/>
              </w:rPr>
              <w:t>[</w:t>
            </w:r>
            <w:r>
              <w:rPr>
                <w:rStyle w:val="IndexLink"/>
                <w:rtl w:val="true"/>
              </w:rPr>
              <w:t>في تعقب الخاص للعمومات المتعددة</w:t>
            </w:r>
            <w:r>
              <w:rPr>
                <w:rStyle w:val="IndexLink"/>
                <w:rtl w:val="true"/>
              </w:rPr>
              <w:t>]</w:t>
              <w:tab/>
            </w:r>
            <w:r>
              <w:rPr>
                <w:rStyle w:val="IndexLink"/>
              </w:rPr>
              <w:t>233</w:t>
            </w:r>
          </w:hyperlink>
        </w:p>
        <w:p>
          <w:pPr>
            <w:pStyle w:val="Contents2"/>
            <w:tabs>
              <w:tab w:val="clear" w:pos="8743"/>
              <w:tab w:val="right" w:pos="9026" w:leader="dot"/>
            </w:tabs>
            <w:rPr/>
          </w:pPr>
          <w:hyperlink w:anchor="__RefHeading___Toc2001657_2870459653">
            <w:r>
              <w:rPr>
                <w:webHidden/>
                <w:rStyle w:val="IndexLink"/>
                <w:rtl w:val="true"/>
              </w:rPr>
              <w:t xml:space="preserve">أصل </w:t>
            </w:r>
            <w:r>
              <w:rPr>
                <w:rStyle w:val="IndexLink"/>
                <w:rtl w:val="true"/>
              </w:rPr>
              <w:t>[</w:t>
            </w:r>
            <w:r>
              <w:rPr>
                <w:rStyle w:val="IndexLink"/>
                <w:rtl w:val="true"/>
              </w:rPr>
              <w:t>في الضمير الراجع إلى بعض أفراد العام</w:t>
            </w:r>
            <w:r>
              <w:rPr>
                <w:rStyle w:val="IndexLink"/>
                <w:rtl w:val="true"/>
              </w:rPr>
              <w:t>]</w:t>
              <w:tab/>
            </w:r>
            <w:r>
              <w:rPr>
                <w:rStyle w:val="IndexLink"/>
              </w:rPr>
              <w:t>234</w:t>
            </w:r>
          </w:hyperlink>
        </w:p>
        <w:p>
          <w:pPr>
            <w:pStyle w:val="Contents2"/>
            <w:tabs>
              <w:tab w:val="clear" w:pos="8743"/>
              <w:tab w:val="right" w:pos="9026" w:leader="dot"/>
            </w:tabs>
            <w:rPr/>
          </w:pPr>
          <w:hyperlink w:anchor="__RefHeading___Toc2001659_2870459653">
            <w:r>
              <w:rPr>
                <w:webHidden/>
                <w:rStyle w:val="IndexLink"/>
                <w:rtl w:val="true"/>
              </w:rPr>
              <w:t>أصل</w:t>
            </w:r>
            <w:r>
              <w:rPr>
                <w:rStyle w:val="IndexLink"/>
                <w:rtl w:val="true"/>
              </w:rPr>
              <w:t>[</w:t>
            </w:r>
            <w:r>
              <w:rPr>
                <w:rStyle w:val="IndexLink"/>
                <w:rtl w:val="true"/>
              </w:rPr>
              <w:t>في أن العبرة بعموم اللفظ</w:t>
            </w:r>
            <w:r>
              <w:rPr>
                <w:rStyle w:val="IndexLink"/>
                <w:rtl w:val="true"/>
              </w:rPr>
              <w:t>]</w:t>
              <w:tab/>
            </w:r>
            <w:r>
              <w:rPr>
                <w:rStyle w:val="IndexLink"/>
              </w:rPr>
              <w:t>235</w:t>
            </w:r>
          </w:hyperlink>
        </w:p>
        <w:p>
          <w:pPr>
            <w:pStyle w:val="Contents3"/>
            <w:tabs>
              <w:tab w:val="clear" w:pos="8459"/>
              <w:tab w:val="right" w:pos="9026" w:leader="dot"/>
            </w:tabs>
            <w:rPr/>
          </w:pPr>
          <w:hyperlink w:anchor="__RefHeading___Toc2001661_2870459653">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2001663_2870459653">
            <w:r>
              <w:rPr>
                <w:webHidden/>
                <w:rStyle w:val="IndexLink"/>
                <w:rtl w:val="true"/>
              </w:rPr>
              <w:t>[</w:t>
            </w:r>
            <w:r>
              <w:rPr>
                <w:rStyle w:val="IndexLink"/>
                <w:rtl w:val="true"/>
              </w:rPr>
              <w:t>المختار في المسألة</w:t>
            </w:r>
            <w:r>
              <w:rPr>
                <w:rStyle w:val="IndexLink"/>
                <w:rtl w:val="true"/>
              </w:rPr>
              <w:t>]</w:t>
              <w:tab/>
            </w:r>
            <w:r>
              <w:rPr>
                <w:rStyle w:val="IndexLink"/>
              </w:rPr>
              <w:t>235</w:t>
            </w:r>
          </w:hyperlink>
        </w:p>
        <w:p>
          <w:pPr>
            <w:pStyle w:val="Contents2"/>
            <w:tabs>
              <w:tab w:val="clear" w:pos="8743"/>
              <w:tab w:val="right" w:pos="9026" w:leader="dot"/>
            </w:tabs>
            <w:rPr/>
          </w:pPr>
          <w:hyperlink w:anchor="__RefHeading___Toc2001665_2870459653">
            <w:r>
              <w:rPr>
                <w:webHidden/>
                <w:rStyle w:val="IndexLink"/>
                <w:rtl w:val="true"/>
              </w:rPr>
              <w:t xml:space="preserve">أصل </w:t>
            </w:r>
            <w:r>
              <w:rPr>
                <w:rStyle w:val="IndexLink"/>
                <w:rtl w:val="true"/>
              </w:rPr>
              <w:t>[</w:t>
            </w:r>
            <w:r>
              <w:rPr>
                <w:rStyle w:val="IndexLink"/>
                <w:rtl w:val="true"/>
              </w:rPr>
              <w:t>في تخصيص العام بمفهوم المخالفة</w:t>
            </w:r>
            <w:r>
              <w:rPr>
                <w:rStyle w:val="IndexLink"/>
                <w:rtl w:val="true"/>
              </w:rPr>
              <w:t>]</w:t>
              <w:tab/>
            </w:r>
            <w:r>
              <w:rPr>
                <w:rStyle w:val="IndexLink"/>
              </w:rPr>
              <w:t>236</w:t>
            </w:r>
          </w:hyperlink>
        </w:p>
        <w:p>
          <w:pPr>
            <w:pStyle w:val="Contents2"/>
            <w:tabs>
              <w:tab w:val="clear" w:pos="8743"/>
              <w:tab w:val="right" w:pos="9026" w:leader="dot"/>
            </w:tabs>
            <w:rPr/>
          </w:pPr>
          <w:hyperlink w:anchor="__RefHeading___Toc2001667_2870459653">
            <w:r>
              <w:rPr>
                <w:webHidden/>
                <w:rStyle w:val="IndexLink"/>
                <w:rtl w:val="true"/>
              </w:rPr>
              <w:t xml:space="preserve">أصل </w:t>
            </w:r>
            <w:r>
              <w:rPr>
                <w:rStyle w:val="IndexLink"/>
                <w:rtl w:val="true"/>
              </w:rPr>
              <w:t>[</w:t>
            </w:r>
            <w:r>
              <w:rPr>
                <w:rStyle w:val="IndexLink"/>
                <w:rtl w:val="true"/>
              </w:rPr>
              <w:t>في جواز تخصيص الكتاب</w:t>
            </w:r>
            <w:r>
              <w:rPr>
                <w:rStyle w:val="IndexLink"/>
                <w:rtl w:val="true"/>
              </w:rPr>
              <w:t>]</w:t>
              <w:tab/>
            </w:r>
            <w:r>
              <w:rPr>
                <w:rStyle w:val="IndexLink"/>
              </w:rPr>
              <w:t>237</w:t>
            </w:r>
          </w:hyperlink>
        </w:p>
        <w:p>
          <w:pPr>
            <w:pStyle w:val="Contents2"/>
            <w:tabs>
              <w:tab w:val="clear" w:pos="8743"/>
              <w:tab w:val="right" w:pos="9026" w:leader="dot"/>
            </w:tabs>
            <w:rPr/>
          </w:pPr>
          <w:hyperlink w:anchor="__RefHeading___Toc2001669_2870459653">
            <w:r>
              <w:rPr>
                <w:webHidden/>
                <w:rStyle w:val="IndexLink"/>
                <w:rtl w:val="true"/>
              </w:rPr>
              <w:t xml:space="preserve">أصل </w:t>
            </w:r>
            <w:r>
              <w:rPr>
                <w:rStyle w:val="IndexLink"/>
                <w:rtl w:val="true"/>
              </w:rPr>
              <w:t>[</w:t>
            </w:r>
            <w:r>
              <w:rPr>
                <w:rStyle w:val="IndexLink"/>
                <w:rtl w:val="true"/>
              </w:rPr>
              <w:t>في تعريف المطلق والمقيد</w:t>
            </w:r>
            <w:r>
              <w:rPr>
                <w:rStyle w:val="IndexLink"/>
                <w:rtl w:val="true"/>
              </w:rPr>
              <w:t>]</w:t>
              <w:tab/>
            </w:r>
            <w:r>
              <w:rPr>
                <w:rStyle w:val="IndexLink"/>
              </w:rPr>
              <w:t>238</w:t>
            </w:r>
          </w:hyperlink>
        </w:p>
        <w:p>
          <w:pPr>
            <w:pStyle w:val="Contents2"/>
            <w:tabs>
              <w:tab w:val="clear" w:pos="8743"/>
              <w:tab w:val="right" w:pos="9026" w:leader="dot"/>
            </w:tabs>
            <w:rPr/>
          </w:pPr>
          <w:hyperlink w:anchor="__RefHeading___Toc2001671_2870459653">
            <w:r>
              <w:rPr>
                <w:webHidden/>
                <w:rStyle w:val="IndexLink"/>
                <w:rtl w:val="true"/>
              </w:rPr>
              <w:t xml:space="preserve">أصل </w:t>
            </w:r>
            <w:r>
              <w:rPr>
                <w:rStyle w:val="IndexLink"/>
                <w:rtl w:val="true"/>
              </w:rPr>
              <w:t>[</w:t>
            </w:r>
            <w:r>
              <w:rPr>
                <w:rStyle w:val="IndexLink"/>
                <w:rtl w:val="true"/>
              </w:rPr>
              <w:t>في كيفية العموم المستفاد من المطلق</w:t>
            </w:r>
            <w:r>
              <w:rPr>
                <w:rStyle w:val="IndexLink"/>
                <w:rtl w:val="true"/>
              </w:rPr>
              <w:t>]</w:t>
              <w:tab/>
            </w:r>
            <w:r>
              <w:rPr>
                <w:rStyle w:val="IndexLink"/>
              </w:rPr>
              <w:t>239</w:t>
            </w:r>
          </w:hyperlink>
        </w:p>
        <w:p>
          <w:pPr>
            <w:pStyle w:val="Contents2"/>
            <w:tabs>
              <w:tab w:val="clear" w:pos="8743"/>
              <w:tab w:val="right" w:pos="9026" w:leader="dot"/>
            </w:tabs>
            <w:rPr/>
          </w:pPr>
          <w:hyperlink w:anchor="__RefHeading___Toc2001673_2870459653">
            <w:r>
              <w:rPr>
                <w:webHidden/>
                <w:rStyle w:val="IndexLink"/>
                <w:rtl w:val="true"/>
              </w:rPr>
              <w:t xml:space="preserve">أصل </w:t>
            </w:r>
            <w:r>
              <w:rPr>
                <w:rStyle w:val="IndexLink"/>
                <w:rtl w:val="true"/>
              </w:rPr>
              <w:t>[</w:t>
            </w:r>
            <w:r>
              <w:rPr>
                <w:rStyle w:val="IndexLink"/>
                <w:rtl w:val="true"/>
              </w:rPr>
              <w:t>في أقسام التشكيك</w:t>
            </w:r>
            <w:r>
              <w:rPr>
                <w:rStyle w:val="IndexLink"/>
                <w:rtl w:val="true"/>
              </w:rPr>
              <w:t>]</w:t>
              <w:tab/>
            </w:r>
            <w:r>
              <w:rPr>
                <w:rStyle w:val="IndexLink"/>
              </w:rPr>
              <w:t>240</w:t>
            </w:r>
          </w:hyperlink>
        </w:p>
        <w:p>
          <w:pPr>
            <w:pStyle w:val="Contents2"/>
            <w:tabs>
              <w:tab w:val="clear" w:pos="8743"/>
              <w:tab w:val="right" w:pos="9026" w:leader="dot"/>
            </w:tabs>
            <w:rPr/>
          </w:pPr>
          <w:hyperlink w:anchor="__RefHeading___Toc2001675_2870459653">
            <w:r>
              <w:rPr>
                <w:webHidden/>
                <w:rStyle w:val="IndexLink"/>
                <w:rtl w:val="true"/>
              </w:rPr>
              <w:t xml:space="preserve">أصل </w:t>
            </w:r>
            <w:r>
              <w:rPr>
                <w:rStyle w:val="IndexLink"/>
                <w:rtl w:val="true"/>
              </w:rPr>
              <w:t>[</w:t>
            </w:r>
            <w:r>
              <w:rPr>
                <w:rStyle w:val="IndexLink"/>
                <w:rtl w:val="true"/>
              </w:rPr>
              <w:t>في حمل المطلق على المقيد</w:t>
            </w:r>
            <w:r>
              <w:rPr>
                <w:rStyle w:val="IndexLink"/>
                <w:rtl w:val="true"/>
              </w:rPr>
              <w:t>]</w:t>
              <w:tab/>
            </w:r>
            <w:r>
              <w:rPr>
                <w:rStyle w:val="IndexLink"/>
              </w:rPr>
              <w:t>241</w:t>
            </w:r>
          </w:hyperlink>
        </w:p>
        <w:p>
          <w:pPr>
            <w:pStyle w:val="Contents2"/>
            <w:tabs>
              <w:tab w:val="clear" w:pos="8743"/>
              <w:tab w:val="right" w:pos="9026" w:leader="dot"/>
            </w:tabs>
            <w:rPr/>
          </w:pPr>
          <w:hyperlink w:anchor="__RefHeading___Toc2001677_2870459653">
            <w:r>
              <w:rPr>
                <w:webHidden/>
                <w:rStyle w:val="IndexLink"/>
                <w:rtl w:val="true"/>
              </w:rPr>
              <w:t xml:space="preserve">أصل </w:t>
            </w:r>
            <w:r>
              <w:rPr>
                <w:rStyle w:val="IndexLink"/>
                <w:rtl w:val="true"/>
              </w:rPr>
              <w:t>[</w:t>
            </w:r>
            <w:r>
              <w:rPr>
                <w:rStyle w:val="IndexLink"/>
                <w:rtl w:val="true"/>
              </w:rPr>
              <w:t>في تعريف المجمل</w:t>
            </w:r>
            <w:r>
              <w:rPr>
                <w:rStyle w:val="IndexLink"/>
                <w:rtl w:val="true"/>
              </w:rPr>
              <w:t>]</w:t>
              <w:tab/>
            </w:r>
            <w:r>
              <w:rPr>
                <w:rStyle w:val="IndexLink"/>
              </w:rPr>
              <w:t>242</w:t>
            </w:r>
          </w:hyperlink>
        </w:p>
        <w:p>
          <w:pPr>
            <w:pStyle w:val="Contents2"/>
            <w:tabs>
              <w:tab w:val="clear" w:pos="8743"/>
              <w:tab w:val="right" w:pos="9026" w:leader="dot"/>
            </w:tabs>
            <w:rPr/>
          </w:pPr>
          <w:hyperlink w:anchor="__RefHeading___Toc2001679_2870459653">
            <w:r>
              <w:rPr>
                <w:webHidden/>
                <w:rStyle w:val="IndexLink"/>
                <w:rtl w:val="true"/>
              </w:rPr>
              <w:t xml:space="preserve">أصل </w:t>
            </w:r>
            <w:r>
              <w:rPr>
                <w:rStyle w:val="IndexLink"/>
                <w:rtl w:val="true"/>
              </w:rPr>
              <w:t>[</w:t>
            </w:r>
            <w:r>
              <w:rPr>
                <w:rStyle w:val="IndexLink"/>
                <w:rtl w:val="true"/>
              </w:rPr>
              <w:t>في توارد المجمل والمبين</w:t>
            </w:r>
            <w:r>
              <w:rPr>
                <w:rStyle w:val="IndexLink"/>
                <w:rtl w:val="true"/>
              </w:rPr>
              <w:t>]</w:t>
              <w:tab/>
            </w:r>
            <w:r>
              <w:rPr>
                <w:rStyle w:val="IndexLink"/>
              </w:rPr>
              <w:t>243</w:t>
            </w:r>
          </w:hyperlink>
        </w:p>
        <w:p>
          <w:pPr>
            <w:pStyle w:val="Contents2"/>
            <w:tabs>
              <w:tab w:val="clear" w:pos="8743"/>
              <w:tab w:val="right" w:pos="9026" w:leader="dot"/>
            </w:tabs>
            <w:rPr/>
          </w:pPr>
          <w:hyperlink w:anchor="__RefHeading___Toc2001681_2870459653">
            <w:r>
              <w:rPr>
                <w:webHidden/>
                <w:rStyle w:val="IndexLink"/>
                <w:rtl w:val="true"/>
              </w:rPr>
              <w:t xml:space="preserve">أصل </w:t>
            </w:r>
            <w:r>
              <w:rPr>
                <w:rStyle w:val="IndexLink"/>
                <w:rtl w:val="true"/>
              </w:rPr>
              <w:t>[</w:t>
            </w:r>
            <w:r>
              <w:rPr>
                <w:rStyle w:val="IndexLink"/>
                <w:rtl w:val="true"/>
              </w:rPr>
              <w:t>في تعريف المبين وعدم تأخير البيان عن وقت الحاجة</w:t>
            </w:r>
            <w:r>
              <w:rPr>
                <w:rStyle w:val="IndexLink"/>
                <w:rtl w:val="true"/>
              </w:rPr>
              <w:t>]</w:t>
              <w:tab/>
            </w:r>
            <w:r>
              <w:rPr>
                <w:rStyle w:val="IndexLink"/>
              </w:rPr>
              <w:t>244</w:t>
            </w:r>
          </w:hyperlink>
        </w:p>
        <w:p>
          <w:pPr>
            <w:pStyle w:val="Contents2"/>
            <w:tabs>
              <w:tab w:val="clear" w:pos="8743"/>
              <w:tab w:val="right" w:pos="9026" w:leader="dot"/>
            </w:tabs>
            <w:rPr/>
          </w:pPr>
          <w:hyperlink w:anchor="__RefHeading___Toc2001683_2870459653">
            <w:r>
              <w:rPr>
                <w:webHidden/>
                <w:rStyle w:val="IndexLink"/>
                <w:rtl w:val="true"/>
              </w:rPr>
              <w:t xml:space="preserve">أصل </w:t>
            </w:r>
            <w:r>
              <w:rPr>
                <w:rStyle w:val="IndexLink"/>
                <w:rtl w:val="true"/>
              </w:rPr>
              <w:t>[</w:t>
            </w:r>
            <w:r>
              <w:rPr>
                <w:rStyle w:val="IndexLink"/>
                <w:rtl w:val="true"/>
              </w:rPr>
              <w:t>في الإجماع</w:t>
            </w:r>
            <w:r>
              <w:rPr>
                <w:rStyle w:val="IndexLink"/>
                <w:rtl w:val="true"/>
              </w:rPr>
              <w:t>]</w:t>
              <w:tab/>
            </w:r>
            <w:r>
              <w:rPr>
                <w:rStyle w:val="IndexLink"/>
              </w:rPr>
              <w:t>245</w:t>
            </w:r>
          </w:hyperlink>
        </w:p>
        <w:p>
          <w:pPr>
            <w:pStyle w:val="Contents2"/>
            <w:tabs>
              <w:tab w:val="clear" w:pos="8743"/>
              <w:tab w:val="right" w:pos="9026" w:leader="dot"/>
            </w:tabs>
            <w:rPr/>
          </w:pPr>
          <w:hyperlink w:anchor="__RefHeading___Toc2001685_2870459653">
            <w:r>
              <w:rPr>
                <w:webHidden/>
                <w:rStyle w:val="IndexLink"/>
                <w:rtl w:val="true"/>
              </w:rPr>
              <w:t xml:space="preserve">أصل </w:t>
            </w:r>
            <w:r>
              <w:rPr>
                <w:rStyle w:val="IndexLink"/>
                <w:rtl w:val="true"/>
              </w:rPr>
              <w:t>[</w:t>
            </w:r>
            <w:r>
              <w:rPr>
                <w:rStyle w:val="IndexLink"/>
                <w:rtl w:val="true"/>
              </w:rPr>
              <w:t>في حجية الكتاب</w:t>
            </w:r>
            <w:r>
              <w:rPr>
                <w:rStyle w:val="IndexLink"/>
                <w:rtl w:val="true"/>
              </w:rPr>
              <w:t>]</w:t>
              <w:tab/>
            </w:r>
            <w:r>
              <w:rPr>
                <w:rStyle w:val="IndexLink"/>
              </w:rPr>
              <w:t>250</w:t>
            </w:r>
          </w:hyperlink>
        </w:p>
        <w:p>
          <w:pPr>
            <w:pStyle w:val="Contents2"/>
            <w:tabs>
              <w:tab w:val="clear" w:pos="8743"/>
              <w:tab w:val="right" w:pos="9026" w:leader="dot"/>
            </w:tabs>
            <w:rPr/>
          </w:pPr>
          <w:hyperlink w:anchor="__RefHeading___Toc2001687_2870459653">
            <w:r>
              <w:rPr>
                <w:webHidden/>
                <w:rStyle w:val="IndexLink"/>
                <w:rtl w:val="true"/>
              </w:rPr>
              <w:t>أصل</w:t>
            </w:r>
            <w:r>
              <w:rPr>
                <w:rStyle w:val="IndexLink"/>
                <w:rtl w:val="true"/>
              </w:rPr>
              <w:t>[</w:t>
            </w:r>
            <w:r>
              <w:rPr>
                <w:rStyle w:val="IndexLink"/>
                <w:rtl w:val="true"/>
              </w:rPr>
              <w:t>في دفع الضرر المحتمل</w:t>
            </w:r>
            <w:r>
              <w:rPr>
                <w:rStyle w:val="IndexLink"/>
                <w:rtl w:val="true"/>
              </w:rPr>
              <w:t>]</w:t>
              <w:tab/>
            </w:r>
            <w:r>
              <w:rPr>
                <w:rStyle w:val="IndexLink"/>
              </w:rPr>
              <w:t>253</w:t>
            </w:r>
          </w:hyperlink>
        </w:p>
        <w:p>
          <w:pPr>
            <w:pStyle w:val="Contents2"/>
            <w:tabs>
              <w:tab w:val="clear" w:pos="8743"/>
              <w:tab w:val="right" w:pos="9026" w:leader="dot"/>
            </w:tabs>
            <w:rPr/>
          </w:pPr>
          <w:hyperlink w:anchor="__RefHeading___Toc2001689_2870459653">
            <w:r>
              <w:rPr>
                <w:webHidden/>
                <w:rStyle w:val="IndexLink"/>
                <w:rtl w:val="true"/>
              </w:rPr>
              <w:t>أصل</w:t>
            </w:r>
            <w:r>
              <w:rPr>
                <w:rStyle w:val="IndexLink"/>
                <w:rtl w:val="true"/>
              </w:rPr>
              <w:t>[</w:t>
            </w:r>
            <w:r>
              <w:rPr>
                <w:rStyle w:val="IndexLink"/>
                <w:rtl w:val="true"/>
              </w:rPr>
              <w:t>في نفي العسر</w:t>
            </w:r>
            <w:r>
              <w:rPr>
                <w:rStyle w:val="IndexLink"/>
                <w:rtl w:val="true"/>
              </w:rPr>
              <w:t>]</w:t>
              <w:tab/>
            </w:r>
            <w:r>
              <w:rPr>
                <w:rStyle w:val="IndexLink"/>
              </w:rPr>
              <w:t>256</w:t>
            </w:r>
          </w:hyperlink>
        </w:p>
        <w:p>
          <w:pPr>
            <w:pStyle w:val="Contents2"/>
            <w:tabs>
              <w:tab w:val="clear" w:pos="8743"/>
              <w:tab w:val="right" w:pos="9026" w:leader="dot"/>
            </w:tabs>
            <w:rPr/>
          </w:pPr>
          <w:hyperlink w:anchor="__RefHeading___Toc2001691_2870459653">
            <w:r>
              <w:rPr>
                <w:webHidden/>
                <w:rStyle w:val="IndexLink"/>
                <w:rtl w:val="true"/>
              </w:rPr>
              <w:t xml:space="preserve">أصل </w:t>
            </w:r>
            <w:r>
              <w:rPr>
                <w:rStyle w:val="IndexLink"/>
                <w:rtl w:val="true"/>
              </w:rPr>
              <w:t>[</w:t>
            </w:r>
            <w:r>
              <w:rPr>
                <w:rStyle w:val="IndexLink"/>
                <w:rtl w:val="true"/>
              </w:rPr>
              <w:t>في السنة وأقسامها</w:t>
            </w:r>
            <w:r>
              <w:rPr>
                <w:rStyle w:val="IndexLink"/>
                <w:rtl w:val="true"/>
              </w:rPr>
              <w:t>]</w:t>
              <w:tab/>
            </w:r>
            <w:r>
              <w:rPr>
                <w:rStyle w:val="IndexLink"/>
              </w:rPr>
              <w:t>260</w:t>
            </w:r>
          </w:hyperlink>
        </w:p>
        <w:p>
          <w:pPr>
            <w:pStyle w:val="Contents3"/>
            <w:tabs>
              <w:tab w:val="clear" w:pos="8459"/>
              <w:tab w:val="right" w:pos="9026" w:leader="dot"/>
            </w:tabs>
            <w:rPr/>
          </w:pPr>
          <w:hyperlink w:anchor="__RefHeading___Toc2001693_2870459653">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2001695_2870459653">
            <w:r>
              <w:rPr>
                <w:webHidden/>
                <w:rStyle w:val="IndexLink"/>
                <w:rtl w:val="true"/>
              </w:rPr>
              <w:t>[</w:t>
            </w:r>
            <w:r>
              <w:rPr>
                <w:rStyle w:val="IndexLink"/>
                <w:rtl w:val="true"/>
              </w:rPr>
              <w:t>تقسيم الخبر إلى المتواتر والآحاد</w:t>
            </w:r>
            <w:r>
              <w:rPr>
                <w:rStyle w:val="IndexLink"/>
                <w:rtl w:val="true"/>
              </w:rPr>
              <w:t>]</w:t>
              <w:tab/>
            </w:r>
            <w:r>
              <w:rPr>
                <w:rStyle w:val="IndexLink"/>
              </w:rPr>
              <w:t>260</w:t>
            </w:r>
          </w:hyperlink>
        </w:p>
        <w:p>
          <w:pPr>
            <w:pStyle w:val="Contents3"/>
            <w:tabs>
              <w:tab w:val="clear" w:pos="8459"/>
              <w:tab w:val="right" w:pos="9026" w:leader="dot"/>
            </w:tabs>
            <w:rPr/>
          </w:pPr>
          <w:hyperlink w:anchor="__RefHeading___Toc2001697_2870459653">
            <w:r>
              <w:rPr>
                <w:webHidden/>
                <w:rStyle w:val="IndexLink"/>
                <w:rtl w:val="true"/>
              </w:rPr>
              <w:t>[</w:t>
            </w:r>
            <w:r>
              <w:rPr>
                <w:rStyle w:val="IndexLink"/>
                <w:rtl w:val="true"/>
              </w:rPr>
              <w:t>في حجية الظن</w:t>
            </w:r>
            <w:r>
              <w:rPr>
                <w:rStyle w:val="IndexLink"/>
                <w:rtl w:val="true"/>
              </w:rPr>
              <w:t>]</w:t>
              <w:tab/>
            </w:r>
            <w:r>
              <w:rPr>
                <w:rStyle w:val="IndexLink"/>
              </w:rPr>
              <w:t>263</w:t>
            </w:r>
          </w:hyperlink>
        </w:p>
        <w:p>
          <w:pPr>
            <w:pStyle w:val="Contents3"/>
            <w:tabs>
              <w:tab w:val="clear" w:pos="8459"/>
              <w:tab w:val="right" w:pos="9026" w:leader="dot"/>
            </w:tabs>
            <w:rPr/>
          </w:pPr>
          <w:hyperlink w:anchor="__RefHeading___Toc2001699_2870459653">
            <w:r>
              <w:rPr>
                <w:webHidden/>
                <w:rStyle w:val="IndexLink"/>
                <w:rtl w:val="true"/>
              </w:rPr>
              <w:t>[</w:t>
            </w:r>
            <w:r>
              <w:rPr>
                <w:rStyle w:val="IndexLink"/>
                <w:rtl w:val="true"/>
              </w:rPr>
              <w:t xml:space="preserve">تحرير محل النزاع </w:t>
            </w:r>
            <w:r>
              <w:rPr>
                <w:rStyle w:val="IndexLink"/>
                <w:rtl w:val="true"/>
              </w:rPr>
              <w:t>]</w:t>
              <w:tab/>
            </w:r>
            <w:r>
              <w:rPr>
                <w:rStyle w:val="IndexLink"/>
              </w:rPr>
              <w:t>264</w:t>
            </w:r>
          </w:hyperlink>
        </w:p>
        <w:p>
          <w:pPr>
            <w:pStyle w:val="Contents2"/>
            <w:tabs>
              <w:tab w:val="clear" w:pos="8743"/>
              <w:tab w:val="right" w:pos="9026" w:leader="dot"/>
            </w:tabs>
            <w:rPr/>
          </w:pPr>
          <w:hyperlink w:anchor="__RefHeading___Toc2001701_2870459653">
            <w:r>
              <w:rPr>
                <w:webHidden/>
                <w:rStyle w:val="IndexLink"/>
                <w:rtl w:val="true"/>
              </w:rPr>
              <w:t xml:space="preserve">أصل </w:t>
            </w:r>
            <w:r>
              <w:rPr>
                <w:rStyle w:val="IndexLink"/>
                <w:rtl w:val="true"/>
              </w:rPr>
              <w:t>[</w:t>
            </w:r>
            <w:r>
              <w:rPr>
                <w:rStyle w:val="IndexLink"/>
                <w:rtl w:val="true"/>
              </w:rPr>
              <w:t>فى أصالة حرمة العمل بالظن</w:t>
            </w:r>
            <w:r>
              <w:rPr>
                <w:rStyle w:val="IndexLink"/>
                <w:rtl w:val="true"/>
              </w:rPr>
              <w:t>]</w:t>
              <w:tab/>
            </w:r>
            <w:r>
              <w:rPr>
                <w:rStyle w:val="IndexLink"/>
              </w:rPr>
              <w:t>266</w:t>
            </w:r>
          </w:hyperlink>
        </w:p>
        <w:p>
          <w:pPr>
            <w:pStyle w:val="Contents2"/>
            <w:tabs>
              <w:tab w:val="clear" w:pos="8743"/>
              <w:tab w:val="right" w:pos="9026" w:leader="dot"/>
            </w:tabs>
            <w:rPr/>
          </w:pPr>
          <w:hyperlink w:anchor="__RefHeading___Toc2001703_2870459653">
            <w:r>
              <w:rPr>
                <w:webHidden/>
                <w:rStyle w:val="IndexLink"/>
                <w:rtl w:val="true"/>
              </w:rPr>
              <w:t xml:space="preserve">أصل </w:t>
            </w:r>
            <w:r>
              <w:rPr>
                <w:rStyle w:val="IndexLink"/>
                <w:rtl w:val="true"/>
              </w:rPr>
              <w:t>[</w:t>
            </w:r>
            <w:r>
              <w:rPr>
                <w:rStyle w:val="IndexLink"/>
                <w:rtl w:val="true"/>
              </w:rPr>
              <w:t>في انقلاب الأصل الأولي في الجملة في الأحكام</w:t>
            </w:r>
            <w:r>
              <w:rPr>
                <w:rStyle w:val="IndexLink"/>
                <w:rtl w:val="true"/>
              </w:rPr>
              <w:t>]</w:t>
              <w:tab/>
            </w:r>
            <w:r>
              <w:rPr>
                <w:rStyle w:val="IndexLink"/>
              </w:rPr>
              <w:t>273</w:t>
            </w:r>
          </w:hyperlink>
        </w:p>
        <w:p>
          <w:pPr>
            <w:pStyle w:val="Contents3"/>
            <w:tabs>
              <w:tab w:val="clear" w:pos="8459"/>
              <w:tab w:val="right" w:pos="9026" w:leader="dot"/>
            </w:tabs>
            <w:rPr/>
          </w:pPr>
          <w:hyperlink w:anchor="__RefHeading___Toc2001705_2870459653">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2001707_2870459653">
            <w:r>
              <w:rPr>
                <w:webHidden/>
                <w:rStyle w:val="IndexLink"/>
                <w:rtl w:val="true"/>
              </w:rPr>
              <w:t>[</w:t>
            </w:r>
            <w:r>
              <w:rPr>
                <w:rStyle w:val="IndexLink"/>
                <w:rtl w:val="true"/>
              </w:rPr>
              <w:t>نتيجة دليل الانسداد قضية مهملة وليست كلية</w:t>
            </w:r>
            <w:r>
              <w:rPr>
                <w:rStyle w:val="IndexLink"/>
                <w:rtl w:val="true"/>
              </w:rPr>
              <w:t>]</w:t>
              <w:tab/>
            </w:r>
            <w:r>
              <w:rPr>
                <w:rStyle w:val="IndexLink"/>
              </w:rPr>
              <w:t>292</w:t>
            </w:r>
          </w:hyperlink>
        </w:p>
        <w:p>
          <w:pPr>
            <w:pStyle w:val="Contents2"/>
            <w:tabs>
              <w:tab w:val="clear" w:pos="8743"/>
              <w:tab w:val="right" w:pos="9026" w:leader="dot"/>
            </w:tabs>
            <w:rPr/>
          </w:pPr>
          <w:hyperlink w:anchor="__RefHeading___Toc2001709_2870459653">
            <w:r>
              <w:rPr>
                <w:webHidden/>
                <w:rStyle w:val="IndexLink"/>
                <w:rtl w:val="true"/>
              </w:rPr>
              <w:t xml:space="preserve">أصل </w:t>
            </w:r>
            <w:r>
              <w:rPr>
                <w:rStyle w:val="IndexLink"/>
                <w:rtl w:val="true"/>
              </w:rPr>
              <w:t>[</w:t>
            </w:r>
            <w:r>
              <w:rPr>
                <w:rStyle w:val="IndexLink"/>
                <w:rtl w:val="true"/>
              </w:rPr>
              <w:t>في أن حجية الظن مشروطة بعدم التمكن من العلم</w:t>
            </w:r>
            <w:r>
              <w:rPr>
                <w:rStyle w:val="IndexLink"/>
                <w:rtl w:val="true"/>
              </w:rPr>
              <w:t>]</w:t>
              <w:tab/>
            </w:r>
            <w:r>
              <w:rPr>
                <w:rStyle w:val="IndexLink"/>
              </w:rPr>
              <w:t>294</w:t>
            </w:r>
          </w:hyperlink>
        </w:p>
        <w:p>
          <w:pPr>
            <w:pStyle w:val="Contents2"/>
            <w:tabs>
              <w:tab w:val="clear" w:pos="8743"/>
              <w:tab w:val="right" w:pos="9026" w:leader="dot"/>
            </w:tabs>
            <w:rPr/>
          </w:pPr>
          <w:hyperlink w:anchor="__RefHeading___Toc2001711_2870459653">
            <w:r>
              <w:rPr>
                <w:webHidden/>
                <w:rStyle w:val="IndexLink"/>
                <w:rtl w:val="true"/>
              </w:rPr>
              <w:t xml:space="preserve">أصل </w:t>
            </w:r>
            <w:r>
              <w:rPr>
                <w:rStyle w:val="IndexLink"/>
                <w:rtl w:val="true"/>
              </w:rPr>
              <w:t>[</w:t>
            </w:r>
            <w:r>
              <w:rPr>
                <w:rStyle w:val="IndexLink"/>
                <w:rtl w:val="true"/>
              </w:rPr>
              <w:t>في ميزان مقدار الفحص</w:t>
            </w:r>
            <w:r>
              <w:rPr>
                <w:rStyle w:val="IndexLink"/>
                <w:rtl w:val="true"/>
              </w:rPr>
              <w:t>]</w:t>
              <w:tab/>
            </w:r>
            <w:r>
              <w:rPr>
                <w:rStyle w:val="IndexLink"/>
              </w:rPr>
              <w:t>295</w:t>
            </w:r>
          </w:hyperlink>
        </w:p>
        <w:p>
          <w:pPr>
            <w:pStyle w:val="Contents2"/>
            <w:tabs>
              <w:tab w:val="clear" w:pos="8743"/>
              <w:tab w:val="right" w:pos="9026" w:leader="dot"/>
            </w:tabs>
            <w:rPr/>
          </w:pPr>
          <w:hyperlink w:anchor="__RefHeading___Toc2001713_2870459653">
            <w:r>
              <w:rPr>
                <w:webHidden/>
                <w:rStyle w:val="IndexLink"/>
                <w:rtl w:val="true"/>
              </w:rPr>
              <w:t xml:space="preserve">أصل </w:t>
            </w:r>
            <w:r>
              <w:rPr>
                <w:rStyle w:val="IndexLink"/>
                <w:rtl w:val="true"/>
              </w:rPr>
              <w:t>[</w:t>
            </w:r>
            <w:r>
              <w:rPr>
                <w:rStyle w:val="IndexLink"/>
                <w:rtl w:val="true"/>
              </w:rPr>
              <w:t>في عدم وجوب تحصيل الظن الأقوى على المجتهد</w:t>
            </w:r>
            <w:r>
              <w:rPr>
                <w:rStyle w:val="IndexLink"/>
                <w:rtl w:val="true"/>
              </w:rPr>
              <w:t>]</w:t>
              <w:tab/>
            </w:r>
            <w:r>
              <w:rPr>
                <w:rStyle w:val="IndexLink"/>
              </w:rPr>
              <w:t>295</w:t>
            </w:r>
          </w:hyperlink>
        </w:p>
        <w:p>
          <w:pPr>
            <w:pStyle w:val="Contents2"/>
            <w:tabs>
              <w:tab w:val="clear" w:pos="8743"/>
              <w:tab w:val="right" w:pos="9026" w:leader="dot"/>
            </w:tabs>
            <w:rPr/>
          </w:pPr>
          <w:hyperlink w:anchor="__RefHeading___Toc2001715_2870459653">
            <w:r>
              <w:rPr>
                <w:webHidden/>
                <w:rStyle w:val="IndexLink"/>
                <w:rtl w:val="true"/>
              </w:rPr>
              <w:t xml:space="preserve">أصل </w:t>
            </w:r>
            <w:r>
              <w:rPr>
                <w:rStyle w:val="IndexLink"/>
                <w:rtl w:val="true"/>
              </w:rPr>
              <w:t>[</w:t>
            </w:r>
            <w:r>
              <w:rPr>
                <w:rStyle w:val="IndexLink"/>
                <w:rtl w:val="true"/>
              </w:rPr>
              <w:t>في تعارض الظنين</w:t>
            </w:r>
            <w:r>
              <w:rPr>
                <w:rStyle w:val="IndexLink"/>
                <w:rtl w:val="true"/>
              </w:rPr>
              <w:t>]</w:t>
              <w:tab/>
            </w:r>
            <w:r>
              <w:rPr>
                <w:rStyle w:val="IndexLink"/>
              </w:rPr>
              <w:t>296</w:t>
            </w:r>
          </w:hyperlink>
        </w:p>
        <w:p>
          <w:pPr>
            <w:pStyle w:val="Contents2"/>
            <w:tabs>
              <w:tab w:val="clear" w:pos="8743"/>
              <w:tab w:val="right" w:pos="9026" w:leader="dot"/>
            </w:tabs>
            <w:rPr/>
          </w:pPr>
          <w:hyperlink w:anchor="__RefHeading___Toc2001717_2870459653">
            <w:r>
              <w:rPr>
                <w:webHidden/>
                <w:rStyle w:val="IndexLink"/>
                <w:rtl w:val="true"/>
              </w:rPr>
              <w:t xml:space="preserve">أصل </w:t>
            </w:r>
            <w:r>
              <w:rPr>
                <w:rStyle w:val="IndexLink"/>
                <w:rtl w:val="true"/>
              </w:rPr>
              <w:t>[</w:t>
            </w:r>
            <w:r>
              <w:rPr>
                <w:rStyle w:val="IndexLink"/>
                <w:rtl w:val="true"/>
              </w:rPr>
              <w:t>في عدم حجية الظن في المسائل الأصولية العملية</w:t>
            </w:r>
            <w:r>
              <w:rPr>
                <w:rStyle w:val="IndexLink"/>
                <w:rtl w:val="true"/>
              </w:rPr>
              <w:t>]</w:t>
              <w:tab/>
            </w:r>
            <w:r>
              <w:rPr>
                <w:rStyle w:val="IndexLink"/>
              </w:rPr>
              <w:t>298</w:t>
            </w:r>
          </w:hyperlink>
        </w:p>
        <w:p>
          <w:pPr>
            <w:pStyle w:val="Contents2"/>
            <w:tabs>
              <w:tab w:val="clear" w:pos="8743"/>
              <w:tab w:val="right" w:pos="9026" w:leader="dot"/>
            </w:tabs>
            <w:rPr/>
          </w:pPr>
          <w:hyperlink w:anchor="__RefHeading___Toc2001719_2870459653">
            <w:r>
              <w:rPr>
                <w:webHidden/>
                <w:rStyle w:val="IndexLink"/>
                <w:rtl w:val="true"/>
              </w:rPr>
              <w:t xml:space="preserve">أصل </w:t>
            </w:r>
            <w:r>
              <w:rPr>
                <w:rStyle w:val="IndexLink"/>
                <w:rtl w:val="true"/>
              </w:rPr>
              <w:t>[</w:t>
            </w:r>
            <w:r>
              <w:rPr>
                <w:rStyle w:val="IndexLink"/>
                <w:rtl w:val="true"/>
              </w:rPr>
              <w:t>في الظن في الموضوع الصرف</w:t>
            </w:r>
            <w:r>
              <w:rPr>
                <w:rStyle w:val="IndexLink"/>
                <w:rtl w:val="true"/>
              </w:rPr>
              <w:t>]</w:t>
              <w:tab/>
            </w:r>
            <w:r>
              <w:rPr>
                <w:rStyle w:val="IndexLink"/>
              </w:rPr>
              <w:t>301</w:t>
            </w:r>
          </w:hyperlink>
        </w:p>
        <w:p>
          <w:pPr>
            <w:pStyle w:val="Contents2"/>
            <w:tabs>
              <w:tab w:val="clear" w:pos="8743"/>
              <w:tab w:val="right" w:pos="9026" w:leader="dot"/>
            </w:tabs>
            <w:rPr/>
          </w:pPr>
          <w:hyperlink w:anchor="__RefHeading___Toc2001721_2870459653">
            <w:r>
              <w:rPr>
                <w:webHidden/>
                <w:rStyle w:val="IndexLink"/>
                <w:rtl w:val="true"/>
              </w:rPr>
              <w:t xml:space="preserve">أصل </w:t>
            </w:r>
            <w:r>
              <w:rPr>
                <w:rStyle w:val="IndexLink"/>
                <w:rtl w:val="true"/>
              </w:rPr>
              <w:t>[</w:t>
            </w:r>
            <w:r>
              <w:rPr>
                <w:rStyle w:val="IndexLink"/>
                <w:rtl w:val="true"/>
              </w:rPr>
              <w:t>في الظن في الموضوع المستنبط</w:t>
            </w:r>
            <w:r>
              <w:rPr>
                <w:rStyle w:val="IndexLink"/>
                <w:rtl w:val="true"/>
              </w:rPr>
              <w:t>]</w:t>
              <w:tab/>
            </w:r>
            <w:r>
              <w:rPr>
                <w:rStyle w:val="IndexLink"/>
              </w:rPr>
              <w:t>303</w:t>
            </w:r>
          </w:hyperlink>
        </w:p>
        <w:p>
          <w:pPr>
            <w:pStyle w:val="Contents3"/>
            <w:tabs>
              <w:tab w:val="clear" w:pos="8459"/>
              <w:tab w:val="right" w:pos="9026" w:leader="dot"/>
            </w:tabs>
            <w:rPr/>
          </w:pPr>
          <w:hyperlink w:anchor="__RefHeading___Toc2001723_2870459653">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2001725_2870459653">
            <w:r>
              <w:rPr>
                <w:webHidden/>
                <w:rStyle w:val="IndexLink"/>
                <w:rtl w:val="true"/>
              </w:rPr>
              <w:t>[</w:t>
            </w:r>
            <w:r>
              <w:rPr>
                <w:rStyle w:val="IndexLink"/>
                <w:rtl w:val="true"/>
              </w:rPr>
              <w:t>تحرير محل النزاع</w:t>
            </w:r>
            <w:r>
              <w:rPr>
                <w:rStyle w:val="IndexLink"/>
                <w:rtl w:val="true"/>
              </w:rPr>
              <w:t>]</w:t>
              <w:tab/>
            </w:r>
            <w:r>
              <w:rPr>
                <w:rStyle w:val="IndexLink"/>
              </w:rPr>
              <w:t>303</w:t>
            </w:r>
          </w:hyperlink>
        </w:p>
        <w:p>
          <w:pPr>
            <w:pStyle w:val="Contents3"/>
            <w:tabs>
              <w:tab w:val="clear" w:pos="8459"/>
              <w:tab w:val="right" w:pos="9026" w:leader="dot"/>
            </w:tabs>
            <w:rPr/>
          </w:pPr>
          <w:hyperlink w:anchor="__RefHeading___Toc2001727_2870459653">
            <w:r>
              <w:rPr>
                <w:webHidden/>
                <w:rStyle w:val="IndexLink"/>
                <w:rtl w:val="true"/>
              </w:rPr>
              <w:t>[</w:t>
            </w:r>
            <w:r>
              <w:rPr>
                <w:rStyle w:val="IndexLink"/>
                <w:rtl w:val="true"/>
              </w:rPr>
              <w:t>تأسيس الأصل</w:t>
            </w:r>
            <w:r>
              <w:rPr>
                <w:rStyle w:val="IndexLink"/>
                <w:rtl w:val="true"/>
              </w:rPr>
              <w:t>]</w:t>
              <w:tab/>
            </w:r>
            <w:r>
              <w:rPr>
                <w:rStyle w:val="IndexLink"/>
              </w:rPr>
              <w:t>303</w:t>
            </w:r>
          </w:hyperlink>
        </w:p>
        <w:p>
          <w:pPr>
            <w:pStyle w:val="Contents2"/>
            <w:tabs>
              <w:tab w:val="clear" w:pos="8743"/>
              <w:tab w:val="right" w:pos="9026" w:leader="dot"/>
            </w:tabs>
            <w:rPr/>
          </w:pPr>
          <w:hyperlink w:anchor="__RefHeading___Toc2001729_2870459653">
            <w:r>
              <w:rPr>
                <w:webHidden/>
                <w:rStyle w:val="IndexLink"/>
                <w:rtl w:val="true"/>
              </w:rPr>
              <w:t xml:space="preserve">أصل </w:t>
            </w:r>
            <w:r>
              <w:rPr>
                <w:rStyle w:val="IndexLink"/>
                <w:rtl w:val="true"/>
              </w:rPr>
              <w:t>[</w:t>
            </w:r>
            <w:r>
              <w:rPr>
                <w:rStyle w:val="IndexLink"/>
                <w:rtl w:val="true"/>
              </w:rPr>
              <w:t>في الظن في المسائل المشتبهة</w:t>
            </w:r>
            <w:r>
              <w:rPr>
                <w:rStyle w:val="IndexLink"/>
                <w:rtl w:val="true"/>
              </w:rPr>
              <w:t>]</w:t>
              <w:tab/>
            </w:r>
            <w:r>
              <w:rPr>
                <w:rStyle w:val="IndexLink"/>
              </w:rPr>
              <w:t>305</w:t>
            </w:r>
          </w:hyperlink>
        </w:p>
        <w:p>
          <w:pPr>
            <w:pStyle w:val="Contents3"/>
            <w:tabs>
              <w:tab w:val="clear" w:pos="8459"/>
              <w:tab w:val="right" w:pos="9026" w:leader="dot"/>
            </w:tabs>
            <w:rPr/>
          </w:pPr>
          <w:hyperlink w:anchor="__RefHeading___Toc2001731_2870459653">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2001733_2870459653">
            <w:r>
              <w:rPr>
                <w:webHidden/>
                <w:rStyle w:val="IndexLink"/>
                <w:rtl w:val="true"/>
              </w:rPr>
              <w:t>[</w:t>
            </w:r>
            <w:r>
              <w:rPr>
                <w:rStyle w:val="IndexLink"/>
                <w:rtl w:val="true"/>
              </w:rPr>
              <w:t>المختار في المسألة</w:t>
            </w:r>
            <w:r>
              <w:rPr>
                <w:rStyle w:val="IndexLink"/>
                <w:rtl w:val="true"/>
              </w:rPr>
              <w:t>]</w:t>
              <w:tab/>
            </w:r>
            <w:r>
              <w:rPr>
                <w:rStyle w:val="IndexLink"/>
              </w:rPr>
              <w:t>305</w:t>
            </w:r>
          </w:hyperlink>
        </w:p>
        <w:p>
          <w:pPr>
            <w:pStyle w:val="Contents2"/>
            <w:tabs>
              <w:tab w:val="clear" w:pos="8743"/>
              <w:tab w:val="right" w:pos="9026" w:leader="dot"/>
            </w:tabs>
            <w:rPr/>
          </w:pPr>
          <w:hyperlink w:anchor="__RefHeading___Toc2001735_2870459653">
            <w:r>
              <w:rPr>
                <w:webHidden/>
                <w:rStyle w:val="IndexLink"/>
                <w:rtl w:val="true"/>
              </w:rPr>
              <w:t xml:space="preserve">أصل </w:t>
            </w:r>
            <w:r>
              <w:rPr>
                <w:rStyle w:val="IndexLink"/>
                <w:rtl w:val="true"/>
              </w:rPr>
              <w:t>[</w:t>
            </w:r>
            <w:r>
              <w:rPr>
                <w:rStyle w:val="IndexLink"/>
                <w:rtl w:val="true"/>
              </w:rPr>
              <w:t>في المسائل الاعتقادية</w:t>
            </w:r>
            <w:r>
              <w:rPr>
                <w:rStyle w:val="IndexLink"/>
                <w:rtl w:val="true"/>
              </w:rPr>
              <w:t>]</w:t>
              <w:tab/>
            </w:r>
            <w:r>
              <w:rPr>
                <w:rStyle w:val="IndexLink"/>
              </w:rPr>
              <w:t>306</w:t>
            </w:r>
          </w:hyperlink>
        </w:p>
        <w:p>
          <w:pPr>
            <w:pStyle w:val="Contents2"/>
            <w:tabs>
              <w:tab w:val="clear" w:pos="8743"/>
              <w:tab w:val="right" w:pos="9026" w:leader="dot"/>
            </w:tabs>
            <w:rPr/>
          </w:pPr>
          <w:hyperlink w:anchor="__RefHeading___Toc2001737_2870459653">
            <w:r>
              <w:rPr>
                <w:webHidden/>
                <w:rStyle w:val="IndexLink"/>
                <w:rtl w:val="true"/>
              </w:rPr>
              <w:t xml:space="preserve">أصل </w:t>
            </w:r>
            <w:r>
              <w:rPr>
                <w:rStyle w:val="IndexLink"/>
                <w:rtl w:val="true"/>
              </w:rPr>
              <w:t>[</w:t>
            </w:r>
            <w:r>
              <w:rPr>
                <w:rStyle w:val="IndexLink"/>
                <w:rtl w:val="true"/>
              </w:rPr>
              <w:t>في التسامح في السنن والكراهة</w:t>
            </w:r>
            <w:r>
              <w:rPr>
                <w:rStyle w:val="IndexLink"/>
                <w:rtl w:val="true"/>
              </w:rPr>
              <w:t>]</w:t>
              <w:tab/>
            </w:r>
            <w:r>
              <w:rPr>
                <w:rStyle w:val="IndexLink"/>
              </w:rPr>
              <w:t>307</w:t>
            </w:r>
          </w:hyperlink>
        </w:p>
        <w:p>
          <w:pPr>
            <w:pStyle w:val="Contents2"/>
            <w:tabs>
              <w:tab w:val="clear" w:pos="8743"/>
              <w:tab w:val="right" w:pos="9026" w:leader="dot"/>
            </w:tabs>
            <w:rPr/>
          </w:pPr>
          <w:hyperlink w:anchor="__RefHeading___Toc2001739_2870459653">
            <w:r>
              <w:rPr>
                <w:webHidden/>
                <w:rStyle w:val="IndexLink"/>
                <w:rtl w:val="true"/>
              </w:rPr>
              <w:t xml:space="preserve">أصل </w:t>
            </w:r>
            <w:r>
              <w:rPr>
                <w:rStyle w:val="IndexLink"/>
                <w:rtl w:val="true"/>
              </w:rPr>
              <w:t>[</w:t>
            </w:r>
            <w:r>
              <w:rPr>
                <w:rStyle w:val="IndexLink"/>
                <w:rtl w:val="true"/>
              </w:rPr>
              <w:t>في حجيّة الخبر المرسل</w:t>
            </w:r>
            <w:r>
              <w:rPr>
                <w:rStyle w:val="IndexLink"/>
                <w:rtl w:val="true"/>
              </w:rPr>
              <w:t>]</w:t>
              <w:tab/>
            </w:r>
            <w:r>
              <w:rPr>
                <w:rStyle w:val="IndexLink"/>
              </w:rPr>
              <w:t>308</w:t>
            </w:r>
          </w:hyperlink>
        </w:p>
        <w:p>
          <w:pPr>
            <w:pStyle w:val="Contents2"/>
            <w:tabs>
              <w:tab w:val="clear" w:pos="8743"/>
              <w:tab w:val="right" w:pos="9026" w:leader="dot"/>
            </w:tabs>
            <w:rPr/>
          </w:pPr>
          <w:hyperlink w:anchor="__RefHeading___Toc2001741_2870459653">
            <w:r>
              <w:rPr>
                <w:webHidden/>
                <w:rStyle w:val="IndexLink"/>
                <w:rtl w:val="true"/>
              </w:rPr>
              <w:t xml:space="preserve">أصل </w:t>
            </w:r>
            <w:r>
              <w:rPr>
                <w:rStyle w:val="IndexLink"/>
                <w:rtl w:val="true"/>
              </w:rPr>
              <w:t>[</w:t>
            </w:r>
            <w:r>
              <w:rPr>
                <w:rStyle w:val="IndexLink"/>
                <w:rtl w:val="true"/>
              </w:rPr>
              <w:t>في إدراك العقل للحسن و القبح بطريق الإيجاب الجزئي</w:t>
            </w:r>
            <w:r>
              <w:rPr>
                <w:rStyle w:val="IndexLink"/>
                <w:rtl w:val="true"/>
              </w:rPr>
              <w:t>]</w:t>
              <w:tab/>
            </w:r>
            <w:r>
              <w:rPr>
                <w:rStyle w:val="IndexLink"/>
              </w:rPr>
              <w:t>309</w:t>
            </w:r>
          </w:hyperlink>
        </w:p>
        <w:p>
          <w:pPr>
            <w:pStyle w:val="Contents3"/>
            <w:tabs>
              <w:tab w:val="clear" w:pos="8459"/>
              <w:tab w:val="right" w:pos="9026" w:leader="dot"/>
            </w:tabs>
            <w:rPr/>
          </w:pPr>
          <w:hyperlink w:anchor="__RefHeading___Toc2001743_2870459653">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2001745_2870459653">
            <w:r>
              <w:rPr>
                <w:webHidden/>
                <w:rStyle w:val="IndexLink"/>
                <w:rtl w:val="true"/>
              </w:rPr>
              <w:t>[</w:t>
            </w:r>
            <w:r>
              <w:rPr>
                <w:rStyle w:val="IndexLink"/>
                <w:rtl w:val="true"/>
              </w:rPr>
              <w:t>تحرير محل النزاع</w:t>
            </w:r>
            <w:r>
              <w:rPr>
                <w:rStyle w:val="IndexLink"/>
                <w:rtl w:val="true"/>
              </w:rPr>
              <w:t>]</w:t>
              <w:tab/>
            </w:r>
            <w:r>
              <w:rPr>
                <w:rStyle w:val="IndexLink"/>
              </w:rPr>
              <w:t>310</w:t>
            </w:r>
          </w:hyperlink>
        </w:p>
        <w:p>
          <w:pPr>
            <w:pStyle w:val="Contents2"/>
            <w:tabs>
              <w:tab w:val="clear" w:pos="8743"/>
              <w:tab w:val="right" w:pos="9026" w:leader="dot"/>
            </w:tabs>
            <w:rPr/>
          </w:pPr>
          <w:hyperlink w:anchor="__RefHeading___Toc2001747_2870459653">
            <w:r>
              <w:rPr>
                <w:webHidden/>
                <w:rStyle w:val="IndexLink"/>
                <w:rtl w:val="true"/>
              </w:rPr>
              <w:t xml:space="preserve">أصل </w:t>
            </w:r>
            <w:r>
              <w:rPr>
                <w:rStyle w:val="IndexLink"/>
                <w:rtl w:val="true"/>
              </w:rPr>
              <w:t>[</w:t>
            </w:r>
            <w:r>
              <w:rPr>
                <w:rStyle w:val="IndexLink"/>
                <w:rtl w:val="true"/>
              </w:rPr>
              <w:t>في إدراك العقل الثواب والعقاب</w:t>
            </w:r>
            <w:r>
              <w:rPr>
                <w:rStyle w:val="IndexLink"/>
                <w:rtl w:val="true"/>
              </w:rPr>
              <w:t>]</w:t>
              <w:tab/>
            </w:r>
            <w:r>
              <w:rPr>
                <w:rStyle w:val="IndexLink"/>
              </w:rPr>
              <w:t>315</w:t>
            </w:r>
          </w:hyperlink>
        </w:p>
        <w:p>
          <w:pPr>
            <w:pStyle w:val="Contents2"/>
            <w:tabs>
              <w:tab w:val="clear" w:pos="8743"/>
              <w:tab w:val="right" w:pos="9026" w:leader="dot"/>
            </w:tabs>
            <w:rPr/>
          </w:pPr>
          <w:hyperlink w:anchor="__RefHeading___Toc2001749_2870459653">
            <w:r>
              <w:rPr>
                <w:webHidden/>
                <w:rStyle w:val="IndexLink"/>
                <w:rtl w:val="true"/>
              </w:rPr>
              <w:t xml:space="preserve">أصل </w:t>
            </w:r>
            <w:r>
              <w:rPr>
                <w:rStyle w:val="IndexLink"/>
                <w:rtl w:val="true"/>
              </w:rPr>
              <w:t>[</w:t>
            </w:r>
            <w:r>
              <w:rPr>
                <w:rStyle w:val="IndexLink"/>
                <w:rtl w:val="true"/>
              </w:rPr>
              <w:t>في حجيّة العقل</w:t>
            </w:r>
            <w:r>
              <w:rPr>
                <w:rStyle w:val="IndexLink"/>
                <w:rtl w:val="true"/>
              </w:rPr>
              <w:t>]</w:t>
              <w:tab/>
            </w:r>
            <w:r>
              <w:rPr>
                <w:rStyle w:val="IndexLink"/>
              </w:rPr>
              <w:t>317</w:t>
            </w:r>
          </w:hyperlink>
        </w:p>
        <w:p>
          <w:pPr>
            <w:pStyle w:val="Contents3"/>
            <w:tabs>
              <w:tab w:val="clear" w:pos="8459"/>
              <w:tab w:val="right" w:pos="9026" w:leader="dot"/>
            </w:tabs>
            <w:rPr/>
          </w:pPr>
          <w:hyperlink w:anchor="__RefHeading___Toc2001751_2870459653">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2001753_2870459653">
            <w:r>
              <w:rPr>
                <w:webHidden/>
                <w:rStyle w:val="IndexLink"/>
                <w:rtl w:val="true"/>
              </w:rPr>
              <w:t>[</w:t>
            </w:r>
            <w:r>
              <w:rPr>
                <w:rStyle w:val="IndexLink"/>
                <w:rtl w:val="true"/>
              </w:rPr>
              <w:t>المختار في المسألة</w:t>
            </w:r>
            <w:r>
              <w:rPr>
                <w:rStyle w:val="IndexLink"/>
                <w:rtl w:val="true"/>
              </w:rPr>
              <w:t>]</w:t>
              <w:tab/>
            </w:r>
            <w:r>
              <w:rPr>
                <w:rStyle w:val="IndexLink"/>
              </w:rPr>
              <w:t>317</w:t>
            </w:r>
          </w:hyperlink>
        </w:p>
        <w:p>
          <w:pPr>
            <w:pStyle w:val="Contents3"/>
            <w:tabs>
              <w:tab w:val="clear" w:pos="8459"/>
              <w:tab w:val="right" w:pos="9026" w:leader="dot"/>
            </w:tabs>
            <w:rPr/>
          </w:pPr>
          <w:hyperlink w:anchor="__RefHeading___Toc2001755_2870459653">
            <w:r>
              <w:rPr>
                <w:webHidden/>
                <w:rStyle w:val="IndexLink"/>
                <w:rtl w:val="true"/>
              </w:rPr>
              <w:t>[</w:t>
            </w:r>
            <w:r>
              <w:rPr>
                <w:rStyle w:val="IndexLink"/>
                <w:rtl w:val="true"/>
              </w:rPr>
              <w:t>تحرير محل النزاع</w:t>
            </w:r>
            <w:r>
              <w:rPr>
                <w:rStyle w:val="IndexLink"/>
                <w:rtl w:val="true"/>
              </w:rPr>
              <w:t>]</w:t>
              <w:tab/>
            </w:r>
            <w:r>
              <w:rPr>
                <w:rStyle w:val="IndexLink"/>
              </w:rPr>
              <w:t>317</w:t>
            </w:r>
          </w:hyperlink>
        </w:p>
        <w:p>
          <w:pPr>
            <w:pStyle w:val="Contents3"/>
            <w:tabs>
              <w:tab w:val="clear" w:pos="8459"/>
              <w:tab w:val="right" w:pos="9026" w:leader="dot"/>
            </w:tabs>
            <w:rPr/>
          </w:pPr>
          <w:hyperlink w:anchor="__RefHeading___Toc2001757_2870459653">
            <w:r>
              <w:rPr>
                <w:webHidden/>
                <w:rStyle w:val="IndexLink"/>
                <w:rtl w:val="true"/>
              </w:rPr>
              <w:t>[</w:t>
            </w:r>
            <w:r>
              <w:rPr>
                <w:rStyle w:val="IndexLink"/>
                <w:rtl w:val="true"/>
              </w:rPr>
              <w:t>وجوه أخر لنفي حجية العقل</w:t>
            </w:r>
            <w:r>
              <w:rPr>
                <w:rStyle w:val="IndexLink"/>
                <w:rtl w:val="true"/>
              </w:rPr>
              <w:t>]</w:t>
              <w:tab/>
            </w:r>
            <w:r>
              <w:rPr>
                <w:rStyle w:val="IndexLink"/>
              </w:rPr>
              <w:t>320</w:t>
            </w:r>
          </w:hyperlink>
        </w:p>
        <w:p>
          <w:pPr>
            <w:pStyle w:val="Contents3"/>
            <w:tabs>
              <w:tab w:val="clear" w:pos="8459"/>
              <w:tab w:val="right" w:pos="9026" w:leader="dot"/>
            </w:tabs>
            <w:rPr/>
          </w:pPr>
          <w:hyperlink w:anchor="__RefHeading___Toc2001759_2870459653">
            <w:r>
              <w:rPr>
                <w:webHidden/>
                <w:rStyle w:val="IndexLink"/>
                <w:rtl w:val="true"/>
              </w:rPr>
              <w:t>[</w:t>
            </w:r>
            <w:r>
              <w:rPr>
                <w:rStyle w:val="IndexLink"/>
                <w:rtl w:val="true"/>
              </w:rPr>
              <w:t>ثمرة المسألة</w:t>
            </w:r>
            <w:r>
              <w:rPr>
                <w:rStyle w:val="IndexLink"/>
                <w:rtl w:val="true"/>
              </w:rPr>
              <w:t>]</w:t>
              <w:tab/>
            </w:r>
            <w:r>
              <w:rPr>
                <w:rStyle w:val="IndexLink"/>
              </w:rPr>
              <w:t>323</w:t>
            </w:r>
          </w:hyperlink>
        </w:p>
        <w:p>
          <w:pPr>
            <w:pStyle w:val="Contents2"/>
            <w:tabs>
              <w:tab w:val="clear" w:pos="8743"/>
              <w:tab w:val="right" w:pos="9026" w:leader="dot"/>
            </w:tabs>
            <w:rPr/>
          </w:pPr>
          <w:hyperlink w:anchor="__RefHeading___Toc2001761_2870459653">
            <w:r>
              <w:rPr>
                <w:webHidden/>
                <w:rStyle w:val="IndexLink"/>
                <w:rtl w:val="true"/>
              </w:rPr>
              <w:t xml:space="preserve">أصل </w:t>
            </w:r>
            <w:r>
              <w:rPr>
                <w:rStyle w:val="IndexLink"/>
                <w:rtl w:val="true"/>
              </w:rPr>
              <w:t>[</w:t>
            </w:r>
            <w:r>
              <w:rPr>
                <w:rStyle w:val="IndexLink"/>
                <w:rtl w:val="true"/>
              </w:rPr>
              <w:t>في إثبات تبعية الأحكام الشرعية للصفات</w:t>
            </w:r>
            <w:r>
              <w:rPr>
                <w:rStyle w:val="IndexLink"/>
                <w:rtl w:val="true"/>
              </w:rPr>
              <w:t>]</w:t>
              <w:tab/>
            </w:r>
            <w:r>
              <w:rPr>
                <w:rStyle w:val="IndexLink"/>
              </w:rPr>
              <w:t>326</w:t>
            </w:r>
          </w:hyperlink>
        </w:p>
        <w:p>
          <w:pPr>
            <w:pStyle w:val="Contents2"/>
            <w:tabs>
              <w:tab w:val="clear" w:pos="8743"/>
              <w:tab w:val="right" w:pos="9026" w:leader="dot"/>
            </w:tabs>
            <w:rPr/>
          </w:pPr>
          <w:hyperlink w:anchor="__RefHeading___Toc2001763_2870459653">
            <w:r>
              <w:rPr>
                <w:webHidden/>
                <w:rStyle w:val="IndexLink"/>
                <w:rtl w:val="true"/>
              </w:rPr>
              <w:t xml:space="preserve">أصل </w:t>
            </w:r>
            <w:r>
              <w:rPr>
                <w:rStyle w:val="IndexLink"/>
                <w:rtl w:val="true"/>
              </w:rPr>
              <w:t>[</w:t>
            </w:r>
            <w:r>
              <w:rPr>
                <w:rStyle w:val="IndexLink"/>
                <w:rtl w:val="true"/>
              </w:rPr>
              <w:t>في أن الحسن والقبح هل هما ذاتيان أم لا</w:t>
            </w:r>
            <w:r>
              <w:rPr>
                <w:rStyle w:val="IndexLink"/>
                <w:rtl w:val="true"/>
              </w:rPr>
              <w:t>]</w:t>
              <w:tab/>
            </w:r>
            <w:r>
              <w:rPr>
                <w:rStyle w:val="IndexLink"/>
              </w:rPr>
              <w:t>330</w:t>
            </w:r>
          </w:hyperlink>
        </w:p>
        <w:p>
          <w:pPr>
            <w:pStyle w:val="Contents3"/>
            <w:tabs>
              <w:tab w:val="clear" w:pos="8459"/>
              <w:tab w:val="right" w:pos="9026" w:leader="dot"/>
            </w:tabs>
            <w:rPr/>
          </w:pPr>
          <w:hyperlink w:anchor="__RefHeading___Toc2001765_2870459653">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2001767_2870459653">
            <w:r>
              <w:rPr>
                <w:webHidden/>
                <w:rStyle w:val="IndexLink"/>
                <w:rtl w:val="true"/>
              </w:rPr>
              <w:t>[</w:t>
            </w:r>
            <w:r>
              <w:rPr>
                <w:rStyle w:val="IndexLink"/>
                <w:rtl w:val="true"/>
              </w:rPr>
              <w:t>المختار في المسألة</w:t>
            </w:r>
            <w:r>
              <w:rPr>
                <w:rStyle w:val="IndexLink"/>
                <w:rtl w:val="true"/>
              </w:rPr>
              <w:t>]</w:t>
              <w:tab/>
            </w:r>
            <w:r>
              <w:rPr>
                <w:rStyle w:val="IndexLink"/>
              </w:rPr>
              <w:t>331</w:t>
            </w:r>
          </w:hyperlink>
        </w:p>
        <w:p>
          <w:pPr>
            <w:pStyle w:val="Contents3"/>
            <w:tabs>
              <w:tab w:val="clear" w:pos="8459"/>
              <w:tab w:val="right" w:pos="9026" w:leader="dot"/>
            </w:tabs>
            <w:rPr/>
          </w:pPr>
          <w:hyperlink w:anchor="__RefHeading___Toc2001769_2870459653">
            <w:r>
              <w:rPr>
                <w:webHidden/>
                <w:rStyle w:val="IndexLink"/>
                <w:rtl w:val="true"/>
              </w:rPr>
              <w:t>[</w:t>
            </w:r>
            <w:r>
              <w:rPr>
                <w:rStyle w:val="IndexLink"/>
                <w:rtl w:val="true"/>
              </w:rPr>
              <w:t>ثمرة المسألة</w:t>
            </w:r>
            <w:r>
              <w:rPr>
                <w:rStyle w:val="IndexLink"/>
                <w:rtl w:val="true"/>
              </w:rPr>
              <w:t>]</w:t>
              <w:tab/>
            </w:r>
            <w:r>
              <w:rPr>
                <w:rStyle w:val="IndexLink"/>
              </w:rPr>
              <w:t>332</w:t>
            </w:r>
          </w:hyperlink>
        </w:p>
        <w:p>
          <w:pPr>
            <w:pStyle w:val="Contents3"/>
            <w:tabs>
              <w:tab w:val="clear" w:pos="8459"/>
              <w:tab w:val="right" w:pos="9026" w:leader="dot"/>
            </w:tabs>
            <w:rPr/>
          </w:pPr>
          <w:hyperlink w:anchor="__RefHeading___Toc2001771_2870459653">
            <w:r>
              <w:rPr>
                <w:webHidden/>
                <w:rStyle w:val="IndexLink"/>
                <w:rtl w:val="true"/>
              </w:rPr>
              <w:t>[</w:t>
            </w:r>
            <w:r>
              <w:rPr>
                <w:rStyle w:val="IndexLink"/>
                <w:rtl w:val="true"/>
              </w:rPr>
              <w:t>المختار في المسألة</w:t>
            </w:r>
            <w:r>
              <w:rPr>
                <w:rStyle w:val="IndexLink"/>
                <w:rtl w:val="true"/>
              </w:rPr>
              <w:t>]</w:t>
              <w:tab/>
            </w:r>
            <w:r>
              <w:rPr>
                <w:rStyle w:val="IndexLink"/>
              </w:rPr>
              <w:t>334</w:t>
            </w:r>
          </w:hyperlink>
        </w:p>
        <w:p>
          <w:pPr>
            <w:pStyle w:val="Contents2"/>
            <w:tabs>
              <w:tab w:val="clear" w:pos="8743"/>
              <w:tab w:val="right" w:pos="9026" w:leader="dot"/>
            </w:tabs>
            <w:rPr/>
          </w:pPr>
          <w:hyperlink w:anchor="__RefHeading___Toc2001773_2870459653">
            <w:r>
              <w:rPr>
                <w:webHidden/>
                <w:rStyle w:val="IndexLink"/>
                <w:rtl w:val="true"/>
              </w:rPr>
              <w:t xml:space="preserve">أصل </w:t>
            </w:r>
            <w:r>
              <w:rPr>
                <w:rStyle w:val="IndexLink"/>
                <w:rtl w:val="true"/>
              </w:rPr>
              <w:t>[</w:t>
            </w:r>
            <w:r>
              <w:rPr>
                <w:rStyle w:val="IndexLink"/>
                <w:rtl w:val="true"/>
              </w:rPr>
              <w:t>في أصل الأشياء قبل ورود الشرع</w:t>
            </w:r>
            <w:r>
              <w:rPr>
                <w:rStyle w:val="IndexLink"/>
                <w:rtl w:val="true"/>
              </w:rPr>
              <w:t>]</w:t>
              <w:tab/>
            </w:r>
            <w:r>
              <w:rPr>
                <w:rStyle w:val="IndexLink"/>
              </w:rPr>
              <w:t>335</w:t>
            </w:r>
          </w:hyperlink>
        </w:p>
        <w:p>
          <w:pPr>
            <w:pStyle w:val="Contents3"/>
            <w:tabs>
              <w:tab w:val="clear" w:pos="8459"/>
              <w:tab w:val="right" w:pos="9026" w:leader="dot"/>
            </w:tabs>
            <w:rPr/>
          </w:pPr>
          <w:hyperlink w:anchor="__RefHeading___Toc2001775_2870459653">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2001777_2870459653">
            <w:r>
              <w:rPr>
                <w:webHidden/>
                <w:rStyle w:val="IndexLink"/>
                <w:rtl w:val="true"/>
              </w:rPr>
              <w:t>[</w:t>
            </w:r>
            <w:r>
              <w:rPr>
                <w:rStyle w:val="IndexLink"/>
                <w:rtl w:val="true"/>
              </w:rPr>
              <w:t>تحرير محل النزاع</w:t>
            </w:r>
            <w:r>
              <w:rPr>
                <w:rStyle w:val="IndexLink"/>
                <w:rtl w:val="true"/>
              </w:rPr>
              <w:t>]</w:t>
              <w:tab/>
            </w:r>
            <w:r>
              <w:rPr>
                <w:rStyle w:val="IndexLink"/>
              </w:rPr>
              <w:t>336</w:t>
            </w:r>
          </w:hyperlink>
        </w:p>
        <w:p>
          <w:pPr>
            <w:pStyle w:val="Contents3"/>
            <w:tabs>
              <w:tab w:val="clear" w:pos="8459"/>
              <w:tab w:val="right" w:pos="9026" w:leader="dot"/>
            </w:tabs>
            <w:rPr/>
          </w:pPr>
          <w:hyperlink w:anchor="__RefHeading___Toc2001779_2870459653">
            <w:r>
              <w:rPr>
                <w:webHidden/>
                <w:rStyle w:val="IndexLink"/>
                <w:rtl w:val="true"/>
              </w:rPr>
              <w:t>[</w:t>
            </w:r>
            <w:r>
              <w:rPr>
                <w:rStyle w:val="IndexLink"/>
                <w:rtl w:val="true"/>
              </w:rPr>
              <w:t>تأسيس الأصل</w:t>
            </w:r>
            <w:r>
              <w:rPr>
                <w:rStyle w:val="IndexLink"/>
                <w:rtl w:val="true"/>
              </w:rPr>
              <w:t>]</w:t>
              <w:tab/>
            </w:r>
            <w:r>
              <w:rPr>
                <w:rStyle w:val="IndexLink"/>
              </w:rPr>
              <w:t>338</w:t>
            </w:r>
          </w:hyperlink>
        </w:p>
        <w:p>
          <w:pPr>
            <w:pStyle w:val="Contents3"/>
            <w:tabs>
              <w:tab w:val="clear" w:pos="8459"/>
              <w:tab w:val="right" w:pos="9026" w:leader="dot"/>
            </w:tabs>
            <w:rPr/>
          </w:pPr>
          <w:hyperlink w:anchor="__RefHeading___Toc2001781_2870459653">
            <w:r>
              <w:rPr>
                <w:webHidden/>
                <w:rStyle w:val="IndexLink"/>
                <w:rtl w:val="true"/>
              </w:rPr>
              <w:t>[</w:t>
            </w:r>
            <w:r>
              <w:rPr>
                <w:rStyle w:val="IndexLink"/>
                <w:rtl w:val="true"/>
              </w:rPr>
              <w:t>المختار في المسألة</w:t>
            </w:r>
            <w:r>
              <w:rPr>
                <w:rStyle w:val="IndexLink"/>
                <w:rtl w:val="true"/>
              </w:rPr>
              <w:t>]</w:t>
              <w:tab/>
            </w:r>
            <w:r>
              <w:rPr>
                <w:rStyle w:val="IndexLink"/>
              </w:rPr>
              <w:t>341</w:t>
            </w:r>
          </w:hyperlink>
        </w:p>
        <w:p>
          <w:pPr>
            <w:pStyle w:val="Contents2"/>
            <w:tabs>
              <w:tab w:val="clear" w:pos="8743"/>
              <w:tab w:val="right" w:pos="9026" w:leader="dot"/>
            </w:tabs>
            <w:rPr/>
          </w:pPr>
          <w:hyperlink w:anchor="__RefHeading___Toc2001783_2870459653">
            <w:r>
              <w:rPr>
                <w:webHidden/>
                <w:rStyle w:val="IndexLink"/>
                <w:rtl w:val="true"/>
              </w:rPr>
              <w:t xml:space="preserve">أصل </w:t>
            </w:r>
            <w:r>
              <w:rPr>
                <w:rStyle w:val="IndexLink"/>
                <w:rtl w:val="true"/>
              </w:rPr>
              <w:t>[</w:t>
            </w:r>
            <w:r>
              <w:rPr>
                <w:rStyle w:val="IndexLink"/>
                <w:rtl w:val="true"/>
              </w:rPr>
              <w:t>في ذكر مسائل البراءة والاحتياط وفي الشك في التكليف</w:t>
            </w:r>
            <w:r>
              <w:rPr>
                <w:rStyle w:val="IndexLink"/>
                <w:rtl w:val="true"/>
              </w:rPr>
              <w:t>]</w:t>
              <w:tab/>
            </w:r>
            <w:r>
              <w:rPr>
                <w:rStyle w:val="IndexLink"/>
              </w:rPr>
              <w:t>341</w:t>
            </w:r>
          </w:hyperlink>
        </w:p>
        <w:p>
          <w:pPr>
            <w:pStyle w:val="Contents3"/>
            <w:tabs>
              <w:tab w:val="clear" w:pos="8459"/>
              <w:tab w:val="right" w:pos="9026" w:leader="dot"/>
            </w:tabs>
            <w:rPr/>
          </w:pPr>
          <w:hyperlink w:anchor="__RefHeading___Toc2001785_2870459653">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2001787_2870459653">
            <w:r>
              <w:rPr>
                <w:webHidden/>
                <w:rStyle w:val="IndexLink"/>
                <w:rtl w:val="true"/>
              </w:rPr>
              <w:t>[</w:t>
            </w:r>
            <w:r>
              <w:rPr>
                <w:rStyle w:val="IndexLink"/>
                <w:rtl w:val="true"/>
              </w:rPr>
              <w:t>تحرير محل النزاع</w:t>
            </w:r>
            <w:r>
              <w:rPr>
                <w:rStyle w:val="IndexLink"/>
                <w:rtl w:val="true"/>
              </w:rPr>
              <w:t>]</w:t>
              <w:tab/>
            </w:r>
            <w:r>
              <w:rPr>
                <w:rStyle w:val="IndexLink"/>
              </w:rPr>
              <w:t>342</w:t>
            </w:r>
          </w:hyperlink>
        </w:p>
        <w:p>
          <w:pPr>
            <w:pStyle w:val="Contents3"/>
            <w:tabs>
              <w:tab w:val="clear" w:pos="8459"/>
              <w:tab w:val="right" w:pos="9026" w:leader="dot"/>
            </w:tabs>
            <w:rPr/>
          </w:pPr>
          <w:hyperlink w:anchor="__RefHeading___Toc2001789_2870459653">
            <w:r>
              <w:rPr>
                <w:webHidden/>
                <w:rStyle w:val="IndexLink"/>
                <w:rtl w:val="true"/>
              </w:rPr>
              <w:t>[</w:t>
            </w:r>
            <w:r>
              <w:rPr>
                <w:rStyle w:val="IndexLink"/>
                <w:rtl w:val="true"/>
              </w:rPr>
              <w:t>المراد من الأصل</w:t>
            </w:r>
            <w:r>
              <w:rPr>
                <w:rStyle w:val="IndexLink"/>
                <w:rtl w:val="true"/>
              </w:rPr>
              <w:t>]</w:t>
              <w:tab/>
            </w:r>
            <w:r>
              <w:rPr>
                <w:rStyle w:val="IndexLink"/>
              </w:rPr>
              <w:t>343</w:t>
            </w:r>
          </w:hyperlink>
        </w:p>
        <w:p>
          <w:pPr>
            <w:pStyle w:val="Contents3"/>
            <w:tabs>
              <w:tab w:val="clear" w:pos="8459"/>
              <w:tab w:val="right" w:pos="9026" w:leader="dot"/>
            </w:tabs>
            <w:rPr/>
          </w:pPr>
          <w:hyperlink w:anchor="__RefHeading___Toc2001791_2870459653">
            <w:r>
              <w:rPr>
                <w:webHidden/>
                <w:rStyle w:val="IndexLink"/>
                <w:rtl w:val="true"/>
              </w:rPr>
              <w:t>[</w:t>
            </w:r>
            <w:r>
              <w:rPr>
                <w:rStyle w:val="IndexLink"/>
                <w:rtl w:val="true"/>
              </w:rPr>
              <w:t>الأصل الجاري في المسألة</w:t>
            </w:r>
            <w:r>
              <w:rPr>
                <w:rStyle w:val="IndexLink"/>
                <w:rtl w:val="true"/>
              </w:rPr>
              <w:t>]</w:t>
              <w:tab/>
            </w:r>
            <w:r>
              <w:rPr>
                <w:rStyle w:val="IndexLink"/>
              </w:rPr>
              <w:t>344</w:t>
            </w:r>
          </w:hyperlink>
        </w:p>
        <w:p>
          <w:pPr>
            <w:pStyle w:val="Contents2"/>
            <w:tabs>
              <w:tab w:val="clear" w:pos="8743"/>
              <w:tab w:val="right" w:pos="9026" w:leader="dot"/>
            </w:tabs>
            <w:rPr/>
          </w:pPr>
          <w:hyperlink w:anchor="__RefHeading___Toc2001793_2870459653">
            <w:r>
              <w:rPr>
                <w:webHidden/>
                <w:rStyle w:val="IndexLink"/>
                <w:rtl w:val="true"/>
              </w:rPr>
              <w:t xml:space="preserve">أصل </w:t>
            </w:r>
            <w:r>
              <w:rPr>
                <w:rStyle w:val="IndexLink"/>
                <w:rtl w:val="true"/>
              </w:rPr>
              <w:t>[</w:t>
            </w:r>
            <w:r>
              <w:rPr>
                <w:rStyle w:val="IndexLink"/>
                <w:rtl w:val="true"/>
              </w:rPr>
              <w:t>في دوران الأمر بين الوجوب والإباحة الخاصة</w:t>
            </w:r>
            <w:r>
              <w:rPr>
                <w:rStyle w:val="IndexLink"/>
                <w:rtl w:val="true"/>
              </w:rPr>
              <w:t>]</w:t>
              <w:tab/>
            </w:r>
            <w:r>
              <w:rPr>
                <w:rStyle w:val="IndexLink"/>
              </w:rPr>
              <w:t>345</w:t>
            </w:r>
          </w:hyperlink>
        </w:p>
        <w:p>
          <w:pPr>
            <w:pStyle w:val="Contents3"/>
            <w:tabs>
              <w:tab w:val="clear" w:pos="8459"/>
              <w:tab w:val="right" w:pos="9026" w:leader="dot"/>
            </w:tabs>
            <w:rPr/>
          </w:pPr>
          <w:hyperlink w:anchor="__RefHeading___Toc2001795_2870459653">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2001797_2870459653">
            <w:r>
              <w:rPr>
                <w:webHidden/>
                <w:rStyle w:val="IndexLink"/>
                <w:rtl w:val="true"/>
              </w:rPr>
              <w:t>[</w:t>
            </w:r>
            <w:r>
              <w:rPr>
                <w:rStyle w:val="IndexLink"/>
                <w:rtl w:val="true"/>
              </w:rPr>
              <w:t>أدلة الاحتياط</w:t>
            </w:r>
            <w:r>
              <w:rPr>
                <w:rStyle w:val="IndexLink"/>
                <w:rtl w:val="true"/>
              </w:rPr>
              <w:t>]</w:t>
              <w:tab/>
            </w:r>
            <w:r>
              <w:rPr>
                <w:rStyle w:val="IndexLink"/>
              </w:rPr>
              <w:t>354</w:t>
            </w:r>
          </w:hyperlink>
        </w:p>
        <w:p>
          <w:pPr>
            <w:pStyle w:val="Contents2"/>
            <w:tabs>
              <w:tab w:val="clear" w:pos="8743"/>
              <w:tab w:val="right" w:pos="9026" w:leader="dot"/>
            </w:tabs>
            <w:rPr/>
          </w:pPr>
          <w:hyperlink w:anchor="__RefHeading___Toc2001799_2870459653">
            <w:r>
              <w:rPr>
                <w:webHidden/>
                <w:rStyle w:val="IndexLink"/>
                <w:rtl w:val="true"/>
              </w:rPr>
              <w:t xml:space="preserve">أصل </w:t>
            </w:r>
            <w:r>
              <w:rPr>
                <w:rStyle w:val="IndexLink"/>
                <w:rtl w:val="true"/>
              </w:rPr>
              <w:t>[</w:t>
            </w:r>
            <w:r>
              <w:rPr>
                <w:rStyle w:val="IndexLink"/>
                <w:rtl w:val="true"/>
              </w:rPr>
              <w:t>في دوران الأمر بين الوجوب والندب والإباحة</w:t>
            </w:r>
            <w:r>
              <w:rPr>
                <w:rStyle w:val="IndexLink"/>
                <w:rtl w:val="true"/>
              </w:rPr>
              <w:t>]</w:t>
              <w:tab/>
            </w:r>
            <w:r>
              <w:rPr>
                <w:rStyle w:val="IndexLink"/>
              </w:rPr>
              <w:t>356</w:t>
            </w:r>
          </w:hyperlink>
        </w:p>
        <w:p>
          <w:pPr>
            <w:pStyle w:val="Contents2"/>
            <w:tabs>
              <w:tab w:val="clear" w:pos="8743"/>
              <w:tab w:val="right" w:pos="9026" w:leader="dot"/>
            </w:tabs>
            <w:rPr/>
          </w:pPr>
          <w:hyperlink w:anchor="__RefHeading___Toc2001801_2870459653">
            <w:r>
              <w:rPr>
                <w:webHidden/>
                <w:rStyle w:val="IndexLink"/>
                <w:rtl w:val="true"/>
              </w:rPr>
              <w:t xml:space="preserve">أصل </w:t>
            </w:r>
            <w:r>
              <w:rPr>
                <w:rStyle w:val="IndexLink"/>
                <w:rtl w:val="true"/>
              </w:rPr>
              <w:t>[</w:t>
            </w:r>
            <w:r>
              <w:rPr>
                <w:rStyle w:val="IndexLink"/>
                <w:rtl w:val="true"/>
              </w:rPr>
              <w:t>في الشبهة الوجوبية ودوران الأمر بين الأقل والأكثر الارتباطيين مع كون الشبهة مرادية</w:t>
            </w:r>
            <w:r>
              <w:rPr>
                <w:rStyle w:val="IndexLink"/>
                <w:rtl w:val="true"/>
              </w:rPr>
              <w:t>]</w:t>
              <w:tab/>
            </w:r>
            <w:r>
              <w:rPr>
                <w:rStyle w:val="IndexLink"/>
              </w:rPr>
              <w:t>359</w:t>
            </w:r>
          </w:hyperlink>
        </w:p>
        <w:p>
          <w:pPr>
            <w:pStyle w:val="Contents3"/>
            <w:tabs>
              <w:tab w:val="clear" w:pos="8459"/>
              <w:tab w:val="right" w:pos="9026" w:leader="dot"/>
            </w:tabs>
            <w:rPr/>
          </w:pPr>
          <w:hyperlink w:anchor="__RefHeading___Toc2001803_2870459653">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2001805_2870459653">
            <w:r>
              <w:rPr>
                <w:webHidden/>
                <w:rStyle w:val="IndexLink"/>
                <w:rtl w:val="true"/>
              </w:rPr>
              <w:t>[</w:t>
            </w:r>
            <w:r>
              <w:rPr>
                <w:rStyle w:val="IndexLink"/>
                <w:rtl w:val="true"/>
              </w:rPr>
              <w:t>تحرير محل النزاع</w:t>
            </w:r>
            <w:r>
              <w:rPr>
                <w:rStyle w:val="IndexLink"/>
                <w:rtl w:val="true"/>
              </w:rPr>
              <w:t>]</w:t>
              <w:tab/>
            </w:r>
            <w:r>
              <w:rPr>
                <w:rStyle w:val="IndexLink"/>
              </w:rPr>
              <w:t>359</w:t>
            </w:r>
          </w:hyperlink>
        </w:p>
        <w:p>
          <w:pPr>
            <w:pStyle w:val="Contents3"/>
            <w:tabs>
              <w:tab w:val="clear" w:pos="8459"/>
              <w:tab w:val="right" w:pos="9026" w:leader="dot"/>
            </w:tabs>
            <w:rPr/>
          </w:pPr>
          <w:hyperlink w:anchor="__RefHeading___Toc2001807_2870459653">
            <w:r>
              <w:rPr>
                <w:webHidden/>
                <w:rStyle w:val="IndexLink"/>
                <w:rtl w:val="true"/>
              </w:rPr>
              <w:t>[</w:t>
            </w:r>
            <w:r>
              <w:rPr>
                <w:rStyle w:val="IndexLink"/>
                <w:rtl w:val="true"/>
              </w:rPr>
              <w:t>تأسيس الأصل</w:t>
            </w:r>
            <w:r>
              <w:rPr>
                <w:rStyle w:val="IndexLink"/>
                <w:rtl w:val="true"/>
              </w:rPr>
              <w:t>]</w:t>
              <w:tab/>
            </w:r>
            <w:r>
              <w:rPr>
                <w:rStyle w:val="IndexLink"/>
              </w:rPr>
              <w:t>360</w:t>
            </w:r>
          </w:hyperlink>
        </w:p>
        <w:p>
          <w:pPr>
            <w:pStyle w:val="Contents2"/>
            <w:tabs>
              <w:tab w:val="clear" w:pos="8743"/>
              <w:tab w:val="right" w:pos="9026" w:leader="dot"/>
            </w:tabs>
            <w:rPr/>
          </w:pPr>
          <w:hyperlink w:anchor="__RefHeading___Toc2001809_2870459653">
            <w:r>
              <w:rPr>
                <w:webHidden/>
                <w:rStyle w:val="IndexLink"/>
                <w:rtl w:val="true"/>
              </w:rPr>
              <w:t xml:space="preserve">أصل </w:t>
            </w:r>
            <w:r>
              <w:rPr>
                <w:rStyle w:val="IndexLink"/>
                <w:rtl w:val="true"/>
              </w:rPr>
              <w:t>[</w:t>
            </w:r>
            <w:r>
              <w:rPr>
                <w:rStyle w:val="IndexLink"/>
                <w:rtl w:val="true"/>
              </w:rPr>
              <w:t>في الشك في النفسية والغيرية</w:t>
            </w:r>
            <w:r>
              <w:rPr>
                <w:rStyle w:val="IndexLink"/>
                <w:rtl w:val="true"/>
              </w:rPr>
              <w:t>]</w:t>
              <w:tab/>
            </w:r>
            <w:r>
              <w:rPr>
                <w:rStyle w:val="IndexLink"/>
              </w:rPr>
              <w:t>364</w:t>
            </w:r>
          </w:hyperlink>
        </w:p>
        <w:p>
          <w:pPr>
            <w:pStyle w:val="Contents2"/>
            <w:tabs>
              <w:tab w:val="clear" w:pos="8743"/>
              <w:tab w:val="right" w:pos="9026" w:leader="dot"/>
            </w:tabs>
            <w:rPr/>
          </w:pPr>
          <w:hyperlink w:anchor="__RefHeading___Toc2001811_2870459653">
            <w:r>
              <w:rPr>
                <w:webHidden/>
                <w:rStyle w:val="IndexLink"/>
                <w:rtl w:val="true"/>
              </w:rPr>
              <w:t>[</w:t>
            </w:r>
            <w:r>
              <w:rPr>
                <w:rStyle w:val="IndexLink"/>
                <w:rtl w:val="true"/>
              </w:rPr>
              <w:t>ثمرة المسألة</w:t>
            </w:r>
            <w:r>
              <w:rPr>
                <w:rStyle w:val="IndexLink"/>
                <w:rtl w:val="true"/>
              </w:rPr>
              <w:t>]</w:t>
              <w:tab/>
            </w:r>
            <w:r>
              <w:rPr>
                <w:rStyle w:val="IndexLink"/>
              </w:rPr>
              <w:t>364</w:t>
            </w:r>
          </w:hyperlink>
        </w:p>
        <w:p>
          <w:pPr>
            <w:pStyle w:val="Contents2"/>
            <w:tabs>
              <w:tab w:val="clear" w:pos="8743"/>
              <w:tab w:val="right" w:pos="9026" w:leader="dot"/>
            </w:tabs>
            <w:rPr/>
          </w:pPr>
          <w:hyperlink w:anchor="__RefHeading___Toc2001813_2870459653">
            <w:r>
              <w:rPr>
                <w:webHidden/>
                <w:rStyle w:val="IndexLink"/>
                <w:rtl w:val="true"/>
              </w:rPr>
              <w:t xml:space="preserve">أصل </w:t>
            </w:r>
            <w:r>
              <w:rPr>
                <w:rStyle w:val="IndexLink"/>
                <w:rtl w:val="true"/>
              </w:rPr>
              <w:t>[</w:t>
            </w:r>
            <w:r>
              <w:rPr>
                <w:rStyle w:val="IndexLink"/>
                <w:rtl w:val="true"/>
              </w:rPr>
              <w:t>في دوران الأمر بين الأقل والأكثر الاستقلاليين مع كون الشبهة مرادية</w:t>
            </w:r>
            <w:r>
              <w:rPr>
                <w:rStyle w:val="IndexLink"/>
                <w:rtl w:val="true"/>
              </w:rPr>
              <w:t>]</w:t>
              <w:tab/>
            </w:r>
            <w:r>
              <w:rPr>
                <w:rStyle w:val="IndexLink"/>
              </w:rPr>
              <w:t>365</w:t>
            </w:r>
          </w:hyperlink>
        </w:p>
        <w:p>
          <w:pPr>
            <w:pStyle w:val="Contents2"/>
            <w:tabs>
              <w:tab w:val="clear" w:pos="8743"/>
              <w:tab w:val="right" w:pos="9026" w:leader="dot"/>
            </w:tabs>
            <w:rPr/>
          </w:pPr>
          <w:hyperlink w:anchor="__RefHeading___Toc2001815_2870459653">
            <w:r>
              <w:rPr>
                <w:webHidden/>
                <w:rStyle w:val="IndexLink"/>
                <w:rtl w:val="true"/>
              </w:rPr>
              <w:t xml:space="preserve">أصل </w:t>
            </w:r>
            <w:r>
              <w:rPr>
                <w:rStyle w:val="IndexLink"/>
                <w:rtl w:val="true"/>
              </w:rPr>
              <w:t>[</w:t>
            </w:r>
            <w:r>
              <w:rPr>
                <w:rStyle w:val="IndexLink"/>
                <w:rtl w:val="true"/>
              </w:rPr>
              <w:t>في دوران الأمر بين المتباينين مع كون الشبهة مرادية</w:t>
            </w:r>
            <w:r>
              <w:rPr>
                <w:rStyle w:val="IndexLink"/>
                <w:rtl w:val="true"/>
              </w:rPr>
              <w:t>]</w:t>
              <w:tab/>
            </w:r>
            <w:r>
              <w:rPr>
                <w:rStyle w:val="IndexLink"/>
              </w:rPr>
              <w:t>366</w:t>
            </w:r>
          </w:hyperlink>
        </w:p>
        <w:p>
          <w:pPr>
            <w:pStyle w:val="Contents2"/>
            <w:tabs>
              <w:tab w:val="clear" w:pos="8743"/>
              <w:tab w:val="right" w:pos="9026" w:leader="dot"/>
            </w:tabs>
            <w:rPr/>
          </w:pPr>
          <w:hyperlink w:anchor="__RefHeading___Toc2001817_2870459653">
            <w:r>
              <w:rPr>
                <w:webHidden/>
                <w:rStyle w:val="IndexLink"/>
                <w:rtl w:val="true"/>
              </w:rPr>
              <w:t xml:space="preserve">أصل </w:t>
            </w:r>
            <w:r>
              <w:rPr>
                <w:rStyle w:val="IndexLink"/>
                <w:rtl w:val="true"/>
              </w:rPr>
              <w:t>[</w:t>
            </w:r>
            <w:r>
              <w:rPr>
                <w:rStyle w:val="IndexLink"/>
                <w:rtl w:val="true"/>
              </w:rPr>
              <w:t>في دوران الأمر بين الأقل والأكثر الاستقلاليين في الشبهة المصداقية</w:t>
            </w:r>
            <w:r>
              <w:rPr>
                <w:rStyle w:val="IndexLink"/>
                <w:rtl w:val="true"/>
              </w:rPr>
              <w:t>]</w:t>
              <w:tab/>
            </w:r>
            <w:r>
              <w:rPr>
                <w:rStyle w:val="IndexLink"/>
              </w:rPr>
              <w:t>367</w:t>
            </w:r>
          </w:hyperlink>
        </w:p>
        <w:p>
          <w:pPr>
            <w:pStyle w:val="Contents2"/>
            <w:tabs>
              <w:tab w:val="clear" w:pos="8743"/>
              <w:tab w:val="right" w:pos="9026" w:leader="dot"/>
            </w:tabs>
            <w:rPr/>
          </w:pPr>
          <w:hyperlink w:anchor="__RefHeading___Toc2001819_2870459653">
            <w:r>
              <w:rPr>
                <w:webHidden/>
                <w:rStyle w:val="IndexLink"/>
                <w:rtl w:val="true"/>
              </w:rPr>
              <w:t xml:space="preserve">أصل </w:t>
            </w:r>
            <w:r>
              <w:rPr>
                <w:rStyle w:val="IndexLink"/>
                <w:rtl w:val="true"/>
              </w:rPr>
              <w:t>[</w:t>
            </w:r>
            <w:r>
              <w:rPr>
                <w:rStyle w:val="IndexLink"/>
                <w:rtl w:val="true"/>
              </w:rPr>
              <w:t>في دوران الأمر بين المتباينين في الشبهة المصداقية</w:t>
            </w:r>
            <w:r>
              <w:rPr>
                <w:rStyle w:val="IndexLink"/>
                <w:rtl w:val="true"/>
              </w:rPr>
              <w:t>]</w:t>
              <w:tab/>
            </w:r>
            <w:r>
              <w:rPr>
                <w:rStyle w:val="IndexLink"/>
              </w:rPr>
              <w:t>369</w:t>
            </w:r>
          </w:hyperlink>
        </w:p>
        <w:p>
          <w:pPr>
            <w:pStyle w:val="Contents2"/>
            <w:tabs>
              <w:tab w:val="clear" w:pos="8743"/>
              <w:tab w:val="right" w:pos="9026" w:leader="dot"/>
            </w:tabs>
            <w:rPr/>
          </w:pPr>
          <w:hyperlink w:anchor="__RefHeading___Toc2001821_2870459653">
            <w:r>
              <w:rPr>
                <w:webHidden/>
                <w:rStyle w:val="IndexLink"/>
                <w:rtl w:val="true"/>
              </w:rPr>
              <w:t xml:space="preserve">أصل </w:t>
            </w:r>
            <w:r>
              <w:rPr>
                <w:rStyle w:val="IndexLink"/>
                <w:rtl w:val="true"/>
              </w:rPr>
              <w:t>[</w:t>
            </w:r>
            <w:r>
              <w:rPr>
                <w:rStyle w:val="IndexLink"/>
                <w:rtl w:val="true"/>
              </w:rPr>
              <w:t>في دوران الأمر بين المتباينين مع كون الشبهة في مصداق المكلف</w:t>
            </w:r>
            <w:r>
              <w:rPr>
                <w:rStyle w:val="IndexLink"/>
                <w:rtl w:val="true"/>
              </w:rPr>
              <w:t>]</w:t>
              <w:tab/>
            </w:r>
            <w:r>
              <w:rPr>
                <w:rStyle w:val="IndexLink"/>
              </w:rPr>
              <w:t>370</w:t>
            </w:r>
          </w:hyperlink>
        </w:p>
        <w:p>
          <w:pPr>
            <w:pStyle w:val="Contents2"/>
            <w:tabs>
              <w:tab w:val="clear" w:pos="8743"/>
              <w:tab w:val="right" w:pos="9026" w:leader="dot"/>
            </w:tabs>
            <w:rPr/>
          </w:pPr>
          <w:hyperlink w:anchor="__RefHeading___Toc2001823_2870459653">
            <w:r>
              <w:rPr>
                <w:webHidden/>
                <w:rStyle w:val="IndexLink"/>
                <w:rtl w:val="true"/>
              </w:rPr>
              <w:t xml:space="preserve">أصل </w:t>
            </w:r>
            <w:r>
              <w:rPr>
                <w:rStyle w:val="IndexLink"/>
                <w:rtl w:val="true"/>
              </w:rPr>
              <w:t>[</w:t>
            </w:r>
            <w:r>
              <w:rPr>
                <w:rStyle w:val="IndexLink"/>
                <w:rtl w:val="true"/>
              </w:rPr>
              <w:t>في دوران الأمر في الشبهة التحريمية مع الشك في التكليف</w:t>
            </w:r>
            <w:r>
              <w:rPr>
                <w:rStyle w:val="IndexLink"/>
                <w:rtl w:val="true"/>
              </w:rPr>
              <w:t>]</w:t>
              <w:tab/>
            </w:r>
            <w:r>
              <w:rPr>
                <w:rStyle w:val="IndexLink"/>
              </w:rPr>
              <w:t>370</w:t>
            </w:r>
          </w:hyperlink>
        </w:p>
        <w:p>
          <w:pPr>
            <w:pStyle w:val="Contents2"/>
            <w:tabs>
              <w:tab w:val="clear" w:pos="8743"/>
              <w:tab w:val="right" w:pos="9026" w:leader="dot"/>
            </w:tabs>
            <w:rPr/>
          </w:pPr>
          <w:hyperlink w:anchor="__RefHeading___Toc2001825_2870459653">
            <w:r>
              <w:rPr>
                <w:webHidden/>
                <w:rStyle w:val="IndexLink"/>
                <w:rtl w:val="true"/>
              </w:rPr>
              <w:t xml:space="preserve">أصل </w:t>
            </w:r>
            <w:r>
              <w:rPr>
                <w:rStyle w:val="IndexLink"/>
                <w:rtl w:val="true"/>
              </w:rPr>
              <w:t>[</w:t>
            </w:r>
            <w:r>
              <w:rPr>
                <w:rStyle w:val="IndexLink"/>
                <w:rtl w:val="true"/>
              </w:rPr>
              <w:t>في الشبهة التحريمية ودوران الأمر بين المتباينين الشبهة المصداقية</w:t>
            </w:r>
            <w:r>
              <w:rPr>
                <w:rStyle w:val="IndexLink"/>
                <w:rtl w:val="true"/>
              </w:rPr>
              <w:t>]</w:t>
              <w:tab/>
            </w:r>
            <w:r>
              <w:rPr>
                <w:rStyle w:val="IndexLink"/>
              </w:rPr>
              <w:t>372</w:t>
            </w:r>
          </w:hyperlink>
        </w:p>
        <w:p>
          <w:pPr>
            <w:pStyle w:val="Contents2"/>
            <w:tabs>
              <w:tab w:val="clear" w:pos="8743"/>
              <w:tab w:val="right" w:pos="9026" w:leader="dot"/>
            </w:tabs>
            <w:rPr/>
          </w:pPr>
          <w:hyperlink w:anchor="__RefHeading___Toc2001827_2870459653">
            <w:r>
              <w:rPr>
                <w:webHidden/>
                <w:rStyle w:val="IndexLink"/>
                <w:rtl w:val="true"/>
              </w:rPr>
              <w:t xml:space="preserve">أصل </w:t>
            </w:r>
            <w:r>
              <w:rPr>
                <w:rStyle w:val="IndexLink"/>
                <w:rtl w:val="true"/>
              </w:rPr>
              <w:t>[</w:t>
            </w:r>
            <w:r>
              <w:rPr>
                <w:rStyle w:val="IndexLink"/>
                <w:rtl w:val="true"/>
              </w:rPr>
              <w:t>في دوران الأمر بين المحذورين في الشبهة الحكمية</w:t>
            </w:r>
            <w:r>
              <w:rPr>
                <w:rStyle w:val="IndexLink"/>
                <w:rtl w:val="true"/>
              </w:rPr>
              <w:t>]</w:t>
              <w:tab/>
            </w:r>
            <w:r>
              <w:rPr>
                <w:rStyle w:val="IndexLink"/>
              </w:rPr>
              <w:t>375</w:t>
            </w:r>
          </w:hyperlink>
        </w:p>
        <w:p>
          <w:pPr>
            <w:pStyle w:val="Contents2"/>
            <w:tabs>
              <w:tab w:val="clear" w:pos="8743"/>
              <w:tab w:val="right" w:pos="9026" w:leader="dot"/>
            </w:tabs>
            <w:rPr/>
          </w:pPr>
          <w:hyperlink w:anchor="__RefHeading___Toc2001829_2870459653">
            <w:r>
              <w:rPr>
                <w:webHidden/>
                <w:rStyle w:val="IndexLink"/>
                <w:rtl w:val="true"/>
              </w:rPr>
              <w:t xml:space="preserve">أصل </w:t>
            </w:r>
            <w:r>
              <w:rPr>
                <w:rStyle w:val="IndexLink"/>
                <w:rtl w:val="true"/>
              </w:rPr>
              <w:t>[</w:t>
            </w:r>
            <w:r>
              <w:rPr>
                <w:rStyle w:val="IndexLink"/>
                <w:rtl w:val="true"/>
              </w:rPr>
              <w:t>في دوران الأمر بين الوجوب والكراهة، أو الحرمة والندب</w:t>
            </w:r>
            <w:r>
              <w:rPr>
                <w:rStyle w:val="IndexLink"/>
                <w:rtl w:val="true"/>
              </w:rPr>
              <w:t>]</w:t>
              <w:tab/>
            </w:r>
            <w:r>
              <w:rPr>
                <w:rStyle w:val="IndexLink"/>
              </w:rPr>
              <w:t>377</w:t>
            </w:r>
          </w:hyperlink>
        </w:p>
        <w:p>
          <w:pPr>
            <w:pStyle w:val="Contents2"/>
            <w:tabs>
              <w:tab w:val="clear" w:pos="8743"/>
              <w:tab w:val="right" w:pos="9026" w:leader="dot"/>
            </w:tabs>
            <w:rPr/>
          </w:pPr>
          <w:hyperlink w:anchor="__RefHeading___Toc2001831_2870459653">
            <w:r>
              <w:rPr>
                <w:webHidden/>
                <w:rStyle w:val="IndexLink"/>
                <w:rtl w:val="true"/>
              </w:rPr>
              <w:t xml:space="preserve">أصل </w:t>
            </w:r>
            <w:r>
              <w:rPr>
                <w:rStyle w:val="IndexLink"/>
                <w:rtl w:val="true"/>
              </w:rPr>
              <w:t>[</w:t>
            </w:r>
            <w:r>
              <w:rPr>
                <w:rStyle w:val="IndexLink"/>
                <w:rtl w:val="true"/>
              </w:rPr>
              <w:t>في وجوب الفحص قبل العمل بأصل البراءة</w:t>
            </w:r>
            <w:r>
              <w:rPr>
                <w:rStyle w:val="IndexLink"/>
                <w:rtl w:val="true"/>
              </w:rPr>
              <w:t>]</w:t>
              <w:tab/>
            </w:r>
            <w:r>
              <w:rPr>
                <w:rStyle w:val="IndexLink"/>
              </w:rPr>
              <w:t>377</w:t>
            </w:r>
          </w:hyperlink>
        </w:p>
        <w:p>
          <w:pPr>
            <w:pStyle w:val="Contents2"/>
            <w:tabs>
              <w:tab w:val="clear" w:pos="8743"/>
              <w:tab w:val="right" w:pos="9026" w:leader="dot"/>
            </w:tabs>
            <w:rPr/>
          </w:pPr>
          <w:hyperlink w:anchor="__RefHeading___Toc2001833_2870459653">
            <w:r>
              <w:rPr>
                <w:webHidden/>
                <w:rStyle w:val="IndexLink"/>
                <w:rtl w:val="true"/>
              </w:rPr>
              <w:t xml:space="preserve">أصل </w:t>
            </w:r>
            <w:r>
              <w:rPr>
                <w:rStyle w:val="IndexLink"/>
                <w:rtl w:val="true"/>
              </w:rPr>
              <w:t>[</w:t>
            </w:r>
            <w:r>
              <w:rPr>
                <w:rStyle w:val="IndexLink"/>
                <w:rtl w:val="true"/>
              </w:rPr>
              <w:t>في الاستقراء</w:t>
            </w:r>
            <w:r>
              <w:rPr>
                <w:rStyle w:val="IndexLink"/>
                <w:rtl w:val="true"/>
              </w:rPr>
              <w:t>]</w:t>
              <w:tab/>
            </w:r>
            <w:r>
              <w:rPr>
                <w:rStyle w:val="IndexLink"/>
              </w:rPr>
              <w:t>378</w:t>
            </w:r>
          </w:hyperlink>
        </w:p>
        <w:p>
          <w:pPr>
            <w:pStyle w:val="Contents2"/>
            <w:tabs>
              <w:tab w:val="clear" w:pos="8743"/>
              <w:tab w:val="right" w:pos="9026" w:leader="dot"/>
            </w:tabs>
            <w:rPr/>
          </w:pPr>
          <w:hyperlink w:anchor="__RefHeading___Toc2001835_2870459653">
            <w:r>
              <w:rPr>
                <w:webHidden/>
                <w:rStyle w:val="IndexLink"/>
                <w:rtl w:val="true"/>
              </w:rPr>
              <w:t xml:space="preserve">أصل </w:t>
            </w:r>
            <w:r>
              <w:rPr>
                <w:rStyle w:val="IndexLink"/>
                <w:rtl w:val="true"/>
              </w:rPr>
              <w:t>[</w:t>
            </w:r>
            <w:r>
              <w:rPr>
                <w:rStyle w:val="IndexLink"/>
                <w:rtl w:val="true"/>
              </w:rPr>
              <w:t>في الاستصحاب وتعريفه</w:t>
            </w:r>
            <w:r>
              <w:rPr>
                <w:rStyle w:val="IndexLink"/>
                <w:rtl w:val="true"/>
              </w:rPr>
              <w:t>]</w:t>
              <w:tab/>
            </w:r>
            <w:r>
              <w:rPr>
                <w:rStyle w:val="IndexLink"/>
              </w:rPr>
              <w:t>382</w:t>
            </w:r>
          </w:hyperlink>
        </w:p>
        <w:p>
          <w:pPr>
            <w:pStyle w:val="Contents3"/>
            <w:tabs>
              <w:tab w:val="clear" w:pos="8459"/>
              <w:tab w:val="right" w:pos="9026" w:leader="dot"/>
            </w:tabs>
            <w:rPr/>
          </w:pPr>
          <w:hyperlink w:anchor="__RefHeading___Toc2001837_2870459653">
            <w:r>
              <w:rPr>
                <w:webHidden/>
                <w:rStyle w:val="IndexLink"/>
                <w:rtl w:val="true"/>
              </w:rPr>
              <w:t>اشارة</w:t>
            </w:r>
            <w:r>
              <w:rPr>
                <w:rStyle w:val="IndexLink"/>
                <w:rtl w:val="true"/>
              </w:rPr>
              <w:tab/>
            </w:r>
            <w:r>
              <w:rPr>
                <w:rStyle w:val="IndexLink"/>
              </w:rPr>
              <w:t>382</w:t>
            </w:r>
          </w:hyperlink>
        </w:p>
        <w:p>
          <w:pPr>
            <w:pStyle w:val="Contents3"/>
            <w:tabs>
              <w:tab w:val="clear" w:pos="8459"/>
              <w:tab w:val="right" w:pos="9026" w:leader="dot"/>
            </w:tabs>
            <w:rPr/>
          </w:pPr>
          <w:hyperlink w:anchor="__RefHeading___Toc2001839_2870459653">
            <w:r>
              <w:rPr>
                <w:webHidden/>
                <w:rStyle w:val="IndexLink"/>
                <w:rtl w:val="true"/>
              </w:rPr>
              <w:t>[</w:t>
            </w:r>
            <w:r>
              <w:rPr>
                <w:rStyle w:val="IndexLink"/>
                <w:rtl w:val="true"/>
              </w:rPr>
              <w:t>تحرير محل النزاع</w:t>
            </w:r>
            <w:r>
              <w:rPr>
                <w:rStyle w:val="IndexLink"/>
                <w:rtl w:val="true"/>
              </w:rPr>
              <w:t>]</w:t>
              <w:tab/>
            </w:r>
            <w:r>
              <w:rPr>
                <w:rStyle w:val="IndexLink"/>
              </w:rPr>
              <w:t>384</w:t>
            </w:r>
          </w:hyperlink>
        </w:p>
        <w:p>
          <w:pPr>
            <w:pStyle w:val="Contents2"/>
            <w:tabs>
              <w:tab w:val="clear" w:pos="8743"/>
              <w:tab w:val="right" w:pos="9026" w:leader="dot"/>
            </w:tabs>
            <w:rPr/>
          </w:pPr>
          <w:hyperlink w:anchor="__RefHeading___Toc2001841_2870459653">
            <w:r>
              <w:rPr>
                <w:webHidden/>
                <w:rStyle w:val="IndexLink"/>
                <w:rtl w:val="true"/>
              </w:rPr>
              <w:t xml:space="preserve">أصل </w:t>
            </w:r>
            <w:r>
              <w:rPr>
                <w:rStyle w:val="IndexLink"/>
                <w:rtl w:val="true"/>
              </w:rPr>
              <w:t>[</w:t>
            </w:r>
            <w:r>
              <w:rPr>
                <w:rStyle w:val="IndexLink"/>
                <w:rtl w:val="true"/>
              </w:rPr>
              <w:t>في حجية الاستصحاب في الجملة</w:t>
            </w:r>
            <w:r>
              <w:rPr>
                <w:rStyle w:val="IndexLink"/>
                <w:rtl w:val="true"/>
              </w:rPr>
              <w:t>]</w:t>
              <w:tab/>
            </w:r>
            <w:r>
              <w:rPr>
                <w:rStyle w:val="IndexLink"/>
              </w:rPr>
              <w:t>385</w:t>
            </w:r>
          </w:hyperlink>
        </w:p>
        <w:p>
          <w:pPr>
            <w:pStyle w:val="Contents2"/>
            <w:tabs>
              <w:tab w:val="clear" w:pos="8743"/>
              <w:tab w:val="right" w:pos="9026" w:leader="dot"/>
            </w:tabs>
            <w:rPr/>
          </w:pPr>
          <w:hyperlink w:anchor="__RefHeading___Toc2001843_2870459653">
            <w:r>
              <w:rPr>
                <w:webHidden/>
                <w:rStyle w:val="IndexLink"/>
                <w:rtl w:val="true"/>
              </w:rPr>
              <w:t xml:space="preserve">أصل </w:t>
            </w:r>
            <w:r>
              <w:rPr>
                <w:rStyle w:val="IndexLink"/>
                <w:rtl w:val="true"/>
              </w:rPr>
              <w:t>[</w:t>
            </w:r>
            <w:r>
              <w:rPr>
                <w:rStyle w:val="IndexLink"/>
                <w:rtl w:val="true"/>
              </w:rPr>
              <w:t>في حجية الاستصحاب في الأمور الخارجية</w:t>
            </w:r>
            <w:r>
              <w:rPr>
                <w:rStyle w:val="IndexLink"/>
                <w:rtl w:val="true"/>
              </w:rPr>
              <w:t>]</w:t>
              <w:tab/>
            </w:r>
            <w:r>
              <w:rPr>
                <w:rStyle w:val="IndexLink"/>
              </w:rPr>
              <w:t>390</w:t>
            </w:r>
          </w:hyperlink>
        </w:p>
        <w:p>
          <w:pPr>
            <w:pStyle w:val="Contents2"/>
            <w:tabs>
              <w:tab w:val="clear" w:pos="8743"/>
              <w:tab w:val="right" w:pos="9026" w:leader="dot"/>
            </w:tabs>
            <w:rPr/>
          </w:pPr>
          <w:hyperlink w:anchor="__RefHeading___Toc2001845_2870459653">
            <w:r>
              <w:rPr>
                <w:webHidden/>
                <w:rStyle w:val="IndexLink"/>
                <w:rtl w:val="true"/>
              </w:rPr>
              <w:t xml:space="preserve">أصل </w:t>
            </w:r>
            <w:r>
              <w:rPr>
                <w:rStyle w:val="IndexLink"/>
                <w:rtl w:val="true"/>
              </w:rPr>
              <w:t>[</w:t>
            </w:r>
            <w:r>
              <w:rPr>
                <w:rStyle w:val="IndexLink"/>
                <w:rtl w:val="true"/>
              </w:rPr>
              <w:t>في حجية الاستصحاب في الأحكام</w:t>
            </w:r>
            <w:r>
              <w:rPr>
                <w:rStyle w:val="IndexLink"/>
                <w:rtl w:val="true"/>
              </w:rPr>
              <w:t>]</w:t>
              <w:tab/>
            </w:r>
            <w:r>
              <w:rPr>
                <w:rStyle w:val="IndexLink"/>
              </w:rPr>
              <w:t>391</w:t>
            </w:r>
          </w:hyperlink>
        </w:p>
        <w:p>
          <w:pPr>
            <w:pStyle w:val="Contents3"/>
            <w:tabs>
              <w:tab w:val="clear" w:pos="8459"/>
              <w:tab w:val="right" w:pos="9026" w:leader="dot"/>
            </w:tabs>
            <w:rPr/>
          </w:pPr>
          <w:hyperlink w:anchor="__RefHeading___Toc2001847_2870459653">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2001849_2870459653">
            <w:r>
              <w:rPr>
                <w:webHidden/>
                <w:rStyle w:val="IndexLink"/>
                <w:rtl w:val="true"/>
              </w:rPr>
              <w:t>[</w:t>
            </w:r>
            <w:r>
              <w:rPr>
                <w:rStyle w:val="IndexLink"/>
                <w:rtl w:val="true"/>
              </w:rPr>
              <w:t>في حجية الاستصحاب فيما ثبت من الإجماع كغيره من الأدلة</w:t>
            </w:r>
            <w:r>
              <w:rPr>
                <w:rStyle w:val="IndexLink"/>
                <w:rtl w:val="true"/>
              </w:rPr>
              <w:t>]</w:t>
              <w:tab/>
            </w:r>
            <w:r>
              <w:rPr>
                <w:rStyle w:val="IndexLink"/>
              </w:rPr>
              <w:t>395</w:t>
            </w:r>
          </w:hyperlink>
        </w:p>
        <w:p>
          <w:pPr>
            <w:pStyle w:val="Contents2"/>
            <w:tabs>
              <w:tab w:val="clear" w:pos="8743"/>
              <w:tab w:val="right" w:pos="9026" w:leader="dot"/>
            </w:tabs>
            <w:rPr/>
          </w:pPr>
          <w:hyperlink w:anchor="__RefHeading___Toc2001851_2870459653">
            <w:r>
              <w:rPr>
                <w:webHidden/>
                <w:rStyle w:val="IndexLink"/>
                <w:rtl w:val="true"/>
              </w:rPr>
              <w:t xml:space="preserve">أصل </w:t>
            </w:r>
            <w:r>
              <w:rPr>
                <w:rStyle w:val="IndexLink"/>
                <w:rtl w:val="true"/>
              </w:rPr>
              <w:t>[</w:t>
            </w:r>
            <w:r>
              <w:rPr>
                <w:rStyle w:val="IndexLink"/>
                <w:rtl w:val="true"/>
              </w:rPr>
              <w:t>في حجية الاستصحاب سواء كان الشك في وجود المقتضي أو المانع</w:t>
            </w:r>
            <w:r>
              <w:rPr>
                <w:rStyle w:val="IndexLink"/>
                <w:rtl w:val="true"/>
              </w:rPr>
              <w:t>]</w:t>
              <w:tab/>
            </w:r>
            <w:r>
              <w:rPr>
                <w:rStyle w:val="IndexLink"/>
              </w:rPr>
              <w:t>396</w:t>
            </w:r>
          </w:hyperlink>
        </w:p>
        <w:p>
          <w:pPr>
            <w:pStyle w:val="Contents2"/>
            <w:tabs>
              <w:tab w:val="clear" w:pos="8743"/>
              <w:tab w:val="right" w:pos="9026" w:leader="dot"/>
            </w:tabs>
            <w:rPr/>
          </w:pPr>
          <w:hyperlink w:anchor="__RefHeading___Toc2001853_2870459653">
            <w:r>
              <w:rPr>
                <w:webHidden/>
                <w:rStyle w:val="IndexLink"/>
                <w:rtl w:val="true"/>
              </w:rPr>
              <w:t xml:space="preserve">أصل </w:t>
            </w:r>
            <w:r>
              <w:rPr>
                <w:rStyle w:val="IndexLink"/>
                <w:rtl w:val="true"/>
              </w:rPr>
              <w:t>[</w:t>
            </w:r>
            <w:r>
              <w:rPr>
                <w:rStyle w:val="IndexLink"/>
                <w:rtl w:val="true"/>
              </w:rPr>
              <w:t>في أقسام الشك في المانع</w:t>
            </w:r>
            <w:r>
              <w:rPr>
                <w:rStyle w:val="IndexLink"/>
                <w:rtl w:val="true"/>
              </w:rPr>
              <w:t>]</w:t>
              <w:tab/>
            </w:r>
            <w:r>
              <w:rPr>
                <w:rStyle w:val="IndexLink"/>
              </w:rPr>
              <w:t>398</w:t>
            </w:r>
          </w:hyperlink>
        </w:p>
        <w:p>
          <w:pPr>
            <w:pStyle w:val="Contents2"/>
            <w:tabs>
              <w:tab w:val="clear" w:pos="8743"/>
              <w:tab w:val="right" w:pos="9026" w:leader="dot"/>
            </w:tabs>
            <w:rPr/>
          </w:pPr>
          <w:hyperlink w:anchor="__RefHeading___Toc2001855_2870459653">
            <w:r>
              <w:rPr>
                <w:webHidden/>
                <w:rStyle w:val="IndexLink"/>
                <w:rtl w:val="true"/>
              </w:rPr>
              <w:t xml:space="preserve">أصل </w:t>
            </w:r>
            <w:r>
              <w:rPr>
                <w:rStyle w:val="IndexLink"/>
                <w:rtl w:val="true"/>
              </w:rPr>
              <w:t>[</w:t>
            </w:r>
            <w:r>
              <w:rPr>
                <w:rStyle w:val="IndexLink"/>
                <w:rtl w:val="true"/>
              </w:rPr>
              <w:t>فى الشك الطارئ والساري</w:t>
            </w:r>
            <w:r>
              <w:rPr>
                <w:rStyle w:val="IndexLink"/>
                <w:rtl w:val="true"/>
              </w:rPr>
              <w:t>]</w:t>
              <w:tab/>
            </w:r>
            <w:r>
              <w:rPr>
                <w:rStyle w:val="IndexLink"/>
              </w:rPr>
              <w:t>400</w:t>
            </w:r>
          </w:hyperlink>
        </w:p>
        <w:p>
          <w:pPr>
            <w:pStyle w:val="Contents2"/>
            <w:tabs>
              <w:tab w:val="clear" w:pos="8743"/>
              <w:tab w:val="right" w:pos="9026" w:leader="dot"/>
            </w:tabs>
            <w:rPr/>
          </w:pPr>
          <w:hyperlink w:anchor="__RefHeading___Toc2001857_2870459653">
            <w:r>
              <w:rPr>
                <w:webHidden/>
                <w:rStyle w:val="IndexLink"/>
                <w:rtl w:val="true"/>
              </w:rPr>
              <w:t xml:space="preserve">أصل </w:t>
            </w:r>
            <w:r>
              <w:rPr>
                <w:rStyle w:val="IndexLink"/>
                <w:rtl w:val="true"/>
              </w:rPr>
              <w:t>[</w:t>
            </w:r>
            <w:r>
              <w:rPr>
                <w:rStyle w:val="IndexLink"/>
                <w:rtl w:val="true"/>
              </w:rPr>
              <w:t>في الاستصحاب في الشك في الحادث</w:t>
            </w:r>
            <w:r>
              <w:rPr>
                <w:rStyle w:val="IndexLink"/>
                <w:rtl w:val="true"/>
              </w:rPr>
              <w:t>]</w:t>
              <w:tab/>
            </w:r>
            <w:r>
              <w:rPr>
                <w:rStyle w:val="IndexLink"/>
              </w:rPr>
              <w:t>401</w:t>
            </w:r>
          </w:hyperlink>
        </w:p>
        <w:p>
          <w:pPr>
            <w:pStyle w:val="Contents2"/>
            <w:tabs>
              <w:tab w:val="clear" w:pos="8743"/>
              <w:tab w:val="right" w:pos="9026" w:leader="dot"/>
            </w:tabs>
            <w:rPr/>
          </w:pPr>
          <w:hyperlink w:anchor="__RefHeading___Toc2001859_2870459653">
            <w:r>
              <w:rPr>
                <w:webHidden/>
                <w:rStyle w:val="IndexLink"/>
                <w:rtl w:val="true"/>
              </w:rPr>
              <w:t xml:space="preserve">أصل </w:t>
            </w:r>
            <w:r>
              <w:rPr>
                <w:rStyle w:val="IndexLink"/>
                <w:rtl w:val="true"/>
              </w:rPr>
              <w:t>[</w:t>
            </w:r>
            <w:r>
              <w:rPr>
                <w:rStyle w:val="IndexLink"/>
                <w:rtl w:val="true"/>
              </w:rPr>
              <w:t>في الاستصحاب في الموضوع المستنبط</w:t>
            </w:r>
            <w:r>
              <w:rPr>
                <w:rStyle w:val="IndexLink"/>
                <w:rtl w:val="true"/>
              </w:rPr>
              <w:t>]</w:t>
              <w:tab/>
            </w:r>
            <w:r>
              <w:rPr>
                <w:rStyle w:val="IndexLink"/>
              </w:rPr>
              <w:t>402</w:t>
            </w:r>
          </w:hyperlink>
        </w:p>
        <w:p>
          <w:pPr>
            <w:pStyle w:val="Contents2"/>
            <w:tabs>
              <w:tab w:val="clear" w:pos="8743"/>
              <w:tab w:val="right" w:pos="9026" w:leader="dot"/>
            </w:tabs>
            <w:rPr/>
          </w:pPr>
          <w:hyperlink w:anchor="__RefHeading___Toc2001861_2870459653">
            <w:r>
              <w:rPr>
                <w:webHidden/>
                <w:rStyle w:val="IndexLink"/>
                <w:rtl w:val="true"/>
              </w:rPr>
              <w:t xml:space="preserve">أصل </w:t>
            </w:r>
            <w:r>
              <w:rPr>
                <w:rStyle w:val="IndexLink"/>
                <w:rtl w:val="true"/>
              </w:rPr>
              <w:t>[</w:t>
            </w:r>
            <w:r>
              <w:rPr>
                <w:rStyle w:val="IndexLink"/>
                <w:rtl w:val="true"/>
              </w:rPr>
              <w:t>في الأصول العملية اللفظية</w:t>
            </w:r>
            <w:r>
              <w:rPr>
                <w:rStyle w:val="IndexLink"/>
                <w:rtl w:val="true"/>
              </w:rPr>
              <w:t>]</w:t>
              <w:tab/>
            </w:r>
            <w:r>
              <w:rPr>
                <w:rStyle w:val="IndexLink"/>
              </w:rPr>
              <w:t>404</w:t>
            </w:r>
          </w:hyperlink>
        </w:p>
        <w:p>
          <w:pPr>
            <w:pStyle w:val="Contents3"/>
            <w:tabs>
              <w:tab w:val="clear" w:pos="8459"/>
              <w:tab w:val="right" w:pos="9026" w:leader="dot"/>
            </w:tabs>
            <w:rPr/>
          </w:pPr>
          <w:hyperlink w:anchor="__RefHeading___Toc2001863_2870459653">
            <w:r>
              <w:rPr>
                <w:webHidden/>
                <w:rStyle w:val="IndexLink"/>
                <w:rtl w:val="true"/>
              </w:rPr>
              <w:t>[</w:t>
            </w:r>
            <w:r>
              <w:rPr>
                <w:rStyle w:val="IndexLink"/>
                <w:rtl w:val="true"/>
              </w:rPr>
              <w:t>تحرير محل النزاع</w:t>
            </w:r>
            <w:r>
              <w:rPr>
                <w:rStyle w:val="IndexLink"/>
                <w:rtl w:val="true"/>
              </w:rPr>
              <w:t>]</w:t>
              <w:tab/>
            </w:r>
            <w:r>
              <w:rPr>
                <w:rStyle w:val="IndexLink"/>
              </w:rPr>
              <w:t>404</w:t>
            </w:r>
          </w:hyperlink>
        </w:p>
        <w:p>
          <w:pPr>
            <w:pStyle w:val="Contents2"/>
            <w:tabs>
              <w:tab w:val="clear" w:pos="8743"/>
              <w:tab w:val="right" w:pos="9026" w:leader="dot"/>
            </w:tabs>
            <w:rPr/>
          </w:pPr>
          <w:hyperlink w:anchor="__RefHeading___Toc2001865_2870459653">
            <w:r>
              <w:rPr>
                <w:webHidden/>
                <w:rStyle w:val="IndexLink"/>
                <w:rtl w:val="true"/>
              </w:rPr>
              <w:t>[</w:t>
            </w:r>
            <w:r>
              <w:rPr>
                <w:rStyle w:val="IndexLink"/>
                <w:rtl w:val="true"/>
              </w:rPr>
              <w:t>المختار في المسألة</w:t>
            </w:r>
            <w:r>
              <w:rPr>
                <w:rStyle w:val="IndexLink"/>
                <w:rtl w:val="true"/>
              </w:rPr>
              <w:t>]</w:t>
              <w:tab/>
            </w:r>
            <w:r>
              <w:rPr>
                <w:rStyle w:val="IndexLink"/>
              </w:rPr>
              <w:t>404</w:t>
            </w:r>
          </w:hyperlink>
        </w:p>
        <w:p>
          <w:pPr>
            <w:pStyle w:val="Contents2"/>
            <w:tabs>
              <w:tab w:val="clear" w:pos="8743"/>
              <w:tab w:val="right" w:pos="9026" w:leader="dot"/>
            </w:tabs>
            <w:rPr/>
          </w:pPr>
          <w:hyperlink w:anchor="__RefHeading___Toc2001867_2870459653">
            <w:r>
              <w:rPr>
                <w:webHidden/>
                <w:rStyle w:val="IndexLink"/>
                <w:rtl w:val="true"/>
              </w:rPr>
              <w:t xml:space="preserve">أصل </w:t>
            </w:r>
            <w:r>
              <w:rPr>
                <w:rStyle w:val="IndexLink"/>
                <w:rtl w:val="true"/>
              </w:rPr>
              <w:t>[</w:t>
            </w:r>
            <w:r>
              <w:rPr>
                <w:rStyle w:val="IndexLink"/>
                <w:rtl w:val="true"/>
              </w:rPr>
              <w:t>في الاستصحاب في التوابع واللوازم</w:t>
            </w:r>
            <w:r>
              <w:rPr>
                <w:rStyle w:val="IndexLink"/>
                <w:rtl w:val="true"/>
              </w:rPr>
              <w:t>]</w:t>
              <w:tab/>
            </w:r>
            <w:r>
              <w:rPr>
                <w:rStyle w:val="IndexLink"/>
              </w:rPr>
              <w:t>406</w:t>
            </w:r>
          </w:hyperlink>
        </w:p>
        <w:p>
          <w:pPr>
            <w:pStyle w:val="Contents2"/>
            <w:tabs>
              <w:tab w:val="clear" w:pos="8743"/>
              <w:tab w:val="right" w:pos="9026" w:leader="dot"/>
            </w:tabs>
            <w:rPr/>
          </w:pPr>
          <w:hyperlink w:anchor="__RefHeading___Toc2001869_2870459653">
            <w:r>
              <w:rPr>
                <w:webHidden/>
                <w:rStyle w:val="IndexLink"/>
                <w:rtl w:val="true"/>
              </w:rPr>
              <w:t xml:space="preserve">أصل </w:t>
            </w:r>
            <w:r>
              <w:rPr>
                <w:rStyle w:val="IndexLink"/>
                <w:rtl w:val="true"/>
              </w:rPr>
              <w:t>[</w:t>
            </w:r>
            <w:r>
              <w:rPr>
                <w:rStyle w:val="IndexLink"/>
                <w:rtl w:val="true"/>
              </w:rPr>
              <w:t>في مجرى أصالة تأخر الحادث</w:t>
            </w:r>
            <w:r>
              <w:rPr>
                <w:rStyle w:val="IndexLink"/>
                <w:rtl w:val="true"/>
              </w:rPr>
              <w:t>]</w:t>
              <w:tab/>
            </w:r>
            <w:r>
              <w:rPr>
                <w:rStyle w:val="IndexLink"/>
              </w:rPr>
              <w:t>407</w:t>
            </w:r>
          </w:hyperlink>
        </w:p>
        <w:p>
          <w:pPr>
            <w:pStyle w:val="Contents3"/>
            <w:tabs>
              <w:tab w:val="clear" w:pos="8459"/>
              <w:tab w:val="right" w:pos="9026" w:leader="dot"/>
            </w:tabs>
            <w:rPr/>
          </w:pPr>
          <w:hyperlink w:anchor="__RefHeading___Toc2001871_2870459653">
            <w:r>
              <w:rPr>
                <w:webHidden/>
                <w:rStyle w:val="IndexLink"/>
                <w:rtl w:val="true"/>
              </w:rPr>
              <w:t>[</w:t>
            </w:r>
            <w:r>
              <w:rPr>
                <w:rStyle w:val="IndexLink"/>
                <w:rtl w:val="true"/>
              </w:rPr>
              <w:t>تحرير محل النزاع</w:t>
            </w:r>
            <w:r>
              <w:rPr>
                <w:rStyle w:val="IndexLink"/>
                <w:rtl w:val="true"/>
              </w:rPr>
              <w:t>]</w:t>
              <w:tab/>
            </w:r>
            <w:r>
              <w:rPr>
                <w:rStyle w:val="IndexLink"/>
              </w:rPr>
              <w:t>407</w:t>
            </w:r>
          </w:hyperlink>
        </w:p>
        <w:p>
          <w:pPr>
            <w:pStyle w:val="Contents3"/>
            <w:tabs>
              <w:tab w:val="clear" w:pos="8459"/>
              <w:tab w:val="right" w:pos="9026" w:leader="dot"/>
            </w:tabs>
            <w:rPr/>
          </w:pPr>
          <w:hyperlink w:anchor="__RefHeading___Toc2001873_2870459653">
            <w:r>
              <w:rPr>
                <w:webHidden/>
                <w:rStyle w:val="IndexLink"/>
                <w:rtl w:val="true"/>
              </w:rPr>
              <w:t>[</w:t>
            </w:r>
            <w:r>
              <w:rPr>
                <w:rStyle w:val="IndexLink"/>
                <w:rtl w:val="true"/>
              </w:rPr>
              <w:t>الحق في المسألة</w:t>
            </w:r>
            <w:r>
              <w:rPr>
                <w:rStyle w:val="IndexLink"/>
                <w:rtl w:val="true"/>
              </w:rPr>
              <w:t>]</w:t>
              <w:tab/>
            </w:r>
            <w:r>
              <w:rPr>
                <w:rStyle w:val="IndexLink"/>
              </w:rPr>
              <w:t>409</w:t>
            </w:r>
          </w:hyperlink>
        </w:p>
        <w:p>
          <w:pPr>
            <w:pStyle w:val="Contents2"/>
            <w:tabs>
              <w:tab w:val="clear" w:pos="8743"/>
              <w:tab w:val="right" w:pos="9026" w:leader="dot"/>
            </w:tabs>
            <w:rPr/>
          </w:pPr>
          <w:hyperlink w:anchor="__RefHeading___Toc2001875_2870459653">
            <w:r>
              <w:rPr>
                <w:webHidden/>
                <w:rStyle w:val="IndexLink"/>
                <w:rtl w:val="true"/>
              </w:rPr>
              <w:t xml:space="preserve">أصل </w:t>
            </w:r>
            <w:r>
              <w:rPr>
                <w:rStyle w:val="IndexLink"/>
                <w:rtl w:val="true"/>
              </w:rPr>
              <w:t>[</w:t>
            </w:r>
            <w:r>
              <w:rPr>
                <w:rStyle w:val="IndexLink"/>
                <w:rtl w:val="true"/>
              </w:rPr>
              <w:t>في جريان الاستصحاب في الأحكام الظاهرية و الواقعية كليهما</w:t>
            </w:r>
            <w:r>
              <w:rPr>
                <w:rStyle w:val="IndexLink"/>
                <w:rtl w:val="true"/>
              </w:rPr>
              <w:t>]</w:t>
              <w:tab/>
            </w:r>
            <w:r>
              <w:rPr>
                <w:rStyle w:val="IndexLink"/>
              </w:rPr>
              <w:t>409</w:t>
            </w:r>
          </w:hyperlink>
        </w:p>
        <w:p>
          <w:pPr>
            <w:pStyle w:val="Contents2"/>
            <w:tabs>
              <w:tab w:val="clear" w:pos="8743"/>
              <w:tab w:val="right" w:pos="9026" w:leader="dot"/>
            </w:tabs>
            <w:rPr/>
          </w:pPr>
          <w:hyperlink w:anchor="__RefHeading___Toc2001877_2870459653">
            <w:r>
              <w:rPr>
                <w:webHidden/>
                <w:rStyle w:val="IndexLink"/>
                <w:rtl w:val="true"/>
              </w:rPr>
              <w:t xml:space="preserve">أصل </w:t>
            </w:r>
            <w:r>
              <w:rPr>
                <w:rStyle w:val="IndexLink"/>
                <w:rtl w:val="true"/>
              </w:rPr>
              <w:t>[</w:t>
            </w:r>
            <w:r>
              <w:rPr>
                <w:rStyle w:val="IndexLink"/>
                <w:rtl w:val="true"/>
              </w:rPr>
              <w:t>في الاستصحاب في الأمور التدريجية</w:t>
            </w:r>
            <w:r>
              <w:rPr>
                <w:rStyle w:val="IndexLink"/>
                <w:rtl w:val="true"/>
              </w:rPr>
              <w:t>]</w:t>
              <w:tab/>
            </w:r>
            <w:r>
              <w:rPr>
                <w:rStyle w:val="IndexLink"/>
              </w:rPr>
              <w:t>410</w:t>
            </w:r>
          </w:hyperlink>
        </w:p>
        <w:p>
          <w:pPr>
            <w:pStyle w:val="Contents2"/>
            <w:tabs>
              <w:tab w:val="clear" w:pos="8743"/>
              <w:tab w:val="right" w:pos="9026" w:leader="dot"/>
            </w:tabs>
            <w:rPr/>
          </w:pPr>
          <w:hyperlink w:anchor="__RefHeading___Toc2001879_2870459653">
            <w:r>
              <w:rPr>
                <w:webHidden/>
                <w:rStyle w:val="IndexLink"/>
                <w:rtl w:val="true"/>
              </w:rPr>
              <w:t xml:space="preserve">أصل </w:t>
            </w:r>
            <w:r>
              <w:rPr>
                <w:rStyle w:val="IndexLink"/>
                <w:rtl w:val="true"/>
              </w:rPr>
              <w:t>[</w:t>
            </w:r>
            <w:r>
              <w:rPr>
                <w:rStyle w:val="IndexLink"/>
                <w:rtl w:val="true"/>
              </w:rPr>
              <w:t>في مجاري الاستصحاب بالنسبة إلى الدليل الدال على المستصحب</w:t>
            </w:r>
            <w:r>
              <w:rPr>
                <w:rStyle w:val="IndexLink"/>
                <w:rtl w:val="true"/>
              </w:rPr>
              <w:t>]</w:t>
              <w:tab/>
            </w:r>
            <w:r>
              <w:rPr>
                <w:rStyle w:val="IndexLink"/>
              </w:rPr>
              <w:t>410</w:t>
            </w:r>
          </w:hyperlink>
        </w:p>
        <w:p>
          <w:pPr>
            <w:pStyle w:val="Contents2"/>
            <w:tabs>
              <w:tab w:val="clear" w:pos="8743"/>
              <w:tab w:val="right" w:pos="9026" w:leader="dot"/>
            </w:tabs>
            <w:rPr/>
          </w:pPr>
          <w:hyperlink w:anchor="__RefHeading___Toc2001881_2870459653">
            <w:r>
              <w:rPr>
                <w:webHidden/>
                <w:rStyle w:val="IndexLink"/>
                <w:rtl w:val="true"/>
              </w:rPr>
              <w:t xml:space="preserve">أصل </w:t>
            </w:r>
            <w:r>
              <w:rPr>
                <w:rStyle w:val="IndexLink"/>
                <w:rtl w:val="true"/>
              </w:rPr>
              <w:t>[</w:t>
            </w:r>
            <w:r>
              <w:rPr>
                <w:rStyle w:val="IndexLink"/>
                <w:rtl w:val="true"/>
              </w:rPr>
              <w:t>في اشتراط بقاء الموضوع في الاستصحاب</w:t>
            </w:r>
            <w:r>
              <w:rPr>
                <w:rStyle w:val="IndexLink"/>
                <w:rtl w:val="true"/>
              </w:rPr>
              <w:t>]</w:t>
              <w:tab/>
            </w:r>
            <w:r>
              <w:rPr>
                <w:rStyle w:val="IndexLink"/>
              </w:rPr>
              <w:t>412</w:t>
            </w:r>
          </w:hyperlink>
        </w:p>
        <w:p>
          <w:pPr>
            <w:pStyle w:val="Contents3"/>
            <w:tabs>
              <w:tab w:val="clear" w:pos="8459"/>
              <w:tab w:val="right" w:pos="9026" w:leader="dot"/>
            </w:tabs>
            <w:rPr/>
          </w:pPr>
          <w:hyperlink w:anchor="__RefHeading___Toc2001883_2870459653">
            <w:r>
              <w:rPr>
                <w:webHidden/>
                <w:rStyle w:val="IndexLink"/>
                <w:rtl w:val="true"/>
              </w:rPr>
              <w:t>اشارة</w:t>
            </w:r>
            <w:r>
              <w:rPr>
                <w:rStyle w:val="IndexLink"/>
                <w:rtl w:val="true"/>
              </w:rPr>
              <w:tab/>
            </w:r>
            <w:r>
              <w:rPr>
                <w:rStyle w:val="IndexLink"/>
              </w:rPr>
              <w:t>412</w:t>
            </w:r>
          </w:hyperlink>
        </w:p>
        <w:p>
          <w:pPr>
            <w:pStyle w:val="Contents3"/>
            <w:tabs>
              <w:tab w:val="clear" w:pos="8459"/>
              <w:tab w:val="right" w:pos="9026" w:leader="dot"/>
            </w:tabs>
            <w:rPr/>
          </w:pPr>
          <w:hyperlink w:anchor="__RefHeading___Toc2001885_2870459653">
            <w:r>
              <w:rPr>
                <w:webHidden/>
                <w:rStyle w:val="IndexLink"/>
                <w:rtl w:val="true"/>
              </w:rPr>
              <w:t>[</w:t>
            </w:r>
            <w:r>
              <w:rPr>
                <w:rStyle w:val="IndexLink"/>
                <w:rtl w:val="true"/>
              </w:rPr>
              <w:t>في بيان بعض من الاصطلاحات المرتبطة بالمقام</w:t>
            </w:r>
            <w:r>
              <w:rPr>
                <w:rStyle w:val="IndexLink"/>
                <w:rtl w:val="true"/>
              </w:rPr>
              <w:t>]</w:t>
              <w:tab/>
            </w:r>
            <w:r>
              <w:rPr>
                <w:rStyle w:val="IndexLink"/>
              </w:rPr>
              <w:t>412</w:t>
            </w:r>
          </w:hyperlink>
        </w:p>
        <w:p>
          <w:pPr>
            <w:pStyle w:val="Contents2"/>
            <w:tabs>
              <w:tab w:val="clear" w:pos="8743"/>
              <w:tab w:val="right" w:pos="9026" w:leader="dot"/>
            </w:tabs>
            <w:rPr/>
          </w:pPr>
          <w:hyperlink w:anchor="__RefHeading___Toc2001887_2870459653">
            <w:r>
              <w:rPr>
                <w:webHidden/>
                <w:rStyle w:val="IndexLink"/>
                <w:rtl w:val="true"/>
              </w:rPr>
              <w:t xml:space="preserve">أصل </w:t>
            </w:r>
            <w:r>
              <w:rPr>
                <w:rStyle w:val="IndexLink"/>
                <w:rtl w:val="true"/>
              </w:rPr>
              <w:t>[</w:t>
            </w:r>
            <w:r>
              <w:rPr>
                <w:rStyle w:val="IndexLink"/>
                <w:rtl w:val="true"/>
              </w:rPr>
              <w:t>في تعارض الاستصحابين</w:t>
            </w:r>
            <w:r>
              <w:rPr>
                <w:rStyle w:val="IndexLink"/>
                <w:rtl w:val="true"/>
              </w:rPr>
              <w:t>]</w:t>
              <w:tab/>
            </w:r>
            <w:r>
              <w:rPr>
                <w:rStyle w:val="IndexLink"/>
              </w:rPr>
              <w:t>416</w:t>
            </w:r>
          </w:hyperlink>
        </w:p>
        <w:p>
          <w:pPr>
            <w:pStyle w:val="Contents2"/>
            <w:tabs>
              <w:tab w:val="clear" w:pos="8743"/>
              <w:tab w:val="right" w:pos="9026" w:leader="dot"/>
            </w:tabs>
            <w:rPr/>
          </w:pPr>
          <w:hyperlink w:anchor="__RefHeading___Toc2001889_2870459653">
            <w:r>
              <w:rPr>
                <w:webHidden/>
                <w:rStyle w:val="IndexLink"/>
                <w:rtl w:val="true"/>
              </w:rPr>
              <w:t xml:space="preserve">أصل </w:t>
            </w:r>
            <w:r>
              <w:rPr>
                <w:rStyle w:val="IndexLink"/>
                <w:rtl w:val="true"/>
              </w:rPr>
              <w:t>[</w:t>
            </w:r>
            <w:r>
              <w:rPr>
                <w:rStyle w:val="IndexLink"/>
                <w:rtl w:val="true"/>
              </w:rPr>
              <w:t>في لزوم الفحص قبل العمل بالاستصحاب</w:t>
            </w:r>
            <w:r>
              <w:rPr>
                <w:rStyle w:val="IndexLink"/>
                <w:rtl w:val="true"/>
              </w:rPr>
              <w:t>]</w:t>
              <w:tab/>
            </w:r>
            <w:r>
              <w:rPr>
                <w:rStyle w:val="IndexLink"/>
              </w:rPr>
              <w:t>420</w:t>
            </w:r>
          </w:hyperlink>
        </w:p>
        <w:p>
          <w:pPr>
            <w:pStyle w:val="Contents2"/>
            <w:tabs>
              <w:tab w:val="clear" w:pos="8743"/>
              <w:tab w:val="right" w:pos="9026" w:leader="dot"/>
            </w:tabs>
            <w:rPr/>
          </w:pPr>
          <w:hyperlink w:anchor="__RefHeading___Toc2001891_2870459653">
            <w:r>
              <w:rPr>
                <w:webHidden/>
                <w:rStyle w:val="IndexLink"/>
                <w:rtl w:val="true"/>
              </w:rPr>
              <w:t xml:space="preserve">أصل </w:t>
            </w:r>
            <w:r>
              <w:rPr>
                <w:rStyle w:val="IndexLink"/>
                <w:rtl w:val="true"/>
              </w:rPr>
              <w:t>[</w:t>
            </w:r>
            <w:r>
              <w:rPr>
                <w:rStyle w:val="IndexLink"/>
                <w:rtl w:val="true"/>
              </w:rPr>
              <w:t>في استصحاب الشرائع السابقة</w:t>
            </w:r>
            <w:r>
              <w:rPr>
                <w:rStyle w:val="IndexLink"/>
                <w:rtl w:val="true"/>
              </w:rPr>
              <w:t>]</w:t>
              <w:tab/>
            </w:r>
            <w:r>
              <w:rPr>
                <w:rStyle w:val="IndexLink"/>
              </w:rPr>
              <w:t>421</w:t>
            </w:r>
          </w:hyperlink>
        </w:p>
        <w:p>
          <w:pPr>
            <w:pStyle w:val="Contents2"/>
            <w:tabs>
              <w:tab w:val="clear" w:pos="8743"/>
              <w:tab w:val="right" w:pos="9026" w:leader="dot"/>
            </w:tabs>
            <w:rPr/>
          </w:pPr>
          <w:hyperlink w:anchor="__RefHeading___Toc2001893_2870459653">
            <w:r>
              <w:rPr>
                <w:webHidden/>
                <w:rStyle w:val="IndexLink"/>
                <w:rtl w:val="true"/>
              </w:rPr>
              <w:t xml:space="preserve">أصل </w:t>
            </w:r>
            <w:r>
              <w:rPr>
                <w:rStyle w:val="IndexLink"/>
                <w:rtl w:val="true"/>
              </w:rPr>
              <w:t>[</w:t>
            </w:r>
            <w:r>
              <w:rPr>
                <w:rStyle w:val="IndexLink"/>
                <w:rtl w:val="true"/>
              </w:rPr>
              <w:t>في الاجتهاد والتقليد</w:t>
            </w:r>
            <w:r>
              <w:rPr>
                <w:rStyle w:val="IndexLink"/>
                <w:rtl w:val="true"/>
              </w:rPr>
              <w:t>]</w:t>
              <w:tab/>
            </w:r>
            <w:r>
              <w:rPr>
                <w:rStyle w:val="IndexLink"/>
              </w:rPr>
              <w:t>422</w:t>
            </w:r>
          </w:hyperlink>
        </w:p>
        <w:p>
          <w:pPr>
            <w:pStyle w:val="Contents2"/>
            <w:tabs>
              <w:tab w:val="clear" w:pos="8743"/>
              <w:tab w:val="right" w:pos="9026" w:leader="dot"/>
            </w:tabs>
            <w:rPr/>
          </w:pPr>
          <w:hyperlink w:anchor="__RefHeading___Toc2001895_2870459653">
            <w:r>
              <w:rPr>
                <w:webHidden/>
                <w:rStyle w:val="IndexLink"/>
                <w:rtl w:val="true"/>
              </w:rPr>
              <w:t xml:space="preserve">أصل </w:t>
            </w:r>
            <w:r>
              <w:rPr>
                <w:rStyle w:val="IndexLink"/>
                <w:rtl w:val="true"/>
              </w:rPr>
              <w:t>[</w:t>
            </w:r>
            <w:r>
              <w:rPr>
                <w:rStyle w:val="IndexLink"/>
                <w:rtl w:val="true"/>
              </w:rPr>
              <w:t>في التجزي في الاجتهاد</w:t>
            </w:r>
            <w:r>
              <w:rPr>
                <w:rStyle w:val="IndexLink"/>
                <w:rtl w:val="true"/>
              </w:rPr>
              <w:t>]</w:t>
              <w:tab/>
            </w:r>
            <w:r>
              <w:rPr>
                <w:rStyle w:val="IndexLink"/>
              </w:rPr>
              <w:t>424</w:t>
            </w:r>
          </w:hyperlink>
        </w:p>
        <w:p>
          <w:pPr>
            <w:pStyle w:val="Contents3"/>
            <w:tabs>
              <w:tab w:val="clear" w:pos="8459"/>
              <w:tab w:val="right" w:pos="9026" w:leader="dot"/>
            </w:tabs>
            <w:rPr/>
          </w:pPr>
          <w:hyperlink w:anchor="__RefHeading___Toc2001897_2870459653">
            <w:r>
              <w:rPr>
                <w:webHidden/>
                <w:rStyle w:val="IndexLink"/>
                <w:rtl w:val="true"/>
              </w:rPr>
              <w:t>اشارة</w:t>
            </w:r>
            <w:r>
              <w:rPr>
                <w:rStyle w:val="IndexLink"/>
                <w:rtl w:val="true"/>
              </w:rPr>
              <w:tab/>
            </w:r>
            <w:r>
              <w:rPr>
                <w:rStyle w:val="IndexLink"/>
              </w:rPr>
              <w:t>424</w:t>
            </w:r>
          </w:hyperlink>
        </w:p>
        <w:p>
          <w:pPr>
            <w:pStyle w:val="Contents3"/>
            <w:tabs>
              <w:tab w:val="clear" w:pos="8459"/>
              <w:tab w:val="right" w:pos="9026" w:leader="dot"/>
            </w:tabs>
            <w:rPr/>
          </w:pPr>
          <w:hyperlink w:anchor="__RefHeading___Toc2001899_2870459653">
            <w:r>
              <w:rPr>
                <w:webHidden/>
                <w:rStyle w:val="IndexLink"/>
                <w:rtl w:val="true"/>
              </w:rPr>
              <w:t>[</w:t>
            </w:r>
            <w:r>
              <w:rPr>
                <w:rStyle w:val="IndexLink"/>
                <w:rtl w:val="true"/>
              </w:rPr>
              <w:t>المختار في المسألة</w:t>
            </w:r>
            <w:r>
              <w:rPr>
                <w:rStyle w:val="IndexLink"/>
                <w:rtl w:val="true"/>
              </w:rPr>
              <w:t>]</w:t>
              <w:tab/>
            </w:r>
            <w:r>
              <w:rPr>
                <w:rStyle w:val="IndexLink"/>
              </w:rPr>
              <w:t>424</w:t>
            </w:r>
          </w:hyperlink>
        </w:p>
        <w:p>
          <w:pPr>
            <w:pStyle w:val="Contents2"/>
            <w:tabs>
              <w:tab w:val="clear" w:pos="8743"/>
              <w:tab w:val="right" w:pos="9026" w:leader="dot"/>
            </w:tabs>
            <w:rPr/>
          </w:pPr>
          <w:hyperlink w:anchor="__RefHeading___Toc2001901_2870459653">
            <w:r>
              <w:rPr>
                <w:webHidden/>
                <w:rStyle w:val="IndexLink"/>
                <w:rtl w:val="true"/>
              </w:rPr>
              <w:t xml:space="preserve">أصل </w:t>
            </w:r>
            <w:r>
              <w:rPr>
                <w:rStyle w:val="IndexLink"/>
                <w:rtl w:val="true"/>
              </w:rPr>
              <w:t>[</w:t>
            </w:r>
            <w:r>
              <w:rPr>
                <w:rStyle w:val="IndexLink"/>
                <w:rtl w:val="true"/>
              </w:rPr>
              <w:t>في شرائط الاجتهاد المطلق</w:t>
            </w:r>
            <w:r>
              <w:rPr>
                <w:rStyle w:val="IndexLink"/>
                <w:rtl w:val="true"/>
              </w:rPr>
              <w:t>]</w:t>
              <w:tab/>
            </w:r>
            <w:r>
              <w:rPr>
                <w:rStyle w:val="IndexLink"/>
              </w:rPr>
              <w:t>426</w:t>
            </w:r>
          </w:hyperlink>
        </w:p>
        <w:p>
          <w:pPr>
            <w:pStyle w:val="Contents2"/>
            <w:tabs>
              <w:tab w:val="clear" w:pos="8743"/>
              <w:tab w:val="right" w:pos="9026" w:leader="dot"/>
            </w:tabs>
            <w:rPr/>
          </w:pPr>
          <w:hyperlink w:anchor="__RefHeading___Toc2001903_2870459653">
            <w:r>
              <w:rPr>
                <w:webHidden/>
                <w:rStyle w:val="IndexLink"/>
                <w:rtl w:val="true"/>
              </w:rPr>
              <w:t xml:space="preserve">أصل </w:t>
            </w:r>
            <w:r>
              <w:rPr>
                <w:rStyle w:val="IndexLink"/>
                <w:rtl w:val="true"/>
              </w:rPr>
              <w:t>[</w:t>
            </w:r>
            <w:r>
              <w:rPr>
                <w:rStyle w:val="IndexLink"/>
                <w:rtl w:val="true"/>
              </w:rPr>
              <w:t>في حكم الجاهل بالعبادة</w:t>
            </w:r>
            <w:r>
              <w:rPr>
                <w:rStyle w:val="IndexLink"/>
                <w:rtl w:val="true"/>
              </w:rPr>
              <w:t>]</w:t>
              <w:tab/>
            </w:r>
            <w:r>
              <w:rPr>
                <w:rStyle w:val="IndexLink"/>
              </w:rPr>
              <w:t>430</w:t>
            </w:r>
          </w:hyperlink>
        </w:p>
        <w:p>
          <w:pPr>
            <w:pStyle w:val="Contents2"/>
            <w:tabs>
              <w:tab w:val="clear" w:pos="8743"/>
              <w:tab w:val="right" w:pos="9026" w:leader="dot"/>
            </w:tabs>
            <w:rPr/>
          </w:pPr>
          <w:hyperlink w:anchor="__RefHeading___Toc2001905_2870459653">
            <w:r>
              <w:rPr>
                <w:webHidden/>
                <w:rStyle w:val="IndexLink"/>
                <w:rtl w:val="true"/>
              </w:rPr>
              <w:t>[</w:t>
            </w:r>
            <w:r>
              <w:rPr>
                <w:rStyle w:val="IndexLink"/>
                <w:rtl w:val="true"/>
              </w:rPr>
              <w:t>تحرير محل النزاع</w:t>
            </w:r>
            <w:r>
              <w:rPr>
                <w:rStyle w:val="IndexLink"/>
                <w:rtl w:val="true"/>
              </w:rPr>
              <w:t>]</w:t>
              <w:tab/>
            </w:r>
            <w:r>
              <w:rPr>
                <w:rStyle w:val="IndexLink"/>
              </w:rPr>
              <w:t>430</w:t>
            </w:r>
          </w:hyperlink>
        </w:p>
        <w:p>
          <w:pPr>
            <w:pStyle w:val="Contents2"/>
            <w:tabs>
              <w:tab w:val="clear" w:pos="8743"/>
              <w:tab w:val="right" w:pos="9026" w:leader="dot"/>
            </w:tabs>
            <w:rPr/>
          </w:pPr>
          <w:hyperlink w:anchor="__RefHeading___Toc2001907_2870459653">
            <w:r>
              <w:rPr>
                <w:webHidden/>
                <w:rStyle w:val="IndexLink"/>
                <w:rtl w:val="true"/>
              </w:rPr>
              <w:t xml:space="preserve">أصل </w:t>
            </w:r>
            <w:r>
              <w:rPr>
                <w:rStyle w:val="IndexLink"/>
                <w:rtl w:val="true"/>
              </w:rPr>
              <w:t>[</w:t>
            </w:r>
            <w:r>
              <w:rPr>
                <w:rStyle w:val="IndexLink"/>
                <w:rtl w:val="true"/>
              </w:rPr>
              <w:t>في التخطئة والتصويب</w:t>
            </w:r>
            <w:r>
              <w:rPr>
                <w:rStyle w:val="IndexLink"/>
                <w:rtl w:val="true"/>
              </w:rPr>
              <w:t>]</w:t>
              <w:tab/>
            </w:r>
            <w:r>
              <w:rPr>
                <w:rStyle w:val="IndexLink"/>
              </w:rPr>
              <w:t>432</w:t>
            </w:r>
          </w:hyperlink>
        </w:p>
        <w:p>
          <w:pPr>
            <w:pStyle w:val="Contents3"/>
            <w:tabs>
              <w:tab w:val="clear" w:pos="8459"/>
              <w:tab w:val="right" w:pos="9026" w:leader="dot"/>
            </w:tabs>
            <w:rPr/>
          </w:pPr>
          <w:hyperlink w:anchor="__RefHeading___Toc2001909_2870459653">
            <w:r>
              <w:rPr>
                <w:webHidden/>
                <w:rStyle w:val="IndexLink"/>
                <w:rtl w:val="true"/>
              </w:rPr>
              <w:t>اشارة</w:t>
            </w:r>
            <w:r>
              <w:rPr>
                <w:rStyle w:val="IndexLink"/>
                <w:rtl w:val="true"/>
              </w:rPr>
              <w:tab/>
            </w:r>
            <w:r>
              <w:rPr>
                <w:rStyle w:val="IndexLink"/>
              </w:rPr>
              <w:t>432</w:t>
            </w:r>
          </w:hyperlink>
        </w:p>
        <w:p>
          <w:pPr>
            <w:pStyle w:val="Contents3"/>
            <w:tabs>
              <w:tab w:val="clear" w:pos="8459"/>
              <w:tab w:val="right" w:pos="9026" w:leader="dot"/>
            </w:tabs>
            <w:rPr/>
          </w:pPr>
          <w:hyperlink w:anchor="__RefHeading___Toc2001911_2870459653">
            <w:r>
              <w:rPr>
                <w:webHidden/>
                <w:rStyle w:val="IndexLink"/>
                <w:rtl w:val="true"/>
              </w:rPr>
              <w:t>[</w:t>
            </w:r>
            <w:r>
              <w:rPr>
                <w:rStyle w:val="IndexLink"/>
                <w:rtl w:val="true"/>
              </w:rPr>
              <w:t>تحرير محل النزاع</w:t>
            </w:r>
            <w:r>
              <w:rPr>
                <w:rStyle w:val="IndexLink"/>
                <w:rtl w:val="true"/>
              </w:rPr>
              <w:t>]</w:t>
              <w:tab/>
            </w:r>
            <w:r>
              <w:rPr>
                <w:rStyle w:val="IndexLink"/>
              </w:rPr>
              <w:t>434</w:t>
            </w:r>
          </w:hyperlink>
        </w:p>
        <w:p>
          <w:pPr>
            <w:pStyle w:val="Contents3"/>
            <w:tabs>
              <w:tab w:val="clear" w:pos="8459"/>
              <w:tab w:val="right" w:pos="9026" w:leader="dot"/>
            </w:tabs>
            <w:rPr/>
          </w:pPr>
          <w:hyperlink w:anchor="__RefHeading___Toc2001913_2870459653">
            <w:r>
              <w:rPr>
                <w:webHidden/>
                <w:rStyle w:val="IndexLink"/>
                <w:rtl w:val="true"/>
              </w:rPr>
              <w:t>[</w:t>
            </w:r>
            <w:r>
              <w:rPr>
                <w:rStyle w:val="IndexLink"/>
                <w:rtl w:val="true"/>
              </w:rPr>
              <w:t>المختار في المسألة</w:t>
            </w:r>
            <w:r>
              <w:rPr>
                <w:rStyle w:val="IndexLink"/>
                <w:rtl w:val="true"/>
              </w:rPr>
              <w:t>]</w:t>
              <w:tab/>
            </w:r>
            <w:r>
              <w:rPr>
                <w:rStyle w:val="IndexLink"/>
              </w:rPr>
              <w:t>435</w:t>
            </w:r>
          </w:hyperlink>
        </w:p>
        <w:p>
          <w:pPr>
            <w:pStyle w:val="Contents3"/>
            <w:tabs>
              <w:tab w:val="clear" w:pos="8459"/>
              <w:tab w:val="right" w:pos="9026" w:leader="dot"/>
            </w:tabs>
            <w:rPr/>
          </w:pPr>
          <w:hyperlink w:anchor="__RefHeading___Toc2001915_2870459653">
            <w:r>
              <w:rPr>
                <w:webHidden/>
                <w:rStyle w:val="IndexLink"/>
                <w:rtl w:val="true"/>
              </w:rPr>
              <w:t>[</w:t>
            </w:r>
            <w:r>
              <w:rPr>
                <w:rStyle w:val="IndexLink"/>
                <w:rtl w:val="true"/>
              </w:rPr>
              <w:t>ثمرة المسألة</w:t>
            </w:r>
            <w:r>
              <w:rPr>
                <w:rStyle w:val="IndexLink"/>
                <w:rtl w:val="true"/>
              </w:rPr>
              <w:t>]</w:t>
              <w:tab/>
            </w:r>
            <w:r>
              <w:rPr>
                <w:rStyle w:val="IndexLink"/>
              </w:rPr>
              <w:t>437</w:t>
            </w:r>
          </w:hyperlink>
        </w:p>
        <w:p>
          <w:pPr>
            <w:pStyle w:val="Contents2"/>
            <w:tabs>
              <w:tab w:val="clear" w:pos="8743"/>
              <w:tab w:val="right" w:pos="9026" w:leader="dot"/>
            </w:tabs>
            <w:rPr/>
          </w:pPr>
          <w:hyperlink w:anchor="__RefHeading___Toc2001917_2870459653">
            <w:r>
              <w:rPr>
                <w:webHidden/>
                <w:rStyle w:val="IndexLink"/>
                <w:rtl w:val="true"/>
              </w:rPr>
              <w:t xml:space="preserve">أصل </w:t>
            </w:r>
            <w:r>
              <w:rPr>
                <w:rStyle w:val="IndexLink"/>
                <w:rtl w:val="true"/>
              </w:rPr>
              <w:t>[</w:t>
            </w:r>
            <w:r>
              <w:rPr>
                <w:rStyle w:val="IndexLink"/>
                <w:rtl w:val="true"/>
              </w:rPr>
              <w:t>في رجوع المقلد برجوع مجتهده</w:t>
            </w:r>
            <w:r>
              <w:rPr>
                <w:rStyle w:val="IndexLink"/>
                <w:rtl w:val="true"/>
              </w:rPr>
              <w:t>]</w:t>
              <w:tab/>
            </w:r>
            <w:r>
              <w:rPr>
                <w:rStyle w:val="IndexLink"/>
              </w:rPr>
              <w:t>438</w:t>
            </w:r>
          </w:hyperlink>
        </w:p>
        <w:p>
          <w:pPr>
            <w:pStyle w:val="Contents2"/>
            <w:tabs>
              <w:tab w:val="clear" w:pos="8743"/>
              <w:tab w:val="right" w:pos="9026" w:leader="dot"/>
            </w:tabs>
            <w:rPr/>
          </w:pPr>
          <w:hyperlink w:anchor="__RefHeading___Toc2001919_2870459653">
            <w:r>
              <w:rPr>
                <w:webHidden/>
                <w:rStyle w:val="IndexLink"/>
                <w:rtl w:val="true"/>
              </w:rPr>
              <w:t xml:space="preserve">أصل </w:t>
            </w:r>
            <w:r>
              <w:rPr>
                <w:rStyle w:val="IndexLink"/>
                <w:rtl w:val="true"/>
              </w:rPr>
              <w:t>[</w:t>
            </w:r>
            <w:r>
              <w:rPr>
                <w:rStyle w:val="IndexLink"/>
                <w:rtl w:val="true"/>
              </w:rPr>
              <w:t>في بيان معنى الحكم والفتوى</w:t>
            </w:r>
            <w:r>
              <w:rPr>
                <w:rStyle w:val="IndexLink"/>
                <w:rtl w:val="true"/>
              </w:rPr>
              <w:t>]</w:t>
              <w:tab/>
            </w:r>
            <w:r>
              <w:rPr>
                <w:rStyle w:val="IndexLink"/>
              </w:rPr>
              <w:t>439</w:t>
            </w:r>
          </w:hyperlink>
        </w:p>
        <w:p>
          <w:pPr>
            <w:pStyle w:val="Contents3"/>
            <w:tabs>
              <w:tab w:val="clear" w:pos="8459"/>
              <w:tab w:val="right" w:pos="9026" w:leader="dot"/>
            </w:tabs>
            <w:rPr/>
          </w:pPr>
          <w:hyperlink w:anchor="__RefHeading___Toc2001921_2870459653">
            <w:r>
              <w:rPr>
                <w:webHidden/>
                <w:rStyle w:val="IndexLink"/>
                <w:rtl w:val="true"/>
              </w:rPr>
              <w:t>اشارة</w:t>
            </w:r>
            <w:r>
              <w:rPr>
                <w:rStyle w:val="IndexLink"/>
                <w:rtl w:val="true"/>
              </w:rPr>
              <w:tab/>
            </w:r>
            <w:r>
              <w:rPr>
                <w:rStyle w:val="IndexLink"/>
              </w:rPr>
              <w:t>439</w:t>
            </w:r>
          </w:hyperlink>
        </w:p>
        <w:p>
          <w:pPr>
            <w:pStyle w:val="Contents3"/>
            <w:tabs>
              <w:tab w:val="clear" w:pos="8459"/>
              <w:tab w:val="right" w:pos="9026" w:leader="dot"/>
            </w:tabs>
            <w:rPr/>
          </w:pPr>
          <w:hyperlink w:anchor="__RefHeading___Toc2001923_2870459653">
            <w:r>
              <w:rPr>
                <w:webHidden/>
                <w:rStyle w:val="IndexLink"/>
                <w:rtl w:val="true"/>
              </w:rPr>
              <w:t>[</w:t>
            </w:r>
            <w:r>
              <w:rPr>
                <w:rStyle w:val="IndexLink"/>
                <w:rtl w:val="true"/>
              </w:rPr>
              <w:t>ثمرة المسألة</w:t>
            </w:r>
            <w:r>
              <w:rPr>
                <w:rStyle w:val="IndexLink"/>
                <w:rtl w:val="true"/>
              </w:rPr>
              <w:t>]</w:t>
              <w:tab/>
            </w:r>
            <w:r>
              <w:rPr>
                <w:rStyle w:val="IndexLink"/>
              </w:rPr>
              <w:t>440</w:t>
            </w:r>
          </w:hyperlink>
        </w:p>
        <w:p>
          <w:pPr>
            <w:pStyle w:val="Contents3"/>
            <w:tabs>
              <w:tab w:val="clear" w:pos="8459"/>
              <w:tab w:val="right" w:pos="9026" w:leader="dot"/>
            </w:tabs>
            <w:rPr/>
          </w:pPr>
          <w:hyperlink w:anchor="__RefHeading___Toc2001925_2870459653">
            <w:r>
              <w:rPr>
                <w:webHidden/>
                <w:rStyle w:val="IndexLink"/>
                <w:rtl w:val="true"/>
              </w:rPr>
              <w:t>[</w:t>
            </w:r>
            <w:r>
              <w:rPr>
                <w:rStyle w:val="IndexLink"/>
                <w:rtl w:val="true"/>
              </w:rPr>
              <w:t>تأسيس الأصل</w:t>
            </w:r>
            <w:r>
              <w:rPr>
                <w:rStyle w:val="IndexLink"/>
                <w:rtl w:val="true"/>
              </w:rPr>
              <w:t>]</w:t>
              <w:tab/>
            </w:r>
            <w:r>
              <w:rPr>
                <w:rStyle w:val="IndexLink"/>
              </w:rPr>
              <w:t>440</w:t>
            </w:r>
          </w:hyperlink>
        </w:p>
        <w:p>
          <w:pPr>
            <w:pStyle w:val="Contents2"/>
            <w:tabs>
              <w:tab w:val="clear" w:pos="8743"/>
              <w:tab w:val="right" w:pos="9026" w:leader="dot"/>
            </w:tabs>
            <w:rPr/>
          </w:pPr>
          <w:hyperlink w:anchor="__RefHeading___Toc2001927_2870459653">
            <w:r>
              <w:rPr>
                <w:webHidden/>
                <w:rStyle w:val="IndexLink"/>
                <w:rtl w:val="true"/>
              </w:rPr>
              <w:t xml:space="preserve">أصل </w:t>
            </w:r>
            <w:r>
              <w:rPr>
                <w:rStyle w:val="IndexLink"/>
                <w:rtl w:val="true"/>
              </w:rPr>
              <w:t>[</w:t>
            </w:r>
            <w:r>
              <w:rPr>
                <w:rStyle w:val="IndexLink"/>
                <w:rtl w:val="true"/>
              </w:rPr>
              <w:t>في نقض حكم الحاكم</w:t>
            </w:r>
            <w:r>
              <w:rPr>
                <w:rStyle w:val="IndexLink"/>
                <w:rtl w:val="true"/>
              </w:rPr>
              <w:t>]</w:t>
              <w:tab/>
            </w:r>
            <w:r>
              <w:rPr>
                <w:rStyle w:val="IndexLink"/>
              </w:rPr>
              <w:t>441</w:t>
            </w:r>
          </w:hyperlink>
        </w:p>
        <w:p>
          <w:pPr>
            <w:pStyle w:val="Contents2"/>
            <w:tabs>
              <w:tab w:val="clear" w:pos="8743"/>
              <w:tab w:val="right" w:pos="9026" w:leader="dot"/>
            </w:tabs>
            <w:rPr/>
          </w:pPr>
          <w:hyperlink w:anchor="__RefHeading___Toc2001929_2870459653">
            <w:r>
              <w:rPr>
                <w:webHidden/>
                <w:rStyle w:val="IndexLink"/>
                <w:rtl w:val="true"/>
              </w:rPr>
              <w:t xml:space="preserve">أصل </w:t>
            </w:r>
            <w:r>
              <w:rPr>
                <w:rStyle w:val="IndexLink"/>
                <w:rtl w:val="true"/>
              </w:rPr>
              <w:t>[</w:t>
            </w:r>
            <w:r>
              <w:rPr>
                <w:rStyle w:val="IndexLink"/>
                <w:rtl w:val="true"/>
              </w:rPr>
              <w:t>في حال الأعمال الصادرة قبل تجدّد الرأي</w:t>
            </w:r>
            <w:r>
              <w:rPr>
                <w:rStyle w:val="IndexLink"/>
                <w:rtl w:val="true"/>
              </w:rPr>
              <w:t>]</w:t>
              <w:tab/>
            </w:r>
            <w:r>
              <w:rPr>
                <w:rStyle w:val="IndexLink"/>
              </w:rPr>
              <w:t>442</w:t>
            </w:r>
          </w:hyperlink>
        </w:p>
        <w:p>
          <w:pPr>
            <w:pStyle w:val="Contents2"/>
            <w:tabs>
              <w:tab w:val="clear" w:pos="8743"/>
              <w:tab w:val="right" w:pos="9026" w:leader="dot"/>
            </w:tabs>
            <w:rPr/>
          </w:pPr>
          <w:hyperlink w:anchor="__RefHeading___Toc2001931_2870459653">
            <w:r>
              <w:rPr>
                <w:webHidden/>
                <w:rStyle w:val="IndexLink"/>
                <w:rtl w:val="true"/>
              </w:rPr>
              <w:t xml:space="preserve">أصل </w:t>
            </w:r>
            <w:r>
              <w:rPr>
                <w:rStyle w:val="IndexLink"/>
                <w:rtl w:val="true"/>
              </w:rPr>
              <w:t>[</w:t>
            </w:r>
            <w:r>
              <w:rPr>
                <w:rStyle w:val="IndexLink"/>
                <w:rtl w:val="true"/>
              </w:rPr>
              <w:t>في التقليد</w:t>
            </w:r>
            <w:r>
              <w:rPr>
                <w:rStyle w:val="IndexLink"/>
                <w:rtl w:val="true"/>
              </w:rPr>
              <w:t>]</w:t>
              <w:tab/>
            </w:r>
            <w:r>
              <w:rPr>
                <w:rStyle w:val="IndexLink"/>
              </w:rPr>
              <w:t>444</w:t>
            </w:r>
          </w:hyperlink>
        </w:p>
        <w:p>
          <w:pPr>
            <w:pStyle w:val="Contents2"/>
            <w:tabs>
              <w:tab w:val="clear" w:pos="8743"/>
              <w:tab w:val="right" w:pos="9026" w:leader="dot"/>
            </w:tabs>
            <w:rPr/>
          </w:pPr>
          <w:hyperlink w:anchor="__RefHeading___Toc2001933_2870459653">
            <w:r>
              <w:rPr>
                <w:webHidden/>
                <w:rStyle w:val="IndexLink"/>
                <w:rtl w:val="true"/>
              </w:rPr>
              <w:t xml:space="preserve">أصل </w:t>
            </w:r>
            <w:r>
              <w:rPr>
                <w:rStyle w:val="IndexLink"/>
                <w:rtl w:val="true"/>
              </w:rPr>
              <w:t>[</w:t>
            </w:r>
            <w:r>
              <w:rPr>
                <w:rStyle w:val="IndexLink"/>
                <w:rtl w:val="true"/>
              </w:rPr>
              <w:t>في التقليد في أصول الدين</w:t>
            </w:r>
            <w:r>
              <w:rPr>
                <w:rStyle w:val="IndexLink"/>
                <w:rtl w:val="true"/>
              </w:rPr>
              <w:t>]</w:t>
              <w:tab/>
            </w:r>
            <w:r>
              <w:rPr>
                <w:rStyle w:val="IndexLink"/>
              </w:rPr>
              <w:t>445</w:t>
            </w:r>
          </w:hyperlink>
        </w:p>
        <w:p>
          <w:pPr>
            <w:pStyle w:val="Contents2"/>
            <w:tabs>
              <w:tab w:val="clear" w:pos="8743"/>
              <w:tab w:val="right" w:pos="9026" w:leader="dot"/>
            </w:tabs>
            <w:rPr/>
          </w:pPr>
          <w:hyperlink w:anchor="__RefHeading___Toc2001935_2870459653">
            <w:r>
              <w:rPr>
                <w:webHidden/>
                <w:rStyle w:val="IndexLink"/>
                <w:rtl w:val="true"/>
              </w:rPr>
              <w:t xml:space="preserve">أصل </w:t>
            </w:r>
            <w:r>
              <w:rPr>
                <w:rStyle w:val="IndexLink"/>
                <w:rtl w:val="true"/>
              </w:rPr>
              <w:t>[</w:t>
            </w:r>
            <w:r>
              <w:rPr>
                <w:rStyle w:val="IndexLink"/>
                <w:rtl w:val="true"/>
              </w:rPr>
              <w:t>في تقليد من بلغ رتبة الاجتهاد</w:t>
            </w:r>
            <w:r>
              <w:rPr>
                <w:rStyle w:val="IndexLink"/>
                <w:rtl w:val="true"/>
              </w:rPr>
              <w:t>]</w:t>
              <w:tab/>
            </w:r>
            <w:r>
              <w:rPr>
                <w:rStyle w:val="IndexLink"/>
              </w:rPr>
              <w:t>447</w:t>
            </w:r>
          </w:hyperlink>
        </w:p>
        <w:p>
          <w:pPr>
            <w:pStyle w:val="Contents2"/>
            <w:tabs>
              <w:tab w:val="clear" w:pos="8743"/>
              <w:tab w:val="right" w:pos="9026" w:leader="dot"/>
            </w:tabs>
            <w:rPr/>
          </w:pPr>
          <w:hyperlink w:anchor="__RefHeading___Toc2001937_2870459653">
            <w:r>
              <w:rPr>
                <w:webHidden/>
                <w:rStyle w:val="IndexLink"/>
                <w:rtl w:val="true"/>
              </w:rPr>
              <w:t xml:space="preserve">أصل </w:t>
            </w:r>
            <w:r>
              <w:rPr>
                <w:rStyle w:val="IndexLink"/>
                <w:rtl w:val="true"/>
              </w:rPr>
              <w:t>[</w:t>
            </w:r>
            <w:r>
              <w:rPr>
                <w:rStyle w:val="IndexLink"/>
                <w:rtl w:val="true"/>
              </w:rPr>
              <w:t>في جواز عمل المقلد من دون الاستناد إلى واحد بخصوصه إن كان هناك مجتهدان متوافقان</w:t>
            </w:r>
            <w:r>
              <w:rPr>
                <w:rStyle w:val="IndexLink"/>
                <w:rtl w:val="true"/>
              </w:rPr>
              <w:t>]</w:t>
              <w:tab/>
            </w:r>
            <w:r>
              <w:rPr>
                <w:rStyle w:val="IndexLink"/>
              </w:rPr>
              <w:t>449</w:t>
            </w:r>
          </w:hyperlink>
        </w:p>
        <w:p>
          <w:pPr>
            <w:pStyle w:val="Contents2"/>
            <w:tabs>
              <w:tab w:val="clear" w:pos="8743"/>
              <w:tab w:val="right" w:pos="9026" w:leader="dot"/>
            </w:tabs>
            <w:rPr/>
          </w:pPr>
          <w:hyperlink w:anchor="__RefHeading___Toc2001939_2870459653">
            <w:r>
              <w:rPr>
                <w:webHidden/>
                <w:rStyle w:val="IndexLink"/>
                <w:rtl w:val="true"/>
              </w:rPr>
              <w:t xml:space="preserve">أصل </w:t>
            </w:r>
            <w:r>
              <w:rPr>
                <w:rStyle w:val="IndexLink"/>
                <w:rtl w:val="true"/>
              </w:rPr>
              <w:t>[</w:t>
            </w:r>
            <w:r>
              <w:rPr>
                <w:rStyle w:val="IndexLink"/>
                <w:rtl w:val="true"/>
              </w:rPr>
              <w:t>في أن التقليد من باب الظن أم لا</w:t>
            </w:r>
            <w:r>
              <w:rPr>
                <w:rStyle w:val="IndexLink"/>
                <w:rtl w:val="true"/>
              </w:rPr>
              <w:t>]</w:t>
              <w:tab/>
            </w:r>
            <w:r>
              <w:rPr>
                <w:rStyle w:val="IndexLink"/>
              </w:rPr>
              <w:t>450</w:t>
            </w:r>
          </w:hyperlink>
        </w:p>
        <w:p>
          <w:pPr>
            <w:pStyle w:val="Contents2"/>
            <w:tabs>
              <w:tab w:val="clear" w:pos="8743"/>
              <w:tab w:val="right" w:pos="9026" w:leader="dot"/>
            </w:tabs>
            <w:rPr/>
          </w:pPr>
          <w:hyperlink w:anchor="__RefHeading___Toc2001941_2870459653">
            <w:r>
              <w:rPr>
                <w:webHidden/>
                <w:rStyle w:val="IndexLink"/>
                <w:rtl w:val="true"/>
              </w:rPr>
              <w:t xml:space="preserve">أصل </w:t>
            </w:r>
            <w:r>
              <w:rPr>
                <w:rStyle w:val="IndexLink"/>
                <w:rtl w:val="true"/>
              </w:rPr>
              <w:t>[</w:t>
            </w:r>
            <w:r>
              <w:rPr>
                <w:rStyle w:val="IndexLink"/>
                <w:rtl w:val="true"/>
              </w:rPr>
              <w:t>في جواز الرجوع عن التقليد</w:t>
            </w:r>
            <w:r>
              <w:rPr>
                <w:rStyle w:val="IndexLink"/>
                <w:rtl w:val="true"/>
              </w:rPr>
              <w:t>]</w:t>
              <w:tab/>
            </w:r>
            <w:r>
              <w:rPr>
                <w:rStyle w:val="IndexLink"/>
              </w:rPr>
              <w:t>451</w:t>
            </w:r>
          </w:hyperlink>
        </w:p>
        <w:p>
          <w:pPr>
            <w:pStyle w:val="Contents2"/>
            <w:tabs>
              <w:tab w:val="clear" w:pos="8743"/>
              <w:tab w:val="right" w:pos="9026" w:leader="dot"/>
            </w:tabs>
            <w:rPr/>
          </w:pPr>
          <w:hyperlink w:anchor="__RefHeading___Toc2001943_2870459653">
            <w:r>
              <w:rPr>
                <w:webHidden/>
                <w:rStyle w:val="IndexLink"/>
                <w:rtl w:val="true"/>
              </w:rPr>
              <w:t xml:space="preserve">أصل </w:t>
            </w:r>
            <w:r>
              <w:rPr>
                <w:rStyle w:val="IndexLink"/>
                <w:rtl w:val="true"/>
              </w:rPr>
              <w:t>[</w:t>
            </w:r>
            <w:r>
              <w:rPr>
                <w:rStyle w:val="IndexLink"/>
                <w:rtl w:val="true"/>
              </w:rPr>
              <w:t>في عدم وجوب تقليد الأعلم</w:t>
            </w:r>
            <w:r>
              <w:rPr>
                <w:rStyle w:val="IndexLink"/>
                <w:rtl w:val="true"/>
              </w:rPr>
              <w:t>]</w:t>
              <w:tab/>
            </w:r>
            <w:r>
              <w:rPr>
                <w:rStyle w:val="IndexLink"/>
              </w:rPr>
              <w:t>453</w:t>
            </w:r>
          </w:hyperlink>
        </w:p>
        <w:p>
          <w:pPr>
            <w:pStyle w:val="Contents2"/>
            <w:tabs>
              <w:tab w:val="clear" w:pos="8743"/>
              <w:tab w:val="right" w:pos="9026" w:leader="dot"/>
            </w:tabs>
            <w:rPr/>
          </w:pPr>
          <w:hyperlink w:anchor="__RefHeading___Toc2001945_2870459653">
            <w:r>
              <w:rPr>
                <w:webHidden/>
                <w:rStyle w:val="IndexLink"/>
                <w:rtl w:val="true"/>
              </w:rPr>
              <w:t xml:space="preserve">أصل </w:t>
            </w:r>
            <w:r>
              <w:rPr>
                <w:rStyle w:val="IndexLink"/>
                <w:rtl w:val="true"/>
              </w:rPr>
              <w:t>[</w:t>
            </w:r>
            <w:r>
              <w:rPr>
                <w:rStyle w:val="IndexLink"/>
                <w:rtl w:val="true"/>
              </w:rPr>
              <w:t>في جواز التبعيض في التقليد</w:t>
            </w:r>
            <w:r>
              <w:rPr>
                <w:rStyle w:val="IndexLink"/>
                <w:rtl w:val="true"/>
              </w:rPr>
              <w:t>]</w:t>
              <w:tab/>
            </w:r>
            <w:r>
              <w:rPr>
                <w:rStyle w:val="IndexLink"/>
              </w:rPr>
              <w:t>455</w:t>
            </w:r>
          </w:hyperlink>
        </w:p>
        <w:p>
          <w:pPr>
            <w:pStyle w:val="Contents2"/>
            <w:tabs>
              <w:tab w:val="clear" w:pos="8743"/>
              <w:tab w:val="right" w:pos="9026" w:leader="dot"/>
            </w:tabs>
            <w:rPr/>
          </w:pPr>
          <w:hyperlink w:anchor="__RefHeading___Toc2001947_2870459653">
            <w:r>
              <w:rPr>
                <w:webHidden/>
                <w:rStyle w:val="IndexLink"/>
                <w:rtl w:val="true"/>
              </w:rPr>
              <w:t xml:space="preserve">أصل </w:t>
            </w:r>
            <w:r>
              <w:rPr>
                <w:rStyle w:val="IndexLink"/>
                <w:rtl w:val="true"/>
              </w:rPr>
              <w:t>[</w:t>
            </w:r>
            <w:r>
              <w:rPr>
                <w:rStyle w:val="IndexLink"/>
                <w:rtl w:val="true"/>
              </w:rPr>
              <w:t>في تقليد الميت</w:t>
            </w:r>
            <w:r>
              <w:rPr>
                <w:rStyle w:val="IndexLink"/>
                <w:rtl w:val="true"/>
              </w:rPr>
              <w:t>]</w:t>
              <w:tab/>
            </w:r>
            <w:r>
              <w:rPr>
                <w:rStyle w:val="IndexLink"/>
              </w:rPr>
              <w:t>457</w:t>
            </w:r>
          </w:hyperlink>
        </w:p>
        <w:p>
          <w:pPr>
            <w:pStyle w:val="Contents2"/>
            <w:tabs>
              <w:tab w:val="clear" w:pos="8743"/>
              <w:tab w:val="right" w:pos="9026" w:leader="dot"/>
            </w:tabs>
            <w:rPr/>
          </w:pPr>
          <w:hyperlink w:anchor="__RefHeading___Toc2001949_2870459653">
            <w:r>
              <w:rPr>
                <w:webHidden/>
                <w:rStyle w:val="IndexLink"/>
                <w:rtl w:val="true"/>
              </w:rPr>
              <w:t xml:space="preserve">أصل </w:t>
            </w:r>
            <w:r>
              <w:rPr>
                <w:rStyle w:val="IndexLink"/>
                <w:rtl w:val="true"/>
              </w:rPr>
              <w:t>[</w:t>
            </w:r>
            <w:r>
              <w:rPr>
                <w:rStyle w:val="IndexLink"/>
                <w:rtl w:val="true"/>
              </w:rPr>
              <w:t xml:space="preserve">في تحصيل العلم باجتهاد مجتهده </w:t>
            </w:r>
            <w:r>
              <w:rPr>
                <w:rStyle w:val="IndexLink"/>
                <w:rtl w:val="true"/>
              </w:rPr>
              <w:t>]</w:t>
              <w:tab/>
            </w:r>
            <w:r>
              <w:rPr>
                <w:rStyle w:val="IndexLink"/>
              </w:rPr>
              <w:t>459</w:t>
            </w:r>
          </w:hyperlink>
        </w:p>
        <w:p>
          <w:pPr>
            <w:pStyle w:val="Contents2"/>
            <w:tabs>
              <w:tab w:val="clear" w:pos="8743"/>
              <w:tab w:val="right" w:pos="9026" w:leader="dot"/>
            </w:tabs>
            <w:rPr/>
          </w:pPr>
          <w:hyperlink w:anchor="__RefHeading___Toc2001951_2870459653">
            <w:r>
              <w:rPr>
                <w:webHidden/>
                <w:rStyle w:val="IndexLink"/>
                <w:rtl w:val="true"/>
              </w:rPr>
              <w:t xml:space="preserve">أصل خاتمة </w:t>
            </w:r>
            <w:r>
              <w:rPr>
                <w:rStyle w:val="IndexLink"/>
                <w:rtl w:val="true"/>
              </w:rPr>
              <w:t>[</w:t>
            </w:r>
            <w:r>
              <w:rPr>
                <w:rStyle w:val="IndexLink"/>
                <w:rtl w:val="true"/>
              </w:rPr>
              <w:t>في تعارض الدليلين</w:t>
            </w:r>
            <w:r>
              <w:rPr>
                <w:rStyle w:val="IndexLink"/>
                <w:rtl w:val="true"/>
              </w:rPr>
              <w:t>]</w:t>
              <w:tab/>
            </w:r>
            <w:r>
              <w:rPr>
                <w:rStyle w:val="IndexLink"/>
              </w:rPr>
              <w:t>462</w:t>
            </w:r>
          </w:hyperlink>
        </w:p>
        <w:p>
          <w:pPr>
            <w:pStyle w:val="Contents2"/>
            <w:tabs>
              <w:tab w:val="clear" w:pos="8743"/>
              <w:tab w:val="right" w:pos="9026" w:leader="dot"/>
            </w:tabs>
            <w:rPr/>
          </w:pPr>
          <w:hyperlink w:anchor="__RefHeading___Toc2001953_2870459653">
            <w:r>
              <w:rPr>
                <w:webHidden/>
                <w:rStyle w:val="IndexLink"/>
                <w:rtl w:val="true"/>
              </w:rPr>
              <w:t xml:space="preserve">أصل </w:t>
            </w:r>
            <w:r>
              <w:rPr>
                <w:rStyle w:val="IndexLink"/>
                <w:rtl w:val="true"/>
              </w:rPr>
              <w:t>[</w:t>
            </w:r>
            <w:r>
              <w:rPr>
                <w:rStyle w:val="IndexLink"/>
                <w:rtl w:val="true"/>
              </w:rPr>
              <w:t>في تعادل الدليلين</w:t>
            </w:r>
            <w:r>
              <w:rPr>
                <w:rStyle w:val="IndexLink"/>
                <w:rtl w:val="true"/>
              </w:rPr>
              <w:t>]</w:t>
              <w:tab/>
            </w:r>
            <w:r>
              <w:rPr>
                <w:rStyle w:val="IndexLink"/>
              </w:rPr>
              <w:t>463</w:t>
            </w:r>
          </w:hyperlink>
        </w:p>
        <w:p>
          <w:pPr>
            <w:pStyle w:val="Contents2"/>
            <w:tabs>
              <w:tab w:val="clear" w:pos="8743"/>
              <w:tab w:val="right" w:pos="9026" w:leader="dot"/>
            </w:tabs>
            <w:rPr/>
          </w:pPr>
          <w:hyperlink w:anchor="__RefHeading___Toc2001955_2870459653">
            <w:r>
              <w:rPr>
                <w:webHidden/>
                <w:rStyle w:val="IndexLink"/>
                <w:rtl w:val="true"/>
              </w:rPr>
              <w:t xml:space="preserve">أصل </w:t>
            </w:r>
            <w:r>
              <w:rPr>
                <w:rStyle w:val="IndexLink"/>
                <w:rtl w:val="true"/>
              </w:rPr>
              <w:t>[</w:t>
            </w:r>
            <w:r>
              <w:rPr>
                <w:rStyle w:val="IndexLink"/>
                <w:rtl w:val="true"/>
              </w:rPr>
              <w:t>في حكم التعادل</w:t>
            </w:r>
            <w:r>
              <w:rPr>
                <w:rStyle w:val="IndexLink"/>
                <w:rtl w:val="true"/>
              </w:rPr>
              <w:t>]</w:t>
              <w:tab/>
            </w:r>
            <w:r>
              <w:rPr>
                <w:rStyle w:val="IndexLink"/>
              </w:rPr>
              <w:t>464</w:t>
            </w:r>
          </w:hyperlink>
        </w:p>
        <w:p>
          <w:pPr>
            <w:pStyle w:val="Contents2"/>
            <w:tabs>
              <w:tab w:val="clear" w:pos="8743"/>
              <w:tab w:val="right" w:pos="9026" w:leader="dot"/>
            </w:tabs>
            <w:rPr/>
          </w:pPr>
          <w:hyperlink w:anchor="__RefHeading___Toc2001957_2870459653">
            <w:r>
              <w:rPr>
                <w:webHidden/>
                <w:rStyle w:val="IndexLink"/>
                <w:rtl w:val="true"/>
              </w:rPr>
              <w:t xml:space="preserve">أصل </w:t>
            </w:r>
            <w:r>
              <w:rPr>
                <w:rStyle w:val="IndexLink"/>
                <w:rtl w:val="true"/>
              </w:rPr>
              <w:t>[</w:t>
            </w:r>
            <w:r>
              <w:rPr>
                <w:rStyle w:val="IndexLink"/>
                <w:rtl w:val="true"/>
              </w:rPr>
              <w:t>في كيفية الافتاء بعدما بني على التخيير</w:t>
            </w:r>
            <w:r>
              <w:rPr>
                <w:rStyle w:val="IndexLink"/>
                <w:rtl w:val="true"/>
              </w:rPr>
              <w:t>]</w:t>
              <w:tab/>
            </w:r>
            <w:r>
              <w:rPr>
                <w:rStyle w:val="IndexLink"/>
              </w:rPr>
              <w:t>466</w:t>
            </w:r>
          </w:hyperlink>
        </w:p>
        <w:p>
          <w:pPr>
            <w:pStyle w:val="Contents2"/>
            <w:tabs>
              <w:tab w:val="clear" w:pos="8743"/>
              <w:tab w:val="right" w:pos="9026" w:leader="dot"/>
            </w:tabs>
            <w:rPr/>
          </w:pPr>
          <w:hyperlink w:anchor="__RefHeading___Toc2001959_2870459653">
            <w:r>
              <w:rPr>
                <w:webHidden/>
                <w:rStyle w:val="IndexLink"/>
                <w:rtl w:val="true"/>
              </w:rPr>
              <w:t xml:space="preserve">أصل </w:t>
            </w:r>
            <w:r>
              <w:rPr>
                <w:rStyle w:val="IndexLink"/>
                <w:rtl w:val="true"/>
              </w:rPr>
              <w:t>[</w:t>
            </w:r>
            <w:r>
              <w:rPr>
                <w:rStyle w:val="IndexLink"/>
                <w:rtl w:val="true"/>
              </w:rPr>
              <w:t>في أخذ الأرجح عند التعارض</w:t>
            </w:r>
            <w:r>
              <w:rPr>
                <w:rStyle w:val="IndexLink"/>
                <w:rtl w:val="true"/>
              </w:rPr>
              <w:t>]</w:t>
              <w:tab/>
            </w:r>
            <w:r>
              <w:rPr>
                <w:rStyle w:val="IndexLink"/>
              </w:rPr>
              <w:t>467</w:t>
            </w:r>
          </w:hyperlink>
        </w:p>
        <w:p>
          <w:pPr>
            <w:pStyle w:val="Contents2"/>
            <w:tabs>
              <w:tab w:val="clear" w:pos="8743"/>
              <w:tab w:val="right" w:pos="9026" w:leader="dot"/>
            </w:tabs>
            <w:rPr/>
          </w:pPr>
          <w:hyperlink w:anchor="__RefHeading___Toc2001961_2870459653">
            <w:r>
              <w:rPr>
                <w:webHidden/>
                <w:rStyle w:val="IndexLink"/>
                <w:rtl w:val="true"/>
              </w:rPr>
              <w:t>المصادر</w:t>
            </w:r>
            <w:r>
              <w:rPr>
                <w:rStyle w:val="IndexLink"/>
                <w:rtl w:val="true"/>
              </w:rPr>
              <w:tab/>
            </w:r>
            <w:r>
              <w:rPr>
                <w:rStyle w:val="IndexLink"/>
              </w:rPr>
              <w:t>470</w:t>
            </w:r>
          </w:hyperlink>
        </w:p>
        <w:p>
          <w:pPr>
            <w:pStyle w:val="Contents2"/>
            <w:tabs>
              <w:tab w:val="clear" w:pos="8743"/>
              <w:tab w:val="right" w:pos="9026" w:leader="dot"/>
            </w:tabs>
            <w:rPr/>
          </w:pPr>
          <w:hyperlink w:anchor="__RefHeading___Toc2001963_2870459653">
            <w:r>
              <w:rPr>
                <w:webHidden/>
                <w:rStyle w:val="IndexLink"/>
                <w:rtl w:val="true"/>
              </w:rPr>
              <w:t>الفهرس</w:t>
            </w:r>
            <w:r>
              <w:rPr>
                <w:rStyle w:val="IndexLink"/>
                <w:rtl w:val="true"/>
              </w:rPr>
              <w:tab/>
            </w:r>
            <w:r>
              <w:rPr>
                <w:rStyle w:val="IndexLink"/>
              </w:rPr>
              <w:t>492</w:t>
            </w:r>
          </w:hyperlink>
        </w:p>
        <w:p>
          <w:pPr>
            <w:pStyle w:val="Contents2"/>
            <w:tabs>
              <w:tab w:val="clear" w:pos="8743"/>
              <w:tab w:val="right" w:pos="9026" w:leader="dot"/>
            </w:tabs>
            <w:rPr/>
          </w:pPr>
          <w:hyperlink w:anchor="__RefHeading___Toc2001965_2870459653">
            <w:r>
              <w:rPr>
                <w:webHidden/>
                <w:rStyle w:val="IndexLink"/>
                <w:rtl w:val="true"/>
              </w:rPr>
              <w:t>إصدارات مركز تراث سامراء</w:t>
            </w:r>
            <w:r>
              <w:rPr>
                <w:rStyle w:val="IndexLink"/>
                <w:rtl w:val="true"/>
              </w:rPr>
              <w:tab/>
            </w:r>
            <w:r>
              <w:rPr>
                <w:rStyle w:val="IndexLink"/>
              </w:rPr>
              <w:t>505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15_97364"/>
      <w:bookmarkStart w:id="1" w:name="pg9015_97364"/>
      <w:bookmarkEnd w:id="1"/>
    </w:p>
    <w:p>
      <w:pPr>
        <w:pStyle w:val="Heading2"/>
        <w:numPr>
          <w:ilvl w:val="1"/>
          <w:numId w:val="1"/>
        </w:numPr>
        <w:rPr/>
      </w:pPr>
      <w:bookmarkStart w:id="2" w:name="pg9015_97364"/>
      <w:bookmarkStart w:id="3" w:name="__RefHeading___Toc2001303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الأفكار</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الموسوي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ستار الجيزاني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 الدراجي</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عقيل علي الدراجي</w:t>
      </w:r>
    </w:p>
    <w:p>
      <w:pPr>
        <w:pStyle w:val="BookText"/>
        <w:rPr/>
      </w:pPr>
      <w:r>
        <w:rPr>
          <w:rFonts w:ascii="Amiri" w:hAnsi="Amiri" w:eastAsia="Amiri" w:cs="Amiri"/>
          <w:color w:val="111111"/>
          <w:sz w:val="28"/>
          <w:sz w:val="28"/>
          <w:szCs w:val="28"/>
          <w:rtl w:val="true"/>
          <w:lang w:bidi="ar-SA"/>
        </w:rPr>
        <w:t>التصميم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مسلم شاكر المطوري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رقم الإيداع في دار الكتب والوثائق ببغداد</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الحقوق محفوظة لمركز تراث سامُراء</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1305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دِيوَانُ الوَقفِ الشِّیعِيِ</w:t>
      </w:r>
    </w:p>
    <w:p>
      <w:pPr>
        <w:pStyle w:val="BookText"/>
        <w:rPr/>
      </w:pPr>
      <w:r>
        <w:rPr>
          <w:rFonts w:ascii="Amiri" w:hAnsi="Amiri" w:eastAsia="Amiri" w:cs="Amiri"/>
          <w:color w:val="111111"/>
          <w:sz w:val="28"/>
          <w:sz w:val="28"/>
          <w:szCs w:val="28"/>
          <w:rtl w:val="true"/>
          <w:lang w:bidi="ar-SA"/>
        </w:rPr>
        <w:t>العَتَبَةُ العَسکَرِّيَةُ المُقَدَّسَةُ</w:t>
      </w:r>
    </w:p>
    <w:p>
      <w:pPr>
        <w:pStyle w:val="BookText"/>
        <w:rPr/>
      </w:pPr>
      <w:r>
        <w:rPr>
          <w:rFonts w:ascii="Amiri" w:hAnsi="Amiri" w:eastAsia="Amiri" w:cs="Amiri"/>
          <w:color w:val="111111"/>
          <w:sz w:val="28"/>
          <w:sz w:val="28"/>
          <w:szCs w:val="28"/>
          <w:rtl w:val="true"/>
          <w:lang w:bidi="ar-SA"/>
        </w:rPr>
        <w:t xml:space="preserve">سِلسِلَةُ اِصَدَارَاتٌ مَا كَتِبَ فِي سَامَرَاء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نتائج الأفكار</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الأُصُولِي الفَذ المُحقق السَّيّد ابرَاهِيم المُوسَوِي القَزوِينِي</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الشيخ ستار الجيزاني</w:t>
      </w:r>
    </w:p>
    <w:p>
      <w:pPr>
        <w:pStyle w:val="BookText"/>
        <w:rPr/>
      </w:pPr>
      <w:r>
        <w:rPr>
          <w:rFonts w:ascii="Amiri" w:hAnsi="Amiri" w:eastAsia="Amiri" w:cs="Amiri"/>
          <w:color w:val="111111"/>
          <w:sz w:val="28"/>
          <w:sz w:val="28"/>
          <w:szCs w:val="28"/>
          <w:rtl w:val="true"/>
          <w:lang w:bidi="ar-SA"/>
        </w:rPr>
        <w:t>مُراجعة وتدقيق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مَرکَزُ ثُرَاثِ السَّامِّرَاء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المَركَز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15_97370"/>
      <w:bookmarkStart w:id="8" w:name="pg9015_97370"/>
      <w:bookmarkEnd w:id="8"/>
    </w:p>
    <w:p>
      <w:pPr>
        <w:pStyle w:val="Heading2"/>
        <w:numPr>
          <w:ilvl w:val="1"/>
          <w:numId w:val="1"/>
        </w:numPr>
        <w:rPr/>
      </w:pPr>
      <w:bookmarkStart w:id="9" w:name="pg9015_97370"/>
      <w:bookmarkStart w:id="10" w:name="__RefHeading___Toc2001307_2870459653"/>
      <w:bookmarkStart w:id="11" w:name="_Toc3"/>
      <w:bookmarkEnd w:id="9"/>
      <w:bookmarkEnd w:id="10"/>
      <w:r>
        <w:rPr>
          <w:rtl w:val="true"/>
        </w:rPr>
        <w:t>مقدمة المرکز</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وآله الطاهرين</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كانت ولا تزال الجهود العلمية التي سبقت تأسيس السيد المجدد الشيرازي لحوزته العلمية العريقة في سامراء، غير واضحة المعالم، ويكتنفها الكثير من الغموض والإبهام، ولم تساعد الظروف المهتمين بهذا الشأن على العثور على نصوص أو وثائق نافعة في تكوين صورة جلية وواضحة عن معالم تلك الفترة الزمنية المطوية تحت جناح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تعرضنا في أكثر من مناسبة لتلك الجهود</w:t>
      </w:r>
      <w:r>
        <w:rPr>
          <w:rStyle w:val="FootnoteAnchor"/>
          <w:rtl w:val="true"/>
        </w:rPr>
        <w:footnoteReference w:id="2"/>
      </w:r>
      <w:r>
        <w:rPr>
          <w:rFonts w:ascii="Amiri" w:hAnsi="Amiri" w:eastAsia="Amiri" w:cs="Amiri"/>
          <w:color w:val="111111"/>
          <w:sz w:val="28"/>
          <w:sz w:val="28"/>
          <w:szCs w:val="28"/>
          <w:rtl w:val="true"/>
          <w:lang w:bidi="ar-SA"/>
        </w:rPr>
        <w:t>، وكانت الغاية هي محاولة جذب انتباه الباحثين؛ لأجل توثيق محاولات العلماء وجهودهم ورصدها؛ لغرض دراستها ومنحها المزيد من الاهتمام والعناية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أول من دوّنت المصادر إسهاماته العلمية في سامراء بعد الغيبة الكبرى هو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ينتمي لمدينة عكبرا الواقعة في أطراف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تلميذه السيد المرتضى بعض تلك المجالس العلمية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وحضر الشيخ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واجتمع عليه من العباسيين وغيرهم جمع كثير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بعض مشايخ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كان الإمام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 xml:space="preserve">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وينقل في مورد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حكايات الشيخ وكلامه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الحسن علي بن نصر الشاهد بعكبرا في مسجده وأنا متوجه إلى سر من رأى</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ولعل من تلك المحاولات هي هجرة الرجالي المعروف النجاشي، وذلك حين تعرضت بغداد لمجموعة من الفتن والاضطرابات، وهاجر شيخ الطائفة الطوسي إلى الغري السري، فهاجر غيره من العلماء، ومنهم الشيخ 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ترك بغداد مهاجراً، وتوفي في طريق هجرته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مطير آباد</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وهي من قرى سامراء، ولعله كان قاصدا سامراء لغرض الاستقرار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يجعل ما حكاه ابن خلكان عن دار الشريف الرضي في سامراء مورداً ثالثاً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ولكن المصادر التأريخية والمدوّنات لا تسعفنا كثيراً في توثيق هذه المحاولات، ولا تمنح المتابع صورة واضحة، ولولا ما دوّن هنا وهناك من زيارات للعلماء والأعيان والملوك، وكذلك مراحل إعمار العتبة المطهرة لما أمكننا تحصيل أي شاهد ينفع في المقام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والملاحظ أن الجهود العلمية وتكوين بيئة مناسبة للعلماء كانت تنتعش بوادرها على هامش الإعمار للعتبة المطهرة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أبرز العمارات للمرقد المطهر التي انتعشت في ظلها الجهود العلمية للعلماء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إعمار العتبة العسكرية المقدسة بإشراف العلّامة محمد السلماسي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استمرار للعمارة المعروفة بعمارة الأمير أحمد بن خان الدنبلي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وأكملها ولده الأمير حسين الدنبلي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أعيان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الحاج الميرزا محمد السلماسي شديد الولاء لأهل البيت علیهم السلام، ويتبعه من أهالي سلماس، وآرومية الأذربيجانية خلق كثير ، ومن أعيانهم حسين خان وأخوه الأكبر حسن خان، ولهم أخ ثالث، فحثهم هذا الشيخ الورع على بناء سور لمدينة سامراء وبناء مدرسة علمية في كربلاء ، فقام أولئك الإخوة بالمشروعين خير قيام أما سور سامراء فهو موجود إلى يومنا هذا</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ولكن يظهر أنه لم يكمله، ولذا تصدى الملا زين العابدين السلماسي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لإكماله، وقد نقل ذلك العلّامة النوري في أكثر من موضع من كتبه، فقد ذكر في النجم الثاقب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زين العابدين السلماسي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حين مجاورته في هذه البلدة الشريفة لبناء سورها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وفي موضع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 زين العابدين السلماسي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خواص وصاحب أسرار العلّامة الطباطبائي بحر العلوم ومتولي بناء قلعة سامراء</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وعلى أثر ذلك قام الشيخ أحمد بن محمد علي بن محمد باقر الكرمنشاهي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حفيد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بتأليف كتاب مناهج الأحكام في سامراء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كتب في أول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في تأليفه في الثاني عشر من شعبان المعظم من </w:t>
      </w:r>
    </w:p>
    <w:p>
      <w:pPr>
        <w:pStyle w:val="BookText"/>
        <w:rPr/>
      </w:pPr>
      <w:r>
        <w:rPr>
          <w:rFonts w:ascii="Amiri" w:hAnsi="Amiri" w:eastAsia="Amiri" w:cs="Amiri"/>
          <w:color w:val="111111"/>
          <w:sz w:val="28"/>
          <w:sz w:val="28"/>
          <w:szCs w:val="28"/>
          <w:rtl w:val="true"/>
          <w:lang w:bidi="ar-SA"/>
        </w:rPr>
        <w:t xml:space="preserve">شهور سنة ألف ومئتين وثلاثة وثلاثين من الهجرة النبوية في بلدة سامراء حين الشروع في بناء القلعة والسور فيها، وأسأل الله التوفيق لإتمامه، وأن يجعله ذخيرة ليوم ملاقاته بمحمد وآله صلوات الله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إعمار العتبة العسكرية المطهرة بإشراف المحقق الشيخ عبد الحسين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العراقين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بعد أن أنهى إعمار مرقدي الإمام الحسين علیه السلام و أبي الفضل العباس علیه السلام ، وبناء مدرسة الصدر الأعظم في كربلاء، وكذلك بعد أن عمّر مرقد الإمامين الجوادين علیهما السلام</w:t>
      </w:r>
      <w:r>
        <w:rPr>
          <w:rStyle w:val="FootnoteAnchor"/>
          <w:rtl w:val="true"/>
        </w:rPr>
        <w:footnoteReference w:id="12"/>
      </w:r>
      <w:r>
        <w:rPr>
          <w:rFonts w:ascii="Amiri" w:hAnsi="Amiri" w:eastAsia="Amiri" w:cs="Amiri"/>
          <w:color w:val="111111"/>
          <w:sz w:val="28"/>
          <w:sz w:val="28"/>
          <w:szCs w:val="28"/>
          <w:rtl w:val="true"/>
          <w:lang w:bidi="ar-SA"/>
        </w:rPr>
        <w:t xml:space="preserve">توجّه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سامراء لغرض إعمار مرقدها الطاهر، وتم الانتهاء من الإعمار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يرافق الشيخ عبد الحسين الطهراني في رحلته مجموعة من العلماء،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هادي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محجة العلماء،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فتتلمذت على العلّامة الشيخ عبد الحسين شيخ العراقين، وكنت معه بسامراء أيام تعميره للمشهد الشريف</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الحسيني الميبدي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يحضر دروس الشيخ عبد الحسين الطهراني التي يلقيها في سامراء، وألف هناك عدة مؤلّفات،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،الحجج، فقد ألّفه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الرد على الشيخية، ألّفه في رجب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الأرجوزة الحمامية، ألّفه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الميرزا محمد بن عبد الوهاب الهمداني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ألّف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القلوب والخواطر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تكررت منه الرحلات إلى سامراء كما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إعمار العتبة العسكرية المطهرة بإشراف السيد إبراهيم الموسوي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المعروف بصاحب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ضوابط الأصول</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لقد قام السيد القزويني بعدة أعمال في سامراء،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قلعة سامراء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سور سامراء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إعمار العتبة العسكرية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سر من رأى فقد فرغنا من بناء حصنه الحصين وسوره المكين وارتفاعه مقدار اثني عشر ذراعاً شرعياً، إلا أنه بقي قليل منه غير مضر، ولو أبقي على حاله لكنا بصدد إتمامه وإكماله ونصبنا له أبواباً مصبغة بألواح من حديد، ولنعم حصن من حصن مشيد، ونحن إذ مشتغلون بأمر حرم العسكريين عليهما السلام بنصب المرآة وتذهيب القبة المطهرة على مشرفها أفضل التحيات، إذ وفى بها الوجه المرسول، وإلا فصدور الأمر منكم مسؤول ، وتاريخ إتمامه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ويضاف إلى انشغاله بإعمار العتبة المطهرة وسور سامراء وقلعتها، أنه قام بتأليف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المدة في سامراء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العلّامة الخوانساري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أنه إنما كتبه في قلائل من أيام هجرته إلى زيارة سيدينا العسكريين عليهما السلام عن ظهر قلب وبدون المراجعة إلى شي من أساطير </w:t>
      </w:r>
    </w:p>
    <w:p>
      <w:pPr>
        <w:pStyle w:val="BookText"/>
        <w:rPr/>
      </w:pPr>
      <w:r>
        <w:rPr>
          <w:rFonts w:ascii="IRNazanin" w:hAnsi="IRNazanin" w:eastAsia="IRNazanin"/>
          <w:color w:val="111111"/>
          <w:sz w:val="28"/>
          <w:sz w:val="28"/>
          <w:szCs w:val="28"/>
          <w:rtl w:val="true"/>
          <w:lang w:bidi="fa-IR"/>
        </w:rPr>
        <w:t>الفن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والمركز إذ يعتز بتقديم الإصدار الثالث من الكتب </w:t>
      </w:r>
      <w:r>
        <w:rPr>
          <w:rStyle w:val="FootnoteAnchor"/>
          <w:rtl w:val="true"/>
        </w:rPr>
        <w:footnoteReference w:id="17"/>
      </w:r>
      <w:r>
        <w:rPr>
          <w:rFonts w:ascii="Amiri" w:hAnsi="Amiri" w:eastAsia="Amiri" w:cs="Amiri"/>
          <w:color w:val="111111"/>
          <w:sz w:val="28"/>
          <w:sz w:val="28"/>
          <w:szCs w:val="28"/>
          <w:rtl w:val="true"/>
          <w:lang w:bidi="ar-SA"/>
        </w:rPr>
        <w:t xml:space="preserve">التي ألّفت في سامراء العسكريين عليهما السلام قبل وصول السيد المجدّد إليها، إذ توافقت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إبراهيم القزويني؛ وذلك لغرض توثيق تلك الفترة وحفظ تراث أولئك الأعلام الذين قدموا جهوداً جبارة وخدمات عظيمة وجليلة لمدينة سامراء، وخوفاً على تلك الجهود من الضياع مع مرور الأيام مع ضعف ذاكرة الأجيال وشيوع ثقافة اللامبالاة التراث أولئك الأفذاذ ؛ لذا سعينا بتوثيقه عن طريق تحقيقها ونشرها وجعلها في متناول أهل العلم والفضل، راجين بذلك نيل الثواب، وحفظ التراث، وإنعاش ذاكرة المجتمع العلمي بنتاج حوزة سامراء وما سبقها من جهود أفذاذ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أقدم وافر شكري وتقديري لجناب الأخ المحقق العلّامة الشيخ ستار الجيزاني، والشكر أيضاً للأعزة في المركز على ما قدموه من جهد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ونسأله تعالى ببركة أئمة سامراء أن يمن علينا جميعاً بقبول العمل وحسن الخاتمة، وأن نوفق للمزيد من خدمتهم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 مَسير النجف الأشرف</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التحقيق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015_97378"/>
      <w:bookmarkStart w:id="13" w:name="pg9015_97378"/>
      <w:bookmarkEnd w:id="13"/>
    </w:p>
    <w:p>
      <w:pPr>
        <w:pStyle w:val="Heading2"/>
        <w:numPr>
          <w:ilvl w:val="1"/>
          <w:numId w:val="1"/>
        </w:numPr>
        <w:rPr/>
      </w:pPr>
      <w:bookmarkStart w:id="14" w:name="pg9015_97378"/>
      <w:bookmarkStart w:id="15" w:name="__RefHeading___Toc2001309_2870459653"/>
      <w:bookmarkStart w:id="16" w:name="_Toc4"/>
      <w:bookmarkEnd w:id="14"/>
      <w:bookmarkEnd w:id="15"/>
      <w:r>
        <w:rPr>
          <w:rtl w:val="true"/>
        </w:rPr>
        <w:t>مقدمة التحقیق</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الذي هدانا للاقتداء بشريعة سيد المرسلين، واتباع أوصيائه المعصومين، ثم الالتزام باتباع العلماء الراسخين في زمن غيبة حجة الله على الخلق أجمعين، الحجة ابن الحسن المهدي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يخفى على كل محصل أنه قد عرّف علم الأصول بتعاريف متعددة، قد أطال الأعلام في مناقشتها ومدى جامعيتها أو مانعيتها، أو غير ذلك، لكنها في المحصلة تتجه جميعاً إلى ما يتعلق بعالم الأدلة، وتنقيح ما يصلح للدليلية على الحكم الشرعي من عدمه، وبالتالي يُشكّل هذا العلم سوراً وسداً منيعاً يحمي عملية استنباط الحكم الشرعي، ويجعلها في إطار محدد ومقنّن ،واضح، لا يسمح للأهواء والأغراض أو أيّ شيء آخر بالتدخل في هذا العملية، أو حرفها عن الطريق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تكمن أهمية هذا العلم وخطورته، ويظهر جلياً السر وراء هذه الوفرة، وهذا النتاج غير المتناهي مما سطره يراع الأكابر من الأعلام قديماً وحديثاً، وهذا التنوع الدائر بين المطولات والمختصرات والشروح والحواشي والتعليقات، مما أضفى جوّاً علمياً يطرح فيه الرأي والرأي المخالف، ويناقش فيه بحيادية تامة، ورائد الكل في ذلك الوصول إلى الحقيقة، والكشف عن أحكام الباري عزّ وجلّ مهما أمكن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ببقية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 أشواطاً كبيرة وكثيرة </w:t>
      </w:r>
    </w:p>
    <w:p>
      <w:pPr>
        <w:pStyle w:val="BookText"/>
        <w:rPr/>
      </w:pPr>
      <w:r>
        <w:rPr>
          <w:rFonts w:ascii="Amiri" w:hAnsi="Amiri" w:eastAsia="Amiri" w:cs="Amiri"/>
          <w:color w:val="111111"/>
          <w:sz w:val="28"/>
          <w:sz w:val="28"/>
          <w:szCs w:val="28"/>
          <w:rtl w:val="true"/>
          <w:lang w:bidi="ar-SA"/>
        </w:rPr>
        <w:t xml:space="preserve">تتباين كمّاً ونوعاً مذ تأسيسه مروراً بمرحلة التدوين والتفريع وحتى بلوغه أعلى درجات الكمال على أيدي علمائنا المعاصرين ومن قبلهم،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يطلع على مسائل هذا العلم اليوم ويقارنها بمسائله في عصوره الأولى يجد نفسه كأنه ينظر إلى علمين منفصلين، وما هذا إلا لسعة هذا العلم وتطوره وكثرة مسائله وتفريعاته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والأثر الذي نقدمه بين يدي رواد العلم والفكر هو خلاصة ما توصلت إليه حوزتا النجف وكربلاء في القرن الثالث عشر الهجري مجتمعتين في مدرسة العلم العيلم السيد محمد إبراهيم القزويني، حيث إنه قضى برهة من تحصيله على يدي نابغة عصره أستاذ العلماء والفقهاء في كربلاء شريف العلماء المازندراني، وأخرى عند أساطين حوزة النجف الأشرف كالشيخ الكبير المحقق المدقق موسى بن الشيخ الأكبر جعفر كاشف الغطاء، وأخيه الحجة الشيخ علي المعروف بالمحقق الثالث، وبذلك اجتمعت عنده آراء علماء ،الحوزتين، وتحصل لديه أبكار أفكار الفريقين، ومن هذين المنبعين تكونت أفكاره، ومن تلاقحهما أينعت ثماره؛ فكان نتاجه متنوعاً بين الأصول، والفقه والرجال، وغيرها من العلوم، فأثرى المكتبة الإسلامية بما يشار إليه بالبنان من دقة رأي، ورصانة فكر، وسعة بحث، وعمق نظر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إذ نقف عند أثر من آثاره العظيمة ورشحة من رشحات أفكاره الجليلة، ونقدمه إلى القارئ العزيز بهذا الحلة ،القشيبة فإننا نشعر بالفخر والاعتزاز بل بجميل طوّقنا به هولاء العظماء مما ألقى على كاهلنا مسؤولية مواصلة الليل بالنهار وتسخير كل ما أمكن من الطاقات؛ لإخراج هذا التراث إلى النور، وجعله بين يدي رواد الفضيلة والحقيقة وطلابهما، وهذا ما دفع الإدارة الكريمة لمركز تراث سامراء أن تأخذ على عاتقها إزاحة الستار عن بعض هذا التراث، وكان من ذلك تحقيق هذا الأثر القيم، فلهم الشكر موصولاً بعد شكر الله عزّ وجلّ على التوفيق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نبذة مختصرة عن حياة المصنف</w:t>
      </w:r>
    </w:p>
    <w:p>
      <w:pPr>
        <w:pStyle w:val="BookText"/>
        <w:rPr/>
      </w:pPr>
      <w:r>
        <w:rPr>
          <w:rFonts w:ascii="IRNazanin" w:hAnsi="IRNazanin" w:eastAsia="IRNazanin"/>
          <w:color w:val="111111"/>
          <w:sz w:val="28"/>
          <w:sz w:val="28"/>
          <w:szCs w:val="28"/>
          <w:rtl w:val="true"/>
          <w:lang w:bidi="fa-IR"/>
        </w:rPr>
        <w:t>اسمه ولقبه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الفاضل المحقق المدقق السيد إبراهيم</w:t>
      </w:r>
      <w:r>
        <w:rPr>
          <w:rStyle w:val="FootnoteAnchor"/>
          <w:rtl w:val="true"/>
        </w:rPr>
        <w:footnoteReference w:id="18"/>
      </w:r>
      <w:r>
        <w:rPr>
          <w:rFonts w:ascii="Amiri" w:hAnsi="Amiri" w:eastAsia="Amiri" w:cs="Amiri"/>
          <w:color w:val="111111"/>
          <w:sz w:val="28"/>
          <w:sz w:val="28"/>
          <w:szCs w:val="28"/>
          <w:rtl w:val="true"/>
          <w:lang w:bidi="ar-SA"/>
        </w:rPr>
        <w:t>بن السيد محمد باقر بن السيد عبد الكريم بن السيد نعمة الله القزويني الزنجاني</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والشيخ موسى الزنجاني في كتابه الفهرست لمشاهير وعلماء زنجان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الموسوي الحائري، الشهير بصاحب 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أسرة علمية عريقة لها تاريخ حافل بالعلم والفكر والأدب، من أبرز علمائها السيد محمد باقر القزويني الملقب بمعلم السلطان؛ لأنه كان معلماً لأولاد والي كرمنشاه الأمير محمد علي بن السلطان فتح علي شاه القاجاري، وهو عميد هذه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السيدان محمد علي ومحمد باقر ولدا السيد عبد الكريم القزويني سنة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النجف الأشرف، وتتلمذا على يد فقيه عصره الشيخ جعفر كاشف الغطاء حتى بلغا درجة الاجتهاد، وتزوجا في النجف الأشرف، ومنها إلى كربلاء وذلك سنة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ومنهما تكوّنت أسرة القزويني في كربلاء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أعلام هذه الأسرة الكريمة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w:t>
      </w:r>
    </w:p>
    <w:p>
      <w:pPr>
        <w:pStyle w:val="BookText"/>
        <w:rPr/>
      </w:pPr>
      <w:r>
        <w:rPr>
          <w:rFonts w:ascii="Amiri" w:hAnsi="Amiri" w:eastAsia="Amiri" w:cs="Amiri"/>
          <w:color w:val="111111"/>
          <w:sz w:val="28"/>
          <w:sz w:val="28"/>
          <w:szCs w:val="28"/>
          <w:rtl w:val="true"/>
          <w:lang w:bidi="ar-SA"/>
        </w:rPr>
        <w:t xml:space="preserve">مهدي بن السيد باقر المذكور المولود سنة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هاشم المتوفى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وولداه السيد محمد رضا المتوفى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إبراهيم المتوفى سنة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والعالم الشاعر السيد مهدي بن السيد محمد طاهر بن السيد محمد مهدي المذكور المتوفى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حسين القزويني أحد رجالات الثورة العراقية الكبرى، المولود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محمد حسن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آغا 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حسين بن السيد محمد طاهر المولود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والخطيب الشاعر السيد محمد صالح بن السيد محمد مهدي المتوفى سنة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والعالم الفاضل السيد محمد صادق بن السيد محمد رضا، المولود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والبحاثة السيد إبراهيم شمس الدين بن السيد حسين القزويني المولود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البيوتات العلوية 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والخطيبان الفاضلان السيد محمد كاظم بن السيد محمد إبراهيم المولود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مرتضى بن السيد محمد صادق المولود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من العلماء والأدباء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السيد محمد علي، فهو أحد الشقيقين المهاجرين من قزوين، فقد توجه إلى كربلاء قادماً من النجف الأشرف للسكن فيها ، وكان له ولد واحد هو السيد هاشم بن السيد محمد علي، الذي كان من كبار علماء الدين توفي عام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له ولدان هما السيد محمد رضا، والسيد محمد إبراهيم، توفي السيد محمد رضا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ولد واحد هو السيد محمد صادق، وهو والد السيد مرتضى القزويني، والسيد هاشم والسيد الشاعر محمد رضا القزويني، والسيد عبد الحسين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السيد محمد باقر ، فقد نزح من النجف إلى كربلاء، وكان له من الأولاد</w:t>
      </w:r>
    </w:p>
    <w:p>
      <w:pPr>
        <w:pStyle w:val="BookText"/>
        <w:rPr/>
      </w:pPr>
      <w:r>
        <w:rPr>
          <w:rFonts w:ascii="Amiri" w:hAnsi="Amiri" w:eastAsia="Amiri" w:cs="Amiri"/>
          <w:color w:val="111111"/>
          <w:sz w:val="28"/>
          <w:sz w:val="28"/>
          <w:szCs w:val="28"/>
          <w:rtl w:val="true"/>
          <w:lang w:bidi="ar-SA"/>
        </w:rPr>
        <w:t>السيد محمد مهدي، والسيد إبراهيم صاحب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السيد محمد مهدي، فكان له من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القزويني المتوفى عام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طاهر الذي خلف السيد مهدي، وكان عالماً وشاعراً، خلف السيد محمد صالح القزويني المتوفى سنة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من الأولاد السيد محمد باقر، والسيد هادي، والسيد مهدي، والسيد جواد، ومن أولاد السيد محمد باقر الدكتور محسن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من الأولاد السيد علي، والسيد محمد حسن الشهير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 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من الأولاد العلامة آقا نجفي نزيل طهران، والسيد كاظم والسيد حسين، وكان من أقطاب رجال العلم له العديد من المؤلفات،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الكبرى والإمامة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وأما السيد إبراهيم، من الأولاد أحمد وباقر، توفي السيد أحمد، أما السيد باقر فكان له من الأولاد السيد المجاهد حسين القزويني أحد قادة ثورة العشرين في كربلاء، وهو والد السيد إبراهيم الشهير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الضليع بعلم الأنساب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اشتهر عند المترجمين له أن ولادته كانت في شهر ذي الحجة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هذه الشهرة اعتماداً على ما ذكره الحجة آقا بزرك الطهراني </w:t>
      </w:r>
      <w:r>
        <w:rPr>
          <w:rStyle w:val="FootnoteAnchor"/>
          <w:rtl w:val="true"/>
        </w:rPr>
        <w:footnoteReference w:id="20"/>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أن هذا ما وجده بخط المصنّف على ظهر مجلد المكاسب من كتابه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مكان ولادته فالذي يظهر من التواريخ أعلاه أنها كانت في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المشهور والمذكور على لسان طلبته </w:t>
      </w:r>
      <w:r>
        <w:rPr>
          <w:rStyle w:val="FootnoteAnchor"/>
          <w:rtl w:val="true"/>
        </w:rPr>
        <w:footnoteReference w:id="21"/>
      </w:r>
      <w:r>
        <w:rPr>
          <w:rFonts w:ascii="Amiri" w:hAnsi="Amiri" w:eastAsia="Amiri" w:cs="Amiri"/>
          <w:color w:val="111111"/>
          <w:sz w:val="28"/>
          <w:sz w:val="28"/>
          <w:szCs w:val="28"/>
          <w:rtl w:val="true"/>
          <w:lang w:bidi="ar-SA"/>
        </w:rPr>
        <w:t xml:space="preserve">أن مكان ولادته قزوين، ثم هاجر مع أبيه إلى كرمانشاه، فأقام أبوه عند الميرزا محمد علي بن فتح علي شاه واشتغل في تعليم أولاده، وبعد أن 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وطراً من تحصيله الأولي هاجر ثاني الهجرتين ميمّماً وجهته إلى كربلاء المقدسة، مكملاً تحصيله العلمي عند أكابر العلماء كما سياتي</w:t>
      </w:r>
    </w:p>
    <w:p>
      <w:pPr>
        <w:pStyle w:val="BookText"/>
        <w:rPr/>
      </w:pPr>
      <w:r>
        <w:rPr>
          <w:rFonts w:ascii="IRNazanin" w:hAnsi="IRNazanin" w:eastAsia="IRNazanin"/>
          <w:color w:val="111111"/>
          <w:sz w:val="28"/>
          <w:sz w:val="28"/>
          <w:szCs w:val="28"/>
          <w:rtl w:val="true"/>
          <w:lang w:bidi="fa-IR"/>
        </w:rPr>
        <w:t>بعض أحواله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الوضع الأسري كان عنده زوجتان إحداهما ضعيفة لم تنجب له أولاداً، والأخرى أنجبت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وخلّف من إحدى زوجاته ولدين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والد السيد عبد الله الذي هو والد السيد آقا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آقابزرك والد السيد جواد، والسيد محمد تقي، والسيد حسين، المتولي لأوقاف جده صاحب الترجمة، والمتوفى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لفتح علي شاه بنت اسمها ضياء السلطنة، اشتهرت بالكمال والمال والجمال، وكانت قد أرسلت إلى السيد شخصاً يعرض عليه الزواج منها، فأجاب </w:t>
      </w:r>
    </w:p>
    <w:p>
      <w:pPr>
        <w:pStyle w:val="BookText"/>
        <w:rPr/>
      </w:pPr>
      <w:r>
        <w:rPr>
          <w:rFonts w:ascii="Amiri" w:hAnsi="Amiri" w:eastAsia="Amiri" w:cs="Amiri"/>
          <w:color w:val="111111"/>
          <w:sz w:val="28"/>
          <w:sz w:val="28"/>
          <w:szCs w:val="28"/>
          <w:rtl w:val="true"/>
          <w:lang w:bidi="ar-SA"/>
        </w:rPr>
        <w:t>بأن مصاريف بنت الملك كثيرة، وليس عندنا إلا الفقر والفاقة، ولا نتمكن من تأمين مصارفها، فأرسلت إليه من جديد إنني لا أطلب شيئاً، بل أنا مستعدة للصرف عليك وعلى 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عائلتي وزوجتي وأولادي قد عاشوا معي في العسر والفقر ، ولازم الوصل لك أن نحيد عنهم ، وهذا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 من جديد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عند عيالك ، وكل الذي أريده أن أحمل اسمك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السيد حتى يئست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الوضع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تذكر لنا المصادر شيئاً واضحاً عن تحصيله العلمي في مراحله الأولى أكثر من أنه بدأ تحصيله في قرميسين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هجرته إلى كربلاء، فقد حضر عند السيد علي الطباطبائي صاحب الرياض في أواخر أيامه ، وعند ولده السيد محمد المجاهد صاحب المناهل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لازم بعد ذلك بحث شريف العلماء في الأصول مدة طويلة، ولما كان شريف العلماء في أول أمره لا يدرس الفقه، ارتحل السيد إلى النجف، وأخذ الفقه في مدة سبعة عشر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تزيد أو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الشيخ موسى نجل الشيخ جعفر الكبير كاشف الغطاء، وكذا عند أخيه الشيخ علي المعروف بالمحقق الثالث</w:t>
      </w:r>
      <w:r>
        <w:rPr>
          <w:rStyle w:val="FootnoteAnchor"/>
          <w:rtl w:val="true"/>
        </w:rPr>
        <w:footnoteReference w:id="22"/>
      </w:r>
      <w:r>
        <w:rPr>
          <w:rFonts w:ascii="Amiri" w:hAnsi="Amiri" w:eastAsia="Amiri" w:cs="Amiri"/>
          <w:color w:val="111111"/>
          <w:sz w:val="28"/>
          <w:sz w:val="28"/>
          <w:szCs w:val="28"/>
          <w:rtl w:val="true"/>
          <w:lang w:bidi="ar-SA"/>
        </w:rPr>
        <w:t>، ثم عاد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 التدريس في حياة أستاذه شريف العلماء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المتصلة بالصحن المبارك لحائر سيد الشهداء عال، كان يجلس في درسه بين السبعمئة والثمانمئة، بل حتى الألف من الطلاب والدارسين والفقهاء والمجتهدين والمستنبطين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درسه مفيد للمتوسط والمفيد والمستفيد كل يستفيد من درسه حسب ما يناسبه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وطريقة درسه في الأصول أن يقرأ أسطراً من حصيلة أفكاره، ثم يشرحها، </w:t>
      </w:r>
    </w:p>
    <w:p>
      <w:pPr>
        <w:pStyle w:val="BookText"/>
        <w:rPr/>
      </w:pPr>
      <w:r>
        <w:rPr>
          <w:rFonts w:ascii="Amiri" w:hAnsi="Amiri" w:eastAsia="Amiri" w:cs="Amiri"/>
          <w:color w:val="111111"/>
          <w:sz w:val="28"/>
          <w:sz w:val="28"/>
          <w:szCs w:val="28"/>
          <w:rtl w:val="true"/>
          <w:lang w:bidi="ar-SA"/>
        </w:rPr>
        <w:t>ودرسه في الفقه شرح لشرائع المحقق الحلي، يقرأ سطرين من العبارة، ثم يقرّر المسألة، وفي أكثر الأحيان كان يدرس على ترتيب الفقه الذي كان يكتبه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 الدرس يقرأ عبارة ما كتبه في دلائل الأحكام في شرح 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أغلب الأوقات يدعو من عنده كلام وإشكال وبحث، أو دليل آخر أن يقوله، ولم يعجزه أحد في مجلس الدرس في المحاجّة والاحتجاج، وإذا ناظره أحد في مجلس الدرس كان يجيبه، وإذا رأى أن المناظر لا يهدف إلا للمناظرة لا فهم المسألة المسؤول عنها كان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في المنام جدته الزهراء لا تعطيه دواة وقلماً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أكتب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رغبه أستاذه السيد محمد المجاهد الطباطبائي بتأليف الفقه، وهيّأ له المصادر والكتب الفقهية، وطلب منه التصنيف في القضاء، فكتب في القضاء كتاباً مستقلاً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أخلاقه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تلميذه التنكابني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الأخلاق، فقد وصل هذا العظيم إلى مرتبة يخرج وصفها عن قدرة الكاتب، بل لم أر بين علماء العرب والعجم أفضل من هذا البحر الخضم في الأخلاق، حتى إنه إذا دخل عليه ولد مميز يتواضع ويقف له، سواء كان الصبي عاميّاً أو غير عامي، وسواء كان من أولاد النجباء أو لم يكن، وهذه الأحوال لم تكن في أحد من أبناء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 ما لا يليق وشتم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يسكت على ما شاهدته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آية في الورع والتقوى والعزوف عن مباهج الدنيا وبهارجها، ومن شدة زهده أنه مع وصول أموال كثيرة إليه من الهند تزيد على العشرين ألف تومان، ومع وصول الوجوه الكثيرة إليه من إيران والحجاز، كان فقيراً لم يكن عنده إلا ما يكفي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لمعيشته اليومية، وبالقناعة التامة، ولم يجمع ثروة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كراماته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تلميذه التنكابني مجموعة من الكرامات المشهورة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منها ما هو مذكور على الألسنة كثيراً، ومشهور في الأمصار غاية الاشتهار، أن أهل الهند أرسلوا إليه عريضة كي يرسل لهم رسالة عملية ليقلدوه، فأرسل الرسالة مع أشخاص وسافروا في السفينة، فجاءت ريح قوية واضطربت السفينة حتى كادت إن تغرق بما فيها من مال وناس، فألقوا ما عندهم من وسائل وأحمال في الماء حتى تهدأ السفينة ولا يلحق بها ضرر، والقي ذلك الخرج الذي كان فيه الرسالة أيضاً في الماء، فوصل ركاب السفينة إلى الهند ورووا لهم ما حصل فأرسل أهل الهند إلى الأستاذ من جديد كي يكتب لهم رسالة، وإنّ الرسالة ألقيت في الماء، فأراد الأستاذ أن ينسخ الناسخ رسالة أخرى، لكن بعد وقت أرسل إليه أهل الهند أن رسالتكم وصلت إلينا سالمة صحيحة، وتفصيل هذا الأمر أننا ذهبنا يوماً إلى البحر للتنزه فرأينا حيواناً غريباً من حيوانات البحر قد وقع ومات وقد تورمت بطنه، فبقرناها فرأينا الخرج في بطنه، ففتحناه ورأينا الرسالة فيها، ولم تصل إليها أية آفة، ولم يؤثر فيها الماء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أحداث عاصرها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دم</w:t>
      </w:r>
    </w:p>
    <w:p>
      <w:pPr>
        <w:pStyle w:val="BookText"/>
        <w:rPr/>
      </w:pPr>
      <w:r>
        <w:rPr>
          <w:rFonts w:ascii="Amiri" w:hAnsi="Amiri" w:eastAsia="Amiri" w:cs="Amiri"/>
          <w:color w:val="111111"/>
          <w:sz w:val="28"/>
          <w:sz w:val="28"/>
          <w:szCs w:val="28"/>
          <w:rtl w:val="true"/>
          <w:lang w:bidi="ar-SA"/>
        </w:rPr>
        <w:t>لا ينبغي لمن يترجم للفقيه العلّامة السيد القزويني أن يتغافل عن بعض أهم وأخطر الأحداث التي نفسه، ويقف على رأسها المجزرة الكبيرة التي تعرضت لها كربلاء على يد الغزاة العثمانيين الذين عاثوا في الأرض فساداً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الجريمة التي عرفت فيما بعد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وقعت فجر الحادي عشر من شهر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الموافق للثالث عشر من شهر كانون الثاني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انتفضت هذه المدينة على السياسة العثمانية الجائرة المستبدة، فحاصرها نجيب باشا الذي عرف بحبه لسفك الدماء؛ لإخضاعها، فقصفها بالمدافع وقطع النخيل وأغار المياه، حتى استطاع دخولها بجيشه، فاستباحها قتلاً ونهباً وتدميراً حتى </w:t>
      </w:r>
    </w:p>
    <w:p>
      <w:pPr>
        <w:pStyle w:val="BookText"/>
        <w:rPr/>
      </w:pPr>
      <w:r>
        <w:rPr>
          <w:rFonts w:ascii="IRNazanin" w:hAnsi="IRNazanin" w:eastAsia="IRNazanin"/>
          <w:color w:val="111111"/>
          <w:sz w:val="28"/>
          <w:sz w:val="28"/>
          <w:szCs w:val="28"/>
          <w:rtl w:val="true"/>
          <w:lang w:bidi="fa-IR"/>
        </w:rPr>
        <w:t>اصطبغت أرضها بالدماء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عبد الرزاق الحسني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أوعز نجيب باشا إلى قائد المدفعية أن يشرع في هدم السور المحيط بالمدينة مهما كلّفه الأمر ؛ ليتمكن الجنود من الدخول إليها بيسر، ويقضي على المقاومة وعلى القبائل التي نفرت للمساعدة وفي فجر الحادي عشر من شهر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من شهر كانون الثاني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المدافع في إطلاق قنابرها على السور بشدة، فاستطاعت أن تفتح ثغرة واسعة من ناحية باب النجف، وإذا بفريق من الجند يتسلق السور ويمشي فوقه بسلاحه، وفريق آخر يدخل من الثغرة ويتغلغل في أطراف السور، وكان الفريقان يطلقان النار على كل من يلقيانه، فهال ذلك أمر المدافعين واتقدت جذوة المقاومة في نفوس الأهلين، واشتعلت نيران الحماسة في صفوفهم على اختلاف طبقاتهم وتباين نزعاتهم، على الرغم من الخلافات المزمنة التي كانت متأصلة في نفوسهم، فنزلوا إلى ميدان القتال متحدين متضامنين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سيطرت القوات العثمانية أخيراً على الوضع فتراجع الثوار، واحتمى عدد كبير منهم بصحني الإمام الحسين علیه السلام وأخيه العباس علیه السلام، فشرعت القوات الحكومية بالنهب والسلب والتخريب واستباح الجند كربلاء مدة تتراوح بين ثلاث وخمس ساعات، أهدرت فيها الكثير من دماء الأبرياء من الشيوخ والأطفال، ولم ينج من القتل سوى من احتمى بصحن الإمام الحسين ودار السيد كاظم الرشتي والدور التي ضمها لتكون مأمناً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قتل كل من كان في صحن أبي الفضل العباس، فعندما حاصر قائد الحملة باب الصحن الحسيني الشريف خرج إليه الحاج مهدي كمونة وطلب منه الأمان، فأمر بالكف عن جميع من بالصحن الشريف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التحقيق </w:t>
      </w:r>
    </w:p>
    <w:p>
      <w:pPr>
        <w:pStyle w:val="BookText"/>
        <w:rPr/>
      </w:pPr>
      <w:r>
        <w:rPr>
          <w:rFonts w:ascii="Amiri" w:hAnsi="Amiri" w:eastAsia="Amiri" w:cs="Amiri"/>
          <w:color w:val="111111"/>
          <w:sz w:val="28"/>
          <w:sz w:val="28"/>
          <w:szCs w:val="28"/>
          <w:rtl w:val="true"/>
          <w:lang w:bidi="ar-SA"/>
        </w:rPr>
        <w:t>وفي الوقت نفسه كان بقية الجنود قد اتجهوا نحو صحن العباس الذي ازدحم بالناس وأغلقوا عليهم أبواب الصحن، فتبعهم قائد الحملة، وأمر بقلع أحد الأبواب ودخل منه الجنود وشرعوا بقتل كل من فيه، ولم يسلم من القتل حتى الأطفال والنساء، ولما حلّ المساء كانت المدينة في عداد الأموات وتولى الحاج مهدي كمونة وصحبه حماية الصحن الحسيني، ورفع جثث القتلى من صحن العباس</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من الطبيعي أن لا تمر هذه الحادثة من دون أن يكون هناك دور مهم للسيد القزويني، وهو العلم المبرّز آنذاك، وهو موضع ثقة المجتمع الكربلائي، وما تفرضه عليه مسؤوليته الشرعية والوطنية، ودوره الإنساني في التخفيف من معاناة الأهالي بعد الخسائر الكبيرة في الأرواح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الفرقة الشيخية</w:t>
      </w:r>
    </w:p>
    <w:p>
      <w:pPr>
        <w:pStyle w:val="BookText"/>
        <w:rPr/>
      </w:pPr>
      <w:r>
        <w:rPr>
          <w:rFonts w:ascii="Amiri" w:hAnsi="Amiri" w:eastAsia="Amiri" w:cs="Amiri"/>
          <w:color w:val="111111"/>
          <w:sz w:val="28"/>
          <w:sz w:val="28"/>
          <w:szCs w:val="28"/>
          <w:rtl w:val="true"/>
          <w:lang w:bidi="ar-SA"/>
        </w:rPr>
        <w:t>ومن الأحداث المهمة التي عاصرها السيد القزويني نشأة الفرقة الشيخية</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بنّت هذه الطائفة بعض الآراء والأفكار التي أدّت إلى حدوث النزاع بينهم وبين الطرف الآخر، وقد ذكروا عدة فروق بينهم وبين الشيعة الأصولية، تزيد على ثلاثين فرقاً، إلا أنها في الحقيقة مسائل جزئية لا يمكن جعلها من الخصائص المكوّنة للفرقة الشيخية، وأهم المسائل التي طرحت وهي محل الخلاف بين الطرفين هي أربع المعاد الجسماني، والغلو والتفويض، والمعراج، والركن الرابع، فإنّ هذه المسائل هي أهم نقاط الخلاف بين الشيخية وغيرهم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وما رافق ذلك من تداعيات فكرية وفتن كبيرة، خصوصاً أيام السيد كاظم الرشتي تلميذ الشيخ أحمد الاحسائي الذي تنسب إليه الفرقة وما رافق ذلك من مواقف حازمة وحاسمة من قبل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كثر القيل والقال واشتدّت الفتنة، توجّه السيد سعيد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كليدار كربلاء وحاكمها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النجف واجتمع بالشيخ علي بن جعفر كاشف الغطاء والشيخ محمد حسن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والتمسهم أن يسافروا معه لكربلاء لينظروا في أمر السيد الرشتي وما يقوله، فأجابوه في ذلك وساروا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واجتمعوا جميعهم مع السيد الرشتي وأتباعه في الصحن الحسيني، ووقف حاکم کربلاء وبيده سيف مسلول، وقال لهم بيني وبينكم هذا المجلس فإن حكمتم بكفره ضربت عنقه من حينه وأخمدت هذه الفتنة، وإلا ضربت عنق المخالف، وبعد انعقاد المحاكمة طلب الشيخ علي من الشيخ محمد حسن أن يسأل السيد كاظم عما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 محمد حسن للرشتي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أسألك عن فقرتين في رسائلك صريحة بالكفر، وهي هذه، وأخرج رسالة له من تحت ردائه،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الأولى وهذه الثانية، فردّ الرشتي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أعتقد بهذه المسائل، غير أن معناها غير المعنى الذي فهمتموه منها وذهبتم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سمع الشيخ علي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سعيد الحدود تُدرأ بالشبهات وحفظ النّفس في شرعنا من أعظم المهمات، فاترك النّاس على غفلاتهم، ولا تكشف عن سوآتهم، وإن أبيتم فاتركوني واصنعوا ما شئتم فأنا لا ألقى الله وفي عنقي دم المدعي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 بعد ذلك الحاضرون، ونجا السيد الرشتي من القتل</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رحمه الله ذا همة عالية في العلم والعمل، ساعياً لعمل الخيرات وبذل المبرات، ويمكن رصد بعض ذلك من خلال مراسلاته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بأمور القبة الشريفة للعتبة العسكرية المقدسة، ونصب المرايا لها </w:t>
      </w:r>
    </w:p>
    <w:p>
      <w:pPr>
        <w:pStyle w:val="BookText"/>
        <w:rPr/>
      </w:pPr>
      <w:r>
        <w:rPr>
          <w:rFonts w:ascii="Amiri" w:hAnsi="Amiri" w:eastAsia="Amiri" w:cs="Amiri"/>
          <w:color w:val="111111"/>
          <w:sz w:val="28"/>
          <w:sz w:val="28"/>
          <w:szCs w:val="28"/>
          <w:rtl w:val="true"/>
          <w:lang w:bidi="ar-SA"/>
        </w:rPr>
        <w:t>وتزجيجها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تفضيض وتذهيب أبواب العتبة العلوية المقدسة، والسعي في توسعة الحرم الطاهر وإجراء التصليح اللازم للضريح المبارك لأمير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 مرقد مولانا أبي الفضل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تذهيب الإيوانين الصغير والكبير لسيد الشهداء علیه السلام، وتفضيض ونصب باب العتبة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حصن سامراء وتشييد سورها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المبرات على فئات من القاطنين حول العتبات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ذلك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تلميذه الميرزا محمد التنكابني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هذه البسيطة، له الشهرة في كل الديار، وحيد الأمصار والأعصار، نادر الزمان في الفقه والأصول والرجال، سبق المدرسين العظام علم التدقيق ومنارة التحقيق، وجبل الفقاهة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تلميذه محمد 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الهمام، المولى القمقام البدر التمام شمس الظلام، قدوة الأنام من الخواص والعوام ، سليل الكرام، عمدة العلماء الأعلام، كهف الأرامل والأيتام، حجة الإسلام، فريد الأيام السائر في ضوابط مسائل الحلال والحرام، الغائر في أسرار دلائل الأحكام حائز حياض المسالك، وجائز رياض المدارك كشاف معضلات التحقيق، ومفتاح مقفلات التدقيق، مهذب شرائع الإسلام بموجز بيانه الكافي وممهد قواعد الأحكام بمختصر تبيانه الوافي،محيي مراسم الفقه بتنقيحه الدّروس، ومجلي حقائق العلم بإيضاحه المأنوس، نخبة كل نحریر نبيه وكفاية من لا يحضره الفقيه مصباح مسالك الهداية والإرشاد، ومقياس مناهج غاية المراد، وسيلة ذخيرة المعاد وذريعة يوم التناد، إذ ينادي المناد، الذي منه </w:t>
      </w:r>
    </w:p>
    <w:p>
      <w:pPr>
        <w:pStyle w:val="BookText"/>
        <w:rPr/>
      </w:pPr>
      <w:r>
        <w:rPr>
          <w:rFonts w:ascii="Amiri" w:hAnsi="Amiri" w:eastAsia="Amiri" w:cs="Amiri"/>
          <w:color w:val="111111"/>
          <w:sz w:val="28"/>
          <w:sz w:val="28"/>
          <w:szCs w:val="28"/>
          <w:rtl w:val="true"/>
          <w:lang w:bidi="ar-SA"/>
        </w:rPr>
        <w:t>تهذيب القوانين المحكمة، وتحرير الإشارات المبهمة، معتبر وسائل الشيعة، ونهاية منية الشريعة، منزه حدائق الدين بلمعة من بحار أنواره منبه معارج اليقين بزبدة من نتائج أبكار أفكاره، رافع معالم الفروع والأصول، جامع المقاصد العلية بإحكامه المحصول، بحر الأدب والكرم، وفخر العرب والعجم ، قطب فلك العلم والسيادة، ونقطة دائرة الحلم والسعادة، مجمع الفيوضات ومنبع الإفاضات فاتحة صحيفة السداد والرشاد، وخاتمة رقيمة الفقاهة والاجتهاد، أعلم العلماء المتقدمين والمتأخرين، أفضل الفضلاء السابقين واللاحقين، شمس الفقهاء والمجتهدين، السيد السند الحبر المعتمد سيدنا الأستاد، ومن عليه في الأمور اعتماد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أجلّة علماء عصرنا، وغرّة فضلاء ،زماننا لم أر مثله في الفضل والتقرير، وجودة التحبير، ومكارم الأخلاق، ومحامد السياق، والإحاطة بمسائل الأصول، والمتانة فيما يكتب أو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حسن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علماء عصره في علم الأصول بعد أستاذه شريف العلماء في كربلاء، انتهت إليه رئاسة الإمامية، وتخرج عليه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حرز الدين كان من أعاظم العلماء، ومن وجوه المراجع والمفتين، وأحد أساطين الأصول، ومن العلماء الذين قابلوا الناس بقوة النظر والدقة والعلم الغزير، والصبر على النوائب والمحن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أساتذته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قد حضر عند أساطين العلم والفضل والزهد والتقوى، ناهلاً من نمير معينهم، مما كان لهم الأثر الكبير في صياغة شخصيته العلمية، بل الروحية أيضاً، نذكر منهم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الحفي الصفي التقي النقي الجلي السيد علي الطباطبائي صاحب الرياض ، حضر عنده أواخر تدريسه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فريد عصره ونابغة دهره السيد محمد المجاهد بن السيد علي الطباطبائي صاحب مفاتيح الأصول والمناهل، حضر عنده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العيلم البحر الخضم الأدق عين أصحاب التحقيق، محمد شريف بن الملا حسين علي الآملي المازندران، الملقب بشريف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الأفقه الأكرم الأفضل الأعلم، رئيس أهل التحقيق والتدقيق، الشيخ علي بن الشيخ جعفر الكبير ، المعروف بالمحقق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الكبير رضيع ثدي الفقاهة وشجرة ورد روضة الجلالة والفخامة الشيخ موسى بن الشيخ جعفر الكبير</w:t>
      </w:r>
    </w:p>
    <w:p>
      <w:p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يشرع في التدريس في حياة أستاذه شريف العلماء، وكان يحضر درسه ما يقرب من المئة طالب وبعد وفاة أستاذه استقل بالتدريس، وكان يجتمع في حلقة درسه سبعمئة طالب إلى ثمانمئة إلى ألف وفيهم من فحول العلماء وأكابر الفضلاء، مستفيدين من دقة بحثه وعمق نظره وقوة استدلاله، نذكر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بن محمد تقي بن محمد تقي البرغاني،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القاسم بن محمد علي النوري المازندراني الشهير بكلانتري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مقرر أبحاث الشيخ الأعظم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الله بن محمد صادق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الآقا محمد باقر بن زين العابدين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الحسين التستري الكاظمي، الشهير بالنجار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الملا علي الكني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محمد كريم المجتهد اللاهيجي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الحسن التنكابني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أسد الله الشفتي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جعفر الحسيني السبزواري ثم المشهدي الخراساني الشهير بميرزا 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الترك الكوهكمري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بن محمد علي الحسيني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صالح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القزويني، صاحب الحاشية على القوانين والمعالم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باقر الخوانساري صاحب كتاب روضات الجنات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باقر بن مرتضى الطباطبائي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حسين بن عباس علي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محمود الحسيني المرعشي اللاهوري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هاشم القزويني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جمال المحلاتي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الأردكاني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زين العابدين البافروشي المازندراني، الفقيه المشهور الذي انتهت إليه الرياسة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الحسين الطهراني شيخ العراقين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محمد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صادق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طاهر الكيلاني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مهدي الكجوري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ميرزا لطف الله الزنجاني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رجب علي اللاريجاني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أصغر بن علي أكبر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إبراهيم المرعشي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اسماعيل بن عبد العظيم الكجوري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باقر الإيرواني، النجفي، الشهير بالفاضل الإيرواني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الكلبايكاني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بن محمد علي الهزار جريبي المازندراني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بن محمد اللنكراني القفقازي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بن حسن بن يوسف الموسوي الشيرازي، المعروف بالداماد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بن محمد مهدي الشهير بكدا علي بيك النوري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هادي بن محمد الاسترآبادي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أبو الحسن بن شاه محمد المازندراني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 أبو تراب القزويني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رضا الدامغاني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بن سليمان التنكابني صاحب كتاب قصص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حسين الساروي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محسن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 كثير ممن تحفل بهم كتب التراجم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الأحكام في 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استدلالي بعناوين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كتاب الشرايع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المظنة في 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الطهارة والصلاة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فتوائية غير استدلالية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الطهارة والصلاة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حكم اغتياب المؤمن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عملية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المتقين للميرزا محسن الأردبيلي، مع آراء فقهية للمترجم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ضوابط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اشتمل على المباحث الأصولية بشيء من التفصيل والمناقشة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دونه عند دراسته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بعض الأساتذة، ثم أعاد النظر فيه وكتبه في مقدمة وفصول وخاتمة،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أكثره من تقريرات شيخه شريف العلماء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مستثنيات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نتائج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كتابنا هذا، وسيأتي الحديث </w:t>
      </w:r>
    </w:p>
    <w:p>
      <w:pPr>
        <w:pStyle w:val="BookText"/>
        <w:rPr/>
      </w:pPr>
      <w:r>
        <w:rPr>
          <w:rFonts w:ascii="Amiri" w:hAnsi="Amiri" w:eastAsia="Amiri" w:cs="Amiri"/>
          <w:color w:val="111111"/>
          <w:sz w:val="28"/>
          <w:sz w:val="28"/>
          <w:szCs w:val="28"/>
          <w:rtl w:val="true"/>
          <w:lang w:bidi="ar-SA"/>
        </w:rPr>
        <w:t>عنه مفصلاً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نتائج الأفكار</w:t>
      </w:r>
    </w:p>
    <w:p>
      <w:pPr>
        <w:pStyle w:val="BookText"/>
        <w:rPr/>
      </w:pPr>
      <w:r>
        <w:rPr>
          <w:rFonts w:ascii="Amiri" w:hAnsi="Amiri" w:eastAsia="Amiri" w:cs="Amiri"/>
          <w:color w:val="111111"/>
          <w:sz w:val="28"/>
          <w:sz w:val="28"/>
          <w:szCs w:val="28"/>
          <w:rtl w:val="true"/>
          <w:lang w:bidi="ar-SA"/>
        </w:rPr>
        <w:t xml:space="preserve">مختصر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ضوابط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دورة أصولية مختصرة كاملة، قال المصنّف عن سبب تأليفه ومنهجه وتبويبه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بعد ما انتخبت مما كنت حرّرته سابقاً من المسائل الأصولية ومباني الأحكام الشرعية الفرعيّة كتاب ضوابط الأصول إجابة لمسؤول بعض الفحول، ورأيت كثرة رغبة المشتغلين فى إدراك مطالبه ، وشدة ميل المحصلين إلى فهم مسائله؛ لاشتماله على فرائد فوائد لم يحم حولها أحد، واحتوائه على عوائد موائد لم يدم لضبطها مدد، بيد أنه كان لبسطه بعض الهم قاصراً عن الوصول إلى غوامض دقائقه، والبلوغ إلى مغالق حقائقه سنح ببالى الفاتر أن أشمر عن ساعد الاجتهاد ثانياً، واستانف العمل لا كسلاً ولا متوانياً، بتصنيف وجيزة تشتمل على أمهات مهمات مسائل الأصول، وتأليف مختصر يحتوي كل أصل منه على ما لا يحتوي عليه أبواب ولا فصول محترزاً عن الإيجاز المخلّ والأطناب الممل، مبالغاً فى الاختصار مدرجاً فيه من المطالب الأبكار ما لم تنل إليها أيدي أولي الأبصار، ورتبته على مقدمة وخاتمة وأصول</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وكان قد دونه أيام زيارته للعسكريين علیهما السلام بسامراء، وفرغ منه سنة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تبرز أهمية هذا الكتاب من عدة جهات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دورة أصولية كاملة مختصرة في زمن الموسوعات الأصولية الكبيرة التي يصعب الإحاطة بكل مطالبها كالقوانين والفصول والإشارات والضوابط </w:t>
      </w:r>
    </w:p>
    <w:p>
      <w:pPr>
        <w:pStyle w:val="BookText"/>
        <w:rPr/>
      </w:pPr>
      <w:r>
        <w:rPr>
          <w:rFonts w:ascii="Amiri" w:hAnsi="Amiri" w:eastAsia="Amiri" w:cs="Amiri"/>
          <w:color w:val="111111"/>
          <w:sz w:val="28"/>
          <w:sz w:val="28"/>
          <w:szCs w:val="28"/>
          <w:rtl w:val="true"/>
          <w:lang w:bidi="ar-SA"/>
        </w:rPr>
        <w:t>وحاشية المعالم ومفاتيح الأصول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مستوعب للوجوه المحتملة في كل مسألة مع عرض الأقوال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ذلك كله بعبارات فصيحة في غاية الفصاحة والبلاغة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المصنف محور درسه الأصولي، وقد تقدم أن درسه كان محط عناية المئات من طلبة العلوم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كثير من العلماء به شرحاً وتوضيحاً وتحشية وتعليقاً،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ألّفه في سامراء مع عدم وجود المصادر مع انشغاله بإعمار العتبة العسكرية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الميرزا محمد التنكابني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يكتب مثل هذا الكتاب في الأصول بهذه الفصاحة والبلاغة والجزالة والعذوبة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تلميذه محمد بن سميع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نتائج الأفكار هذا مصنف شريف، ومؤلّف منيف، كاف مع إيجازه الجميع مهمات علم الأصول التي سابق إليها العلماء الفحول بأحسن إشارة، واف بفرائد فوائد مبتكرة لم تبادر إليها من أحد يد الوصول باتقن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 أقصى مرتبة التحرير والبيان، سائراً بين سائر المصنفات على كل لسان، صائراً محط أنظار الفضلاء؛ لما حواه من نتائج أفكار العلماء، حاوياً للفظ الكاشف عن الحقيقة واللب، ناسخاً لجميع المؤلفات والكتب، حيث إن البحر إذا تموج تراخت المراكب، والبدر إذا تبلج طمس نور الكواكب، فكان مع اختصاره وسهولة استنساخه وإكثاره فى غاية القلة ونهاية الندرة، بحيث لم يكد يكفي أيدي الكتاب لكفايته مع ما بهم من الجهد في تكثير كتابته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روضات الجنات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معارضة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كتاب الضوابط هو من تقريرات استاذه شريف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طالع </w:t>
      </w:r>
    </w:p>
    <w:p>
      <w:pPr>
        <w:pStyle w:val="BookText"/>
        <w:rPr/>
      </w:pPr>
      <w:r>
        <w:rPr>
          <w:rFonts w:ascii="Amiri" w:hAnsi="Amiri" w:eastAsia="Amiri" w:cs="Amiri"/>
          <w:color w:val="111111"/>
          <w:sz w:val="28"/>
          <w:sz w:val="28"/>
          <w:szCs w:val="28"/>
          <w:rtl w:val="true"/>
          <w:lang w:bidi="ar-SA"/>
        </w:rPr>
        <w:t>كتابه الموجز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بنتائج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مبتنياً على مئة وخمسين فصلاً من الفصول، يعرف صدق هذا المقال، وأنّ جناب مصنّفه المفضال كأنه نفس ملكة الفقه والأصول، ومالك أزمة المعقول والمنقول، والفائق على غيره من النبلاء الفحول مع أنه إنّما كتبه في قلائل من أيّام هجرته إلى زيارة سيّدينا العسكريين عليهما السلام من ظهر القلب، وبدون المراجعة إلى شيء من أساطير الفنّ كما حكى لنا من يوثق بنقله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ما قيل فيه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تلميذه محمد بن سميع اليزدي الرازي الحائري في تقريظ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معاقد درّ أم موائد 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مناهج حق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أفكار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علم قد حوت كل معضل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دین أم خطائف أبصار</w:t>
      </w:r>
    </w:p>
    <w:p>
      <w:pPr>
        <w:pStyle w:val="BookText"/>
        <w:rPr/>
      </w:pPr>
      <w:r>
        <w:rPr>
          <w:rFonts w:ascii="Amiri" w:hAnsi="Amiri" w:eastAsia="Amiri" w:cs="Amiri"/>
          <w:color w:val="111111"/>
          <w:sz w:val="28"/>
          <w:sz w:val="28"/>
          <w:szCs w:val="28"/>
          <w:rtl w:val="true"/>
          <w:lang w:bidi="ar-SA"/>
        </w:rPr>
        <w:t>تفوق بهذا العصر كلّ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بينت من غامضات وأسرار</w:t>
      </w:r>
    </w:p>
    <w:p>
      <w:pPr>
        <w:pStyle w:val="BookText"/>
        <w:rPr/>
      </w:pPr>
      <w:r>
        <w:rPr>
          <w:rFonts w:ascii="Amiri" w:hAnsi="Amiri" w:eastAsia="Amiri" w:cs="Amiri"/>
          <w:color w:val="111111"/>
          <w:sz w:val="28"/>
          <w:sz w:val="28"/>
          <w:szCs w:val="28"/>
          <w:rtl w:val="true"/>
          <w:lang w:bidi="ar-SA"/>
        </w:rPr>
        <w:t>وفيها فنون العلم أضحت منيرة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أشمس ضحى الأنوار أم بدر أقمار</w:t>
      </w:r>
    </w:p>
    <w:p>
      <w:pPr>
        <w:pStyle w:val="BookText"/>
        <w:rPr/>
      </w:pPr>
      <w:r>
        <w:rPr>
          <w:rFonts w:ascii="Amiri" w:hAnsi="Amiri" w:eastAsia="Amiri" w:cs="Amiri"/>
          <w:color w:val="111111"/>
          <w:sz w:val="28"/>
          <w:sz w:val="28"/>
          <w:szCs w:val="28"/>
          <w:rtl w:val="true"/>
          <w:lang w:bidi="ar-SA"/>
        </w:rPr>
        <w:t>هي البحر والألفاظ فيها مراكب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وذخر ليوم الحشر حصن من النار</w:t>
      </w:r>
    </w:p>
    <w:p>
      <w:pPr>
        <w:pStyle w:val="BookText"/>
        <w:rPr/>
      </w:pPr>
      <w:r>
        <w:rPr>
          <w:rFonts w:ascii="Amiri" w:hAnsi="Amiri" w:eastAsia="Amiri" w:cs="Amiri"/>
          <w:color w:val="111111"/>
          <w:sz w:val="28"/>
          <w:sz w:val="28"/>
          <w:szCs w:val="28"/>
          <w:rtl w:val="true"/>
          <w:lang w:bidi="ar-SA"/>
        </w:rPr>
        <w:t>وأمواج بحر دافق غير 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وجنات عدن تحتها جري أنهار</w:t>
      </w:r>
    </w:p>
    <w:p>
      <w:pPr>
        <w:pStyle w:val="BookText"/>
        <w:rPr/>
      </w:pPr>
      <w:r>
        <w:rPr>
          <w:rFonts w:ascii="Amiri" w:hAnsi="Amiri" w:eastAsia="Amiri" w:cs="Amiri"/>
          <w:color w:val="111111"/>
          <w:sz w:val="28"/>
          <w:sz w:val="28"/>
          <w:szCs w:val="28"/>
          <w:rtl w:val="true"/>
          <w:lang w:bidi="ar-SA"/>
        </w:rPr>
        <w:t>عليها من الرحمن يُمن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وجذوة جود لا تنال بتذكار</w:t>
      </w:r>
    </w:p>
    <w:p>
      <w:pPr>
        <w:pStyle w:val="BookText"/>
        <w:rPr/>
      </w:pPr>
      <w:r>
        <w:rPr>
          <w:rFonts w:ascii="Amiri" w:hAnsi="Amiri" w:eastAsia="Amiri" w:cs="Amiri"/>
          <w:color w:val="111111"/>
          <w:sz w:val="28"/>
          <w:sz w:val="28"/>
          <w:szCs w:val="28"/>
          <w:rtl w:val="true"/>
          <w:lang w:bidi="ar-SA"/>
        </w:rPr>
        <w:t>من السيد العالي إمام الورى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تحير في أوصافه جم أفكار</w:t>
      </w:r>
    </w:p>
    <w:p>
      <w:pPr>
        <w:pStyle w:val="BookText"/>
        <w:rPr/>
      </w:pPr>
      <w:r>
        <w:rPr>
          <w:rFonts w:ascii="Amiri" w:hAnsi="Amiri" w:eastAsia="Amiri" w:cs="Amiri"/>
          <w:color w:val="111111"/>
          <w:sz w:val="28"/>
          <w:sz w:val="28"/>
          <w:szCs w:val="28"/>
          <w:rtl w:val="true"/>
          <w:lang w:bidi="ar-SA"/>
        </w:rPr>
        <w:t>رئيس الورى فخر الأنام ومن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رواج علوم الحق من نسل أطهار</w:t>
      </w:r>
    </w:p>
    <w:p>
      <w:pPr>
        <w:pStyle w:val="BookText"/>
        <w:rPr/>
      </w:pPr>
      <w:r>
        <w:rPr>
          <w:rFonts w:ascii="Amiri" w:hAnsi="Amiri" w:eastAsia="Amiri" w:cs="Amiri"/>
          <w:color w:val="111111"/>
          <w:sz w:val="28"/>
          <w:sz w:val="28"/>
          <w:szCs w:val="28"/>
          <w:rtl w:val="true"/>
          <w:lang w:bidi="ar-SA"/>
        </w:rPr>
        <w:t>وحيد فريد فاق في الدهر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فضل أهل الفضل من دون إنكار</w:t>
      </w:r>
    </w:p>
    <w:p>
      <w:pPr>
        <w:pStyle w:val="BookText"/>
        <w:rPr/>
      </w:pPr>
      <w:r>
        <w:rPr>
          <w:rFonts w:ascii="Amiri" w:hAnsi="Amiri" w:eastAsia="Amiri" w:cs="Amiri"/>
          <w:color w:val="111111"/>
          <w:sz w:val="28"/>
          <w:sz w:val="28"/>
          <w:szCs w:val="28"/>
          <w:rtl w:val="true"/>
          <w:lang w:bidi="ar-SA"/>
        </w:rPr>
        <w:t>سمي خليل الله لا زال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قريناً بنفخ الصور في كل أعصار</w:t>
      </w:r>
    </w:p>
    <w:p>
      <w:pPr>
        <w:pStyle w:val="BookText"/>
        <w:rPr/>
      </w:pPr>
      <w:r>
        <w:rPr>
          <w:rFonts w:ascii="Amiri" w:hAnsi="Amiri" w:eastAsia="Amiri" w:cs="Amiri"/>
          <w:color w:val="111111"/>
          <w:sz w:val="28"/>
          <w:sz w:val="28"/>
          <w:szCs w:val="28"/>
          <w:rtl w:val="true"/>
          <w:lang w:bidi="ar-SA"/>
        </w:rPr>
        <w:t>فيا طالباً للعلم دونك مرشداً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عشت دهراً ما بلغت بمعشار</w:t>
      </w:r>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أمناهج الأسرار أم قطب الرحى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أنتائج الأفكار أم بدر الدجى </w:t>
      </w:r>
    </w:p>
    <w:p>
      <w:pPr>
        <w:pStyle w:val="BookText"/>
        <w:rPr/>
      </w:pPr>
      <w:r>
        <w:rPr>
          <w:rFonts w:ascii="Amiri" w:hAnsi="Amiri" w:eastAsia="Amiri" w:cs="Amiri"/>
          <w:color w:val="111111"/>
          <w:sz w:val="28"/>
          <w:sz w:val="28"/>
          <w:szCs w:val="28"/>
          <w:rtl w:val="true"/>
          <w:lang w:bidi="ar-SA"/>
        </w:rPr>
        <w:t>أخزينة لحقائق الآداب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 وذخر كل من التجا</w:t>
      </w:r>
    </w:p>
    <w:p>
      <w:pPr>
        <w:pStyle w:val="BookText"/>
        <w:rPr/>
      </w:pPr>
      <w:r>
        <w:rPr>
          <w:rFonts w:ascii="Amiri" w:hAnsi="Amiri" w:eastAsia="Amiri" w:cs="Amiri"/>
          <w:color w:val="111111"/>
          <w:sz w:val="28"/>
          <w:sz w:val="28"/>
          <w:szCs w:val="28"/>
          <w:rtl w:val="true"/>
          <w:lang w:bidi="ar-SA"/>
        </w:rPr>
        <w:t>فلكم بها من معضلات بينت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بها من مشكل قد فرّجا</w:t>
      </w:r>
    </w:p>
    <w:p>
      <w:pPr>
        <w:pStyle w:val="BookText"/>
        <w:rPr/>
      </w:pPr>
      <w:r>
        <w:rPr>
          <w:rFonts w:ascii="Amiri" w:hAnsi="Amiri" w:eastAsia="Amiri" w:cs="Amiri"/>
          <w:color w:val="111111"/>
          <w:sz w:val="28"/>
          <w:sz w:val="28"/>
          <w:szCs w:val="28"/>
          <w:rtl w:val="true"/>
          <w:lang w:bidi="ar-SA"/>
        </w:rPr>
        <w:t>أسفينة لنجاة أهل الحق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ليوم الحشر يكفي من رجا</w:t>
      </w:r>
    </w:p>
    <w:p>
      <w:pPr>
        <w:pStyle w:val="BookText"/>
        <w:rPr/>
      </w:pPr>
      <w:r>
        <w:rPr>
          <w:rFonts w:ascii="Amiri" w:hAnsi="Amiri" w:eastAsia="Amiri" w:cs="Amiri"/>
          <w:color w:val="111111"/>
          <w:sz w:val="28"/>
          <w:sz w:val="28"/>
          <w:szCs w:val="28"/>
          <w:rtl w:val="true"/>
          <w:lang w:bidi="ar-SA"/>
        </w:rPr>
        <w:t>إذ فيه ملئت من الأحكام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نغمة هل نغمة سمعت لبيباً أبلجا</w:t>
      </w:r>
    </w:p>
    <w:p>
      <w:pPr>
        <w:pStyle w:val="BookText"/>
        <w:rPr/>
      </w:pPr>
      <w:r>
        <w:rPr>
          <w:rFonts w:ascii="Amiri" w:hAnsi="Amiri" w:eastAsia="Amiri" w:cs="Amiri"/>
          <w:color w:val="111111"/>
          <w:sz w:val="28"/>
          <w:sz w:val="28"/>
          <w:szCs w:val="28"/>
          <w:rtl w:val="true"/>
          <w:lang w:bidi="ar-SA"/>
        </w:rPr>
        <w:t>من عالم وسع الأنام نواله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زكي كاظم عمّن شجا</w:t>
      </w:r>
    </w:p>
    <w:p>
      <w:pPr>
        <w:pStyle w:val="BookText"/>
        <w:rPr/>
      </w:pPr>
      <w:r>
        <w:rPr>
          <w:rFonts w:ascii="Amiri" w:hAnsi="Amiri" w:eastAsia="Amiri" w:cs="Amiri"/>
          <w:color w:val="111111"/>
          <w:sz w:val="28"/>
          <w:sz w:val="28"/>
          <w:szCs w:val="28"/>
          <w:rtl w:val="true"/>
          <w:lang w:bidi="ar-SA"/>
        </w:rPr>
        <w:t>اللوذعي الألمعي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السند السري المرتجى</w:t>
      </w:r>
    </w:p>
    <w:p>
      <w:pPr>
        <w:pStyle w:val="BookText"/>
        <w:rPr/>
      </w:pPr>
      <w:r>
        <w:rPr>
          <w:rFonts w:ascii="Amiri" w:hAnsi="Amiri" w:eastAsia="Amiri" w:cs="Amiri"/>
          <w:color w:val="111111"/>
          <w:sz w:val="28"/>
          <w:sz w:val="28"/>
          <w:szCs w:val="28"/>
          <w:rtl w:val="true"/>
          <w:lang w:bidi="ar-SA"/>
        </w:rPr>
        <w:t>كهف الورى علم الهدى طود 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الندى فحل التقى عين الهجا</w:t>
      </w:r>
    </w:p>
    <w:p>
      <w:pPr>
        <w:pStyle w:val="BookText"/>
        <w:rPr/>
      </w:pPr>
      <w:r>
        <w:rPr>
          <w:rFonts w:ascii="Amiri" w:hAnsi="Amiri" w:eastAsia="Amiri" w:cs="Amiri"/>
          <w:color w:val="111111"/>
          <w:sz w:val="28"/>
          <w:sz w:val="28"/>
          <w:szCs w:val="28"/>
          <w:rtl w:val="true"/>
          <w:lang w:bidi="ar-SA"/>
        </w:rPr>
        <w:t>من ربه سماه باسم خليله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زال محفوظاً بنصر قد سجا</w:t>
      </w:r>
    </w:p>
    <w:p>
      <w:pPr>
        <w:pStyle w:val="BookText"/>
        <w:rPr/>
      </w:pPr>
      <w:r>
        <w:rPr>
          <w:rFonts w:ascii="Amiri" w:hAnsi="Amiri" w:eastAsia="Amiri" w:cs="Amiri"/>
          <w:color w:val="111111"/>
          <w:sz w:val="28"/>
          <w:sz w:val="28"/>
          <w:szCs w:val="28"/>
          <w:rtl w:val="true"/>
          <w:lang w:bidi="ar-SA"/>
        </w:rPr>
        <w:t>جمع السيادة والسعادة ناشئاً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وبسعيه ذا الدين صار مروّجا</w:t>
      </w:r>
    </w:p>
    <w:p>
      <w:pPr>
        <w:pStyle w:val="BookText"/>
        <w:rPr/>
      </w:pPr>
      <w:r>
        <w:rPr>
          <w:rFonts w:ascii="Amiri" w:hAnsi="Amiri" w:eastAsia="Amiri" w:cs="Amiri"/>
          <w:color w:val="111111"/>
          <w:sz w:val="28"/>
          <w:sz w:val="28"/>
          <w:szCs w:val="28"/>
          <w:rtl w:val="true"/>
          <w:lang w:bidi="ar-SA"/>
        </w:rPr>
        <w:t>من لايليق بشأنه مدح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مدحهم في شأنه عين الهجا</w:t>
      </w:r>
    </w:p>
    <w:p>
      <w:pPr>
        <w:pStyle w:val="BookText"/>
        <w:rPr/>
      </w:pPr>
      <w:r>
        <w:rPr>
          <w:rFonts w:ascii="IRNazanin" w:hAnsi="IRNazanin" w:eastAsia="IRNazanin"/>
          <w:color w:val="111111"/>
          <w:sz w:val="28"/>
          <w:sz w:val="28"/>
          <w:szCs w:val="28"/>
          <w:rtl w:val="true"/>
          <w:lang w:bidi="fa-IR"/>
        </w:rPr>
        <w:t>طوبی فطوبى طالباً للعلم 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مرشد للحق خيرا منهجا</w:t>
      </w:r>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جمال دفاتر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هذانتاج عناصر الأخيار</w:t>
      </w:r>
    </w:p>
    <w:p>
      <w:pPr>
        <w:pStyle w:val="BookText"/>
        <w:rPr/>
      </w:pPr>
      <w:r>
        <w:rPr>
          <w:rFonts w:ascii="Amiri" w:hAnsi="Amiri" w:eastAsia="Amiri" w:cs="Amiri"/>
          <w:color w:val="111111"/>
          <w:sz w:val="28"/>
          <w:sz w:val="28"/>
          <w:szCs w:val="28"/>
          <w:rtl w:val="true"/>
          <w:lang w:bidi="ar-SA"/>
        </w:rPr>
        <w:t>هذا سلافة عصرهم من أسرهم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الكفاية عن عنا الأبصار</w:t>
      </w:r>
    </w:p>
    <w:p>
      <w:pPr>
        <w:pStyle w:val="BookText"/>
        <w:rPr/>
      </w:pPr>
      <w:r>
        <w:rPr>
          <w:rFonts w:ascii="Amiri" w:hAnsi="Amiri" w:eastAsia="Amiri" w:cs="Amiri"/>
          <w:color w:val="111111"/>
          <w:sz w:val="28"/>
          <w:sz w:val="28"/>
          <w:szCs w:val="28"/>
          <w:rtl w:val="true"/>
          <w:lang w:bidi="ar-SA"/>
        </w:rPr>
        <w:t>ينبوع مكرمة ودرّ فاخر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 ونهر علم جاري</w:t>
      </w:r>
    </w:p>
    <w:p>
      <w:pPr>
        <w:pStyle w:val="BookText"/>
        <w:rPr/>
      </w:pPr>
      <w:r>
        <w:rPr>
          <w:rFonts w:ascii="Amiri" w:hAnsi="Amiri" w:eastAsia="Amiri" w:cs="Amiri"/>
          <w:color w:val="111111"/>
          <w:sz w:val="28"/>
          <w:sz w:val="28"/>
          <w:szCs w:val="28"/>
          <w:rtl w:val="true"/>
          <w:lang w:bidi="ar-SA"/>
        </w:rPr>
        <w:t>فاق الرسائل في المسائل واحتوى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الأوائل والجديد الطاري</w:t>
      </w:r>
    </w:p>
    <w:p>
      <w:pPr>
        <w:pStyle w:val="BookText"/>
        <w:rPr/>
      </w:pPr>
      <w:r>
        <w:rPr>
          <w:rFonts w:ascii="Amiri" w:hAnsi="Amiri" w:eastAsia="Amiri" w:cs="Amiri"/>
          <w:color w:val="111111"/>
          <w:sz w:val="28"/>
          <w:sz w:val="28"/>
          <w:szCs w:val="28"/>
          <w:rtl w:val="true"/>
          <w:lang w:bidi="ar-SA"/>
        </w:rPr>
        <w:t>حسب الأفاضل في بلوغ مرامهم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رغماً لكل مضلل أخباري</w:t>
      </w:r>
    </w:p>
    <w:p>
      <w:pPr>
        <w:pStyle w:val="BookText"/>
        <w:rPr/>
      </w:pPr>
      <w:r>
        <w:rPr>
          <w:rFonts w:ascii="Amiri" w:hAnsi="Amiri" w:eastAsia="Amiri" w:cs="Amiri"/>
          <w:color w:val="111111"/>
          <w:sz w:val="28"/>
          <w:sz w:val="28"/>
          <w:szCs w:val="28"/>
          <w:rtl w:val="true"/>
          <w:lang w:bidi="ar-SA"/>
        </w:rPr>
        <w:t>هذا هدى ويزيد من لا يهتدي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بهداه رجساً وارداً في النار</w:t>
      </w:r>
    </w:p>
    <w:p>
      <w:pPr>
        <w:pStyle w:val="BookText"/>
        <w:rPr/>
      </w:pPr>
      <w:r>
        <w:rPr>
          <w:rFonts w:ascii="Amiri" w:hAnsi="Amiri" w:eastAsia="Amiri" w:cs="Amiri"/>
          <w:color w:val="111111"/>
          <w:sz w:val="28"/>
          <w:sz w:val="28"/>
          <w:szCs w:val="28"/>
          <w:rtl w:val="true"/>
          <w:lang w:bidi="ar-SA"/>
        </w:rPr>
        <w:t>الفضل مختوم به وختامه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 فذق فنعم عقبى الدار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أفكارهم نصبت موازين الحجى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الكتاب نتائج الأفك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 </w:t>
      </w:r>
    </w:p>
    <w:p>
      <w:pPr>
        <w:pStyle w:val="BookText"/>
        <w:rPr/>
      </w:pPr>
      <w:r>
        <w:rPr>
          <w:rFonts w:ascii="Amiri" w:hAnsi="Amiri" w:eastAsia="Amiri" w:cs="Amiri"/>
          <w:color w:val="111111"/>
          <w:sz w:val="28"/>
          <w:sz w:val="28"/>
          <w:szCs w:val="28"/>
          <w:rtl w:val="true"/>
          <w:lang w:bidi="ar-SA"/>
        </w:rPr>
        <w:t>خير الكلام بيانه الوافي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الحقيقة مصدر الآثار</w:t>
      </w:r>
    </w:p>
    <w:p>
      <w:pPr>
        <w:pStyle w:val="BookText"/>
        <w:rPr/>
      </w:pPr>
      <w:r>
        <w:rPr>
          <w:rFonts w:ascii="Amiri" w:hAnsi="Amiri" w:eastAsia="Amiri" w:cs="Amiri"/>
          <w:color w:val="111111"/>
          <w:sz w:val="28"/>
          <w:sz w:val="28"/>
          <w:szCs w:val="28"/>
          <w:rtl w:val="true"/>
          <w:lang w:bidi="ar-SA"/>
        </w:rPr>
        <w:t>وأدام عرشه وأتحفه 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أهله ويليق بالأبرار</w:t>
      </w:r>
    </w:p>
    <w:p>
      <w:pPr>
        <w:pStyle w:val="BookText"/>
        <w:rPr/>
      </w:pPr>
      <w:r>
        <w:rPr>
          <w:rFonts w:ascii="Amiri" w:hAnsi="Amiri" w:eastAsia="Amiri" w:cs="Amiri"/>
          <w:color w:val="111111"/>
          <w:sz w:val="28"/>
          <w:sz w:val="28"/>
          <w:szCs w:val="28"/>
          <w:rtl w:val="true"/>
          <w:lang w:bidi="ar-SA"/>
        </w:rPr>
        <w:t>وقال صاحب روضات الجنات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جمال دفاتر 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ثمال أفاضل الأدوار</w:t>
      </w:r>
    </w:p>
    <w:p>
      <w:pPr>
        <w:pStyle w:val="BookText"/>
        <w:rPr/>
      </w:pPr>
      <w:r>
        <w:rPr>
          <w:rFonts w:ascii="Amiri" w:hAnsi="Amiri" w:eastAsia="Amiri" w:cs="Amiri"/>
          <w:color w:val="111111"/>
          <w:sz w:val="28"/>
          <w:sz w:val="28"/>
          <w:szCs w:val="28"/>
          <w:rtl w:val="true"/>
          <w:lang w:bidi="ar-SA"/>
        </w:rPr>
        <w:t>هذا سلافة عصرهم من أسرهم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الكفاية عن عنا الأسفار</w:t>
      </w:r>
    </w:p>
    <w:p>
      <w:pPr>
        <w:pStyle w:val="BookText"/>
        <w:rPr/>
      </w:pPr>
      <w:r>
        <w:rPr>
          <w:rFonts w:ascii="Amiri" w:hAnsi="Amiri" w:eastAsia="Amiri" w:cs="Amiri"/>
          <w:color w:val="111111"/>
          <w:sz w:val="28"/>
          <w:sz w:val="28"/>
          <w:szCs w:val="28"/>
          <w:rtl w:val="true"/>
          <w:lang w:bidi="ar-SA"/>
        </w:rPr>
        <w:t>عند الوفد المستفيد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 ونهر علم جار</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الفضل فيه يصدق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اقتفى لفواضل الآثار</w:t>
      </w:r>
    </w:p>
    <w:p>
      <w:pPr>
        <w:pStyle w:val="BookText"/>
        <w:rPr/>
      </w:pPr>
      <w:r>
        <w:rPr>
          <w:rFonts w:ascii="Amiri" w:hAnsi="Amiri" w:eastAsia="Amiri" w:cs="Amiri"/>
          <w:color w:val="111111"/>
          <w:sz w:val="28"/>
          <w:sz w:val="28"/>
          <w:szCs w:val="28"/>
          <w:rtl w:val="true"/>
          <w:lang w:bidi="ar-SA"/>
        </w:rPr>
        <w:t>والحق والتحقيق في صفحاته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كالنجم في فلك البروج الدار</w:t>
      </w:r>
    </w:p>
    <w:p>
      <w:pPr>
        <w:pStyle w:val="BookText"/>
        <w:rPr/>
      </w:pPr>
      <w:r>
        <w:rPr>
          <w:rFonts w:ascii="Amiri" w:hAnsi="Amiri" w:eastAsia="Amiri" w:cs="Amiri"/>
          <w:color w:val="111111"/>
          <w:sz w:val="28"/>
          <w:sz w:val="28"/>
          <w:szCs w:val="28"/>
          <w:rtl w:val="true"/>
          <w:lang w:bidi="ar-SA"/>
        </w:rPr>
        <w:t>فاق الرسائل في المسائل واحتوى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الأوائل والجديد الطاري</w:t>
      </w:r>
    </w:p>
    <w:p>
      <w:pPr>
        <w:pStyle w:val="BookText"/>
        <w:rPr/>
      </w:pPr>
      <w:r>
        <w:rPr>
          <w:rFonts w:ascii="Amiri" w:hAnsi="Amiri" w:eastAsia="Amiri" w:cs="Amiri"/>
          <w:color w:val="111111"/>
          <w:sz w:val="28"/>
          <w:sz w:val="28"/>
          <w:szCs w:val="28"/>
          <w:rtl w:val="true"/>
          <w:lang w:bidi="ar-SA"/>
        </w:rPr>
        <w:t>لا يعتري ظفر الخصومة متنه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بردّ الخصم ردّ خسار</w:t>
      </w:r>
    </w:p>
    <w:p>
      <w:pPr>
        <w:pStyle w:val="BookText"/>
        <w:rPr/>
      </w:pPr>
      <w:r>
        <w:rPr>
          <w:rFonts w:ascii="Amiri" w:hAnsi="Amiri" w:eastAsia="Amiri" w:cs="Amiri"/>
          <w:color w:val="111111"/>
          <w:sz w:val="28"/>
          <w:sz w:val="28"/>
          <w:szCs w:val="28"/>
          <w:rtl w:val="true"/>
          <w:lang w:bidi="ar-SA"/>
        </w:rPr>
        <w:t>عم الخلائق نفعه من حينه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رغماً لكل مخلط أخباري</w:t>
      </w:r>
    </w:p>
    <w:p>
      <w:pPr>
        <w:pStyle w:val="BookText"/>
        <w:rPr/>
      </w:pPr>
      <w:r>
        <w:rPr>
          <w:rFonts w:ascii="Amiri" w:hAnsi="Amiri" w:eastAsia="Amiri" w:cs="Amiri"/>
          <w:color w:val="111111"/>
          <w:sz w:val="28"/>
          <w:sz w:val="28"/>
          <w:szCs w:val="28"/>
          <w:rtl w:val="true"/>
          <w:lang w:bidi="ar-SA"/>
        </w:rPr>
        <w:t>هذا هدى ويزيد من لا يهتدي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بهداه رجساً صالحاً للنار</w:t>
      </w:r>
    </w:p>
    <w:p>
      <w:pPr>
        <w:pStyle w:val="BookText"/>
        <w:rPr/>
      </w:pPr>
      <w:r>
        <w:rPr>
          <w:rFonts w:ascii="Amiri" w:hAnsi="Amiri" w:eastAsia="Amiri" w:cs="Amiri"/>
          <w:color w:val="111111"/>
          <w:sz w:val="28"/>
          <w:sz w:val="28"/>
          <w:szCs w:val="28"/>
          <w:rtl w:val="true"/>
          <w:lang w:bidi="ar-SA"/>
        </w:rPr>
        <w:t>خير الكلام بيانه الوافي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أوصاله لدقائق الأسرار</w:t>
      </w:r>
    </w:p>
    <w:p>
      <w:pPr>
        <w:pStyle w:val="BookText"/>
        <w:rPr/>
      </w:pPr>
      <w:r>
        <w:rPr>
          <w:rFonts w:ascii="Amiri" w:hAnsi="Amiri" w:eastAsia="Amiri" w:cs="Amiri"/>
          <w:color w:val="111111"/>
          <w:sz w:val="28"/>
          <w:sz w:val="28"/>
          <w:szCs w:val="28"/>
          <w:rtl w:val="true"/>
          <w:lang w:bidi="ar-SA"/>
        </w:rPr>
        <w:t>الفضل مختوم به وختامه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 فذق فلنعم عقبى الدار</w:t>
      </w:r>
    </w:p>
    <w:p>
      <w:pPr>
        <w:pStyle w:val="BookText"/>
        <w:rPr/>
      </w:pPr>
      <w:r>
        <w:rPr>
          <w:rFonts w:ascii="Amiri" w:hAnsi="Amiri" w:eastAsia="Amiri" w:cs="Amiri"/>
          <w:color w:val="111111"/>
          <w:sz w:val="28"/>
          <w:sz w:val="28"/>
          <w:szCs w:val="28"/>
          <w:rtl w:val="true"/>
          <w:lang w:bidi="ar-SA"/>
        </w:rPr>
        <w:t>أفكارهم فازت بكل 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 شروحات كتاب نتائج الأفكار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نتائج الأفكار، لأبي الحسن التنكابني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الأنظار أو مصابيح الأنوار في شرح نتائج الأفكار، لمحمد باقر بن زين العابدين اليزدي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نتائج الأفكار للشيخ مهدي الكجوري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نتائج الأفكار لمحمد كريم بن إبراهيم الكرماني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نتائج الأفكار للسيد جعفر الحسيني السبزواري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نتائج الأفكار للشيخ منصور بن محمد أمين الدزفولي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نتائج الأفكار للسيد محمود الحسيني المرعشي، اللاهوري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السراج الوهاج لمحمد جواد بن محمد حسن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نتائج الأفكار لمصطفى بن محمد هادي بن دلدار النقوي، اللكهنوي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نتائج الأفكار، للمولى محمد سميع بن محمد علي اليزدي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نتائج الأفكار ، للعلامة الفاضل المولى حسين الأردكاني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نتائج الأفكار للسيد محمد علي بن السيد محمد الكاشاني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نتائج الأفكار للسيد كاظم بن السيد قاسم الرشتي الحسيني الحائري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موازين الأنظار في شرح نتائج الأفكار للميرزا محمد بن سليمان التنكابني، صاحب قصص العلماء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 السيد محسن الأمين ذكر في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حاشية على نتائج الأفكار للشيخ البهائي</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وهذا اشتباه؛ لأن السيد إبراهيم القزويني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الشيخ البهائي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عمر مبارك قضاه في طاعة الله، ونشر علوم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وحرص على أن لا يفوته شيء مما يقربه إلى الله تعالى وأوليائه، رحل إلى الرفيق الأعلى، بنفس مطمئنة راضية مرضية، وذلك في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وتجدر الإشارة هنا إلى وجود مفارقة غريبة، وهي أن المثبت في النسخة الورقية لكتاب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الأضواء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وفاة المؤلف كانت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المثبت في النسخة الالكترونية للطبعة نفسها في مكتبة أهل البيت الإصدار الأخير أن سنة وفاة المؤلف هي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الكلام بالنسبة إلى كتاب الكنى والألقاب، فالموجود في نسخة جماعة المدرسين أن سنة الوفاة هي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والموجود في نسخة مكتبة الصدر والذي اعتمدته مكتبة أهل البيت الالكترونية أن سنة الوفاة هي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الإشارة في كلا النسختين إلى وجود خلاف في ذلك أو اختلاف في النسخ</w:t>
      </w:r>
    </w:p>
    <w:p>
      <w:pPr>
        <w:pStyle w:val="BookText"/>
        <w:rPr/>
      </w:pPr>
      <w:r>
        <w:rPr>
          <w:rFonts w:ascii="Amiri" w:hAnsi="Amiri" w:eastAsia="Amiri" w:cs="Amiri"/>
          <w:color w:val="111111"/>
          <w:sz w:val="28"/>
          <w:sz w:val="28"/>
          <w:szCs w:val="28"/>
          <w:rtl w:val="true"/>
          <w:lang w:bidi="ar-SA"/>
        </w:rPr>
        <w:t>، في عام الطاعون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فكان يوما عظيماً على الناس ضجوا وداروا بالجنازة في الأزقة بعد أن أطافوها في حرم سيد الشهداء وحرم أخيه أبي الفضل العباس، ولطموا الصدور وشقوا أطراف الأثواب وقرأوا المراثى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ودفن في جنب الصحن في البقعة المخصوصة قرب داره</w:t>
      </w:r>
      <w:r>
        <w:rPr>
          <w:rStyle w:val="FootnoteAnchor"/>
          <w:rtl w:val="true"/>
        </w:rPr>
        <w:footnoteReference w:id="31"/>
      </w:r>
      <w:r>
        <w:rPr>
          <w:rFonts w:ascii="Amiri" w:hAnsi="Amiri" w:eastAsia="Amiri" w:cs="Amiri"/>
          <w:color w:val="111111"/>
          <w:sz w:val="28"/>
          <w:sz w:val="28"/>
          <w:szCs w:val="28"/>
          <w:rtl w:val="true"/>
          <w:lang w:bidi="ar-SA"/>
        </w:rPr>
        <w:t>، ورجع الناس بين باك وناحب ولاطم، وكأن لسان حالهم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خططنا للمعالي مضجعا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ودفنا الدين والدنيا معا</w:t>
      </w:r>
    </w:p>
    <w:p>
      <w:pPr>
        <w:pStyle w:val="BookText"/>
        <w:rPr/>
      </w:pPr>
      <w:r>
        <w:rPr>
          <w:rFonts w:ascii="Amiri" w:hAnsi="Amiri" w:eastAsia="Amiri" w:cs="Amiri"/>
          <w:color w:val="111111"/>
          <w:sz w:val="28"/>
          <w:sz w:val="28"/>
          <w:szCs w:val="28"/>
          <w:rtl w:val="true"/>
          <w:lang w:bidi="ar-SA"/>
        </w:rPr>
        <w:t>وعقدناللمساعي مأتما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ونعينا الفخر فيه أجمعا</w:t>
      </w:r>
    </w:p>
    <w:p>
      <w:pPr>
        <w:pStyle w:val="BookText"/>
        <w:rPr/>
      </w:pPr>
      <w:r>
        <w:rPr>
          <w:rFonts w:ascii="Amiri" w:hAnsi="Amiri" w:eastAsia="Amiri" w:cs="Amiri"/>
          <w:color w:val="111111"/>
          <w:sz w:val="28"/>
          <w:sz w:val="28"/>
          <w:szCs w:val="28"/>
          <w:rtl w:val="true"/>
          <w:lang w:bidi="ar-SA"/>
        </w:rPr>
        <w:t>آه ماذا وارت الارض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رمق العالم فيها أُودعا</w:t>
      </w:r>
    </w:p>
    <w:p>
      <w:pPr>
        <w:pStyle w:val="BookText"/>
        <w:rPr/>
      </w:pPr>
      <w:r>
        <w:rPr>
          <w:rFonts w:ascii="Amiri" w:hAnsi="Amiri" w:eastAsia="Amiri" w:cs="Amiri"/>
          <w:color w:val="111111"/>
          <w:sz w:val="28"/>
          <w:sz w:val="28"/>
          <w:szCs w:val="28"/>
          <w:rtl w:val="true"/>
          <w:lang w:bidi="ar-SA"/>
        </w:rPr>
        <w:t>وارت الشخص الذي في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والأملاك سرنا شرعا</w:t>
      </w:r>
    </w:p>
    <w:p>
      <w:pPr>
        <w:pStyle w:val="BookText"/>
        <w:rPr/>
      </w:pPr>
      <w:r>
        <w:rPr>
          <w:rFonts w:ascii="Amiri" w:hAnsi="Amiri" w:eastAsia="Amiri" w:cs="Amiri"/>
          <w:color w:val="111111"/>
          <w:sz w:val="28"/>
          <w:sz w:val="28"/>
          <w:szCs w:val="28"/>
          <w:rtl w:val="true"/>
          <w:lang w:bidi="ar-SA"/>
        </w:rPr>
        <w:t>صاحب النعش الذي قد رُفعت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 الأرض لما رفعا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حياً وميتاً قد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قدره إلا الرواق الأرفعا </w:t>
      </w:r>
    </w:p>
    <w:p>
      <w:pPr>
        <w:pStyle w:val="BookText"/>
        <w:rPr/>
      </w:pPr>
      <w:r>
        <w:rPr>
          <w:rFonts w:ascii="Amiri" w:hAnsi="Amiri" w:eastAsia="Amiri" w:cs="Amiri"/>
          <w:color w:val="111111"/>
          <w:sz w:val="28"/>
          <w:sz w:val="28"/>
          <w:szCs w:val="28"/>
          <w:rtl w:val="true"/>
          <w:lang w:bidi="ar-SA"/>
        </w:rPr>
        <w:t>عملنا في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عملنا على ثلاث مراحل</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النسخ، فكانت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نسخة كاملة بخط جميل وواضح، يحتمل أنها بخط المؤلف، والصحيح أنها بخط تلميذه المقرب الشيخ عبد السميع اليزدي، نسخها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حياة المؤلف، عليها تصحيحات وهوامش وقليل من الشطب، وقد صدّرها بفهرس لمطالبها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النسخة مهداة من مكتبة السيد محمد المشكاة، ومحفوظة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مكتبة أمير المؤمنين علیه السلام في النجف الأشرف، وهي أيضاً نسخة كاملة بخط جميل وواضح كاتبها السيد محمد بن محمود سنة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حياة المؤلف، وقد كتبها عن نسخة تلميذ المؤلف الشيخ عبد السميع اليزدي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فيها سقط كثير، وفي بعض الأحيان هناك تقديم وتأخير في العبارات، مما جعلها مبهمة ومشوشة كما في مبحث الاستصحاب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مصدّرة بمقدّمة للشيخ عبد السميع، وفهرس لمطالب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النسخة مهداة من قبل العلّامة الكبير حسين على محفوظ الله إلى مكتبة أمير المؤمنين العامة، وهي محفوظة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كاشف الغطاء العامة في النجف الأشرف، وهي أيضاً نسخة كاملة بخط جميل وواضح قد تكون مسوّدة كتبت بيد المؤلف 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سقط كثير ، وعلى النسخة ختم للشيخ علي بن محمد رضا بن موسى بن جعفر كاشف الغطاء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محفوظة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هذه المرحلة قمنا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جمع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بدراستها ومقارنتها فيما بينها وايضا مع نسخ أخر</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نسخة العتبة الرضوية ذات الرقم </w:t>
      </w:r>
      <w:r>
        <w:rPr>
          <w:rFonts w:eastAsia="Amiri" w:cs="Amiri" w:ascii="Amiri" w:hAnsi="Amiri"/>
          <w:color w:val="111111"/>
          <w:sz w:val="28"/>
          <w:szCs w:val="28"/>
          <w:lang w:bidi="ar-SA"/>
        </w:rPr>
        <w:t>33611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نسخة مدرسة الصدر الأعظم ذات الرقم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مكتبة مجلس الشورى الإسلامي ذات الرقم </w:t>
      </w:r>
      <w:r>
        <w:rPr>
          <w:rFonts w:eastAsia="Amiri" w:cs="Amiri" w:ascii="Amiri" w:hAnsi="Amiri"/>
          <w:color w:val="111111"/>
          <w:sz w:val="28"/>
          <w:szCs w:val="28"/>
          <w:lang w:bidi="ar-SA"/>
        </w:rPr>
        <w:t>15974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نسخة مكتبة مجلس الشورى الإسلامي ذات الرقم </w:t>
      </w:r>
      <w:r>
        <w:rPr>
          <w:rFonts w:eastAsia="Amiri" w:cs="Amiri" w:ascii="Amiri" w:hAnsi="Amiri"/>
          <w:color w:val="111111"/>
          <w:sz w:val="28"/>
          <w:szCs w:val="28"/>
          <w:lang w:bidi="ar-SA"/>
        </w:rPr>
        <w:t>5896/1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نسخة مكتبة مجلس الشورى الإسلامى ذات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نسخة مكتبة مجلس الشورى الإسلامي ذات الرقم </w:t>
      </w:r>
      <w:r>
        <w:rPr>
          <w:rFonts w:eastAsia="Amiri" w:cs="Amiri" w:ascii="Amiri" w:hAnsi="Amiri"/>
          <w:color w:val="111111"/>
          <w:sz w:val="28"/>
          <w:szCs w:val="28"/>
          <w:lang w:bidi="ar-SA"/>
        </w:rPr>
        <w:t>1208/4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استبعدناها جميعاً؛ لكثرة الأخطاء فيها والسقط والشطب، وعدم تمامية بعضها</w:t>
      </w:r>
    </w:p>
    <w:p>
      <w:pPr>
        <w:pStyle w:val="BookText"/>
        <w:rPr/>
      </w:pPr>
      <w:r>
        <w:rPr>
          <w:rFonts w:ascii="Amiri" w:hAnsi="Amiri" w:eastAsia="Amiri" w:cs="Amiri"/>
          <w:color w:val="111111"/>
          <w:sz w:val="28"/>
          <w:sz w:val="28"/>
          <w:szCs w:val="28"/>
          <w:rtl w:val="true"/>
          <w:lang w:bidi="ar-SA"/>
        </w:rPr>
        <w:t>غيرها، ترجح أن تكون نسخة جامعة طهران هي الأصل؛ لكونها كاملة تامة خالية من السقط والنقص ، مع التصحيح والتنقيح والهوامش المناسبة، مما رجحها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الفني، وفي هذه المرحلة قمنا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المقابلة بين النسخ الثلاث المختارة، وتأشير الفروقات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النص الأصلي، وضبطه وفق ما تقتضيه القواعد الإملائية، مع إجراء التقطيعات المناسبة، وقد وضعت ما أراه مناسباً بين معقوفتين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يقتضيه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وأشير هنا إلى أنني قد أعرضت عن تغيير بعض ما وقع فيه المؤلف الله مما لا يخل بالمعنى، من قبيل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كثيرة ، في حين أن الأنسب والأصح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بدلها، وكذا العكس، فلم أرغب في إثقال الهوامش بمثل هذه الموارد الواضحة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الآيات القرآنية والروايات الشريفة وأقوال العلماء ومعاني بعض الألفاظ من مصادرها الأصلية مهما أمكن، ومع عدم التمكن منها اعتمدنا المصادر الثانوية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العنوانات المناسبة لكل أصل من أصول الكتاب، معتمداً في ذلك على ما ذكره تلميذ المؤلف الشيخ عبد السميع اليزدي في نسخته، بالإضافة إلى وضع العنوانات الفرعية التي أرى مناسبتها ، كل ذلك بين معقوفتين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العلمي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الكتاب اختصاراً لكتاب المؤلّف الكبير ضوابط الأصول، مما انعكس على غموض العبارات فيه، وجعل منها في بعض الأحيان أشبه بتراكيب مغلقة ومبهمة، مما اضطر تلامذة المؤلف إلى وضع الشروح الكبيرة والكثيرة عليه، كان من المناسب الاعتماد على أصل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مشكله وتوضيح غامضه، فعمدت إلى ذلك ولم أعتمد على غيره في هذه المهمة إلا ما ندر، فكان الأصل والتوضيح كلاهما من رشحات فيض يراع المؤلف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أتوجه بالشكر الجزيل والثناء الجميل لكل من أسهم في إنجاز تحقيق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وأخص بالذكر إدارة مركز تحقيق تراث سامراء التابع للعتبة العسكرية المقدسة، متمثلة بالمشرف العام على المركز سماحة الشيخ كريم 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لتوفير نسخ الكتاب المخطوطة، وتيسير الوصول إليها ومتابعته الدقيقة للعمل من بدايته حتى نهايته، وكادر المركز خصوصاً كادر شعبة التحقيق؛ لما بذلوه من جهد حثيث في متابعة العمل وإبداء الملحوظات اللازمة، وكذلك شكري لسماحة السيد علي الحيدري الذي أسهم في مقابلة بعض النسخ والشيخ يحيى العتابي لمتابعة ترجمة المؤلف، وإليك إيها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ترجمة المؤلف والمقدمة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 للسيد محسن الأمين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،زنجان، للسيد إبراهيم الزنجاني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تراث كربلاء للسيد سلمان هادي 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تراجم مشاهير علماء الهند للسيد علي نقي النقوي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تكملة أمل الآمل، للسيد حسن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 للشيخ آقا 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للخوانساري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 البررة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آقا بزرك الطهراني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الفقهاء، مؤسسة الإمام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العبقات العنبرية، للشيخ محمد حسين كاشف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العلماء، للميرزا محمد بن سليمان التنكابني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معارف الرجال للشيخ محمد حرز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 لعمر رضا كحالة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مؤلفي الإمامية، لمجموعة من المؤلفين</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دِيوَانُ الوَقفِ الشِّیعِيِ</w:t>
      </w:r>
    </w:p>
    <w:p>
      <w:pPr>
        <w:pStyle w:val="BookText"/>
        <w:rPr/>
      </w:pPr>
      <w:r>
        <w:rPr>
          <w:rFonts w:ascii="Amiri" w:hAnsi="Amiri" w:eastAsia="Amiri" w:cs="Amiri"/>
          <w:color w:val="111111"/>
          <w:sz w:val="28"/>
          <w:sz w:val="28"/>
          <w:szCs w:val="28"/>
          <w:rtl w:val="true"/>
          <w:lang w:bidi="ar-SA"/>
        </w:rPr>
        <w:t>العَتَبَةُ العَسکَرِّيَةُ المُقَدَّسَةُ</w:t>
      </w:r>
    </w:p>
    <w:p>
      <w:pPr>
        <w:pStyle w:val="BookText"/>
        <w:rPr/>
      </w:pPr>
      <w:r>
        <w:rPr>
          <w:rFonts w:ascii="Amiri" w:hAnsi="Amiri" w:eastAsia="Amiri" w:cs="Amiri"/>
          <w:color w:val="111111"/>
          <w:sz w:val="28"/>
          <w:sz w:val="28"/>
          <w:szCs w:val="28"/>
          <w:rtl w:val="true"/>
          <w:lang w:bidi="ar-SA"/>
        </w:rPr>
        <w:t xml:space="preserve">سِلسِلَةُ اِصَدَارَاتٌ مَا كَتِبَ فِي سَامَرَاء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نتائج الأفكار</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الأُصُولِي الفَذ المُحقق السَّيّد ابرَاهِيم المُوسَوِي القَزوِينِي</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الشيخ ستار الجيزاني</w:t>
      </w:r>
    </w:p>
    <w:p>
      <w:pPr>
        <w:pStyle w:val="BookText"/>
        <w:rPr/>
      </w:pPr>
      <w:r>
        <w:rPr>
          <w:rFonts w:ascii="Amiri" w:hAnsi="Amiri" w:eastAsia="Amiri" w:cs="Amiri"/>
          <w:color w:val="111111"/>
          <w:sz w:val="28"/>
          <w:sz w:val="28"/>
          <w:szCs w:val="28"/>
          <w:rtl w:val="true"/>
          <w:lang w:bidi="ar-SA"/>
        </w:rPr>
        <w:t>مُراجعة وتدقيق</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مَرکَزُ ثُرَاثِ السَّامِّرَاء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015_97422"/>
      <w:bookmarkStart w:id="18" w:name="pg9015_97422"/>
      <w:bookmarkEnd w:id="18"/>
    </w:p>
    <w:p>
      <w:pPr>
        <w:pStyle w:val="Heading2"/>
        <w:numPr>
          <w:ilvl w:val="1"/>
          <w:numId w:val="1"/>
        </w:numPr>
        <w:rPr/>
      </w:pPr>
      <w:bookmarkStart w:id="19" w:name="pg9015_97422"/>
      <w:bookmarkStart w:id="20" w:name="__RefHeading___Toc2001311_2870459653"/>
      <w:bookmarkStart w:id="21" w:name="_Toc5"/>
      <w:bookmarkEnd w:id="19"/>
      <w:bookmarkEnd w:id="20"/>
      <w:r>
        <w:rPr>
          <w:rtl w:val="true"/>
        </w:rPr>
        <w:t>مقدمة المصنّف</w:t>
      </w:r>
      <w:r>
        <w:rPr>
          <w:rtl w:val="true"/>
        </w:rPr>
        <w:t>:</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هدانا بترتيب</w:t>
      </w:r>
      <w:r>
        <w:rPr>
          <w:rStyle w:val="FootnoteAnchor"/>
          <w:rtl w:val="true"/>
        </w:rPr>
        <w:footnoteReference w:id="33"/>
      </w:r>
      <w:r>
        <w:rPr>
          <w:rFonts w:ascii="Amiri" w:hAnsi="Amiri" w:eastAsia="Amiri" w:cs="Amiri"/>
          <w:color w:val="111111"/>
          <w:sz w:val="28"/>
          <w:sz w:val="28"/>
          <w:szCs w:val="28"/>
          <w:rtl w:val="true"/>
          <w:lang w:bidi="ar-SA"/>
        </w:rPr>
        <w:t>عوائد موائد الأيادي إلى نهاية معارج الأفهام، وأرشدنا بتهذيب فرائد</w:t>
      </w:r>
      <w:r>
        <w:rPr>
          <w:rStyle w:val="FootnoteAnchor"/>
          <w:rtl w:val="true"/>
        </w:rPr>
        <w:footnoteReference w:id="34"/>
      </w:r>
      <w:r>
        <w:rPr>
          <w:rFonts w:ascii="Amiri" w:hAnsi="Amiri" w:eastAsia="Amiri" w:cs="Amiri"/>
          <w:color w:val="111111"/>
          <w:sz w:val="28"/>
          <w:sz w:val="28"/>
          <w:szCs w:val="28"/>
          <w:rtl w:val="true"/>
          <w:lang w:bidi="ar-SA"/>
        </w:rPr>
        <w:t>فوائد المبادئ إلى غاية مناهج الحلال والحرام، ووفقنا لتحصيل فصول ضوابط الأصول بإتقان قوانين شريعة سيّد الأنام، وبلغنا إلى غاية المأمول ونهاية المسئول بإحكام دلائل الأحكام والصلاة والسلام على من أرسل لتمهيد قواعد الدين، وتشييد معالم الإسلام وآله وأصحابه المعصومين</w:t>
      </w:r>
      <w:r>
        <w:rPr>
          <w:rStyle w:val="FootnoteAnchor"/>
          <w:rtl w:val="true"/>
        </w:rPr>
        <w:footnoteReference w:id="35"/>
      </w:r>
      <w:r>
        <w:rPr>
          <w:rFonts w:ascii="Amiri" w:hAnsi="Amiri" w:eastAsia="Amiri" w:cs="Amiri"/>
          <w:color w:val="111111"/>
          <w:sz w:val="28"/>
          <w:sz w:val="28"/>
          <w:szCs w:val="28"/>
          <w:rtl w:val="true"/>
          <w:lang w:bidi="ar-SA"/>
        </w:rPr>
        <w:t>، مفاتيح الرحمة، ومصابيح الظلام</w:t>
      </w:r>
    </w:p>
    <w:p>
      <w:pPr>
        <w:pStyle w:val="BookText"/>
        <w:rPr/>
      </w:pPr>
      <w:r>
        <w:rPr>
          <w:rFonts w:ascii="IRNazanin" w:hAnsi="IRNazanin" w:eastAsia="IRNazanin"/>
          <w:color w:val="111111"/>
          <w:sz w:val="28"/>
          <w:sz w:val="28"/>
          <w:szCs w:val="28"/>
          <w:rtl w:val="true"/>
          <w:lang w:bidi="fa-IR"/>
        </w:rPr>
        <w:t>أما بعد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الرّاجي عفو ربه الكريم عبده الموسوي إبراهيم، عفا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بعد ما انتخبت مما كنت حررته سابقاً من المسائل الأصولية، ومباني الأحكام الشرعية الفرعيّة، كتاب ضوابط الأصول؛ إجابة لمسئول بعض الفحول، ورأيت كثرة </w:t>
      </w:r>
      <w:r>
        <w:rPr>
          <w:rStyle w:val="FootnoteAnchor"/>
          <w:rtl w:val="true"/>
        </w:rPr>
        <w:footnoteReference w:id="36"/>
      </w:r>
      <w:r>
        <w:rPr>
          <w:rFonts w:ascii="Amiri" w:hAnsi="Amiri" w:eastAsia="Amiri" w:cs="Amiri"/>
          <w:color w:val="111111"/>
          <w:sz w:val="28"/>
          <w:sz w:val="28"/>
          <w:szCs w:val="28"/>
          <w:rtl w:val="true"/>
          <w:lang w:bidi="ar-SA"/>
        </w:rPr>
        <w:t>رغبة المشتغلين في إدراك مطالبه، وشدّة ميل المحصلين إلى فهم مسائله؛ لاشتماله على فرائد فوائد لم يحم حولها أحد، واحتوائه على عوائد موائد لم يدم لضبطها مدد، بيد أنه كان لبسطه بعض الهمم قاصراً عن الوصول إلى غوامض حقائقه</w:t>
      </w:r>
      <w:r>
        <w:rPr>
          <w:rStyle w:val="FootnoteAnchor"/>
          <w:rtl w:val="true"/>
        </w:rPr>
        <w:footnoteReference w:id="37"/>
      </w:r>
      <w:r>
        <w:rPr>
          <w:rFonts w:ascii="IRNazanin" w:hAnsi="IRNazanin" w:eastAsia="IRNazanin"/>
          <w:color w:val="111111"/>
          <w:sz w:val="28"/>
          <w:sz w:val="28"/>
          <w:szCs w:val="28"/>
          <w:rtl w:val="true"/>
          <w:lang w:bidi="fa-IR"/>
        </w:rPr>
        <w:t xml:space="preserve">، والبلوغ إلى مغالق </w:t>
      </w:r>
    </w:p>
    <w:p>
      <w:pPr>
        <w:pStyle w:val="BookText"/>
        <w:rPr/>
      </w:pPr>
      <w:r>
        <w:rPr>
          <w:rFonts w:ascii="IRNazanin" w:hAnsi="IRNazanin" w:eastAsia="IRNazanin"/>
          <w:color w:val="111111"/>
          <w:sz w:val="28"/>
          <w:sz w:val="28"/>
          <w:szCs w:val="28"/>
          <w:rtl w:val="true"/>
          <w:lang w:bidi="fa-IR"/>
        </w:rPr>
        <w:t>دقائقه</w:t>
      </w:r>
      <w:r>
        <w:rPr>
          <w:rStyle w:val="FootnoteAnchor"/>
          <w:rtl w:val="true"/>
        </w:rPr>
        <w:footnoteReference w:id="38"/>
      </w:r>
      <w:r>
        <w:rPr>
          <w:rFonts w:ascii="Amiri" w:hAnsi="Amiri" w:eastAsia="Amiri" w:cs="Amiri"/>
          <w:color w:val="111111"/>
          <w:sz w:val="28"/>
          <w:sz w:val="28"/>
          <w:szCs w:val="28"/>
          <w:rtl w:val="true"/>
          <w:lang w:bidi="ar-SA"/>
        </w:rPr>
        <w:t xml:space="preserve">، سنح ببالي الفاتر أن أشمّر عن ساعد الاجتهاد ثانياً، وأستأنف العمل لا كسلاً ولا متوانياً، بتصنيف وجيزة تشتمل على أمهات </w:t>
      </w:r>
      <w:r>
        <w:rPr>
          <w:rStyle w:val="FootnoteAnchor"/>
          <w:rtl w:val="true"/>
        </w:rPr>
        <w:footnoteReference w:id="39"/>
      </w:r>
      <w:r>
        <w:rPr>
          <w:rFonts w:ascii="Amiri" w:hAnsi="Amiri" w:eastAsia="Amiri" w:cs="Amiri"/>
          <w:color w:val="111111"/>
          <w:sz w:val="28"/>
          <w:sz w:val="28"/>
          <w:szCs w:val="28"/>
          <w:rtl w:val="true"/>
          <w:lang w:bidi="ar-SA"/>
        </w:rPr>
        <w:t>مسائل الأصول، وتأليف مختصر يحتوي كل أصل منه على ما لا يحتوي عليه أبواب ولا فصول محترزاً عن الإيجاز المخلّ، والاطناب ،الممل، مبالغاً في الاختصار، مدرجا</w:t>
      </w:r>
      <w:r>
        <w:rPr>
          <w:rStyle w:val="FootnoteAnchor"/>
          <w:rtl w:val="true"/>
        </w:rPr>
        <w:footnoteReference w:id="40"/>
      </w:r>
      <w:r>
        <w:rPr>
          <w:rFonts w:ascii="Amiri" w:hAnsi="Amiri" w:eastAsia="Amiri" w:cs="Amiri"/>
          <w:color w:val="111111"/>
          <w:sz w:val="28"/>
          <w:sz w:val="28"/>
          <w:szCs w:val="28"/>
          <w:rtl w:val="true"/>
          <w:lang w:bidi="ar-SA"/>
        </w:rPr>
        <w:t>فيه من المطالب الأبكار ، ما لم ينل إليها أيدي أولي الأبصار ، وسميته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الأفكار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راجياً أن يكون بمحل من القبول عند أهل العقول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ورتّبته على مقدمة، وخاتمة، وأصول</w:t>
      </w:r>
      <w:r>
        <w:rPr>
          <w:rFonts w:eastAsia="Amiri" w:cs="Amiri" w:ascii="Amiri" w:hAnsi="Amiri"/>
          <w:color w:val="111111"/>
          <w:sz w:val="28"/>
          <w:szCs w:val="28"/>
          <w:rtl w:val="true"/>
          <w:lang w:bidi="ar-SA"/>
        </w:rPr>
        <w:t xml:space="preserve">. </w:t>
      </w:r>
      <w:bookmarkStart w:id="22" w:name="pg9015_97424"/>
    </w:p>
    <w:p>
      <w:pPr>
        <w:pStyle w:val="Heading2"/>
        <w:numPr>
          <w:ilvl w:val="1"/>
          <w:numId w:val="1"/>
        </w:numPr>
        <w:rPr/>
      </w:pPr>
      <w:bookmarkStart w:id="23" w:name="__RefHeading___Toc2001313_2870459653"/>
      <w:bookmarkStart w:id="24" w:name="_Toc6"/>
      <w:bookmarkEnd w:id="22"/>
      <w:bookmarkEnd w:id="23"/>
      <w:r>
        <w:rPr>
          <w:rtl w:val="true"/>
        </w:rPr>
        <w:t>اما المقدمة</w:t>
      </w:r>
      <w:bookmarkEnd w:id="24"/>
    </w:p>
    <w:p>
      <w:pPr>
        <w:pStyle w:val="Heading3"/>
        <w:numPr>
          <w:ilvl w:val="2"/>
          <w:numId w:val="1"/>
        </w:numPr>
        <w:rPr/>
      </w:pPr>
      <w:bookmarkStart w:id="25" w:name="__RefHeading___Toc2001315_2870459653"/>
      <w:bookmarkStart w:id="26" w:name="_Toc7"/>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أما</w:t>
      </w:r>
      <w:r>
        <w:rPr>
          <w:rStyle w:val="FootnoteAnchor"/>
          <w:rtl w:val="true"/>
        </w:rPr>
        <w:footnoteReference w:id="41"/>
      </w:r>
      <w:r>
        <w:rPr>
          <w:rFonts w:ascii="Amiri" w:hAnsi="Amiri" w:eastAsia="Amiri" w:cs="Amiri"/>
          <w:color w:val="111111"/>
          <w:sz w:val="28"/>
          <w:sz w:val="28"/>
          <w:szCs w:val="28"/>
          <w:rtl w:val="true"/>
          <w:lang w:bidi="ar-SA"/>
        </w:rPr>
        <w:t>المقدّمة</w:t>
      </w:r>
    </w:p>
    <w:p>
      <w:pPr>
        <w:pStyle w:val="Heading3"/>
        <w:numPr>
          <w:ilvl w:val="2"/>
          <w:numId w:val="1"/>
        </w:numPr>
        <w:rPr/>
      </w:pPr>
      <w:bookmarkStart w:id="27" w:name="__RefHeading___Toc2001317_2870459653"/>
      <w:bookmarkStart w:id="28" w:name="_Toc8"/>
      <w:bookmarkEnd w:id="27"/>
      <w:r>
        <w:rPr>
          <w:rtl w:val="true"/>
        </w:rPr>
        <w:t>[</w:t>
      </w:r>
      <w:r>
        <w:rPr>
          <w:rtl w:val="true"/>
        </w:rPr>
        <w:t>في تعريف العلم وفائدته وموضوعه</w:t>
      </w:r>
      <w:r>
        <w:rPr>
          <w:rtl w:val="true"/>
        </w:rPr>
        <w:t>]</w:t>
      </w:r>
      <w:bookmarkEnd w:id="28"/>
    </w:p>
    <w:p>
      <w:pPr>
        <w:pStyle w:val="BookText"/>
        <w:rPr/>
      </w:pPr>
      <w:r>
        <w:rPr>
          <w:rFonts w:ascii="Amiri" w:hAnsi="Amiri" w:eastAsia="Amiri" w:cs="Amiri"/>
          <w:color w:val="111111"/>
          <w:sz w:val="28"/>
          <w:sz w:val="28"/>
          <w:szCs w:val="28"/>
          <w:rtl w:val="true"/>
          <w:lang w:bidi="ar-SA"/>
        </w:rPr>
        <w:t>فاعلم أن أصول الفقه عَلَم لهذا العلم، ومعرفته من جهة الإضافة تتوقف على معرفة جزئيه</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001319_2870459653"/>
      <w:bookmarkStart w:id="30" w:name="_Toc9"/>
      <w:bookmarkEnd w:id="29"/>
      <w:r>
        <w:rPr>
          <w:rtl w:val="true"/>
        </w:rPr>
        <w:t>[</w:t>
      </w:r>
      <w:r>
        <w:rPr>
          <w:rtl w:val="true"/>
        </w:rPr>
        <w:t>معنى الأصل</w:t>
      </w:r>
      <w:r>
        <w:rPr>
          <w:rtl w:val="true"/>
        </w:rPr>
        <w:t>]</w:t>
      </w:r>
      <w:bookmarkEnd w:id="30"/>
    </w:p>
    <w:p>
      <w:pPr>
        <w:pStyle w:val="BookText"/>
        <w:rPr/>
      </w:pPr>
      <w:r>
        <w:rPr>
          <w:rFonts w:ascii="Amiri" w:hAnsi="Amiri" w:eastAsia="Amiri" w:cs="Amiri"/>
          <w:color w:val="111111"/>
          <w:sz w:val="28"/>
          <w:sz w:val="28"/>
          <w:szCs w:val="28"/>
          <w:rtl w:val="true"/>
          <w:lang w:bidi="ar-SA"/>
        </w:rPr>
        <w:t xml:space="preserve">فالأصل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يبتنى عليه الشيء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القاعدة، والراجح ، والدليل، والاستصحاب</w:t>
      </w:r>
      <w:r>
        <w:rPr>
          <w:rStyle w:val="FootnoteAnchor"/>
          <w:rtl w:val="true"/>
        </w:rPr>
        <w:footnoteReference w:id="43"/>
      </w:r>
      <w:r>
        <w:rPr>
          <w:rFonts w:ascii="Amiri" w:hAnsi="Amiri" w:eastAsia="Amiri" w:cs="Amiri"/>
          <w:color w:val="111111"/>
          <w:sz w:val="28"/>
          <w:sz w:val="28"/>
          <w:szCs w:val="28"/>
          <w:rtl w:val="true"/>
          <w:lang w:bidi="ar-SA"/>
        </w:rPr>
        <w:t>مشترك بينها لفظاً؛ لفقد الجامع القريب</w:t>
      </w:r>
      <w:r>
        <w:rPr>
          <w:rStyle w:val="FootnoteAnchor"/>
          <w:rtl w:val="true"/>
        </w:rPr>
        <w:footnoteReference w:id="44"/>
      </w:r>
      <w:r>
        <w:rPr>
          <w:rFonts w:ascii="Amiri" w:hAnsi="Amiri" w:eastAsia="Amiri" w:cs="Amiri"/>
          <w:color w:val="111111"/>
          <w:sz w:val="28"/>
          <w:sz w:val="28"/>
          <w:szCs w:val="28"/>
          <w:rtl w:val="true"/>
          <w:lang w:bidi="ar-SA"/>
        </w:rPr>
        <w:t>والمناسبة</w:t>
      </w:r>
      <w:r>
        <w:rPr>
          <w:rStyle w:val="FootnoteAnchor"/>
          <w:rtl w:val="true"/>
        </w:rPr>
        <w:footnoteReference w:id="45"/>
      </w:r>
      <w:r>
        <w:rPr>
          <w:rFonts w:ascii="Amiri" w:hAnsi="Amiri" w:eastAsia="Amiri" w:cs="Amiri"/>
          <w:color w:val="111111"/>
          <w:sz w:val="28"/>
          <w:sz w:val="28"/>
          <w:szCs w:val="28"/>
          <w:rtl w:val="true"/>
          <w:lang w:bidi="ar-SA"/>
        </w:rPr>
        <w:t>، ولعدم صحة السلب، والتبادر الذي الأصل فيه كونه وضعياً اشتراكاً تعيّنياً</w:t>
      </w:r>
      <w:r>
        <w:rPr>
          <w:rStyle w:val="FootnoteAnchor"/>
          <w:rtl w:val="true"/>
        </w:rPr>
        <w:footnoteReference w:id="46"/>
      </w:r>
      <w:r>
        <w:rPr>
          <w:rFonts w:ascii="Amiri" w:hAnsi="Amiri" w:eastAsia="Amiri" w:cs="Amiri"/>
          <w:color w:val="111111"/>
          <w:sz w:val="28"/>
          <w:sz w:val="28"/>
          <w:szCs w:val="28"/>
          <w:rtl w:val="true"/>
          <w:lang w:bidi="ar-SA"/>
        </w:rPr>
        <w:t>لأصالة التأخر، وعدم تعدد وضع الواضع</w:t>
      </w:r>
      <w:r>
        <w:rPr>
          <w:rFonts w:eastAsia="Amiri" w:cs="Amiri" w:ascii="Amiri" w:hAnsi="Amiri"/>
          <w:color w:val="111111"/>
          <w:sz w:val="28"/>
          <w:szCs w:val="28"/>
          <w:rtl w:val="true"/>
          <w:lang w:bidi="ar-SA"/>
        </w:rPr>
        <w:t xml:space="preserve">. </w:t>
      </w:r>
      <w:bookmarkStart w:id="31" w:name="pg9015_97425"/>
    </w:p>
    <w:p>
      <w:pPr>
        <w:pStyle w:val="Heading3"/>
        <w:numPr>
          <w:ilvl w:val="2"/>
          <w:numId w:val="1"/>
        </w:numPr>
        <w:rPr/>
      </w:pPr>
      <w:bookmarkStart w:id="32" w:name="__RefHeading___Toc2001321_2870459653"/>
      <w:bookmarkStart w:id="33" w:name="_Toc10"/>
      <w:bookmarkEnd w:id="31"/>
      <w:bookmarkEnd w:id="32"/>
      <w:r>
        <w:rPr>
          <w:rtl w:val="true"/>
        </w:rPr>
        <w:t>[</w:t>
      </w:r>
      <w:r>
        <w:rPr>
          <w:rtl w:val="true"/>
        </w:rPr>
        <w:t>معنى الفقه</w:t>
      </w:r>
      <w:r>
        <w:rPr>
          <w:rtl w:val="true"/>
        </w:rPr>
        <w:t>]</w:t>
      </w:r>
      <w:bookmarkEnd w:id="33"/>
    </w:p>
    <w:p>
      <w:pPr>
        <w:pStyle w:val="BookText"/>
        <w:rPr/>
      </w:pPr>
      <w:r>
        <w:rPr>
          <w:rFonts w:ascii="Amiri" w:hAnsi="Amiri" w:eastAsia="Amiri" w:cs="Amiri"/>
          <w:color w:val="111111"/>
          <w:sz w:val="28"/>
          <w:sz w:val="28"/>
          <w:szCs w:val="28"/>
          <w:rtl w:val="true"/>
          <w:lang w:bidi="ar-SA"/>
        </w:rPr>
        <w:t>والفقه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w:t>
      </w:r>
      <w:r>
        <w:rPr>
          <w:rStyle w:val="FootnoteAnchor"/>
          <w:rtl w:val="true"/>
        </w:rPr>
        <w:footnoteReference w:id="47"/>
      </w:r>
      <w:r>
        <w:rPr>
          <w:rFonts w:ascii="Amiri" w:hAnsi="Amiri" w:eastAsia="Amiri" w:cs="Amiri"/>
          <w:color w:val="111111"/>
          <w:sz w:val="28"/>
          <w:sz w:val="28"/>
          <w:szCs w:val="28"/>
          <w:rtl w:val="true"/>
          <w:lang w:bidi="ar-SA"/>
        </w:rPr>
        <w:t>الذي هو أعم من العلم من وجه</w:t>
      </w:r>
      <w:r>
        <w:rPr>
          <w:rStyle w:val="FootnoteAnchor"/>
          <w:rtl w:val="true"/>
        </w:rPr>
        <w:footnoteReference w:id="48"/>
      </w:r>
      <w:r>
        <w:rPr>
          <w:rFonts w:ascii="IRNazanin" w:hAnsi="IRNazanin" w:eastAsia="IRNazanin"/>
          <w:color w:val="111111"/>
          <w:sz w:val="28"/>
          <w:sz w:val="28"/>
          <w:szCs w:val="28"/>
          <w:rtl w:val="true"/>
          <w:lang w:bidi="fa-IR"/>
        </w:rPr>
        <w:t>، ومن</w:t>
      </w:r>
      <w:r>
        <w:rPr>
          <w:rStyle w:val="FootnoteAnchor"/>
          <w:rtl w:val="true"/>
        </w:rPr>
        <w:footnoteReference w:id="49"/>
      </w:r>
      <w:r>
        <w:rPr>
          <w:rFonts w:ascii="IRNazanin" w:hAnsi="IRNazanin" w:eastAsia="IRNazanin"/>
          <w:color w:val="111111"/>
          <w:sz w:val="28"/>
          <w:sz w:val="28"/>
          <w:szCs w:val="28"/>
          <w:rtl w:val="true"/>
          <w:lang w:bidi="fa-IR"/>
        </w:rPr>
        <w:t>جعله</w:t>
      </w:r>
      <w:r>
        <w:rPr>
          <w:rStyle w:val="FootnoteAnchor"/>
          <w:rtl w:val="true"/>
        </w:rPr>
        <w:footnoteReference w:id="50"/>
      </w:r>
      <w:r>
        <w:rPr>
          <w:rFonts w:ascii="IRNazanin" w:hAnsi="IRNazanin" w:eastAsia="IRNazanin"/>
          <w:color w:val="111111"/>
          <w:sz w:val="28"/>
          <w:sz w:val="28"/>
          <w:szCs w:val="28"/>
          <w:rtl w:val="true"/>
          <w:lang w:bidi="fa-IR"/>
        </w:rPr>
        <w:t>بمعنى العلم لعله زعم ترادفها</w:t>
      </w:r>
      <w:r>
        <w:rPr>
          <w:rStyle w:val="FootnoteAnchor"/>
          <w:rtl w:val="true"/>
        </w:rPr>
        <w:footnoteReference w:id="51"/>
      </w:r>
      <w:r>
        <w:rPr>
          <w:rFonts w:ascii="Amiri" w:hAnsi="Amiri" w:eastAsia="Amiri" w:cs="Amiri"/>
          <w:color w:val="111111"/>
          <w:sz w:val="28"/>
          <w:sz w:val="28"/>
          <w:szCs w:val="28"/>
          <w:rtl w:val="true"/>
          <w:lang w:bidi="ar-SA"/>
        </w:rPr>
        <w:t>، لكن العرف يأباه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واصطلاحاً هو العلم بالأحكام الشرعية الفرعية عن أدلتها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بالعلم خصوص التصديق؛ للتبادر لا التصور</w:t>
      </w:r>
      <w:r>
        <w:rPr>
          <w:rStyle w:val="FootnoteAnchor"/>
          <w:rtl w:val="true"/>
        </w:rPr>
        <w:footnoteReference w:id="53"/>
      </w:r>
      <w:r>
        <w:rPr>
          <w:rFonts w:ascii="Amiri" w:hAnsi="Amiri" w:eastAsia="Amiri" w:cs="Amiri"/>
          <w:color w:val="111111"/>
          <w:sz w:val="28"/>
          <w:sz w:val="28"/>
          <w:szCs w:val="28"/>
          <w:rtl w:val="true"/>
          <w:lang w:bidi="ar-SA"/>
        </w:rPr>
        <w:t>ولا الأعم، ولا يعارضه صحة التقسيم ؛ لاعتضاده بصحة السلب عن التصور، وبكونه بالذات أقوى منها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والأحكام جمع الحكم، وهو يطلق لغة</w:t>
      </w:r>
      <w:r>
        <w:rPr>
          <w:rStyle w:val="FootnoteAnchor"/>
          <w:rtl w:val="true"/>
        </w:rPr>
        <w:footnoteReference w:id="54"/>
      </w:r>
      <w:r>
        <w:rPr>
          <w:rFonts w:ascii="IRNazanin" w:hAnsi="IRNazanin" w:eastAsia="IRNazanin"/>
          <w:color w:val="111111"/>
          <w:sz w:val="28"/>
          <w:sz w:val="28"/>
          <w:szCs w:val="28"/>
          <w:rtl w:val="true"/>
          <w:lang w:bidi="fa-IR"/>
        </w:rPr>
        <w:t>على الإسناد</w:t>
      </w:r>
      <w:r>
        <w:rPr>
          <w:rStyle w:val="FootnoteAnchor"/>
          <w:rtl w:val="true"/>
        </w:rPr>
        <w:footnoteReference w:id="55"/>
      </w:r>
      <w:r>
        <w:rPr>
          <w:rFonts w:ascii="IRNazanin" w:hAnsi="IRNazanin" w:eastAsia="IRNazanin"/>
          <w:color w:val="111111"/>
          <w:sz w:val="28"/>
          <w:sz w:val="28"/>
          <w:szCs w:val="28"/>
          <w:rtl w:val="true"/>
          <w:lang w:bidi="fa-IR"/>
        </w:rPr>
        <w:t xml:space="preserve">والإلزام </w:t>
      </w:r>
      <w:r>
        <w:rPr>
          <w:rStyle w:val="FootnoteAnchor"/>
          <w:rtl w:val="true"/>
        </w:rPr>
        <w:footnoteReference w:id="56"/>
      </w:r>
      <w:r>
        <w:rPr>
          <w:rFonts w:ascii="IRNazanin" w:hAnsi="IRNazanin" w:eastAsia="IRNazanin"/>
          <w:color w:val="111111"/>
          <w:sz w:val="28"/>
          <w:sz w:val="28"/>
          <w:szCs w:val="28"/>
          <w:rtl w:val="true"/>
          <w:lang w:bidi="fa-IR"/>
        </w:rPr>
        <w:t>، وأمر</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الحاكم لرفع الخصومات</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وهو اصطلاحاً خطاب الله تعالى المتعلق بأفعال المكلفين، من حيث الاقتضاء أو التخيير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والمراد بالخطاب هنا نفس الكلام الملقى لا الإلقاء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منه لفظي، وهو الصوت الخارج عن المقطع المفهم للمراد </w:t>
      </w:r>
      <w:r>
        <w:rPr>
          <w:rStyle w:val="FootnoteAnchor"/>
          <w:rtl w:val="true"/>
        </w:rPr>
        <w:footnoteReference w:id="60"/>
      </w:r>
      <w:r>
        <w:rPr>
          <w:rFonts w:ascii="IRNazanin" w:hAnsi="IRNazanin" w:eastAsia="IRNazanin"/>
          <w:color w:val="111111"/>
          <w:sz w:val="28"/>
          <w:sz w:val="28"/>
          <w:szCs w:val="28"/>
          <w:rtl w:val="true"/>
          <w:lang w:bidi="fa-IR"/>
        </w:rPr>
        <w:t xml:space="preserve">، وإن كان من نحو الشجرة، كتكلّمه تعالى مع موسى علیه السلام، للعرف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ونفسي، وهو المفهوم الحاصل من اللفظي</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وإثبات مثل هذا الشيء والمكابرة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متصور ألبتة، فضلاً عن أن يكون مدلولاً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البطلان، ومع ذلك فإنه صادر منا أو فينا عندهم، ولا نعقله نحن، ولا من ادعى ثبوته</w:t>
      </w:r>
    </w:p>
    <w:p>
      <w:pPr>
        <w:pStyle w:val="BookText"/>
        <w:rPr/>
      </w:pPr>
      <w:r>
        <w:rPr>
          <w:rFonts w:ascii="Amiri" w:hAnsi="Amiri" w:eastAsia="Amiri" w:cs="Amiri"/>
          <w:color w:val="111111"/>
          <w:sz w:val="28"/>
          <w:sz w:val="28"/>
          <w:szCs w:val="28"/>
          <w:rtl w:val="true"/>
          <w:lang w:bidi="ar-SA"/>
        </w:rPr>
        <w:t>، وكلامه تعالى عندنا لفظي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وعند الأشعري نفسي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Style w:val="FootnoteAnchor"/>
          <w:rtl w:val="true"/>
        </w:rPr>
        <w:footnoteReference w:id="6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ولو كان متكلماً معه </w:t>
      </w:r>
    </w:p>
    <w:p>
      <w:pPr>
        <w:pStyle w:val="BookText"/>
        <w:rPr/>
      </w:pPr>
      <w:r>
        <w:rPr>
          <w:rFonts w:ascii="Amiri" w:hAnsi="Amiri" w:eastAsia="Amiri" w:cs="Amiri"/>
          <w:color w:val="111111"/>
          <w:sz w:val="28"/>
          <w:sz w:val="28"/>
          <w:szCs w:val="28"/>
          <w:rtl w:val="true"/>
          <w:lang w:bidi="ar-SA"/>
        </w:rPr>
        <w:t>بالنفسي لشمل سائر الأنبياء</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ثم المراد من الحكم إن كان المعنى المصطلح ، لغا قيدي</w:t>
      </w:r>
      <w:r>
        <w:rPr>
          <w:rStyle w:val="FootnoteAnchor"/>
          <w:rtl w:val="true"/>
        </w:rPr>
        <w:footnoteReference w:id="65"/>
      </w:r>
      <w:r>
        <w:rPr>
          <w:rFonts w:ascii="Amiri" w:hAnsi="Amiri" w:eastAsia="Amiri" w:cs="Amiri"/>
          <w:color w:val="111111"/>
          <w:sz w:val="28"/>
          <w:sz w:val="28"/>
          <w:szCs w:val="28"/>
          <w:rtl w:val="true"/>
          <w:lang w:bidi="ar-SA"/>
        </w:rPr>
        <w:t xml:space="preserve">الشرعية والفرعية، إلا أن يجعل الأفعال أعم من الاعتقاد </w:t>
      </w:r>
      <w:r>
        <w:rPr>
          <w:rStyle w:val="FootnoteAnchor"/>
          <w:rtl w:val="true"/>
        </w:rPr>
        <w:footnoteReference w:id="66"/>
      </w:r>
      <w:r>
        <w:rPr>
          <w:rFonts w:ascii="Amiri" w:hAnsi="Amiri" w:eastAsia="Amiri" w:cs="Amiri"/>
          <w:color w:val="111111"/>
          <w:sz w:val="28"/>
          <w:sz w:val="28"/>
          <w:szCs w:val="28"/>
          <w:rtl w:val="true"/>
          <w:lang w:bidi="ar-SA"/>
        </w:rPr>
        <w:t>على بعد، فيلغو الأول فقط، مضافاً</w:t>
      </w:r>
      <w:r>
        <w:rPr>
          <w:rStyle w:val="FootnoteAnchor"/>
          <w:rtl w:val="true"/>
        </w:rPr>
        <w:footnoteReference w:id="67"/>
      </w:r>
      <w:r>
        <w:rPr>
          <w:rFonts w:ascii="Amiri" w:hAnsi="Amiri" w:eastAsia="Amiri" w:cs="Amiri"/>
          <w:color w:val="111111"/>
          <w:sz w:val="28"/>
          <w:sz w:val="28"/>
          <w:szCs w:val="28"/>
          <w:rtl w:val="true"/>
          <w:lang w:bidi="ar-SA"/>
        </w:rPr>
        <w:t>إلى أن من الأدلة الكتاب، فيتحد الدليل والمدلول هذا على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مذهب الأشعري يرد استدراك القيدين المذكورين أيضاً</w:t>
      </w:r>
      <w:r>
        <w:rPr>
          <w:rStyle w:val="FootnoteAnchor"/>
          <w:rtl w:val="true"/>
        </w:rPr>
        <w:footnoteReference w:id="68"/>
      </w:r>
      <w:r>
        <w:rPr>
          <w:rFonts w:ascii="Amiri" w:hAnsi="Amiri" w:eastAsia="Amiri" w:cs="Amiri"/>
          <w:color w:val="111111"/>
          <w:sz w:val="28"/>
          <w:sz w:val="28"/>
          <w:szCs w:val="28"/>
          <w:rtl w:val="true"/>
          <w:lang w:bidi="ar-SA"/>
        </w:rPr>
        <w:t>، وأن الحكم الشرعي طلب الشارع من المكلف فيحتاج إلى الطالب والمطلوب منه، وكون المطلوب منه قديماً باطل، فيلزم وجود</w:t>
      </w:r>
      <w:r>
        <w:rPr>
          <w:rStyle w:val="FootnoteAnchor"/>
          <w:rtl w:val="true"/>
        </w:rPr>
        <w:footnoteReference w:id="69"/>
      </w:r>
      <w:r>
        <w:rPr>
          <w:rFonts w:ascii="Amiri" w:hAnsi="Amiri" w:eastAsia="Amiri" w:cs="Amiri"/>
          <w:color w:val="111111"/>
          <w:sz w:val="28"/>
          <w:sz w:val="28"/>
          <w:szCs w:val="28"/>
          <w:rtl w:val="true"/>
          <w:lang w:bidi="ar-SA"/>
        </w:rPr>
        <w:t>التكليف بلا مكلف، وهو سفه، بل في مثل الصبي والناسي ونحوهما، إن قال</w:t>
      </w:r>
      <w:r>
        <w:rPr>
          <w:rStyle w:val="FootnoteAnchor"/>
          <w:rtl w:val="true"/>
        </w:rPr>
        <w:footnoteReference w:id="70"/>
      </w:r>
      <w:r>
        <w:rPr>
          <w:rFonts w:ascii="Amiri" w:hAnsi="Amiri" w:eastAsia="Amiri" w:cs="Amiri"/>
          <w:color w:val="111111"/>
          <w:sz w:val="28"/>
          <w:sz w:val="28"/>
          <w:szCs w:val="28"/>
          <w:rtl w:val="true"/>
          <w:lang w:bidi="ar-SA"/>
        </w:rPr>
        <w:t>ببقاء التكليف كان تكليفاً بما لا يطاق، وهو قبيح، ولا يصغى إلى تجويزه إياه، أو بارتفاعه لزم تغير القديم، وهو من لوازم الحدوث</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والنهي هو الطلب بقول مخصوص</w:t>
      </w:r>
      <w:r>
        <w:rPr>
          <w:rStyle w:val="FootnoteAnchor"/>
          <w:rtl w:val="true"/>
        </w:rPr>
        <w:footnoteReference w:id="71"/>
      </w:r>
      <w:r>
        <w:rPr>
          <w:rFonts w:ascii="Amiri" w:hAnsi="Amiri" w:eastAsia="Amiri" w:cs="Amiri"/>
          <w:color w:val="111111"/>
          <w:sz w:val="28"/>
          <w:sz w:val="28"/>
          <w:szCs w:val="28"/>
          <w:rtl w:val="true"/>
          <w:lang w:bidi="ar-SA"/>
        </w:rPr>
        <w:t xml:space="preserve">، ولو كان كلامه نفسياً لزم أن لا يكون الله سبحانه آمراً وناهياً، وهو باطل بالضرورة ونص الكتاب </w:t>
      </w:r>
      <w:r>
        <w:rPr>
          <w:rStyle w:val="FootnoteAnchor"/>
          <w:rtl w:val="true"/>
        </w:rPr>
        <w:footnoteReference w:id="72"/>
      </w:r>
      <w:r>
        <w:rPr>
          <w:rFonts w:ascii="IRNazanin" w:hAnsi="IRNazanin" w:eastAsia="IRNazanin"/>
          <w:color w:val="111111"/>
          <w:sz w:val="28"/>
          <w:sz w:val="28"/>
          <w:szCs w:val="28"/>
          <w:rtl w:val="true"/>
          <w:lang w:bidi="fa-IR"/>
        </w:rPr>
        <w:t xml:space="preserve">، بل </w:t>
      </w:r>
    </w:p>
    <w:p>
      <w:pPr>
        <w:pStyle w:val="BookText"/>
        <w:rPr/>
      </w:pPr>
      <w:r>
        <w:rPr>
          <w:rFonts w:ascii="Amiri" w:hAnsi="Amiri" w:eastAsia="Amiri" w:cs="Amiri"/>
          <w:color w:val="111111"/>
          <w:sz w:val="28"/>
          <w:sz w:val="28"/>
          <w:szCs w:val="28"/>
          <w:rtl w:val="true"/>
          <w:lang w:bidi="ar-SA"/>
        </w:rPr>
        <w:t>الوجهان الأخيران واردان على من قال بالكلام النفسي وإن لم يقل بأن المراد منه</w:t>
      </w:r>
      <w:r>
        <w:rPr>
          <w:rStyle w:val="FootnoteAnchor"/>
          <w:rtl w:val="true"/>
        </w:rPr>
        <w:footnoteReference w:id="73"/>
      </w:r>
      <w:r>
        <w:rPr>
          <w:rFonts w:ascii="Amiri" w:hAnsi="Amiri" w:eastAsia="Amiri" w:cs="Amiri"/>
          <w:color w:val="111111"/>
          <w:sz w:val="28"/>
          <w:sz w:val="28"/>
          <w:szCs w:val="28"/>
          <w:rtl w:val="true"/>
          <w:lang w:bidi="ar-SA"/>
        </w:rPr>
        <w:t>الحكم في تعريف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w:t>
      </w:r>
      <w:r>
        <w:rPr>
          <w:rStyle w:val="FootnoteAnchor"/>
          <w:rtl w:val="true"/>
        </w:rPr>
        <w:footnoteReference w:id="74"/>
      </w:r>
      <w:r>
        <w:rPr>
          <w:rFonts w:ascii="Amiri" w:hAnsi="Amiri" w:eastAsia="Amiri" w:cs="Amiri"/>
          <w:color w:val="111111"/>
          <w:sz w:val="28"/>
          <w:sz w:val="28"/>
          <w:szCs w:val="28"/>
          <w:rtl w:val="true"/>
          <w:lang w:bidi="ar-SA"/>
        </w:rPr>
        <w:t>النسب الخبرية احترازاً عن الموضوعات، ففيه خروج الإنشائية،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 هو النسبة</w:t>
      </w:r>
      <w:r>
        <w:rPr>
          <w:rStyle w:val="FootnoteAnchor"/>
          <w:rtl w:val="true"/>
        </w:rPr>
        <w:footnoteReference w:id="76"/>
      </w:r>
      <w:r>
        <w:rPr>
          <w:rFonts w:ascii="Amiri" w:hAnsi="Amiri" w:eastAsia="Amiri" w:cs="Amiri"/>
          <w:color w:val="111111"/>
          <w:sz w:val="28"/>
          <w:sz w:val="28"/>
          <w:szCs w:val="28"/>
          <w:rtl w:val="true"/>
          <w:lang w:bidi="ar-SA"/>
        </w:rPr>
        <w:t>الخبرية الحاصلة من ذلك</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عدم كون التصديق بالإنشاءات فقهاً، وهو نفس الفقه،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وخروج كل الموضوعات صرفة، ومستنبطة، وشرعية</w:t>
      </w:r>
      <w:r>
        <w:rPr>
          <w:rStyle w:val="FootnoteAnchor"/>
          <w:rtl w:val="true"/>
        </w:rPr>
        <w:footnoteReference w:id="78"/>
      </w:r>
      <w:r>
        <w:rPr>
          <w:rFonts w:ascii="Amiri" w:hAnsi="Amiri" w:eastAsia="Amiri" w:cs="Amiri"/>
          <w:color w:val="111111"/>
          <w:sz w:val="28"/>
          <w:sz w:val="28"/>
          <w:szCs w:val="28"/>
          <w:rtl w:val="true"/>
          <w:lang w:bidi="ar-SA"/>
        </w:rPr>
        <w:t xml:space="preserve">، مع كون الأخيرة من المعرَّف، ومن شأن الفقيه بيانها ؛ ولذا تعرضوا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الموضوع من باب المبادئ </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بهذه المعرفة إن كان تصور الموضوع، استدرك قيد الأحكام؛ لأن ظاهره أن المراد بالعلم التصديق، فتصور الموضوع لم يكن داخلاً في الجنس حتى يخرج </w:t>
      </w:r>
    </w:p>
    <w:p>
      <w:pPr>
        <w:pStyle w:val="BookText"/>
        <w:rPr/>
      </w:pPr>
      <w:r>
        <w:rPr>
          <w:rFonts w:ascii="Amiri" w:hAnsi="Amiri" w:eastAsia="Amiri" w:cs="Amiri"/>
          <w:color w:val="111111"/>
          <w:sz w:val="28"/>
          <w:sz w:val="28"/>
          <w:szCs w:val="28"/>
          <w:rtl w:val="true"/>
          <w:lang w:bidi="ar-SA"/>
        </w:rPr>
        <w:t>بقيد الحكم، أو التصديق بموضوعية الموضوع، أو أنّ الموضوع هو هذا، فهو نسبة خبرية كيف تخرج من قيد الأحكام الذي هو بمعنى النسب الخبرية، فلا يطرد التعريف على مذهبه من كون الموضوعات خارجة، أو المسائل فكسابقه، أو النسب الجزئية يخرج الموضوعات الشرعية، أو التصديقات ليكون الفقه تصديقاً بالتصديقات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أريد من التصديقات المفسرة للأحكام تصديقات نفس الفقيه، فتصديقات</w:t>
      </w:r>
      <w:r>
        <w:rPr>
          <w:rStyle w:val="FootnoteAnchor"/>
          <w:rtl w:val="true"/>
        </w:rPr>
        <w:footnoteReference w:id="81"/>
      </w:r>
      <w:r>
        <w:rPr>
          <w:rFonts w:ascii="Amiri" w:hAnsi="Amiri" w:eastAsia="Amiri" w:cs="Amiri"/>
          <w:color w:val="111111"/>
          <w:sz w:val="28"/>
          <w:sz w:val="28"/>
          <w:szCs w:val="28"/>
          <w:rtl w:val="true"/>
          <w:lang w:bidi="ar-SA"/>
        </w:rPr>
        <w:t>الفقيه بتصديقاته المأخوذة من الشرع لا تسمى فقهاً، بل الفقه نفس التصديقات المأخوذة، وإلا لم يكن الفقيه العالم بالأحكام الشرعية الغير المتفطن لعلمه فقيهاً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ويلزم أيضاً فساد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ظاهر في الرجوع إلى العلم، والحال ان الحاصل من الأدلة علم الفقيه، لا علمه بعلمه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وفساد قيد الشرعية؛ لأن تصديقات الفقيه ليس من شأنها أن تؤخذ من الشارع، أو تصديقات الشارع، فتصديق الفقيه بتصديقات الشارع لا يسمى فقهاً، بل الفقه تصديقه</w:t>
      </w:r>
      <w:r>
        <w:rPr>
          <w:rStyle w:val="FootnoteAnchor"/>
          <w:rtl w:val="true"/>
        </w:rPr>
        <w:footnoteReference w:id="83"/>
      </w:r>
      <w:r>
        <w:rPr>
          <w:rFonts w:ascii="IRNazanin" w:hAnsi="IRNazanin" w:eastAsia="IRNazanin"/>
          <w:color w:val="111111"/>
          <w:sz w:val="28"/>
          <w:sz w:val="28"/>
          <w:szCs w:val="28"/>
          <w:rtl w:val="true"/>
          <w:lang w:bidi="fa-IR"/>
        </w:rPr>
        <w:t>بمصدقاته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ويلزم فساد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إن تعلق بالعلم، كما هو الظاهر ، فالعلم بعلم الشارع ليس حاصلاً من الأدلة، بل العلم بالمعلومات حاصل منها، أو بالأحكام، لزم أن يكون علم الشارع مأخوذاً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وفساد قيد الشرعية؛ إذ ليس من شأن الشارع بيان تصديقاته، بل مصدقاته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الأحكام التكليفية استدرك قيد الشرعية، وخرج الأحكام الوضعية، مع أنها </w:t>
      </w:r>
    </w:p>
    <w:p>
      <w:pPr>
        <w:pStyle w:val="BookText"/>
        <w:rPr/>
      </w:pPr>
      <w:r>
        <w:rPr>
          <w:rFonts w:ascii="IRNazanin" w:hAnsi="IRNazanin" w:eastAsia="IRNazanin"/>
          <w:color w:val="111111"/>
          <w:sz w:val="28"/>
          <w:sz w:val="28"/>
          <w:szCs w:val="28"/>
          <w:rtl w:val="true"/>
          <w:lang w:bidi="fa-IR"/>
        </w:rPr>
        <w:t>من الفقه على قول</w:t>
      </w:r>
      <w:r>
        <w:rPr>
          <w:rStyle w:val="FootnoteAnchor"/>
          <w:rtl w:val="true"/>
        </w:rPr>
        <w:footnoteReference w:id="84"/>
      </w:r>
      <w:r>
        <w:rPr>
          <w:rFonts w:ascii="Amiri" w:hAnsi="Amiri" w:eastAsia="Amiri" w:cs="Amiri"/>
          <w:color w:val="111111"/>
          <w:sz w:val="28"/>
          <w:sz w:val="28"/>
          <w:szCs w:val="28"/>
          <w:rtl w:val="true"/>
          <w:lang w:bidi="ar-SA"/>
        </w:rPr>
        <w:t>، ولا يمكن تأويلها في بعض المقامات بالتكليفية</w:t>
      </w:r>
      <w:r>
        <w:rPr>
          <w:rStyle w:val="FootnoteAnchor"/>
          <w:rtl w:val="true"/>
        </w:rPr>
        <w:footnoteReference w:id="85"/>
      </w:r>
      <w:r>
        <w:rPr>
          <w:rFonts w:ascii="Amiri" w:hAnsi="Amiri" w:eastAsia="Amiri" w:cs="Amiri"/>
          <w:color w:val="111111"/>
          <w:sz w:val="28"/>
          <w:sz w:val="28"/>
          <w:szCs w:val="28"/>
          <w:rtl w:val="true"/>
          <w:lang w:bidi="ar-SA"/>
        </w:rPr>
        <w:t>، فإنّ النسبة عموم من وجه، إلّا أن يراد الأول الشأني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التكليفية والوضعية الخمسة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والجزئية، والمانعية، والصحة،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استدراك القيد المذكور</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الوضعية في الخمسة، فلا عكس، فإنّ كل ما يكون تحققه مشروطاً بالأمور الأربعة العقل والبلوغ، والعلم والقدرة تكليفي، وما عداه وضعي حتى مثل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أن يراد الأحكام التكليفية، صدرت من الشارع أم غيره، فلا يستدرك قيد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الوضعيات فالحق خروجها عن المعرَّف، وعدم كونها مقصودة بالذات من الفن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يتكلم فيها لرجوعها إلى التكليف</w:t>
      </w:r>
    </w:p>
    <w:p>
      <w:pPr>
        <w:pStyle w:val="BookText"/>
        <w:rPr/>
      </w:pPr>
      <w:r>
        <w:rPr>
          <w:rFonts w:ascii="Amiri" w:hAnsi="Amiri" w:eastAsia="Amiri" w:cs="Amiri"/>
          <w:color w:val="111111"/>
          <w:sz w:val="28"/>
          <w:sz w:val="28"/>
          <w:szCs w:val="28"/>
          <w:rtl w:val="true"/>
          <w:lang w:bidi="ar-SA"/>
        </w:rPr>
        <w:t>والمراد بالشرعية ليس ما أخذ من الشارع ببيان الشرع، ولا ما من شأنه أن يؤخذ من الشارع، وقد أخذ منه بلسان الشرع؛ حذراً من خروج ما يستقل به العقل، بل ما من شأنه أن يؤخذ من الشارع بلسان الشرع أو العقل، أو ما من شأنه أن يؤخذ منه وقد أخذ بلسان الشرع أو العقل، أو ما أخذ من الشارع بلسان العقل أو الشرع</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المختار في معنى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جعلناه النسبة الخبرية</w:t>
      </w:r>
      <w:r>
        <w:rPr>
          <w:rStyle w:val="FootnoteAnchor"/>
          <w:rtl w:val="true"/>
        </w:rPr>
        <w:footnoteReference w:id="88"/>
      </w:r>
      <w:r>
        <w:rPr>
          <w:rFonts w:ascii="Amiri" w:hAnsi="Amiri" w:eastAsia="Amiri" w:cs="Amiri"/>
          <w:color w:val="111111"/>
          <w:sz w:val="28"/>
          <w:sz w:val="28"/>
          <w:szCs w:val="28"/>
          <w:rtl w:val="true"/>
          <w:lang w:bidi="ar-SA"/>
        </w:rPr>
        <w:t>، أو الجزئية</w:t>
      </w:r>
      <w:r>
        <w:rPr>
          <w:rStyle w:val="FootnoteAnchor"/>
          <w:rtl w:val="true"/>
        </w:rPr>
        <w:footnoteReference w:id="89"/>
      </w:r>
      <w:r>
        <w:rPr>
          <w:rFonts w:ascii="Amiri" w:hAnsi="Amiri" w:eastAsia="Amiri" w:cs="Amiri"/>
          <w:color w:val="111111"/>
          <w:sz w:val="28"/>
          <w:sz w:val="28"/>
          <w:szCs w:val="28"/>
          <w:rtl w:val="true"/>
          <w:lang w:bidi="ar-SA"/>
        </w:rPr>
        <w:t>، أو التصديقات</w:t>
      </w:r>
      <w:r>
        <w:rPr>
          <w:rStyle w:val="FootnoteAnchor"/>
          <w:rtl w:val="true"/>
        </w:rPr>
        <w:footnoteReference w:id="90"/>
      </w:r>
      <w:r>
        <w:rPr>
          <w:rFonts w:ascii="Amiri" w:hAnsi="Amiri" w:eastAsia="Amiri" w:cs="Amiri"/>
          <w:color w:val="111111"/>
          <w:sz w:val="28"/>
          <w:sz w:val="28"/>
          <w:szCs w:val="28"/>
          <w:rtl w:val="true"/>
          <w:lang w:bidi="ar-SA"/>
        </w:rPr>
        <w:t>، أو المسائل ،لميصح قيد الشرعية باحتمالاته الخمسة، بل ينتقض التعريف طرداً أو عكساً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وبالفرعية ما تعلّق بكيفية عمل المكلّف تعلّقاً حقيقياً، وكان المتعلّق من الأفعال الظاهرة، وخروج الوضعيات لا يضر ؛ لما مرّ، ويتصور لها معان ثلاثة أخر لا يطرد معها التعريف</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والظرف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أدلتها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متعلقاً بالعلم، كما هو الظاهر، وبعامل مضمر كالمستنبطة، وبالفرعية بمعنى المتفرعة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الأول خرج من جنس الأدلة علمه تعالى؛ لأنه غير مسبب عن سبب، ومن خصوصها علم النبي صلی الله علیه و آله وسلم والملائكة،وعلمنا بالضروريات، بل وعلم أيضاً إذا كانت الإضافة للعهد، فيستدرك قيد التفصيلية، وجعلها</w:t>
      </w:r>
      <w:r>
        <w:rPr>
          <w:rStyle w:val="FootnoteAnchor"/>
          <w:rtl w:val="true"/>
        </w:rPr>
        <w:footnoteReference w:id="93"/>
      </w:r>
      <w:r>
        <w:rPr>
          <w:rFonts w:ascii="Amiri" w:hAnsi="Amiri" w:eastAsia="Amiri" w:cs="Amiri"/>
          <w:color w:val="111111"/>
          <w:sz w:val="28"/>
          <w:sz w:val="28"/>
          <w:szCs w:val="28"/>
          <w:rtl w:val="true"/>
          <w:lang w:bidi="ar-SA"/>
        </w:rPr>
        <w:t>للجنس حتى يخرج به علم المقلّد</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علمه أيضاً قد ينشأ عن دليل تفصيلي، إلا أن يقول بعهدية التفصيلية، فلم لا يقول بعهدية الأدلة حتى لا يحتاج إلى قيد زائد</w:t>
      </w:r>
      <w:r>
        <w:rPr>
          <w:rFonts w:eastAsia="Amiri" w:cs="Amiri" w:ascii="Amiri" w:hAnsi="Amiri"/>
          <w:color w:val="111111"/>
          <w:sz w:val="28"/>
          <w:szCs w:val="28"/>
          <w:rtl w:val="true"/>
          <w:lang w:bidi="ar-SA"/>
        </w:rPr>
        <w:t xml:space="preserve">. </w:t>
      </w:r>
      <w:bookmarkStart w:id="34" w:name="pg9015_97432"/>
    </w:p>
    <w:p>
      <w:pPr>
        <w:pStyle w:val="Heading3"/>
        <w:numPr>
          <w:ilvl w:val="2"/>
          <w:numId w:val="1"/>
        </w:numPr>
        <w:rPr/>
      </w:pPr>
      <w:bookmarkStart w:id="35" w:name="__RefHeading___Toc2001323_2870459653"/>
      <w:bookmarkStart w:id="36" w:name="_Toc11"/>
      <w:bookmarkEnd w:id="34"/>
      <w:bookmarkEnd w:id="35"/>
      <w:r>
        <w:rPr>
          <w:rtl w:val="true"/>
        </w:rPr>
        <w:t>[</w:t>
      </w:r>
      <w:r>
        <w:rPr>
          <w:rtl w:val="true"/>
        </w:rPr>
        <w:t>في تقرير الإيرادين المشهورين</w:t>
      </w:r>
      <w:r>
        <w:rPr>
          <w:rtl w:val="true"/>
        </w:rPr>
        <w:t>]</w:t>
      </w:r>
      <w:bookmarkEnd w:id="36"/>
    </w:p>
    <w:p>
      <w:pPr>
        <w:pStyle w:val="BookText"/>
        <w:rPr/>
      </w:pPr>
      <w:r>
        <w:rPr>
          <w:rFonts w:ascii="Amiri" w:hAnsi="Amiri" w:eastAsia="Amiri" w:cs="Amiri"/>
          <w:color w:val="111111"/>
          <w:sz w:val="28"/>
          <w:sz w:val="28"/>
          <w:szCs w:val="28"/>
          <w:rtl w:val="true"/>
          <w:lang w:bidi="ar-SA"/>
        </w:rPr>
        <w:t>ولو قيل</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ظاهر في القطعي، والحكم في الواقعي، فيخرج أغلب الأبواب ؛ لأنها ظنيات أو شكيات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جعلت العلم بمعنى الظن انتقض طرداً بدخول ظن المقلّد إذا حصل من الأدلة المعهودة</w:t>
      </w:r>
      <w:r>
        <w:rPr>
          <w:rStyle w:val="FootnoteAnchor"/>
          <w:rtl w:val="true"/>
        </w:rPr>
        <w:footnoteReference w:id="96"/>
      </w:r>
      <w:r>
        <w:rPr>
          <w:rFonts w:ascii="Amiri" w:hAnsi="Amiri" w:eastAsia="Amiri" w:cs="Amiri"/>
          <w:color w:val="111111"/>
          <w:sz w:val="28"/>
          <w:sz w:val="28"/>
          <w:szCs w:val="28"/>
          <w:rtl w:val="true"/>
          <w:lang w:bidi="ar-SA"/>
        </w:rPr>
        <w:t>، وعكساً بخروج القطعيات النظرية والشكيات</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أو بمعنى الاعتقاد الراجح انتقض طرداً بما مرّ، وعكساً بالشكيات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اضمرت وجوب العمل مع جعل العلم بحاله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بمعنى الظن أو الاعتقاد الراجح، انتقض طرداً بما مرَّ ، بل فسد رأساً؛ إذ العلم أو الظن بوجوب العمل مسألة أصولية لا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لفظ المدلولية</w:t>
      </w:r>
      <w:r>
        <w:rPr>
          <w:rStyle w:val="FootnoteAnchor"/>
          <w:rtl w:val="true"/>
        </w:rPr>
        <w:footnoteReference w:id="98"/>
      </w:r>
      <w:r>
        <w:rPr>
          <w:rFonts w:ascii="Amiri" w:hAnsi="Amiri" w:eastAsia="Amiri" w:cs="Amiri"/>
          <w:color w:val="111111"/>
          <w:sz w:val="28"/>
          <w:sz w:val="28"/>
          <w:szCs w:val="28"/>
          <w:rtl w:val="true"/>
          <w:lang w:bidi="ar-SA"/>
        </w:rPr>
        <w:t xml:space="preserve">مع إبقاء العلم والحكم بمعناهما الظاهر، فيصير الفقه هو القطع بمدلولية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اندفع بأن العلم بمدلولية الأحكام</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لا يسمى فقها، بل هو نفس العلم بالمدلولات، وبخروج الظنيات، بل الشكيات أيضاً</w:t>
      </w:r>
      <w:r>
        <w:rPr>
          <w:rStyle w:val="FootnoteAnchor"/>
          <w:rtl w:val="true"/>
        </w:rPr>
        <w:footnoteReference w:id="100"/>
      </w:r>
      <w:r>
        <w:rPr>
          <w:rFonts w:ascii="Amiri" w:hAnsi="Amiri" w:eastAsia="Amiri" w:cs="Amiri"/>
          <w:color w:val="111111"/>
          <w:sz w:val="28"/>
          <w:sz w:val="28"/>
          <w:szCs w:val="28"/>
          <w:rtl w:val="true"/>
          <w:lang w:bidi="ar-SA"/>
        </w:rPr>
        <w:t>، وبدخول علم المقلّد بكون الأحكام مدلولات للأدلة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جعلت الحكم أعمّ من الظاهري</w:t>
      </w:r>
      <w:r>
        <w:rPr>
          <w:rStyle w:val="FootnoteAnchor"/>
          <w:rtl w:val="true"/>
        </w:rPr>
        <w:footnoteReference w:id="101"/>
      </w:r>
      <w:r>
        <w:rPr>
          <w:rFonts w:ascii="Amiri" w:hAnsi="Amiri" w:eastAsia="Amiri" w:cs="Amiri"/>
          <w:color w:val="111111"/>
          <w:sz w:val="28"/>
          <w:sz w:val="28"/>
          <w:szCs w:val="28"/>
          <w:rtl w:val="true"/>
          <w:lang w:bidi="ar-SA"/>
        </w:rPr>
        <w:t xml:space="preserve">، والعلم بمعناه الظاهر،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w:t>
      </w:r>
    </w:p>
    <w:p>
      <w:pPr>
        <w:pStyle w:val="BookText"/>
        <w:rPr/>
      </w:pPr>
      <w:r>
        <w:rPr>
          <w:rFonts w:ascii="Amiri" w:hAnsi="Amiri" w:eastAsia="Amiri" w:cs="Amiri"/>
          <w:color w:val="111111"/>
          <w:sz w:val="28"/>
          <w:sz w:val="28"/>
          <w:szCs w:val="28"/>
          <w:rtl w:val="true"/>
          <w:lang w:bidi="ar-SA"/>
        </w:rPr>
        <w:t xml:space="preserve">بالحكم النفس الأمري من حيث هو ليس فقها، إلا إذا صار مقروناً بوصف الظاهرية؛ مع إيراد آخر سيظهر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وجه ثامن أقل محذوراً، وهو جعل الأحكام بمعنى الأحكام الظاهرية، والعلم بمعناه الظاهر، وظنية الطريق لا تنافي قطعية الحكم</w:t>
      </w:r>
      <w:r>
        <w:rPr>
          <w:rStyle w:val="FootnoteAnchor"/>
          <w:rtl w:val="true"/>
        </w:rPr>
        <w:footnoteReference w:id="103"/>
      </w:r>
      <w:r>
        <w:rPr>
          <w:rFonts w:ascii="Amiri" w:hAnsi="Amiri" w:eastAsia="Amiri" w:cs="Amiri"/>
          <w:color w:val="111111"/>
          <w:sz w:val="28"/>
          <w:sz w:val="28"/>
          <w:szCs w:val="28"/>
          <w:rtl w:val="true"/>
          <w:lang w:bidi="ar-SA"/>
        </w:rPr>
        <w:t>لأن المظنون هو الحكم الواقعي، والمقطوع هو الحكم الظاهري ، ولا يرتبط ذلك بمذهب المصوّبة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بالحكم الظاهري من حيث إنه حكم ظاهري لم ينشأ من الأدلة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بجعل العلم عند تعلّق القيد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 ، بناء على تعلقه به، أو بجعل الأحكام عند تعلّق القيد بها</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معراة عن وصف الظهور، بناءً على الاحتمالات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هو العلم بالأحكام الظاهرية الحاصلة، أو المستنبطة، أو الناشئة، أو المتفرعة، أو المأخوذة ذاتها عن الأدلة التفصيلية، فتدبر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w:t>
      </w:r>
      <w:r>
        <w:rPr>
          <w:rStyle w:val="FootnoteAnchor"/>
          <w:rtl w:val="true"/>
        </w:rPr>
        <w:footnoteReference w:id="105"/>
      </w:r>
      <w:r>
        <w:rPr>
          <w:rFonts w:ascii="Amiri" w:hAnsi="Amiri" w:eastAsia="Amiri" w:cs="Amiri"/>
          <w:color w:val="111111"/>
          <w:sz w:val="28"/>
          <w:sz w:val="28"/>
          <w:szCs w:val="28"/>
          <w:rtl w:val="true"/>
          <w:lang w:bidi="ar-SA"/>
        </w:rPr>
        <w:t xml:space="preserve">قيل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العلم هو الفعلي، وظاهر الأحكام الجميع</w:t>
      </w:r>
      <w:r>
        <w:rPr>
          <w:rStyle w:val="FootnoteAnchor"/>
          <w:rtl w:val="true"/>
        </w:rPr>
        <w:footnoteReference w:id="107"/>
      </w:r>
      <w:r>
        <w:rPr>
          <w:rFonts w:ascii="Amiri" w:hAnsi="Amiri" w:eastAsia="Amiri" w:cs="Amiri"/>
          <w:color w:val="111111"/>
          <w:sz w:val="28"/>
          <w:sz w:val="28"/>
          <w:szCs w:val="28"/>
          <w:rtl w:val="true"/>
          <w:lang w:bidi="ar-SA"/>
        </w:rPr>
        <w:t>، فلا يوجد للفقيه مصداق، فإن حملت لام الأحكام على العهد الخارجي، فلا معهود، أو الذهني، أو جنس الجمع، أو المفرد، دخل ظن المتجزئ</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من إمكان التجزئ واعتباره حتى في مسألة واحدة، نجعل الأحكام بمعنى الحكم ولا 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قلنا بامتناعه</w:t>
      </w:r>
      <w:r>
        <w:rPr>
          <w:rStyle w:val="FootnoteAnchor"/>
          <w:rtl w:val="true"/>
        </w:rPr>
        <w:footnoteReference w:id="109"/>
      </w:r>
      <w:r>
        <w:rPr>
          <w:rFonts w:ascii="Amiri" w:hAnsi="Amiri" w:eastAsia="Amiri" w:cs="Amiri"/>
          <w:color w:val="111111"/>
          <w:sz w:val="28"/>
          <w:sz w:val="28"/>
          <w:szCs w:val="28"/>
          <w:rtl w:val="true"/>
          <w:lang w:bidi="ar-SA"/>
        </w:rPr>
        <w:t>، أو عدم اعتباره ، لم يمكن حصول العلم للمقلّد ولا للمتجزئ، ولو في مسألة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على ما اخترناه يستقيم التعريف بالنسبة إلى كل المحتملات الثمانية المتقدمة في دفع الإيراد السابق، وكذا على القول بامتناعه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بإمكانه ووقوعه، وعدم اعتباره شرعاً، لم يصح الأول والثاني والسادس ؛ لدخول علم المتجزئ، مع أنه ليس بفقه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والعجب أن صاحب المعالم جعل العلم بمعنى الاعتقاد</w:t>
      </w:r>
      <w:r>
        <w:rPr>
          <w:rStyle w:val="FootnoteAnchor"/>
          <w:rtl w:val="true"/>
        </w:rPr>
        <w:footnoteReference w:id="110"/>
      </w:r>
      <w:r>
        <w:rPr>
          <w:rFonts w:ascii="Amiri" w:hAnsi="Amiri" w:eastAsia="Amiri" w:cs="Amiri"/>
          <w:color w:val="111111"/>
          <w:sz w:val="28"/>
          <w:sz w:val="28"/>
          <w:szCs w:val="28"/>
          <w:rtl w:val="true"/>
          <w:lang w:bidi="ar-SA"/>
        </w:rPr>
        <w:t>، ومذهبه في التجزئ على وقوعه وعدم اعتباره</w:t>
      </w:r>
      <w:r>
        <w:rPr>
          <w:rStyle w:val="FootnoteAnchor"/>
          <w:rtl w:val="true"/>
        </w:rPr>
        <w:footnoteReference w:id="111"/>
      </w:r>
      <w:r>
        <w:rPr>
          <w:rFonts w:ascii="Amiri" w:hAnsi="Amiri" w:eastAsia="Amiri" w:cs="Amiri"/>
          <w:color w:val="111111"/>
          <w:sz w:val="28"/>
          <w:sz w:val="28"/>
          <w:szCs w:val="28"/>
          <w:rtl w:val="true"/>
          <w:lang w:bidi="ar-SA"/>
        </w:rPr>
        <w:t>، فالتعريف لا يطرد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كلماتهم في دفع الإيراد السابق كون العلم فعلياً</w:t>
      </w:r>
      <w:r>
        <w:rPr>
          <w:rStyle w:val="FootnoteAnchor"/>
          <w:rtl w:val="true"/>
        </w:rPr>
        <w:footnoteReference w:id="112"/>
      </w:r>
      <w:r>
        <w:rPr>
          <w:rFonts w:ascii="Amiri" w:hAnsi="Amiri" w:eastAsia="Amiri" w:cs="Amiri"/>
          <w:color w:val="111111"/>
          <w:sz w:val="28"/>
          <w:sz w:val="28"/>
          <w:szCs w:val="28"/>
          <w:rtl w:val="true"/>
          <w:lang w:bidi="ar-SA"/>
        </w:rPr>
        <w:t>، وهنا جعلوه ملكياً</w:t>
      </w:r>
      <w:r>
        <w:rPr>
          <w:rStyle w:val="FootnoteAnchor"/>
          <w:rtl w:val="true"/>
        </w:rPr>
        <w:footnoteReference w:id="113"/>
      </w:r>
      <w:r>
        <w:rPr>
          <w:rFonts w:ascii="Amiri" w:hAnsi="Amiri" w:eastAsia="Amiri" w:cs="Amiri"/>
          <w:color w:val="111111"/>
          <w:sz w:val="28"/>
          <w:sz w:val="28"/>
          <w:szCs w:val="28"/>
          <w:rtl w:val="true"/>
          <w:lang w:bidi="ar-SA"/>
        </w:rPr>
        <w:t>، وهو تناقض، إلا أن يكون نظرهم هناك إلى دفع ذلك الإيراد من حيث هو، مع قطع النظر عن فعلية العلم ،وعدمها وهنا إلى دفع هذا الإيراد، فمن جعله هناك بمعنى الظن جعله هنا بمعنى ملكة الظن ،وهكذا، لكن يلزم على هذا سبك مجاز من مجاز في أربعة من الثمانية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عرفت الجزئين، فاعلم 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إضافة الأصول إلى الفقه </w:t>
      </w:r>
    </w:p>
    <w:p>
      <w:pPr>
        <w:pStyle w:val="BookText"/>
        <w:rPr/>
      </w:pPr>
      <w:r>
        <w:rPr>
          <w:rFonts w:ascii="Amiri" w:hAnsi="Amiri" w:eastAsia="Amiri" w:cs="Amiri"/>
          <w:color w:val="111111"/>
          <w:sz w:val="28"/>
          <w:sz w:val="28"/>
          <w:szCs w:val="28"/>
          <w:rtl w:val="true"/>
          <w:lang w:bidi="ar-SA"/>
        </w:rPr>
        <w:t>تعريف لهذا العلم؛ باعتبار الإضافة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الفقه ظاهر، والمراد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معناه اللغوي، لم يطرد؛ إذ لا ينحصر ابتناء الفقه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إفادة الإضافة الاختصاص، لم يخرج مثل علم الرجال أيضاً، أو الأدلة</w:t>
      </w:r>
      <w:r>
        <w:rPr>
          <w:rStyle w:val="FootnoteAnchor"/>
          <w:rtl w:val="true"/>
        </w:rPr>
        <w:footnoteReference w:id="115"/>
      </w:r>
      <w:r>
        <w:rPr>
          <w:rFonts w:ascii="Amiri" w:hAnsi="Amiri" w:eastAsia="Amiri" w:cs="Amiri"/>
          <w:color w:val="111111"/>
          <w:sz w:val="28"/>
          <w:sz w:val="28"/>
          <w:szCs w:val="28"/>
          <w:rtl w:val="true"/>
          <w:lang w:bidi="ar-SA"/>
        </w:rPr>
        <w:t>، فلازمه كون هذا الفن باحثاً عن أدلة الفقه لا عوارضها، أو القواعد شمل قواعد الفقه التي ليست داخلة في الفن أو الظواهر، أو الاستصحاب، ففساده ظاهر عند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جعله بمعنى القواعد، مع جعل الإضافة للعهد،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المعهودة المذكورة في الفن المقصودة بالذات، من تدوين هذا العلم التي هي عوارض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w:t>
      </w:r>
      <w:r>
        <w:rPr>
          <w:rStyle w:val="FootnoteAnchor"/>
          <w:rtl w:val="true"/>
        </w:rPr>
        <w:footnoteReference w:id="116"/>
      </w:r>
      <w:r>
        <w:rPr>
          <w:rFonts w:ascii="Amiri" w:hAnsi="Amiri" w:eastAsia="Amiri" w:cs="Amiri"/>
          <w:color w:val="111111"/>
          <w:sz w:val="28"/>
          <w:sz w:val="28"/>
          <w:szCs w:val="28"/>
          <w:rtl w:val="true"/>
          <w:lang w:bidi="ar-SA"/>
        </w:rPr>
        <w:t>بيان مثل مبادئ اللغة ونحوها، فإنما هو استطراد، أو من باب المبادئ، لكن على العهد يصح إرادة المعنى اللغوي أيضاً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باعتبار المعنى العلمي علم بأحوال الأدلة من حيث هي أحوالها من جهة ابتناء الفروع عليها، فهو العلم بأحوال أدلة الأحكام</w:t>
      </w:r>
      <w:r>
        <w:rPr>
          <w:rStyle w:val="FootnoteAnchor"/>
          <w:rtl w:val="true"/>
        </w:rPr>
        <w:footnoteReference w:id="117"/>
      </w:r>
      <w:r>
        <w:rPr>
          <w:rFonts w:ascii="Amiri" w:hAnsi="Amiri" w:eastAsia="Amiri" w:cs="Amiri"/>
          <w:color w:val="111111"/>
          <w:sz w:val="28"/>
          <w:sz w:val="28"/>
          <w:szCs w:val="28"/>
          <w:rtl w:val="true"/>
          <w:lang w:bidi="ar-SA"/>
        </w:rPr>
        <w:t>الشرعية الفرعية من حيث إنها أدلتها، فخرج أحوال غيرها، كالنحو ونحوه، والعلم بمثل كون الكتاب معجزة، وبأحوال أدلة</w:t>
      </w:r>
      <w:r>
        <w:rPr>
          <w:rStyle w:val="FootnoteAnchor"/>
          <w:rtl w:val="true"/>
        </w:rPr>
        <w:footnoteReference w:id="118"/>
      </w:r>
      <w:r>
        <w:rPr>
          <w:rFonts w:ascii="Amiri" w:hAnsi="Amiri" w:eastAsia="Amiri" w:cs="Amiri"/>
          <w:color w:val="111111"/>
          <w:sz w:val="28"/>
          <w:sz w:val="28"/>
          <w:szCs w:val="28"/>
          <w:rtl w:val="true"/>
          <w:lang w:bidi="ar-SA"/>
        </w:rPr>
        <w:t>غير الأحكام التكليفية؛ لما عرفت من أن الأحكام عبارة عن الخمسة، وخرج</w:t>
      </w:r>
      <w:r>
        <w:rPr>
          <w:rStyle w:val="FootnoteAnchor"/>
          <w:rtl w:val="true"/>
        </w:rPr>
        <w:footnoteReference w:id="119"/>
      </w:r>
      <w:r>
        <w:rPr>
          <w:rFonts w:ascii="Amiri" w:hAnsi="Amiri" w:eastAsia="Amiri" w:cs="Amiri"/>
          <w:color w:val="111111"/>
          <w:sz w:val="28"/>
          <w:sz w:val="28"/>
          <w:szCs w:val="28"/>
          <w:rtl w:val="true"/>
          <w:lang w:bidi="ar-SA"/>
        </w:rPr>
        <w:t>غير الأوامر الشرعية، كأمر المولى عبده والاعتقاديات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يُعرّف بأنه العلم بالقواعد الممهدة لاستنباط الأحكام الشرعية الفرعية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ويرده خروج ما لم يمهد بعد من مسائل هذا الفن مطلقاً</w:t>
      </w:r>
      <w:r>
        <w:rPr>
          <w:rStyle w:val="FootnoteAnchor"/>
          <w:rtl w:val="true"/>
        </w:rPr>
        <w:footnoteReference w:id="121"/>
      </w:r>
      <w:r>
        <w:rPr>
          <w:rFonts w:ascii="Amiri" w:hAnsi="Amiri" w:eastAsia="Amiri" w:cs="Amiri"/>
          <w:color w:val="111111"/>
          <w:sz w:val="28"/>
          <w:sz w:val="28"/>
          <w:szCs w:val="28"/>
          <w:rtl w:val="true"/>
          <w:lang w:bidi="ar-SA"/>
        </w:rPr>
        <w:t>، وخروج ما مهّده بعض العلماء دون بعض إن أريد ما مهده الكل، ودخول بعض المسائل اللغوية المذكورة في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إخراج ما يستنبط منه الماهيات</w:t>
      </w:r>
      <w:r>
        <w:rPr>
          <w:rStyle w:val="FootnoteAnchor"/>
          <w:rtl w:val="true"/>
        </w:rPr>
        <w:footnoteReference w:id="122"/>
      </w:r>
      <w:r>
        <w:rPr>
          <w:rFonts w:ascii="Amiri" w:hAnsi="Amiri" w:eastAsia="Amiri" w:cs="Amiri"/>
          <w:color w:val="111111"/>
          <w:sz w:val="28"/>
          <w:sz w:val="28"/>
          <w:szCs w:val="28"/>
          <w:rtl w:val="true"/>
          <w:lang w:bidi="ar-SA"/>
        </w:rPr>
        <w:t>بقيد الأحكام لا يلائم مذهبه؛ إذ الأحكام عنده عبارة عن النسب الخبرية والعلم عن التصديق</w:t>
      </w:r>
      <w:r>
        <w:rPr>
          <w:rStyle w:val="FootnoteAnchor"/>
          <w:rtl w:val="true"/>
        </w:rPr>
        <w:footnoteReference w:id="123"/>
      </w:r>
      <w:r>
        <w:rPr>
          <w:rFonts w:ascii="Amiri" w:hAnsi="Amiri" w:eastAsia="Amiri" w:cs="Amiri"/>
          <w:color w:val="111111"/>
          <w:sz w:val="28"/>
          <w:sz w:val="28"/>
          <w:szCs w:val="28"/>
          <w:rtl w:val="true"/>
          <w:lang w:bidi="ar-SA"/>
        </w:rPr>
        <w:t>، فإن كان المراد بالماهيات التصورات خرجت عن قيد العلم، وإلا لم تخرج بقيد الأحكام أيضاً؛ لأنها نسب 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أيضاً مثل العلم بحجية الظن إن أريد من التعريف كون القواعد الممهدة سبباً قريباً للاستنباط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الأعمّ، دخلت الأسباب البعيدة، مثل ما يستنبط منه الماهيات، كمسألة الصحيح والأعم ونحوها ، مع أنه لا معنى لتعليق معرفة مسائل الأصول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بتمهيد العلماء</w:t>
      </w:r>
      <w:r>
        <w:rPr>
          <w:rFonts w:eastAsia="Amiri" w:cs="Amiri" w:ascii="Amiri" w:hAnsi="Amiri"/>
          <w:color w:val="111111"/>
          <w:sz w:val="28"/>
          <w:szCs w:val="28"/>
          <w:rtl w:val="true"/>
          <w:lang w:bidi="ar-SA"/>
        </w:rPr>
        <w:t xml:space="preserve">. </w:t>
      </w:r>
      <w:bookmarkStart w:id="37" w:name="pg9015_97437"/>
    </w:p>
    <w:p>
      <w:pPr>
        <w:pStyle w:val="Heading3"/>
        <w:numPr>
          <w:ilvl w:val="2"/>
          <w:numId w:val="1"/>
        </w:numPr>
        <w:rPr/>
      </w:pPr>
      <w:bookmarkStart w:id="38" w:name="__RefHeading___Toc2001325_2870459653"/>
      <w:bookmarkStart w:id="39" w:name="_Toc12"/>
      <w:bookmarkEnd w:id="37"/>
      <w:bookmarkEnd w:id="38"/>
      <w:r>
        <w:rPr>
          <w:rtl w:val="true"/>
        </w:rPr>
        <w:t>[</w:t>
      </w:r>
      <w:r>
        <w:rPr>
          <w:rtl w:val="true"/>
        </w:rPr>
        <w:t>بيان موضوع هذا العلم</w:t>
      </w:r>
      <w:r>
        <w:rPr>
          <w:rtl w:val="true"/>
        </w:rPr>
        <w:t>]</w:t>
      </w:r>
      <w:bookmarkEnd w:id="39"/>
    </w:p>
    <w:p>
      <w:pPr>
        <w:pStyle w:val="BookText"/>
        <w:rPr/>
      </w:pPr>
      <w:r>
        <w:rPr>
          <w:rFonts w:ascii="Amiri" w:hAnsi="Amiri" w:eastAsia="Amiri" w:cs="Amiri"/>
          <w:color w:val="111111"/>
          <w:sz w:val="28"/>
          <w:sz w:val="28"/>
          <w:szCs w:val="28"/>
          <w:rtl w:val="true"/>
          <w:lang w:bidi="ar-SA"/>
        </w:rPr>
        <w:t xml:space="preserve">ثم إن موضوع هذا العلم أدلة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فيبحث فيه عن إثبات دليليتها وعوارضها ، بل مطلق دليل الفقه</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لتخصيص</w:t>
      </w:r>
    </w:p>
    <w:p>
      <w:pPr>
        <w:pStyle w:val="BookText"/>
        <w:rPr/>
      </w:pPr>
      <w:r>
        <w:rPr>
          <w:rFonts w:ascii="Amiri" w:hAnsi="Amiri" w:eastAsia="Amiri" w:cs="Amiri"/>
          <w:color w:val="111111"/>
          <w:sz w:val="28"/>
          <w:sz w:val="28"/>
          <w:szCs w:val="28"/>
          <w:rtl w:val="true"/>
          <w:lang w:bidi="ar-SA"/>
        </w:rPr>
        <w:t xml:space="preserve">الموضوع بالأربعة </w:t>
      </w:r>
      <w:r>
        <w:rPr>
          <w:rStyle w:val="FootnoteAnchor"/>
          <w:rtl w:val="true"/>
        </w:rPr>
        <w:footnoteReference w:id="125"/>
      </w:r>
      <w:r>
        <w:rPr>
          <w:rFonts w:ascii="Amiri" w:hAnsi="Amiri" w:eastAsia="Amiri" w:cs="Amiri"/>
          <w:color w:val="111111"/>
          <w:sz w:val="28"/>
          <w:sz w:val="28"/>
          <w:szCs w:val="28"/>
          <w:rtl w:val="true"/>
          <w:lang w:bidi="ar-SA"/>
        </w:rPr>
        <w:t xml:space="preserve">، ولا لجعل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الأربعة لا كلي الدليل</w:t>
      </w:r>
      <w:r>
        <w:rPr>
          <w:rStyle w:val="FootnoteAnchor"/>
          <w:rtl w:val="true"/>
        </w:rPr>
        <w:footnoteReference w:id="126"/>
      </w:r>
      <w:r>
        <w:rPr>
          <w:rFonts w:ascii="IRNazanin" w:hAnsi="IRNazanin" w:eastAsia="IRNazanin"/>
          <w:color w:val="111111"/>
          <w:sz w:val="28"/>
          <w:sz w:val="28"/>
          <w:szCs w:val="28"/>
          <w:rtl w:val="true"/>
          <w:lang w:bidi="fa-IR"/>
        </w:rPr>
        <w:t>، ولا لجعل الموضوع</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الدليل بوصف كونه دليلاً حتى يخرج مثل حجية الكتاب</w:t>
      </w:r>
      <w:r>
        <w:rPr>
          <w:rStyle w:val="FootnoteAnchor"/>
          <w:rtl w:val="true"/>
        </w:rPr>
        <w:footnoteReference w:id="128"/>
      </w:r>
      <w:r>
        <w:rPr>
          <w:rFonts w:ascii="Amiri" w:hAnsi="Amiri" w:eastAsia="Amiri" w:cs="Amiri"/>
          <w:color w:val="111111"/>
          <w:sz w:val="28"/>
          <w:sz w:val="28"/>
          <w:szCs w:val="28"/>
          <w:rtl w:val="true"/>
          <w:lang w:bidi="ar-SA"/>
        </w:rPr>
        <w:t>وذلك لأن الحجية أيضاً حال من أحوال ذات الدليل، فالموضوع هو الدليل لا بشرط اتصافه بالحجية</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2001327_2870459653"/>
      <w:bookmarkStart w:id="41" w:name="_Toc13"/>
      <w:bookmarkEnd w:id="40"/>
      <w:r>
        <w:rPr>
          <w:rtl w:val="true"/>
        </w:rPr>
        <w:t>[</w:t>
      </w:r>
      <w:r>
        <w:rPr>
          <w:rtl w:val="true"/>
        </w:rPr>
        <w:t>بيان غاية هذا العلم</w:t>
      </w:r>
      <w:r>
        <w:rPr>
          <w:rtl w:val="true"/>
        </w:rPr>
        <w:t>]</w:t>
      </w:r>
      <w:bookmarkEnd w:id="4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وغايته الترقي عن حضيض التقليد والفوز بعلّيين</w:t>
      </w:r>
      <w:r>
        <w:rPr>
          <w:rFonts w:eastAsia="Amiri" w:cs="Amiri" w:ascii="Amiri" w:hAnsi="Amiri"/>
          <w:color w:val="111111"/>
          <w:sz w:val="28"/>
          <w:szCs w:val="28"/>
          <w:rtl w:val="true"/>
          <w:lang w:bidi="ar-SA"/>
        </w:rPr>
        <w:t>.</w:t>
      </w:r>
      <w:r>
        <w:rPr>
          <w:rStyle w:val="FootnoteAnchor"/>
          <w:rtl w:val="true"/>
        </w:rPr>
        <w:footnoteReference w:id="129"/>
      </w:r>
      <w:bookmarkStart w:id="42" w:name="pg9015_97438"/>
    </w:p>
    <w:p>
      <w:pPr>
        <w:pStyle w:val="Heading2"/>
        <w:numPr>
          <w:ilvl w:val="1"/>
          <w:numId w:val="1"/>
        </w:numPr>
        <w:rPr/>
      </w:pPr>
      <w:bookmarkStart w:id="43" w:name="__RefHeading___Toc2001329_2870459653"/>
      <w:bookmarkStart w:id="44" w:name="_Toc14"/>
      <w:bookmarkEnd w:id="42"/>
      <w:bookmarkEnd w:id="43"/>
      <w:r>
        <w:rPr>
          <w:rtl w:val="true"/>
        </w:rPr>
        <w:t xml:space="preserve">أصل </w:t>
      </w:r>
      <w:r>
        <w:rPr>
          <w:rtl w:val="true"/>
        </w:rPr>
        <w:t>[</w:t>
      </w:r>
      <w:r>
        <w:rPr>
          <w:rtl w:val="true"/>
        </w:rPr>
        <w:t>في تقسيم اللفظ والمعنى</w:t>
      </w:r>
      <w:r>
        <w:rPr>
          <w:rtl w:val="true"/>
        </w:rPr>
        <w:t>]</w:t>
      </w:r>
      <w:bookmarkEnd w:id="44"/>
    </w:p>
    <w:p>
      <w:pPr>
        <w:pStyle w:val="Heading3"/>
        <w:numPr>
          <w:ilvl w:val="2"/>
          <w:numId w:val="1"/>
        </w:numPr>
        <w:rPr/>
      </w:pPr>
      <w:bookmarkStart w:id="45" w:name="__RefHeading___Toc2001331_2870459653"/>
      <w:bookmarkStart w:id="46" w:name="_Toc15"/>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 xml:space="preserve">مدلول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w:t>
      </w:r>
      <w:r>
        <w:rPr>
          <w:rStyle w:val="FootnoteAnchor"/>
          <w:rtl w:val="true"/>
        </w:rPr>
        <w:footnoteReference w:id="130"/>
      </w:r>
      <w:r>
        <w:rPr>
          <w:rFonts w:ascii="IRNazanin" w:hAnsi="IRNazanin" w:eastAsia="IRNazanin"/>
          <w:color w:val="111111"/>
          <w:sz w:val="28"/>
          <w:sz w:val="28"/>
          <w:szCs w:val="28"/>
          <w:rtl w:val="true"/>
          <w:lang w:bidi="fa-IR"/>
        </w:rPr>
        <w:t>قابلاً للصدق</w:t>
      </w:r>
      <w:r>
        <w:rPr>
          <w:rStyle w:val="FootnoteAnchor"/>
          <w:rtl w:val="true"/>
        </w:rPr>
        <w:footnoteReference w:id="131"/>
      </w:r>
      <w:r>
        <w:rPr>
          <w:rFonts w:ascii="Amiri" w:hAnsi="Amiri" w:eastAsia="Amiri" w:cs="Amiri"/>
          <w:color w:val="111111"/>
          <w:sz w:val="28"/>
          <w:sz w:val="28"/>
          <w:szCs w:val="28"/>
          <w:rtl w:val="true"/>
          <w:lang w:bidi="ar-SA"/>
        </w:rPr>
        <w:t xml:space="preserve">على كثيرين، فكلّي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له فرد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فجزئي</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ثم الكلية والجزئية وصفان للمفاهيم بنفسها، وإن لم يلاحظ استفادتها من لفظ موضوع لها؛ لعدم صحة السلب، 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الواضع تصور أمراً كلياً أو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اتصاف المفاهيم بهما ليس بشرط تصورها</w:t>
      </w:r>
      <w:r>
        <w:rPr>
          <w:rStyle w:val="FootnoteAnchor"/>
          <w:rtl w:val="true"/>
        </w:rPr>
        <w:footnoteReference w:id="133"/>
      </w:r>
      <w:r>
        <w:rPr>
          <w:rFonts w:ascii="Amiri" w:hAnsi="Amiri" w:eastAsia="Amiri" w:cs="Amiri"/>
          <w:color w:val="111111"/>
          <w:sz w:val="28"/>
          <w:sz w:val="28"/>
          <w:szCs w:val="28"/>
          <w:rtl w:val="true"/>
          <w:lang w:bidi="ar-SA"/>
        </w:rPr>
        <w:t>وحصولها في الذهن، بل لنفس المفهوم لا بشرط، ويصح اتصاف اللفظ بهما من دون أن يتصور له معنى فوزن فاعل كلي له أنواع ، ولفظ زيد كلي له أفراد ، وخصوص ما تلفظ به عمرو جزئي، وكذا المهملات</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001333_2870459653"/>
      <w:bookmarkStart w:id="48" w:name="_Toc16"/>
      <w:bookmarkEnd w:id="47"/>
      <w:r>
        <w:rPr>
          <w:rtl w:val="true"/>
        </w:rPr>
        <w:t>[</w:t>
      </w:r>
      <w:r>
        <w:rPr>
          <w:rtl w:val="true"/>
        </w:rPr>
        <w:t>تقسيمات الكلي</w:t>
      </w:r>
      <w:r>
        <w:rPr>
          <w:rtl w:val="true"/>
        </w:rPr>
        <w:t>]</w:t>
      </w:r>
      <w:bookmarkEnd w:id="4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الكلي باعتبار تفاوت أفراده في الظهور والخفاء من حيث الفهم من اللفظ</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متواط، أو مشكك بالتشكيك البدوي، أو المضر الإجمالي</w:t>
      </w:r>
      <w:r>
        <w:rPr>
          <w:rStyle w:val="FootnoteAnchor"/>
          <w:rtl w:val="true"/>
        </w:rPr>
        <w:footnoteReference w:id="135"/>
      </w:r>
      <w:r>
        <w:rPr>
          <w:rFonts w:ascii="Amiri" w:hAnsi="Amiri" w:eastAsia="Amiri" w:cs="Amiri"/>
          <w:color w:val="111111"/>
          <w:sz w:val="28"/>
          <w:sz w:val="28"/>
          <w:szCs w:val="28"/>
          <w:rtl w:val="true"/>
          <w:lang w:bidi="ar-SA"/>
        </w:rPr>
        <w:t>، أو المضر المبين العدم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ثم اللفظ والمعنى</w:t>
      </w:r>
      <w:r>
        <w:rPr>
          <w:rStyle w:val="FootnoteAnchor"/>
          <w:rtl w:val="true"/>
        </w:rPr>
        <w:footnoteReference w:id="137"/>
      </w:r>
      <w:r>
        <w:rPr>
          <w:rFonts w:ascii="IRNazanin" w:hAnsi="IRNazanin" w:eastAsia="IRNazanin"/>
          <w:color w:val="111111"/>
          <w:sz w:val="28"/>
          <w:sz w:val="28"/>
          <w:szCs w:val="28"/>
          <w:rtl w:val="true"/>
          <w:lang w:bidi="fa-IR"/>
        </w:rPr>
        <w:t>إن اتحدا ، فهو متحد المعنى واللفظ، ولم نجد له مثالاً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تعدد اللفظ فقط فهما مترادفان كالإنسان والبشر، بخلاف الناطق والضاحك، فإنهما متساويان</w:t>
      </w:r>
      <w:r>
        <w:rPr>
          <w:rStyle w:val="FootnoteAnchor"/>
          <w:rtl w:val="true"/>
        </w:rPr>
        <w:footnoteReference w:id="138"/>
      </w:r>
      <w:r>
        <w:rPr>
          <w:rFonts w:ascii="Amiri" w:hAnsi="Amiri" w:eastAsia="Amiri" w:cs="Amiri"/>
          <w:color w:val="111111"/>
          <w:sz w:val="28"/>
          <w:sz w:val="28"/>
          <w:szCs w:val="28"/>
          <w:rtl w:val="true"/>
          <w:lang w:bidi="ar-SA"/>
        </w:rPr>
        <w:t>، أو المعنى فقط من غير تعدد الوضع فهو حقيقة ومجاز، أو مع تعدد الوضع</w:t>
      </w:r>
      <w:r>
        <w:rPr>
          <w:rStyle w:val="FootnoteAnchor"/>
          <w:rtl w:val="true"/>
        </w:rPr>
        <w:footnoteReference w:id="139"/>
      </w:r>
      <w:r>
        <w:rPr>
          <w:rFonts w:ascii="Amiri" w:hAnsi="Amiri" w:eastAsia="Amiri" w:cs="Amiri"/>
          <w:color w:val="111111"/>
          <w:sz w:val="28"/>
          <w:sz w:val="28"/>
          <w:szCs w:val="28"/>
          <w:rtl w:val="true"/>
          <w:lang w:bidi="ar-SA"/>
        </w:rPr>
        <w:t>وهجر الأول لكن مع كون المناسبة ملحوظة عند الوضع الثاني فمنقول، ونقضه عكساً، بأنه إذا اشتهر أحد المعنيين بحيث صار الآخر مهجوراً سمي ذلك منقولا، وإن لم تلاحظ المناسبة، فلابد من عدم اشتراط ملاحظة المناسبة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المنقول عليه مجاز؛ لأنه شبه 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 عدم ملاحظة المناسبة عند الوضع الثاني لكن مع هجر الأول، فمرتجل، فيفسد حينئذ القول باشتراط ملاحظة عدم المناسبة في المرتجل ؛ إذ ملاحظة الواضع ذلك بعيدة جداً</w:t>
      </w:r>
      <w:r>
        <w:rPr>
          <w:rStyle w:val="FootnoteAnchor"/>
          <w:rtl w:val="true"/>
        </w:rPr>
        <w:footnoteReference w:id="140"/>
      </w:r>
      <w:r>
        <w:rPr>
          <w:rFonts w:ascii="Amiri" w:hAnsi="Amiri" w:eastAsia="Amiri" w:cs="Amiri"/>
          <w:color w:val="111111"/>
          <w:sz w:val="28"/>
          <w:sz w:val="28"/>
          <w:szCs w:val="28"/>
          <w:rtl w:val="true"/>
          <w:lang w:bidi="ar-SA"/>
        </w:rPr>
        <w:t>، أو مع عدم الهجر فمشترك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لفظ له معان متعددة بأوضاع متعددة، مع عدم ملاحظة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المشترك التعيّني، مع كون المناسبة ملحوظة، إلّا أن يكون الغرض تعريف التعييني، وخروج ما لو قال الواضع وضعت العين للذهب والفضة، فإنه مشترك والوضع ،واحد، إلا أن يريد من تعدد الوضع تعدد</w:t>
      </w:r>
      <w:r>
        <w:rPr>
          <w:rStyle w:val="FootnoteAnchor"/>
          <w:rtl w:val="true"/>
        </w:rPr>
        <w:footnoteReference w:id="141"/>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تعدد اللفظ والمعنى فالألفاظ متباينة تكون ومترادفة بقي مثل اسم الإشارة قسما خامساً؛ إذ لا مناسبة حتى تكون حقيقة ومجازاً، ولا تعدد في الوضع حتى تكون مشتركاً، أو منقولاً ، أو مرتجلاً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يتوهم على مذهب المتقدمين دخوله في متحد اللفظ والمعنى؛ إذ المراد من المعنى</w:t>
      </w:r>
      <w:r>
        <w:rPr>
          <w:rStyle w:val="FootnoteAnchor"/>
          <w:rtl w:val="true"/>
        </w:rPr>
        <w:footnoteReference w:id="142"/>
      </w:r>
      <w:r>
        <w:rPr>
          <w:rFonts w:ascii="IRNazanin" w:hAnsi="IRNazanin" w:eastAsia="IRNazanin"/>
          <w:color w:val="111111"/>
          <w:sz w:val="28"/>
          <w:sz w:val="28"/>
          <w:szCs w:val="28"/>
          <w:rtl w:val="true"/>
          <w:lang w:bidi="fa-IR"/>
        </w:rPr>
        <w:t>أعم من المجاز</w:t>
      </w:r>
      <w:r>
        <w:rPr>
          <w:rFonts w:eastAsia="IRNazanin" w:cs="IRNazanin"/>
          <w:color w:val="111111"/>
          <w:sz w:val="28"/>
          <w:szCs w:val="28"/>
          <w:rtl w:val="true"/>
          <w:lang w:bidi="fa-IR"/>
        </w:rPr>
        <w:t>.</w:t>
      </w:r>
      <w:r>
        <w:rPr>
          <w:rStyle w:val="FootnoteAnchor"/>
          <w:rtl w:val="true"/>
        </w:rPr>
        <w:footnoteReference w:id="143"/>
      </w:r>
      <w:bookmarkStart w:id="49" w:name="pg9015_97441"/>
    </w:p>
    <w:p>
      <w:pPr>
        <w:pStyle w:val="Heading2"/>
        <w:numPr>
          <w:ilvl w:val="1"/>
          <w:numId w:val="1"/>
        </w:numPr>
        <w:rPr/>
      </w:pPr>
      <w:bookmarkStart w:id="50" w:name="__RefHeading___Toc2001335_2870459653"/>
      <w:bookmarkStart w:id="51" w:name="_Toc17"/>
      <w:bookmarkEnd w:id="49"/>
      <w:bookmarkEnd w:id="50"/>
      <w:r>
        <w:rPr>
          <w:rtl w:val="true"/>
        </w:rPr>
        <w:t xml:space="preserve">أصل </w:t>
      </w:r>
      <w:r>
        <w:rPr>
          <w:rtl w:val="true"/>
        </w:rPr>
        <w:t>[</w:t>
      </w:r>
      <w:r>
        <w:rPr>
          <w:rtl w:val="true"/>
        </w:rPr>
        <w:t>في تعريف الوضع وتقسيمه باعتبار أركانه</w:t>
      </w:r>
      <w:r>
        <w:rPr>
          <w:rtl w:val="true"/>
        </w:rPr>
        <w:t>]</w:t>
      </w:r>
      <w:bookmarkEnd w:id="51"/>
    </w:p>
    <w:p>
      <w:pPr>
        <w:pStyle w:val="BookText"/>
        <w:rPr/>
      </w:pPr>
      <w:r>
        <w:rPr>
          <w:rFonts w:ascii="Amiri" w:hAnsi="Amiri" w:eastAsia="Amiri" w:cs="Amiri"/>
          <w:color w:val="111111"/>
          <w:sz w:val="28"/>
          <w:sz w:val="28"/>
          <w:szCs w:val="28"/>
          <w:rtl w:val="true"/>
          <w:lang w:bidi="ar-SA"/>
        </w:rPr>
        <w:t xml:space="preserve">للوضع معنى مشهور هو تعيين اللفظ بازاء شيء للدلالة عليه بنفسه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فخرج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الخط والإشارة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المشترك اللفظي لا يدل على معانيه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بأن ذلك ناشئ عن تعدد الوضع وإلا فالواضع عند الوضع وضعه للدلالة على المعنى بنفسه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 إذا تعدد الواضع وكان الواضع الثاني جاهلاً بالأول، أو اتحد وكان غير ملتفت إلى الوضع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المعاني مفهومة من نفس اللفظ، والقرائن فيه</w:t>
      </w:r>
      <w:r>
        <w:rPr>
          <w:rStyle w:val="FootnoteAnchor"/>
          <w:rtl w:val="true"/>
        </w:rPr>
        <w:footnoteReference w:id="146"/>
      </w:r>
      <w:r>
        <w:rPr>
          <w:rFonts w:ascii="Amiri" w:hAnsi="Amiri" w:eastAsia="Amiri" w:cs="Amiri"/>
          <w:color w:val="111111"/>
          <w:sz w:val="28"/>
          <w:sz w:val="28"/>
          <w:szCs w:val="28"/>
          <w:rtl w:val="true"/>
          <w:lang w:bidi="ar-SA"/>
        </w:rPr>
        <w:t>معينة للمراد لا مفهّمة للمعنى</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وغير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تعيين اللفظ للدلالة على المعنى</w:t>
      </w:r>
      <w:r>
        <w:rPr>
          <w:rStyle w:val="FootnoteAnchor"/>
          <w:rtl w:val="true"/>
        </w:rPr>
        <w:footnoteReference w:id="148"/>
      </w:r>
      <w:r>
        <w:rPr>
          <w:rFonts w:ascii="Amiri" w:hAnsi="Amiri" w:eastAsia="Amiri" w:cs="Amiri"/>
          <w:color w:val="111111"/>
          <w:sz w:val="28"/>
          <w:sz w:val="28"/>
          <w:szCs w:val="28"/>
          <w:rtl w:val="true"/>
          <w:lang w:bidi="ar-SA"/>
        </w:rPr>
        <w:t>، وهذا يشمل الوضع النوعي الحاصل في المجازات، فهو أعم من الأول ، لكن لفظ الوضع حقيقة في الأول؛ للتبادر، وصحة السلب عن الأعم من حيث هو، وقلة الاستعمال فيه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لهم في تشخيص الواضع</w:t>
      </w:r>
      <w:r>
        <w:rPr>
          <w:rStyle w:val="FootnoteAnchor"/>
          <w:rtl w:val="true"/>
        </w:rPr>
        <w:footnoteReference w:id="149"/>
      </w:r>
      <w:r>
        <w:rPr>
          <w:rFonts w:ascii="Amiri" w:hAnsi="Amiri" w:eastAsia="Amiri" w:cs="Amiri"/>
          <w:color w:val="111111"/>
          <w:sz w:val="28"/>
          <w:sz w:val="28"/>
          <w:szCs w:val="28"/>
          <w:rtl w:val="true"/>
          <w:lang w:bidi="ar-SA"/>
        </w:rPr>
        <w:t>كلام أسقطناه؛ لعرائه عن الفائدة</w:t>
      </w:r>
      <w:r>
        <w:rPr>
          <w:rFonts w:eastAsia="Amiri" w:cs="Amiri" w:ascii="Amiri" w:hAnsi="Amiri"/>
          <w:color w:val="111111"/>
          <w:sz w:val="28"/>
          <w:szCs w:val="28"/>
          <w:rtl w:val="true"/>
          <w:lang w:bidi="ar-SA"/>
        </w:rPr>
        <w:t xml:space="preserve">. </w:t>
      </w:r>
      <w:bookmarkStart w:id="52" w:name="pg9015_97442"/>
    </w:p>
    <w:p>
      <w:pPr>
        <w:pStyle w:val="Heading2"/>
        <w:numPr>
          <w:ilvl w:val="1"/>
          <w:numId w:val="1"/>
        </w:numPr>
        <w:rPr/>
      </w:pPr>
      <w:bookmarkStart w:id="53" w:name="__RefHeading___Toc2001337_2870459653"/>
      <w:bookmarkStart w:id="54" w:name="_Toc18"/>
      <w:bookmarkEnd w:id="52"/>
      <w:bookmarkEnd w:id="53"/>
      <w:r>
        <w:rPr>
          <w:rtl w:val="true"/>
        </w:rPr>
        <w:t>[</w:t>
      </w:r>
      <w:r>
        <w:rPr>
          <w:rtl w:val="true"/>
        </w:rPr>
        <w:t>أقسام الوضع</w:t>
      </w:r>
      <w:r>
        <w:rPr>
          <w:rtl w:val="true"/>
        </w:rPr>
        <w:t>]</w:t>
      </w:r>
      <w:bookmarkEnd w:id="54"/>
    </w:p>
    <w:p>
      <w:pPr>
        <w:pStyle w:val="BookText"/>
        <w:rPr/>
      </w:pPr>
      <w:r>
        <w:rPr>
          <w:rFonts w:ascii="Amiri" w:hAnsi="Amiri" w:eastAsia="Amiri" w:cs="Amiri"/>
          <w:color w:val="111111"/>
          <w:sz w:val="28"/>
          <w:sz w:val="28"/>
          <w:szCs w:val="28"/>
          <w:rtl w:val="true"/>
          <w:lang w:bidi="ar-SA"/>
        </w:rPr>
        <w:t>ثم الوضع باعتبار الواضع إما لغويّ، أو عرفي عام، أو خاص</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وباعتبار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شخصي إن كان شخصاً خاصاً من اللفظ كزيد، أو نوعي إن كان أمراً عاماً كهيئة ،فاعل، ونحوها مما يندرج تحته أنواع مختلفة الحقيقة، سواء استفيد ذلك من جعل الواضع، أو من التتبع الكاشف عن رضا الواضع ورخصته، ومن هذا الباب وضع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الموضوع في الوضع النوعي هل هو العام المنطقي كما يقتضيه العرف، أو العام الأصولي</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العام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مفهومه صادقاً على كثيرين كأسماء الأجناس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في علم الأصول لعلي الإيرواني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حذراً من عدم كون الاستعمال الخاص لا حقيقة ولا مجازاً؟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إذا شك في كون الوضع نوعياً أم شخصياً، فالأول هو الأصل ؛ لقلّة الحادث</w:t>
      </w:r>
      <w:r>
        <w:rPr>
          <w:rStyle w:val="FootnoteAnchor"/>
          <w:rtl w:val="true"/>
        </w:rPr>
        <w:footnoteReference w:id="152"/>
      </w:r>
      <w:r>
        <w:rPr>
          <w:rFonts w:ascii="Amiri" w:hAnsi="Amiri" w:eastAsia="Amiri" w:cs="Amiri"/>
          <w:color w:val="111111"/>
          <w:sz w:val="28"/>
          <w:sz w:val="28"/>
          <w:szCs w:val="28"/>
          <w:rtl w:val="true"/>
          <w:lang w:bidi="ar-SA"/>
        </w:rPr>
        <w:t>فيه، وحذراً من اللغوية، بل العسر أيضاً إن كان الواضع بشراً</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كل من الموضوع له وآلة 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عامّان أو خاصان، ولا إشكال في وجود القسمين </w:t>
      </w:r>
      <w:r>
        <w:rPr>
          <w:rStyle w:val="FootnoteAnchor"/>
          <w:rtl w:val="true"/>
        </w:rPr>
        <w:footnoteReference w:id="154"/>
      </w:r>
      <w:r>
        <w:rPr>
          <w:rFonts w:ascii="IRNazanin" w:hAnsi="IRNazanin" w:eastAsia="IRNazanin"/>
          <w:color w:val="111111"/>
          <w:sz w:val="28"/>
          <w:sz w:val="28"/>
          <w:szCs w:val="28"/>
          <w:rtl w:val="true"/>
          <w:lang w:bidi="fa-IR"/>
        </w:rPr>
        <w:t xml:space="preserve">؛ أو </w:t>
      </w:r>
      <w:r>
        <w:rPr>
          <w:rStyle w:val="FootnoteAnchor"/>
          <w:rtl w:val="true"/>
        </w:rPr>
        <w:footnoteReference w:id="155"/>
      </w:r>
      <w:r>
        <w:rPr>
          <w:rFonts w:ascii="Amiri" w:hAnsi="Amiri" w:eastAsia="Amiri" w:cs="Amiri"/>
          <w:color w:val="111111"/>
          <w:sz w:val="28"/>
          <w:sz w:val="28"/>
          <w:szCs w:val="28"/>
          <w:rtl w:val="true"/>
          <w:lang w:bidi="ar-SA"/>
        </w:rPr>
        <w:t>الأول عام والثاني ،خاص، ولا ريب في عدم وجوده</w:t>
      </w:r>
      <w:r>
        <w:rPr>
          <w:rStyle w:val="FootnoteAnchor"/>
          <w:rtl w:val="true"/>
        </w:rPr>
        <w:footnoteReference w:id="156"/>
      </w:r>
      <w:r>
        <w:rPr>
          <w:rFonts w:ascii="IRNazanin" w:hAnsi="IRNazanin" w:eastAsia="IRNazanin"/>
          <w:color w:val="111111"/>
          <w:sz w:val="28"/>
          <w:sz w:val="28"/>
          <w:szCs w:val="28"/>
          <w:rtl w:val="true"/>
          <w:lang w:bidi="fa-IR"/>
        </w:rPr>
        <w:t xml:space="preserve">أو </w:t>
      </w:r>
    </w:p>
    <w:p>
      <w:pPr>
        <w:pStyle w:val="BookText"/>
        <w:rPr/>
      </w:pPr>
      <w:r>
        <w:rPr>
          <w:rFonts w:ascii="Amiri" w:hAnsi="Amiri" w:eastAsia="Amiri" w:cs="Amiri"/>
          <w:color w:val="111111"/>
          <w:sz w:val="28"/>
          <w:sz w:val="28"/>
          <w:szCs w:val="28"/>
          <w:rtl w:val="true"/>
          <w:lang w:bidi="ar-SA"/>
        </w:rPr>
        <w:t>العكس، فالقدماء على عدم وجوده</w:t>
      </w:r>
      <w:r>
        <w:rPr>
          <w:rStyle w:val="FootnoteAnchor"/>
          <w:rtl w:val="true"/>
        </w:rPr>
        <w:footnoteReference w:id="1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والمتأخرون على وجوده</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في مثل الضمائر والحروف واسم</w:t>
      </w:r>
      <w:r>
        <w:rPr>
          <w:rStyle w:val="FootnoteAnchor"/>
          <w:rtl w:val="true"/>
        </w:rPr>
        <w:footnoteReference w:id="159"/>
      </w:r>
      <w:r>
        <w:rPr>
          <w:rFonts w:ascii="Amiri" w:hAnsi="Amiri" w:eastAsia="Amiri" w:cs="Amiri"/>
          <w:color w:val="111111"/>
          <w:sz w:val="28"/>
          <w:sz w:val="28"/>
          <w:szCs w:val="28"/>
          <w:rtl w:val="true"/>
          <w:lang w:bidi="ar-SA"/>
        </w:rPr>
        <w:t>الإشارة، فيدعون أن وضعها عام والموضوع له خاص</w:t>
      </w:r>
      <w:r>
        <w:rPr>
          <w:rStyle w:val="FootnoteAnchor"/>
          <w:rtl w:val="true"/>
        </w:rPr>
        <w:footnoteReference w:id="160"/>
      </w:r>
      <w:r>
        <w:rPr>
          <w:rFonts w:ascii="Amiri" w:hAnsi="Amiri" w:eastAsia="Amiri" w:cs="Amiri"/>
          <w:color w:val="111111"/>
          <w:sz w:val="28"/>
          <w:sz w:val="28"/>
          <w:szCs w:val="28"/>
          <w:rtl w:val="true"/>
          <w:lang w:bidi="ar-SA"/>
        </w:rPr>
        <w:t>، لا أنهما عامان، وهو الحق؛ للتبادر ، والأصل فيه كونه وضعياً</w:t>
      </w:r>
      <w:r>
        <w:rPr>
          <w:rStyle w:val="FootnoteAnchor"/>
          <w:rtl w:val="true"/>
        </w:rPr>
        <w:footnoteReference w:id="161"/>
      </w:r>
      <w:r>
        <w:rPr>
          <w:rFonts w:ascii="Amiri" w:hAnsi="Amiri" w:eastAsia="Amiri" w:cs="Amiri"/>
          <w:color w:val="111111"/>
          <w:sz w:val="28"/>
          <w:sz w:val="28"/>
          <w:szCs w:val="28"/>
          <w:rtl w:val="true"/>
          <w:lang w:bidi="ar-SA"/>
        </w:rPr>
        <w:t>وكاشفاً عن اللغة، والأصل عدم الالتفات إلى الشهرة</w:t>
      </w:r>
      <w:r>
        <w:rPr>
          <w:rStyle w:val="FootnoteAnchor"/>
          <w:rtl w:val="true"/>
        </w:rPr>
        <w:footnoteReference w:id="162"/>
      </w:r>
      <w:r>
        <w:rPr>
          <w:rFonts w:ascii="Amiri" w:hAnsi="Amiri" w:eastAsia="Amiri" w:cs="Amiri"/>
          <w:color w:val="111111"/>
          <w:sz w:val="28"/>
          <w:sz w:val="28"/>
          <w:szCs w:val="28"/>
          <w:rtl w:val="true"/>
          <w:lang w:bidi="ar-SA"/>
        </w:rPr>
        <w:t xml:space="preserve">، وللزوم المجاز بلا حقيقة، ولعدم انقسام الكلمة حينئذ إلى ثلاثة، وعدم جواز استعمال تلك الألفاظ في المعنى العام حتى مجازاً، ولتنصيص أهل اللغة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حقيقة في الظرفية</w:t>
      </w:r>
      <w:r>
        <w:rPr>
          <w:rStyle w:val="FootnoteAnchor"/>
          <w:rtl w:val="true"/>
        </w:rPr>
        <w:footnoteReference w:id="163"/>
      </w:r>
      <w:r>
        <w:rPr>
          <w:rFonts w:ascii="Amiri" w:hAnsi="Amiri" w:eastAsia="Amiri" w:cs="Amiri"/>
          <w:color w:val="111111"/>
          <w:sz w:val="28"/>
          <w:sz w:val="28"/>
          <w:szCs w:val="28"/>
          <w:rtl w:val="true"/>
          <w:lang w:bidi="ar-SA"/>
        </w:rPr>
        <w:t xml:space="preserve">، ولا حقيقة إلا بعد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استعمال</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إلا في الخصوصيات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وللخصم وجوه ضعيفة، يظهر ضعفها بأدنى تأمل</w:t>
      </w:r>
      <w:r>
        <w:rPr>
          <w:rFonts w:eastAsia="Amiri" w:cs="Amiri" w:ascii="Amiri" w:hAnsi="Amiri"/>
          <w:color w:val="111111"/>
          <w:sz w:val="28"/>
          <w:szCs w:val="28"/>
          <w:rtl w:val="true"/>
          <w:lang w:bidi="ar-SA"/>
        </w:rPr>
        <w:t xml:space="preserve">. </w:t>
      </w:r>
      <w:bookmarkStart w:id="55" w:name="pg9015_97444"/>
    </w:p>
    <w:p>
      <w:pPr>
        <w:pStyle w:val="Heading2"/>
        <w:numPr>
          <w:ilvl w:val="1"/>
          <w:numId w:val="1"/>
        </w:numPr>
        <w:rPr/>
      </w:pPr>
      <w:bookmarkStart w:id="56" w:name="__RefHeading___Toc2001339_2870459653"/>
      <w:bookmarkStart w:id="57" w:name="_Toc19"/>
      <w:bookmarkEnd w:id="55"/>
      <w:bookmarkEnd w:id="56"/>
      <w:r>
        <w:rPr>
          <w:rtl w:val="true"/>
        </w:rPr>
        <w:t>أصل</w:t>
      </w:r>
      <w:r>
        <w:rPr>
          <w:rtl w:val="true"/>
        </w:rPr>
        <w:t>[</w:t>
      </w:r>
      <w:r>
        <w:rPr>
          <w:rtl w:val="true"/>
        </w:rPr>
        <w:t>في الحقيقة الشرعية</w:t>
      </w:r>
      <w:r>
        <w:rPr>
          <w:rtl w:val="true"/>
        </w:rPr>
        <w:t>]</w:t>
      </w:r>
      <w:bookmarkEnd w:id="57"/>
    </w:p>
    <w:p>
      <w:pPr>
        <w:pStyle w:val="Heading3"/>
        <w:numPr>
          <w:ilvl w:val="2"/>
          <w:numId w:val="1"/>
        </w:numPr>
        <w:rPr/>
      </w:pPr>
      <w:bookmarkStart w:id="58" w:name="__RefHeading___Toc2001341_2870459653"/>
      <w:bookmarkStart w:id="59" w:name="_Toc20"/>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تطلق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تدين بدين الإسلام ولو عاميّاً</w:t>
      </w:r>
      <w:r>
        <w:rPr>
          <w:rStyle w:val="FootnoteAnchor"/>
          <w:rtl w:val="true"/>
        </w:rPr>
        <w:footnoteReference w:id="16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لفظ استعمله الشارع في المعنى الشرعي</w:t>
      </w:r>
      <w:r>
        <w:rPr>
          <w:rStyle w:val="FootnoteAnchor"/>
          <w:rtl w:val="true"/>
        </w:rPr>
        <w:footnoteReference w:id="166"/>
      </w:r>
      <w:r>
        <w:rPr>
          <w:rFonts w:ascii="Amiri" w:hAnsi="Amiri" w:eastAsia="Amiri" w:cs="Amiri"/>
          <w:color w:val="111111"/>
          <w:sz w:val="28"/>
          <w:sz w:val="28"/>
          <w:szCs w:val="28"/>
          <w:rtl w:val="true"/>
          <w:lang w:bidi="ar-SA"/>
        </w:rPr>
        <w:t>بطريق الحقيقة تعييناً أم تعيّناً</w:t>
      </w:r>
      <w:r>
        <w:rPr>
          <w:rStyle w:val="FootnoteAnchor"/>
          <w:rtl w:val="true"/>
        </w:rPr>
        <w:footnoteReference w:id="167"/>
      </w:r>
      <w:r>
        <w:rPr>
          <w:rFonts w:ascii="IRNazanin" w:hAnsi="IRNazanin" w:eastAsia="IRNazanin"/>
          <w:color w:val="111111"/>
          <w:sz w:val="28"/>
          <w:sz w:val="28"/>
          <w:szCs w:val="28"/>
          <w:rtl w:val="true"/>
          <w:lang w:bidi="fa-IR"/>
        </w:rPr>
        <w:t>،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جاعل أحكام الشرع ومخترعها، وهو الله سبحانه لا غير،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المبيّن يمكن إطلاقه على النبي صلی الله علیه و آله وسلم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وأما التفويض الوارد في الأخبار</w:t>
      </w:r>
      <w:r>
        <w:rPr>
          <w:rStyle w:val="FootnoteAnchor"/>
          <w:rtl w:val="true"/>
        </w:rPr>
        <w:footnoteReference w:id="169"/>
      </w:r>
      <w:r>
        <w:rPr>
          <w:rFonts w:ascii="Amiri" w:hAnsi="Amiri" w:eastAsia="Amiri" w:cs="Amiri"/>
          <w:color w:val="111111"/>
          <w:sz w:val="28"/>
          <w:sz w:val="28"/>
          <w:szCs w:val="28"/>
          <w:rtl w:val="true"/>
          <w:lang w:bidi="ar-SA"/>
        </w:rPr>
        <w:t>، فمن باب الإذن في بيان الأحكام على طبق الصفات، لا جعل الحكم كما يريد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الألفاظ التي اختلف في ثبوت الحقيقة الشرعية فيها، قد استعملت في المعنى الشرعي في لسان الشارع ولو مجازاً، لا أنها باقية على معانيها اللغوية والزوائد شروط وقيود فهمت من الخارج كما عن القاضي</w:t>
      </w:r>
      <w:r>
        <w:rPr>
          <w:rStyle w:val="FootnoteAnchor"/>
          <w:rtl w:val="true"/>
        </w:rPr>
        <w:footnoteReference w:id="170"/>
      </w:r>
      <w:r>
        <w:rPr>
          <w:rFonts w:ascii="Amiri" w:hAnsi="Amiri" w:eastAsia="Amiri" w:cs="Amiri"/>
          <w:color w:val="111111"/>
          <w:sz w:val="28"/>
          <w:sz w:val="28"/>
          <w:szCs w:val="28"/>
          <w:rtl w:val="true"/>
          <w:lang w:bidi="ar-SA"/>
        </w:rPr>
        <w:t>، وإن كان الأصل معه</w:t>
      </w:r>
      <w:r>
        <w:rPr>
          <w:rStyle w:val="FootnoteAnchor"/>
          <w:rtl w:val="true"/>
        </w:rPr>
        <w:footnoteReference w:id="171"/>
      </w:r>
      <w:r>
        <w:rPr>
          <w:rStyle w:val="FootnoteAnchor"/>
          <w:rtl w:val="true"/>
        </w:rPr>
        <w:footnoteReference w:id="172"/>
      </w:r>
      <w:bookmarkStart w:id="60" w:name="pg9015_97445"/>
    </w:p>
    <w:p>
      <w:pPr>
        <w:pStyle w:val="BookText"/>
        <w:rPr/>
      </w:pPr>
      <w:bookmarkEnd w:id="60"/>
      <w:r>
        <w:rPr>
          <w:rFonts w:ascii="Amiri" w:hAnsi="Amiri" w:eastAsia="Amiri" w:cs="Amiri"/>
          <w:color w:val="111111"/>
          <w:sz w:val="28"/>
          <w:sz w:val="28"/>
          <w:szCs w:val="28"/>
          <w:rtl w:val="true"/>
          <w:lang w:bidi="ar-SA"/>
        </w:rPr>
        <w:t>وذلك للاتفاق، وللزوم عدم كون الأخرس المنفرد مصلياً، إلا أن يجعل الدعاء أعمّ من اللفظي والقلبي، ولأن تقييد المطلق بالمنفصل في الأوامر مجاز ، إلا أن يكون إنكاره لغير مجاز التقييد ؛ لأنه لا ينافي إجراء الأصل في الأركان</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2001343_2870459653"/>
      <w:bookmarkStart w:id="62" w:name="_Toc21"/>
      <w:bookmarkEnd w:id="61"/>
      <w:r>
        <w:rPr>
          <w:rtl w:val="true"/>
        </w:rPr>
        <w:t>[</w:t>
      </w:r>
      <w:r>
        <w:rPr>
          <w:rtl w:val="true"/>
        </w:rPr>
        <w:t>ثمرة النزاع مع القاضي</w:t>
      </w:r>
      <w:r>
        <w:rPr>
          <w:rtl w:val="true"/>
        </w:rPr>
        <w:t>]</w:t>
      </w:r>
      <w:bookmarkEnd w:id="62"/>
    </w:p>
    <w:p>
      <w:pPr>
        <w:pStyle w:val="BookText"/>
        <w:rPr/>
      </w:pPr>
      <w:r>
        <w:rPr>
          <w:rFonts w:ascii="Amiri" w:hAnsi="Amiri" w:eastAsia="Amiri" w:cs="Amiri"/>
          <w:color w:val="111111"/>
          <w:sz w:val="28"/>
          <w:sz w:val="28"/>
          <w:szCs w:val="28"/>
          <w:rtl w:val="true"/>
          <w:lang w:bidi="ar-SA"/>
        </w:rPr>
        <w:t>ثم تظهر الثمرة بينه وبينهم في إجراء الأصل في الأركان</w:t>
      </w:r>
      <w:r>
        <w:rPr>
          <w:rStyle w:val="FootnoteAnchor"/>
          <w:rtl w:val="true"/>
        </w:rPr>
        <w:footnoteReference w:id="173"/>
      </w:r>
      <w:r>
        <w:rPr>
          <w:rFonts w:ascii="Amiri" w:hAnsi="Amiri" w:eastAsia="Amiri" w:cs="Amiri"/>
          <w:color w:val="111111"/>
          <w:sz w:val="28"/>
          <w:sz w:val="28"/>
          <w:szCs w:val="28"/>
          <w:rtl w:val="true"/>
          <w:lang w:bidi="ar-SA"/>
        </w:rPr>
        <w:t>، وفي الحمل على المعنى اللغوي عند فقد القرينة قبالاً للقائل بالحقيقة الشرعية</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ثبوت استعمال الشارع، ففي كونه بالوضع في كل الألفاظ تعييناً أم تعيّناً، أو فى ألفاظ العبادات خاصة، أو في الألفاظ المتداولة خاصة</w:t>
      </w:r>
      <w:r>
        <w:rPr>
          <w:rStyle w:val="FootnoteAnchor"/>
          <w:rtl w:val="true"/>
        </w:rPr>
        <w:footnoteReference w:id="175"/>
      </w:r>
      <w:r>
        <w:rPr>
          <w:rFonts w:ascii="Amiri" w:hAnsi="Amiri" w:eastAsia="Amiri" w:cs="Amiri"/>
          <w:color w:val="111111"/>
          <w:sz w:val="28"/>
          <w:sz w:val="28"/>
          <w:szCs w:val="28"/>
          <w:rtl w:val="true"/>
          <w:lang w:bidi="ar-SA"/>
        </w:rPr>
        <w:t>، أو في زمن الصادقين مطلقاً لا قبله</w:t>
      </w:r>
      <w:r>
        <w:rPr>
          <w:rStyle w:val="FootnoteAnchor"/>
          <w:rtl w:val="true"/>
        </w:rPr>
        <w:footnoteReference w:id="176"/>
      </w:r>
      <w:r>
        <w:rPr>
          <w:rFonts w:ascii="IRNazanin" w:hAnsi="IRNazanin" w:eastAsia="IRNazanin"/>
          <w:color w:val="111111"/>
          <w:sz w:val="28"/>
          <w:sz w:val="28"/>
          <w:szCs w:val="28"/>
          <w:rtl w:val="true"/>
          <w:lang w:bidi="fa-IR"/>
        </w:rPr>
        <w:t>، أو في الألفاظ المتداولة في زمن النبي صلی الله علیه و آله وسلم وفي غيرها في زمن الصادقين</w:t>
      </w:r>
      <w:r>
        <w:rPr>
          <w:rStyle w:val="FootnoteAnchor"/>
          <w:rtl w:val="true"/>
        </w:rPr>
        <w:footnoteReference w:id="177"/>
      </w:r>
      <w:r>
        <w:rPr>
          <w:rFonts w:ascii="IRNazanin" w:hAnsi="IRNazanin" w:eastAsia="IRNazanin"/>
          <w:color w:val="111111"/>
          <w:sz w:val="28"/>
          <w:sz w:val="28"/>
          <w:szCs w:val="28"/>
          <w:rtl w:val="true"/>
          <w:lang w:bidi="fa-IR"/>
        </w:rPr>
        <w:t>، أو عدم الوضع مطلقاً</w:t>
      </w:r>
      <w:r>
        <w:rPr>
          <w:rStyle w:val="FootnoteAnchor"/>
          <w:rtl w:val="true"/>
        </w:rPr>
        <w:footnoteReference w:id="178"/>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r>
        <w:rPr>
          <w:rStyle w:val="FootnoteAnchor"/>
          <w:rtl w:val="true"/>
        </w:rPr>
        <w:footnoteReference w:id="179"/>
      </w:r>
      <w:bookmarkStart w:id="63" w:name="pg9015_97446"/>
    </w:p>
    <w:p>
      <w:pPr>
        <w:pStyle w:val="Heading3"/>
        <w:numPr>
          <w:ilvl w:val="2"/>
          <w:numId w:val="1"/>
        </w:numPr>
        <w:rPr/>
      </w:pPr>
      <w:bookmarkStart w:id="64" w:name="__RefHeading___Toc2001345_2870459653"/>
      <w:bookmarkStart w:id="65" w:name="_Toc22"/>
      <w:bookmarkEnd w:id="63"/>
      <w:bookmarkEnd w:id="64"/>
      <w:r>
        <w:rPr>
          <w:rtl w:val="true"/>
        </w:rPr>
        <w:t>[</w:t>
      </w:r>
      <w:r>
        <w:rPr>
          <w:rtl w:val="true"/>
        </w:rPr>
        <w:t>المختار في المسألة</w:t>
      </w:r>
      <w:r>
        <w:rPr>
          <w:rtl w:val="true"/>
        </w:rPr>
        <w:t>]</w:t>
      </w:r>
      <w:bookmarkEnd w:id="65"/>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كان من تلك الألفاظ الواردة في الكتاب والسنة أغلب استعمالاً فيهما في المعنى الشرعي من اللغوي حملناه عند فقد القرينة عليه، وإلا فلا </w:t>
      </w:r>
      <w:r>
        <w:rPr>
          <w:rStyle w:val="FootnoteAnchor"/>
          <w:rtl w:val="true"/>
        </w:rPr>
        <w:footnoteReference w:id="180"/>
      </w:r>
      <w:r>
        <w:rPr>
          <w:rFonts w:ascii="IRNazanin" w:hAnsi="IRNazanin" w:eastAsia="IRNazanin"/>
          <w:color w:val="111111"/>
          <w:sz w:val="28"/>
          <w:sz w:val="28"/>
          <w:szCs w:val="28"/>
          <w:rtl w:val="true"/>
          <w:lang w:bidi="fa-IR"/>
        </w:rPr>
        <w:t>لبناء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والمتمسك للإثبات المطلق باللطف؛ لشدة ،الحاجة، وعدم تجشم القرائن كثيراً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أو بالاستقراء في أحوال المصطلحين الواضعين المقتضي لتحقق الوضع تعييناً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أو بأن ثبوتها في بعض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w:t>
      </w:r>
      <w:r>
        <w:rPr>
          <w:rStyle w:val="FootnoteAnchor"/>
          <w:rtl w:val="true"/>
        </w:rPr>
        <w:footnoteReference w:id="183"/>
      </w:r>
      <w:r>
        <w:rPr>
          <w:rFonts w:ascii="Amiri" w:hAnsi="Amiri" w:eastAsia="Amiri" w:cs="Amiri"/>
          <w:color w:val="111111"/>
          <w:sz w:val="28"/>
          <w:sz w:val="28"/>
          <w:szCs w:val="28"/>
          <w:rtl w:val="true"/>
          <w:lang w:bidi="ar-SA"/>
        </w:rPr>
        <w:t>، ويتم في غيره بالإجماع المركب ؛ لأن التفاصيل لم تكن وإنما نشأت من المتأخرين، والقلب بضميمة الأصل واضح الفساد</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بثبوت مسميات بعض تلك الألفاظ في الأمم السابقة، والظاهر أنهم كانوا الألفاظ </w:t>
      </w:r>
    </w:p>
    <w:p>
      <w:pPr>
        <w:pStyle w:val="BookText"/>
        <w:rPr/>
      </w:pPr>
      <w:r>
        <w:rPr>
          <w:rFonts w:ascii="Amiri" w:hAnsi="Amiri" w:eastAsia="Amiri" w:cs="Amiri"/>
          <w:color w:val="111111"/>
          <w:sz w:val="28"/>
          <w:sz w:val="28"/>
          <w:szCs w:val="28"/>
          <w:rtl w:val="true"/>
          <w:lang w:bidi="ar-SA"/>
        </w:rPr>
        <w:t xml:space="preserve">يعبرون عنها في لسان العرب بتلك الألفاظ، ولم يحصل في شرعنا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المسمى،بحيث يوجب اختلاف</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الوضع، ولم نجد مفصلاً بين بين الألفاظ من تلك الجهة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أو بذهاب المشهور الموجب للظن في الموضوع</w:t>
      </w:r>
      <w:r>
        <w:rPr>
          <w:rStyle w:val="FootnoteAnchor"/>
          <w:rtl w:val="true"/>
        </w:rPr>
        <w:footnoteReference w:id="187"/>
      </w:r>
      <w:r>
        <w:rPr>
          <w:rFonts w:ascii="Amiri" w:hAnsi="Amiri" w:eastAsia="Amiri" w:cs="Amiri"/>
          <w:color w:val="111111"/>
          <w:sz w:val="28"/>
          <w:sz w:val="28"/>
          <w:szCs w:val="28"/>
          <w:rtl w:val="true"/>
          <w:lang w:bidi="ar-SA"/>
        </w:rPr>
        <w:t>المستنبط، بل استفاض نقل الإجماع على الثبوت أو على الحمل على المعنى الشرعي</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أو بأنّ العرف العام والمتشرعة يحملون تلك الألفاظ الواقعة في الكتاب والسنة وغيرهما بمجرد سماعها على المعنى الشرعي</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مدفوع</w:t>
      </w:r>
      <w:r>
        <w:rPr>
          <w:rStyle w:val="FootnoteAnchor"/>
          <w:rtl w:val="true"/>
        </w:rPr>
        <w:footnoteReference w:id="190"/>
      </w:r>
      <w:r>
        <w:rPr>
          <w:rFonts w:ascii="IRNazanin" w:hAnsi="IRNazanin" w:eastAsia="IRNazanin"/>
          <w:color w:val="111111"/>
          <w:sz w:val="28"/>
          <w:sz w:val="28"/>
          <w:szCs w:val="28"/>
          <w:rtl w:val="true"/>
          <w:lang w:bidi="fa-IR"/>
        </w:rPr>
        <w:t>، بأن</w:t>
      </w:r>
      <w:r>
        <w:rPr>
          <w:rStyle w:val="FootnoteAnchor"/>
          <w:rtl w:val="true"/>
        </w:rPr>
        <w:footnoteReference w:id="191"/>
      </w:r>
      <w:r>
        <w:rPr>
          <w:rFonts w:ascii="Amiri" w:hAnsi="Amiri" w:eastAsia="Amiri" w:cs="Amiri"/>
          <w:color w:val="111111"/>
          <w:sz w:val="28"/>
          <w:sz w:val="28"/>
          <w:szCs w:val="28"/>
          <w:rtl w:val="true"/>
          <w:lang w:bidi="ar-SA"/>
        </w:rPr>
        <w:t>اللمّي الظني لا حجية</w:t>
      </w:r>
      <w:r>
        <w:rPr>
          <w:rStyle w:val="FootnoteAnchor"/>
          <w:rtl w:val="true"/>
        </w:rPr>
        <w:footnoteReference w:id="192"/>
      </w:r>
      <w:r>
        <w:rPr>
          <w:rFonts w:ascii="Amiri" w:hAnsi="Amiri" w:eastAsia="Amiri" w:cs="Amiri"/>
          <w:color w:val="111111"/>
          <w:sz w:val="28"/>
          <w:sz w:val="28"/>
          <w:szCs w:val="28"/>
          <w:rtl w:val="true"/>
          <w:lang w:bidi="ar-SA"/>
        </w:rPr>
        <w:t>فيه</w:t>
      </w:r>
      <w:r>
        <w:rPr>
          <w:rStyle w:val="FootnoteAnchor"/>
          <w:rtl w:val="true"/>
        </w:rPr>
        <w:footnoteReference w:id="193"/>
      </w:r>
      <w:r>
        <w:rPr>
          <w:rFonts w:ascii="Amiri" w:hAnsi="Amiri" w:eastAsia="Amiri" w:cs="Amiri"/>
          <w:color w:val="111111"/>
          <w:sz w:val="28"/>
          <w:sz w:val="28"/>
          <w:szCs w:val="28"/>
          <w:rtl w:val="true"/>
          <w:lang w:bidi="ar-SA"/>
        </w:rPr>
        <w:t>، وتجشم القرائن كثيراً إنما يلزم إذا كان الاستعمال في المعنى الشرعي أكثر من اللغوي لا في العكس، فإنه بالعكس</w:t>
      </w:r>
      <w:r>
        <w:rPr>
          <w:rStyle w:val="FootnoteAnchor"/>
          <w:rtl w:val="true"/>
        </w:rPr>
        <w:footnoteReference w:id="194"/>
      </w:r>
      <w:r>
        <w:rPr>
          <w:rFonts w:ascii="Amiri" w:hAnsi="Amiri" w:eastAsia="Amiri" w:cs="Amiri"/>
          <w:color w:val="111111"/>
          <w:sz w:val="28"/>
          <w:sz w:val="28"/>
          <w:szCs w:val="28"/>
          <w:rtl w:val="true"/>
          <w:lang w:bidi="ar-SA"/>
        </w:rPr>
        <w:t>، ولا مع التساوي وفقد المرجح</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وبأن الاستقراء إنما يتم فيما كثر استعماله لا مطلقاً</w:t>
      </w:r>
      <w:r>
        <w:rPr>
          <w:rStyle w:val="FootnoteAnchor"/>
          <w:rtl w:val="true"/>
        </w:rPr>
        <w:footnoteReference w:id="195"/>
      </w:r>
      <w:r>
        <w:rPr>
          <w:rFonts w:ascii="Amiri" w:hAnsi="Amiri" w:eastAsia="Amiri" w:cs="Amiri"/>
          <w:color w:val="111111"/>
          <w:sz w:val="28"/>
          <w:sz w:val="28"/>
          <w:szCs w:val="28"/>
          <w:rtl w:val="true"/>
          <w:lang w:bidi="ar-SA"/>
        </w:rPr>
        <w:t xml:space="preserve">، بل مقتضى الاستقراء وتأخر الحادث كون الوضع حاصلاً من كثرة الاستعمال لا التعيين، وبأن عدم وجود </w:t>
      </w:r>
    </w:p>
    <w:p>
      <w:pPr>
        <w:pStyle w:val="BookText"/>
        <w:rPr/>
      </w:pPr>
      <w:r>
        <w:rPr>
          <w:rFonts w:ascii="Amiri" w:hAnsi="Amiri" w:eastAsia="Amiri" w:cs="Amiri"/>
          <w:color w:val="111111"/>
          <w:sz w:val="28"/>
          <w:sz w:val="28"/>
          <w:szCs w:val="28"/>
          <w:rtl w:val="true"/>
          <w:lang w:bidi="ar-SA"/>
        </w:rPr>
        <w:t>القول بالفصل بين القدماء</w:t>
      </w:r>
      <w:r>
        <w:rPr>
          <w:rStyle w:val="FootnoteAnchor"/>
          <w:rtl w:val="true"/>
        </w:rPr>
        <w:footnoteReference w:id="196"/>
      </w:r>
      <w:r>
        <w:rPr>
          <w:rFonts w:ascii="Amiri" w:hAnsi="Amiri" w:eastAsia="Amiri" w:cs="Amiri"/>
          <w:color w:val="111111"/>
          <w:sz w:val="28"/>
          <w:sz w:val="28"/>
          <w:szCs w:val="28"/>
          <w:rtl w:val="true"/>
          <w:lang w:bidi="ar-SA"/>
        </w:rPr>
        <w:t>ممنوع، وعدم الوجدان لا يدل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انحصار القول بينهم في الإثبات المطلق والنفي المطلق</w:t>
      </w:r>
      <w:r>
        <w:rPr>
          <w:rStyle w:val="FootnoteAnchor"/>
          <w:rtl w:val="true"/>
        </w:rPr>
        <w:footnoteReference w:id="197"/>
      </w:r>
      <w:r>
        <w:rPr>
          <w:rFonts w:ascii="Amiri" w:hAnsi="Amiri" w:eastAsia="Amiri" w:cs="Amiri"/>
          <w:color w:val="111111"/>
          <w:sz w:val="28"/>
          <w:sz w:val="28"/>
          <w:szCs w:val="28"/>
          <w:rtl w:val="true"/>
          <w:lang w:bidi="ar-SA"/>
        </w:rPr>
        <w:t>ممنوع، فلعل أحد القولين فيهم بعد تسليم انحصار قولهم في اثنين</w:t>
      </w:r>
      <w:r>
        <w:rPr>
          <w:rStyle w:val="FootnoteAnchor"/>
          <w:rtl w:val="true"/>
        </w:rPr>
        <w:footnoteReference w:id="198"/>
      </w:r>
      <w:r>
        <w:rPr>
          <w:rFonts w:ascii="Amiri" w:hAnsi="Amiri" w:eastAsia="Amiri" w:cs="Amiri"/>
          <w:color w:val="111111"/>
          <w:sz w:val="28"/>
          <w:sz w:val="28"/>
          <w:szCs w:val="28"/>
          <w:rtl w:val="true"/>
          <w:lang w:bidi="ar-SA"/>
        </w:rPr>
        <w:t>هو التفصيل</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ثم حجية الإجماع المركب مع عدم الكشف ممنوعة</w:t>
      </w:r>
      <w:r>
        <w:rPr>
          <w:rStyle w:val="FootnoteAnchor"/>
          <w:rtl w:val="true"/>
        </w:rPr>
        <w:footnoteReference w:id="200"/>
      </w:r>
      <w:r>
        <w:rPr>
          <w:rFonts w:ascii="Amiri" w:hAnsi="Amiri" w:eastAsia="Amiri" w:cs="Amiri"/>
          <w:color w:val="111111"/>
          <w:sz w:val="28"/>
          <w:sz w:val="28"/>
          <w:szCs w:val="28"/>
          <w:rtl w:val="true"/>
          <w:lang w:bidi="ar-SA"/>
        </w:rPr>
        <w:t>، فإنا نرى بناء العرف على عدم ثبوت الحقيقة في الألفاظ النادرة الاستعمال، وبأن عدم اختلاف الوضع باختلاف الكيفية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وجود الإجماع المركب هنا، بل وحجيته، ممنوع،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الوصف من الشهرة بعد ما عرفت من طريقة العرف غير حاصل</w:t>
      </w:r>
      <w:r>
        <w:rPr>
          <w:rStyle w:val="FootnoteAnchor"/>
          <w:rtl w:val="true"/>
        </w:rPr>
        <w:footnoteReference w:id="201"/>
      </w:r>
      <w:r>
        <w:rPr>
          <w:rFonts w:ascii="IRNazanin" w:hAnsi="IRNazanin" w:eastAsia="IRNazanin"/>
          <w:color w:val="111111"/>
          <w:sz w:val="28"/>
          <w:sz w:val="28"/>
          <w:szCs w:val="28"/>
          <w:rtl w:val="true"/>
          <w:lang w:bidi="fa-IR"/>
        </w:rPr>
        <w:t xml:space="preserve">ونقل الإجماعات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على</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المعنى الشرعي لا يدل على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العرف العام أو المتشرعة على الحمل على المعنى الشرعي مطلقاً بعد التفاتهم إلى كثرة الاستعمال وندرته ممنوع ، مع أن الحمل أعمّ من الوضع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تمسّك النافي المطلق بالأصل</w:t>
      </w:r>
      <w:r>
        <w:rPr>
          <w:rStyle w:val="FootnoteAnchor"/>
          <w:rtl w:val="true"/>
        </w:rPr>
        <w:footnoteReference w:id="203"/>
      </w:r>
      <w:r>
        <w:rPr>
          <w:rFonts w:ascii="IRNazanin" w:hAnsi="IRNazanin" w:eastAsia="IRNazanin"/>
          <w:color w:val="111111"/>
          <w:sz w:val="28"/>
          <w:sz w:val="28"/>
          <w:szCs w:val="28"/>
          <w:rtl w:val="true"/>
          <w:lang w:bidi="fa-IR"/>
        </w:rPr>
        <w:t xml:space="preserve">، فقد اندفع بما مر </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أو بأن الشارع لو وضعها لبينها للحاضرين؛ لكونهم مكلفين بمضامينها، ولو بينها لنقل الينا؛ لمشاركتنا معهم في التكليف، ولو نقل لكان إما بالتواتر فينافيه وجود الخلاف، أو بالآحاد فلا تفيد الا الظن الذي ليس حجة في المسألة الأصولية</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الأولى إن أراد من البيان تصريح الشارع بالوضع؛ لإمكان تفهيم المراد بالترديد والقرائن</w:t>
      </w:r>
      <w:r>
        <w:rPr>
          <w:rStyle w:val="FootnoteAnchor"/>
          <w:rtl w:val="true"/>
        </w:rPr>
        <w:footnoteReference w:id="206"/>
      </w:r>
      <w:r>
        <w:rPr>
          <w:rFonts w:ascii="Amiri" w:hAnsi="Amiri" w:eastAsia="Amiri" w:cs="Amiri"/>
          <w:color w:val="111111"/>
          <w:sz w:val="28"/>
          <w:sz w:val="28"/>
          <w:szCs w:val="28"/>
          <w:rtl w:val="true"/>
          <w:lang w:bidi="ar-SA"/>
        </w:rPr>
        <w:t>، والثانية إن أراد من البيان غير التصريح؛ إذ المشاركة لا يقتضي النقل الينا، وإلا لعمّ الكل وعلمنا بكل الأحكام، فالمشاركة إنما تقتضي استفراغ الوسع في تحصيل العلم بما كلفوا به ، فإن علمنا عملنا، والا رجعنا إلى الأصل على أن غاية ذلك أنه يجب عليهم التبليغ والتكليف بالشيء لا يقتضي حصوله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مضافاً إلى منع الملازمة الثالثة؛ إذ لا ينحصر النقل في التواتر والآحاد؛ لإمكان حصوله بالتتبع والاجتهاد</w:t>
      </w:r>
      <w:r>
        <w:rPr>
          <w:rStyle w:val="FootnoteAnchor"/>
          <w:rtl w:val="true"/>
        </w:rPr>
        <w:footnoteReference w:id="208"/>
      </w:r>
      <w:r>
        <w:rPr>
          <w:rFonts w:ascii="Amiri" w:hAnsi="Amiri" w:eastAsia="Amiri" w:cs="Amiri"/>
          <w:color w:val="111111"/>
          <w:sz w:val="28"/>
          <w:sz w:val="28"/>
          <w:szCs w:val="28"/>
          <w:rtl w:val="true"/>
          <w:lang w:bidi="ar-SA"/>
        </w:rPr>
        <w:t>، وإلى أن التواتر لا ينافيه وجود الخلاف، والآحاد قد تفيد العلم</w:t>
      </w:r>
      <w:r>
        <w:rPr>
          <w:rStyle w:val="FootnoteAnchor"/>
          <w:rtl w:val="true"/>
        </w:rPr>
        <w:footnoteReference w:id="209"/>
      </w:r>
      <w:r>
        <w:rPr>
          <w:rFonts w:ascii="Amiri" w:hAnsi="Amiri" w:eastAsia="Amiri" w:cs="Amiri"/>
          <w:color w:val="111111"/>
          <w:sz w:val="28"/>
          <w:sz w:val="28"/>
          <w:szCs w:val="28"/>
          <w:rtl w:val="true"/>
          <w:lang w:bidi="ar-SA"/>
        </w:rPr>
        <w:t>، وأن الظن في الموضوع المستنبط كما نحن فيه حجة</w:t>
      </w:r>
      <w:r>
        <w:rPr>
          <w:rStyle w:val="FootnoteAnchor"/>
          <w:rtl w:val="true"/>
        </w:rPr>
        <w:footnoteReference w:id="210"/>
      </w:r>
      <w:r>
        <w:rPr>
          <w:rFonts w:ascii="Amiri" w:hAnsi="Amiri" w:eastAsia="Amiri" w:cs="Amiri"/>
          <w:color w:val="111111"/>
          <w:sz w:val="28"/>
          <w:sz w:val="28"/>
          <w:szCs w:val="28"/>
          <w:rtl w:val="true"/>
          <w:lang w:bidi="ar-SA"/>
        </w:rPr>
        <w:t>، وان هذا لو تم لنفى التعيين لا التعيّن</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بلزوم كون تلك الألفاظ غير عربية؛ إذ العربية فرع الوضع في لغة العرب فيلزم كون القرآن غير عربي؛ لاشتماله عليها، وينافيه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قُرْآنًا </w:t>
      </w:r>
    </w:p>
    <w:p>
      <w:pPr>
        <w:pStyle w:val="BookText"/>
        <w:rPr/>
      </w:pPr>
      <w:r>
        <w:rPr>
          <w:rFonts w:ascii="Amiri" w:hAnsi="Amiri" w:eastAsia="Amiri" w:cs="Amiri"/>
          <w:color w:val="111111"/>
          <w:sz w:val="28"/>
          <w:sz w:val="28"/>
          <w:szCs w:val="28"/>
          <w:rtl w:val="true"/>
          <w:lang w:bidi="ar-SA"/>
        </w:rPr>
        <w:t>عَرَبيّاً</w:t>
      </w:r>
      <w:r>
        <w:rPr>
          <w:rFonts w:eastAsia="Amiri" w:cs="Amiri" w:ascii="Amiri" w:hAnsi="Amiri"/>
          <w:color w:val="111111"/>
          <w:sz w:val="28"/>
          <w:szCs w:val="28"/>
          <w:rtl w:val="true"/>
          <w:lang w:bidi="ar-SA"/>
        </w:rPr>
        <w:t>».</w:t>
      </w:r>
      <w:r>
        <w:rPr>
          <w:rStyle w:val="FootnoteAnchor"/>
          <w:rtl w:val="true"/>
        </w:rPr>
        <w:footnoteReference w:id="212"/>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ففيه بعد النقض بمثل المشكاة </w:t>
      </w:r>
      <w:r>
        <w:rPr>
          <w:rStyle w:val="FootnoteAnchor"/>
          <w:rtl w:val="true"/>
        </w:rPr>
        <w:footnoteReference w:id="214"/>
      </w:r>
      <w:r>
        <w:rPr>
          <w:rFonts w:ascii="Amiri" w:hAnsi="Amiri" w:eastAsia="Amiri" w:cs="Amiri"/>
          <w:color w:val="111111"/>
          <w:sz w:val="28"/>
          <w:sz w:val="28"/>
          <w:szCs w:val="28"/>
          <w:rtl w:val="true"/>
          <w:lang w:bidi="ar-SA"/>
        </w:rPr>
        <w:t>، وعدم تماميته إذا كان الواضع هو الله سبحانه منع الملازمة الأولى؛ إذ المعتبر في الانتساب إلى اللغات كون اللفظ موضوعاً فيها، وتلك الألفاظ قد كانت موضوعة في اللغة للمعاني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 الحقيقة في الحال، لزم عدم كون الأعلام المنقولة عن المعنى اللغوي</w:t>
      </w:r>
      <w:r>
        <w:rPr>
          <w:rStyle w:val="FootnoteAnchor"/>
          <w:rtl w:val="true"/>
        </w:rPr>
        <w:footnoteReference w:id="215"/>
      </w:r>
      <w:r>
        <w:rPr>
          <w:rFonts w:ascii="Amiri" w:hAnsi="Amiri" w:eastAsia="Amiri" w:cs="Amiri"/>
          <w:color w:val="111111"/>
          <w:sz w:val="28"/>
          <w:sz w:val="28"/>
          <w:szCs w:val="28"/>
          <w:rtl w:val="true"/>
          <w:lang w:bidi="ar-SA"/>
        </w:rPr>
        <w:t>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إذ المراد انه عربي الأسلوب</w:t>
      </w:r>
      <w:r>
        <w:rPr>
          <w:rStyle w:val="FootnoteAnchor"/>
          <w:rtl w:val="true"/>
        </w:rPr>
        <w:footnoteReference w:id="216"/>
      </w:r>
      <w:r>
        <w:rPr>
          <w:rFonts w:ascii="Amiri" w:hAnsi="Amiri" w:eastAsia="Amiri" w:cs="Amiri"/>
          <w:color w:val="111111"/>
          <w:sz w:val="28"/>
          <w:sz w:val="28"/>
          <w:szCs w:val="28"/>
          <w:rtl w:val="true"/>
          <w:lang w:bidi="ar-SA"/>
        </w:rPr>
        <w:t>، ومنع بطلان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راجع إلى السورة بتأويل المنزّل، أو إلى بعض القرآن والقرآن يصدق على البعض حقيقة</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القول بعدم ثبوت الحقيقة الشرعية يكون المعنى الشرعي أقرب المجازات؛ لثبوت الحقيقة عند المتشرعة</w:t>
      </w:r>
      <w:r>
        <w:rPr>
          <w:rStyle w:val="FootnoteAnchor"/>
          <w:rtl w:val="true"/>
        </w:rPr>
        <w:footnoteReference w:id="218"/>
      </w:r>
      <w:r>
        <w:rPr>
          <w:rFonts w:ascii="Amiri" w:hAnsi="Amiri" w:eastAsia="Amiri" w:cs="Amiri"/>
          <w:color w:val="111111"/>
          <w:sz w:val="28"/>
          <w:sz w:val="28"/>
          <w:szCs w:val="28"/>
          <w:rtl w:val="true"/>
          <w:lang w:bidi="ar-SA"/>
        </w:rPr>
        <w:t>، وحقيقية أكثرها ثابتة في زمن الصادقين، وذلك يكشف عن أن تلك المعاني المجازية كانت أظهر من غيرها من المجازات اللغوية؛ إذ لو كان غيرها أظهر أو مساوياً لها</w:t>
      </w:r>
      <w:r>
        <w:rPr>
          <w:rStyle w:val="FootnoteAnchor"/>
          <w:rtl w:val="true"/>
        </w:rPr>
        <w:footnoteReference w:id="219"/>
      </w:r>
      <w:r>
        <w:rPr>
          <w:rFonts w:ascii="Amiri" w:hAnsi="Amiri" w:eastAsia="Amiri" w:cs="Amiri"/>
          <w:color w:val="111111"/>
          <w:sz w:val="28"/>
          <w:sz w:val="28"/>
          <w:szCs w:val="28"/>
          <w:rtl w:val="true"/>
          <w:lang w:bidi="ar-SA"/>
        </w:rPr>
        <w:t xml:space="preserve">لبعد صيرورتها حقيقة في تلك المعاني </w:t>
      </w:r>
      <w:bookmarkStart w:id="66" w:name="pg9015_97451"/>
    </w:p>
    <w:p>
      <w:pPr>
        <w:pStyle w:val="BookText"/>
        <w:rPr/>
      </w:pPr>
      <w:bookmarkEnd w:id="66"/>
      <w:r>
        <w:rPr>
          <w:rFonts w:ascii="Amiri" w:hAnsi="Amiri" w:eastAsia="Amiri" w:cs="Amiri"/>
          <w:color w:val="111111"/>
          <w:sz w:val="28"/>
          <w:sz w:val="28"/>
          <w:szCs w:val="28"/>
          <w:rtl w:val="true"/>
          <w:lang w:bidi="ar-SA"/>
        </w:rPr>
        <w:t>في هذا الزمان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بالثبوت يكون المعنى اللغوي أقرب المجازات؛ لاستصحاب ظهوره بالنسبة إلى سائر المعاني، إلا أن يدفع بارتفاع سببه، وهو الوضع</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2001347_2870459653"/>
      <w:bookmarkStart w:id="68" w:name="_Toc23"/>
      <w:bookmarkEnd w:id="67"/>
      <w:r>
        <w:rPr>
          <w:rtl w:val="true"/>
        </w:rPr>
        <w:t>[</w:t>
      </w:r>
      <w:r>
        <w:rPr>
          <w:rtl w:val="true"/>
        </w:rPr>
        <w:t>المختار في المسألة</w:t>
      </w:r>
      <w:r>
        <w:rPr>
          <w:rtl w:val="true"/>
        </w:rPr>
        <w:t>]</w:t>
      </w:r>
      <w:bookmarkEnd w:id="68"/>
    </w:p>
    <w:p>
      <w:pPr>
        <w:pStyle w:val="BookText"/>
        <w:rPr/>
      </w:pPr>
      <w:r>
        <w:rPr>
          <w:rFonts w:ascii="Amiri" w:hAnsi="Amiri" w:eastAsia="Amiri" w:cs="Amiri"/>
          <w:color w:val="111111"/>
          <w:sz w:val="28"/>
          <w:sz w:val="28"/>
          <w:szCs w:val="28"/>
          <w:rtl w:val="true"/>
          <w:lang w:bidi="ar-SA"/>
        </w:rPr>
        <w:t>والحق أنه إن علم صدور اللفظ في زمن الشارع ، حمل مع قيام القرينة على عدم إرادة المعنى الشرعي على المعنى اللغوي؛ لبعد خروج اللفظ عن ظهوره في الزمان القليل، أو بعد زمان طويل ، فمجمل</w:t>
      </w:r>
      <w:r>
        <w:rPr>
          <w:rFonts w:eastAsia="Amiri" w:cs="Amiri" w:ascii="Amiri" w:hAnsi="Amiri"/>
          <w:color w:val="111111"/>
          <w:sz w:val="28"/>
          <w:szCs w:val="28"/>
          <w:rtl w:val="true"/>
          <w:lang w:bidi="ar-SA"/>
        </w:rPr>
        <w:t>.</w:t>
      </w:r>
      <w:r>
        <w:rPr>
          <w:rStyle w:val="FootnoteAnchor"/>
          <w:rtl w:val="true"/>
        </w:rPr>
        <w:footnoteReference w:id="220"/>
      </w:r>
    </w:p>
    <w:p>
      <w:pPr>
        <w:pStyle w:val="Heading3"/>
        <w:numPr>
          <w:ilvl w:val="2"/>
          <w:numId w:val="1"/>
        </w:numPr>
        <w:rPr/>
      </w:pPr>
      <w:bookmarkStart w:id="69" w:name="__RefHeading___Toc2001349_2870459653"/>
      <w:bookmarkStart w:id="70" w:name="_Toc24"/>
      <w:bookmarkEnd w:id="69"/>
      <w:r>
        <w:rPr>
          <w:rtl w:val="true"/>
        </w:rPr>
        <w:t>[</w:t>
      </w:r>
      <w:r>
        <w:rPr>
          <w:rtl w:val="true"/>
        </w:rPr>
        <w:t>ثمرة المسألة</w:t>
      </w:r>
      <w:r>
        <w:rPr>
          <w:rtl w:val="true"/>
        </w:rPr>
        <w:t>]</w:t>
      </w:r>
      <w:bookmarkEnd w:id="70"/>
    </w:p>
    <w:p>
      <w:pPr>
        <w:pStyle w:val="BookText"/>
        <w:rPr/>
      </w:pPr>
      <w:r>
        <w:rPr>
          <w:rFonts w:ascii="Amiri" w:hAnsi="Amiri" w:eastAsia="Amiri" w:cs="Amiri"/>
          <w:color w:val="111111"/>
          <w:sz w:val="28"/>
          <w:sz w:val="28"/>
          <w:szCs w:val="28"/>
          <w:rtl w:val="true"/>
          <w:lang w:bidi="ar-SA"/>
        </w:rPr>
        <w:t xml:space="preserve">ثم إنهم ذكروا أن ثمرة النزاع في أصل المسألة أنه على القول بعدم الثبوت تحمل تلك الألفاظ إذا وردت في الكتاب والسنة مجردة عن القرينة على اللغوية، وعلى الثبوت </w:t>
      </w:r>
      <w:r>
        <w:rPr>
          <w:rStyle w:val="FootnoteAnchor"/>
          <w:rtl w:val="true"/>
        </w:rPr>
        <w:footnoteReference w:id="221"/>
      </w:r>
      <w:r>
        <w:rPr>
          <w:rFonts w:ascii="Amiri" w:hAnsi="Amiri" w:eastAsia="Amiri" w:cs="Amiri"/>
          <w:color w:val="111111"/>
          <w:sz w:val="28"/>
          <w:sz w:val="28"/>
          <w:szCs w:val="28"/>
          <w:rtl w:val="true"/>
          <w:lang w:bidi="ar-SA"/>
        </w:rPr>
        <w:t>بالوضع التعييني على الشرعية، أو التعيني</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معلومية تأريخ صدور الخطاب وحصول الوضع ولو بضميمة أصالة تاخر الحادث يعمل على وفقه، ومع جهلهما يتوقف؛ لتعارض الأصلين، وفقد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يجري في التعييني أيضاً؛ لإمكان تأخره عن بعض الاستعمالات، مع أنه لو كان الواضع هو النبي علي الله كيف يحمل ألفاظ الكتاب عليه</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الاستقراء في أحوال الواضعين يقتضي تقديم الوضع على كل </w:t>
      </w:r>
      <w:bookmarkStart w:id="71" w:name="pg9015_97452"/>
    </w:p>
    <w:p>
      <w:pPr>
        <w:pStyle w:val="BookText"/>
        <w:rPr/>
      </w:pPr>
      <w:bookmarkEnd w:id="71"/>
      <w:r>
        <w:rPr>
          <w:rFonts w:ascii="IRNazanin" w:hAnsi="IRNazanin" w:eastAsia="IRNazanin"/>
          <w:color w:val="111111"/>
          <w:sz w:val="28"/>
          <w:sz w:val="28"/>
          <w:szCs w:val="28"/>
          <w:rtl w:val="true"/>
          <w:lang w:bidi="fa-IR"/>
        </w:rPr>
        <w:t>الاستعمالات؛ حذراً من اللغوية، وإن الكتاب نزل باصطلاحه صلی الله علیه و آله وسلم</w:t>
      </w:r>
      <w:r>
        <w:rPr>
          <w:rFonts w:eastAsia="IRNazanin" w:cs="IRNazanin"/>
          <w:color w:val="111111"/>
          <w:sz w:val="28"/>
          <w:szCs w:val="28"/>
          <w:rtl w:val="true"/>
          <w:lang w:bidi="fa-IR"/>
        </w:rPr>
        <w:t>.</w:t>
      </w:r>
      <w:r>
        <w:rPr>
          <w:rStyle w:val="FootnoteAnchor"/>
          <w:rtl w:val="true"/>
        </w:rPr>
        <w:footnoteReference w:id="224"/>
      </w:r>
    </w:p>
    <w:p>
      <w:pPr>
        <w:pStyle w:val="Heading2"/>
        <w:numPr>
          <w:ilvl w:val="1"/>
          <w:numId w:val="1"/>
        </w:numPr>
        <w:rPr/>
      </w:pPr>
      <w:bookmarkStart w:id="72" w:name="__RefHeading___Toc2001351_2870459653"/>
      <w:bookmarkStart w:id="73" w:name="_Toc25"/>
      <w:bookmarkEnd w:id="72"/>
      <w:r>
        <w:rPr>
          <w:rtl w:val="true"/>
        </w:rPr>
        <w:t xml:space="preserve">أصل </w:t>
      </w:r>
      <w:r>
        <w:rPr>
          <w:rtl w:val="true"/>
        </w:rPr>
        <w:t>[</w:t>
      </w:r>
      <w:r>
        <w:rPr>
          <w:rtl w:val="true"/>
        </w:rPr>
        <w:t>في أن الألفاظ اسام للصحيح أو الأعمّ</w:t>
      </w:r>
      <w:r>
        <w:rPr>
          <w:rtl w:val="true"/>
        </w:rPr>
        <w:t>]</w:t>
      </w:r>
      <w:bookmarkEnd w:id="73"/>
    </w:p>
    <w:p>
      <w:pPr>
        <w:pStyle w:val="Heading3"/>
        <w:numPr>
          <w:ilvl w:val="2"/>
          <w:numId w:val="1"/>
        </w:numPr>
        <w:rPr/>
      </w:pPr>
      <w:bookmarkStart w:id="74" w:name="__RefHeading___Toc2001353_2870459653"/>
      <w:bookmarkStart w:id="75" w:name="_Toc26"/>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بعد اتفاقهم على تصرف الشارع في تلك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بطريق التقييد ، أو النقل، أو المجاز، اختلفوا في أن المراد منها الصحيح أو الأعم</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حقيقة المتشرعة ميزان العلم</w:t>
      </w:r>
      <w:r>
        <w:rPr>
          <w:rStyle w:val="FootnoteAnchor"/>
          <w:rtl w:val="true"/>
        </w:rPr>
        <w:footnoteReference w:id="226"/>
      </w:r>
      <w:r>
        <w:rPr>
          <w:rFonts w:ascii="Amiri" w:hAnsi="Amiri" w:eastAsia="Amiri" w:cs="Amiri"/>
          <w:color w:val="111111"/>
          <w:sz w:val="28"/>
          <w:sz w:val="28"/>
          <w:szCs w:val="28"/>
          <w:rtl w:val="true"/>
          <w:lang w:bidi="ar-SA"/>
        </w:rPr>
        <w:t xml:space="preserve">بمراد الشارع، فكلما كان اللفظ حقيقة فيه عند المتشرعة كان هو المستعمل فيه اللفظ عند الشارع </w:t>
      </w:r>
      <w:r>
        <w:rPr>
          <w:rStyle w:val="FootnoteAnchor"/>
          <w:rtl w:val="true"/>
        </w:rPr>
        <w:footnoteReference w:id="227"/>
      </w:r>
      <w:r>
        <w:rPr>
          <w:rFonts w:ascii="Amiri" w:hAnsi="Amiri" w:eastAsia="Amiri" w:cs="Amiri"/>
          <w:color w:val="111111"/>
          <w:sz w:val="28"/>
          <w:sz w:val="28"/>
          <w:szCs w:val="28"/>
          <w:rtl w:val="true"/>
          <w:lang w:bidi="ar-SA"/>
        </w:rPr>
        <w:t>على القول بعدم ثبوت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لظهور مركب الإجماع</w:t>
      </w:r>
      <w:r>
        <w:rPr>
          <w:rStyle w:val="FootnoteAnchor"/>
          <w:rtl w:val="true"/>
        </w:rPr>
        <w:footnoteReference w:id="228"/>
      </w:r>
      <w:r>
        <w:rPr>
          <w:rFonts w:ascii="Amiri" w:hAnsi="Amiri" w:eastAsia="Amiri" w:cs="Amiri"/>
          <w:color w:val="111111"/>
          <w:sz w:val="28"/>
          <w:sz w:val="28"/>
          <w:szCs w:val="28"/>
          <w:rtl w:val="true"/>
          <w:lang w:bidi="ar-SA"/>
        </w:rPr>
        <w:t xml:space="preserve">، أو لاقتضاء الوضع التعيني ذلك؛ لبعد مغايرة الاستعمالات المجازية للحقيقة الثابتة من كثرة الاستعمال، وكذا </w:t>
      </w:r>
      <w:bookmarkStart w:id="76" w:name="pg9015_97453"/>
    </w:p>
    <w:p>
      <w:pPr>
        <w:pStyle w:val="BookText"/>
        <w:rPr/>
      </w:pPr>
      <w:bookmarkEnd w:id="76"/>
      <w:r>
        <w:rPr>
          <w:rFonts w:ascii="Amiri" w:hAnsi="Amiri" w:eastAsia="Amiri" w:cs="Amiri"/>
          <w:color w:val="111111"/>
          <w:sz w:val="28"/>
          <w:sz w:val="28"/>
          <w:szCs w:val="28"/>
          <w:rtl w:val="true"/>
          <w:lang w:bidi="ar-SA"/>
        </w:rPr>
        <w:t>على القول بالثبوت للوجهين مع الأولوية بالنسبة إلى المجاز</w:t>
      </w:r>
      <w:r>
        <w:rPr>
          <w:rFonts w:eastAsia="Amiri" w:cs="Amiri" w:ascii="Amiri" w:hAnsi="Amiri"/>
          <w:color w:val="111111"/>
          <w:sz w:val="28"/>
          <w:szCs w:val="28"/>
          <w:rtl w:val="true"/>
          <w:lang w:bidi="ar-SA"/>
        </w:rPr>
        <w:t>.</w:t>
      </w:r>
      <w:r>
        <w:rPr>
          <w:rStyle w:val="FootnoteAnchor"/>
          <w:rtl w:val="true"/>
        </w:rPr>
        <w:footnoteReference w:id="229"/>
      </w:r>
    </w:p>
    <w:p>
      <w:pPr>
        <w:pStyle w:val="Heading3"/>
        <w:numPr>
          <w:ilvl w:val="2"/>
          <w:numId w:val="1"/>
        </w:numPr>
        <w:rPr/>
      </w:pPr>
      <w:bookmarkStart w:id="77" w:name="__RefHeading___Toc2001355_2870459653"/>
      <w:bookmarkStart w:id="78" w:name="_Toc27"/>
      <w:bookmarkEnd w:id="77"/>
      <w:r>
        <w:rPr>
          <w:rtl w:val="true"/>
        </w:rPr>
        <w:t>[</w:t>
      </w:r>
      <w:r>
        <w:rPr>
          <w:rtl w:val="true"/>
        </w:rPr>
        <w:t>تحرير محل النزاع</w:t>
      </w:r>
      <w:r>
        <w:rPr>
          <w:rtl w:val="true"/>
        </w:rPr>
        <w:t>]</w:t>
      </w:r>
      <w:bookmarkEnd w:id="78"/>
    </w:p>
    <w:p>
      <w:pPr>
        <w:pStyle w:val="BookText"/>
        <w:rPr/>
      </w:pPr>
      <w:r>
        <w:rPr>
          <w:rFonts w:ascii="Amiri" w:hAnsi="Amiri" w:eastAsia="Amiri" w:cs="Amiri"/>
          <w:color w:val="111111"/>
          <w:sz w:val="28"/>
          <w:sz w:val="28"/>
          <w:szCs w:val="28"/>
          <w:rtl w:val="true"/>
          <w:lang w:bidi="ar-SA"/>
        </w:rPr>
        <w:t>نعم، على التقييد</w:t>
      </w:r>
      <w:r>
        <w:rPr>
          <w:rStyle w:val="FootnoteAnchor"/>
          <w:rtl w:val="true"/>
        </w:rPr>
        <w:footnoteReference w:id="230"/>
      </w:r>
      <w:r>
        <w:rPr>
          <w:rFonts w:ascii="Amiri" w:hAnsi="Amiri" w:eastAsia="Amiri" w:cs="Amiri"/>
          <w:color w:val="111111"/>
          <w:sz w:val="28"/>
          <w:sz w:val="28"/>
          <w:szCs w:val="28"/>
          <w:rtl w:val="true"/>
          <w:lang w:bidi="ar-SA"/>
        </w:rPr>
        <w:t>لا يجري نزاع الصحيح والأعم؛ لتساويهما في إجراء أصل العدم، وحصول البيان، فلا يترتب على النزاع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من ذلك جريان هذا النزاع على القول بعدم ثبوت الحقيقة الشرعية، ويرجع الكلام إلى تعيين أقرب المجازات وأشيعها، ويكفي في صدق الاسم الحقيقة في الجملة ولو عند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تعيين الأقرب الاعتباري</w:t>
      </w:r>
      <w:r>
        <w:rPr>
          <w:rStyle w:val="FootnoteAnchor"/>
          <w:rtl w:val="true"/>
        </w:rPr>
        <w:footnoteReference w:id="231"/>
      </w:r>
      <w:r>
        <w:rPr>
          <w:rFonts w:ascii="Amiri" w:hAnsi="Amiri" w:eastAsia="Amiri" w:cs="Amiri"/>
          <w:color w:val="111111"/>
          <w:sz w:val="28"/>
          <w:sz w:val="28"/>
          <w:szCs w:val="28"/>
          <w:rtl w:val="true"/>
          <w:lang w:bidi="ar-SA"/>
        </w:rPr>
        <w:t>بالأصل، وتحصيل معرفة الماهية بذلك، فهو فرع اعتبار القرب الاعتباري</w:t>
      </w:r>
    </w:p>
    <w:p>
      <w:pPr>
        <w:pStyle w:val="Heading3"/>
        <w:numPr>
          <w:ilvl w:val="2"/>
          <w:numId w:val="1"/>
        </w:numPr>
        <w:rPr/>
      </w:pPr>
      <w:bookmarkStart w:id="79" w:name="__RefHeading___Toc2001357_2870459653"/>
      <w:bookmarkStart w:id="80" w:name="_Toc28"/>
      <w:bookmarkEnd w:id="79"/>
      <w:r>
        <w:rPr>
          <w:rtl w:val="true"/>
        </w:rPr>
        <w:t>[</w:t>
      </w:r>
      <w:r>
        <w:rPr>
          <w:rtl w:val="true"/>
        </w:rPr>
        <w:t>بيان معنى الأعم والصحيح والصحة</w:t>
      </w:r>
      <w:r>
        <w:rPr>
          <w:rtl w:val="true"/>
        </w:rPr>
        <w:t>]</w:t>
      </w:r>
      <w:bookmarkEnd w:id="80"/>
    </w:p>
    <w:p>
      <w:pPr>
        <w:pStyle w:val="BookText"/>
        <w:rPr/>
      </w:pPr>
      <w:r>
        <w:rPr>
          <w:rFonts w:ascii="Amiri" w:hAnsi="Amiri" w:eastAsia="Amiri" w:cs="Amiri"/>
          <w:color w:val="111111"/>
          <w:sz w:val="28"/>
          <w:sz w:val="28"/>
          <w:szCs w:val="28"/>
          <w:rtl w:val="true"/>
          <w:lang w:bidi="ar-SA"/>
        </w:rPr>
        <w:t>ثم المراد بالأعمّ ما يكون صدق اللفظ فيه ثابتاً</w:t>
      </w:r>
      <w:r>
        <w:rPr>
          <w:rStyle w:val="FootnoteAnchor"/>
          <w:rtl w:val="true"/>
        </w:rPr>
        <w:footnoteReference w:id="232"/>
      </w:r>
      <w:r>
        <w:rPr>
          <w:rFonts w:ascii="Amiri" w:hAnsi="Amiri" w:eastAsia="Amiri" w:cs="Amiri"/>
          <w:color w:val="111111"/>
          <w:sz w:val="28"/>
          <w:sz w:val="28"/>
          <w:szCs w:val="28"/>
          <w:rtl w:val="true"/>
          <w:lang w:bidi="ar-SA"/>
        </w:rPr>
        <w:t>والمراد مشكوكاً، وبالصحيح ما تعلّق الشك فيه بالمراد والمصداق معاً، فالنسبة بين الصلاتية والمطلوبية تساو عند الصحيحي وعموم مطلق عند الأعمّيّ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الصحة تحتمل </w:t>
      </w:r>
      <w:r>
        <w:rPr>
          <w:rStyle w:val="FootnoteAnchor"/>
          <w:rtl w:val="true"/>
        </w:rPr>
        <w:footnoteReference w:id="233"/>
      </w:r>
      <w:r>
        <w:rPr>
          <w:rFonts w:ascii="Amiri" w:hAnsi="Amiri" w:eastAsia="Amiri" w:cs="Amiri"/>
          <w:color w:val="111111"/>
          <w:sz w:val="28"/>
          <w:sz w:val="28"/>
          <w:szCs w:val="28"/>
          <w:rtl w:val="true"/>
          <w:lang w:bidi="ar-SA"/>
        </w:rPr>
        <w:t>بالنسبة إلى الأجزاء والشرائط معا</w:t>
      </w:r>
      <w:r>
        <w:rPr>
          <w:rStyle w:val="FootnoteAnchor"/>
          <w:rtl w:val="true"/>
        </w:rPr>
        <w:footnoteReference w:id="234"/>
      </w:r>
      <w:r>
        <w:rPr>
          <w:rFonts w:ascii="IRNazanin" w:hAnsi="IRNazanin" w:eastAsia="IRNazanin"/>
          <w:color w:val="111111"/>
          <w:sz w:val="28"/>
          <w:sz w:val="28"/>
          <w:szCs w:val="28"/>
          <w:rtl w:val="true"/>
          <w:lang w:bidi="fa-IR"/>
        </w:rPr>
        <w:t>، أو الأجزاء فقط</w:t>
      </w:r>
      <w:r>
        <w:rPr>
          <w:rFonts w:eastAsia="IRNazanin" w:cs="IRNazanin"/>
          <w:color w:val="111111"/>
          <w:sz w:val="28"/>
          <w:szCs w:val="28"/>
          <w:rtl w:val="true"/>
          <w:lang w:bidi="fa-IR"/>
        </w:rPr>
        <w:t>.</w:t>
      </w:r>
      <w:r>
        <w:rPr>
          <w:rStyle w:val="FootnoteAnchor"/>
          <w:rtl w:val="true"/>
        </w:rPr>
        <w:footnoteReference w:id="235"/>
      </w:r>
      <w:bookmarkStart w:id="81" w:name="pg9015_97454"/>
    </w:p>
    <w:p>
      <w:pPr>
        <w:pStyle w:val="BookText"/>
        <w:rPr/>
      </w:pPr>
      <w:bookmarkEnd w:id="81"/>
      <w:r>
        <w:rPr>
          <w:rFonts w:ascii="Amiri" w:hAnsi="Amiri" w:eastAsia="Amiri" w:cs="Amiri"/>
          <w:color w:val="111111"/>
          <w:sz w:val="28"/>
          <w:sz w:val="28"/>
          <w:szCs w:val="28"/>
          <w:rtl w:val="true"/>
          <w:lang w:bidi="ar-SA"/>
        </w:rPr>
        <w:t>ويقابلها الأعمّ، وتظهر الفائدة عند الشك في الشرطية، ولكن الظاهر أن المراد من الصحيح هو الأول، كما يظهر من دليلهم، ومن الأعم الأعم العرفي للتبادر، لا الأركاني</w:t>
      </w:r>
      <w:r>
        <w:rPr>
          <w:rFonts w:eastAsia="Amiri" w:cs="Amiri" w:ascii="Amiri" w:hAnsi="Amiri"/>
          <w:color w:val="111111"/>
          <w:sz w:val="28"/>
          <w:szCs w:val="28"/>
          <w:rtl w:val="true"/>
          <w:lang w:bidi="ar-SA"/>
        </w:rPr>
        <w:t>.</w:t>
      </w:r>
      <w:r>
        <w:rPr>
          <w:rStyle w:val="FootnoteAnchor"/>
          <w:rtl w:val="true"/>
        </w:rPr>
        <w:footnoteReference w:id="236"/>
      </w:r>
    </w:p>
    <w:p>
      <w:pPr>
        <w:pStyle w:val="Heading3"/>
        <w:numPr>
          <w:ilvl w:val="2"/>
          <w:numId w:val="1"/>
        </w:numPr>
        <w:rPr/>
      </w:pPr>
      <w:bookmarkStart w:id="82" w:name="__RefHeading___Toc2001359_2870459653"/>
      <w:bookmarkStart w:id="83" w:name="_Toc29"/>
      <w:bookmarkEnd w:id="82"/>
      <w:r>
        <w:rPr>
          <w:rtl w:val="true"/>
        </w:rPr>
        <w:t>[</w:t>
      </w:r>
      <w:r>
        <w:rPr>
          <w:rtl w:val="true"/>
        </w:rPr>
        <w:t>المختار في المسألة</w:t>
      </w:r>
      <w:r>
        <w:rPr>
          <w:rtl w:val="true"/>
        </w:rPr>
        <w:t>]</w:t>
      </w:r>
      <w:bookmarkEnd w:id="83"/>
    </w:p>
    <w:p>
      <w:pPr>
        <w:pStyle w:val="BookText"/>
        <w:rPr/>
      </w:pPr>
      <w:r>
        <w:rPr>
          <w:rFonts w:ascii="Amiri" w:hAnsi="Amiri" w:eastAsia="Amiri" w:cs="Amiri"/>
          <w:color w:val="111111"/>
          <w:sz w:val="28"/>
          <w:sz w:val="28"/>
          <w:szCs w:val="28"/>
          <w:rtl w:val="true"/>
          <w:lang w:bidi="ar-SA"/>
        </w:rPr>
        <w:t>ثم الأصح أنها أسام للأعم؛ لقاعدة الاستعمال</w:t>
      </w:r>
      <w:r>
        <w:rPr>
          <w:rStyle w:val="FootnoteAnchor"/>
          <w:rtl w:val="true"/>
        </w:rPr>
        <w:footnoteReference w:id="237"/>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ولصحة التقييد </w:t>
      </w:r>
      <w:r>
        <w:rPr>
          <w:rStyle w:val="FootnoteAnchor"/>
          <w:rtl w:val="true"/>
        </w:rPr>
        <w:footnoteReference w:id="238"/>
      </w:r>
      <w:r>
        <w:rPr>
          <w:rFonts w:ascii="Amiri" w:hAnsi="Amiri" w:eastAsia="Amiri" w:cs="Amiri"/>
          <w:color w:val="111111"/>
          <w:sz w:val="28"/>
          <w:sz w:val="28"/>
          <w:szCs w:val="28"/>
          <w:rtl w:val="true"/>
          <w:lang w:bidi="ar-SA"/>
        </w:rPr>
        <w:t>والتقسيم</w:t>
      </w:r>
      <w:r>
        <w:rPr>
          <w:rStyle w:val="FootnoteAnchor"/>
          <w:rtl w:val="true"/>
        </w:rPr>
        <w:footnoteReference w:id="239"/>
      </w:r>
      <w:r>
        <w:rPr>
          <w:rFonts w:ascii="Amiri" w:hAnsi="Amiri" w:eastAsia="Amiri" w:cs="Amiri"/>
          <w:color w:val="111111"/>
          <w:sz w:val="28"/>
          <w:sz w:val="28"/>
          <w:szCs w:val="28"/>
          <w:rtl w:val="true"/>
          <w:lang w:bidi="ar-SA"/>
        </w:rPr>
        <w:t>، وعدم صحة السلب عن الفاسدة، والأصل فيه وفي سوابقه الدلالة على الحقيقة، ولعدم اختلافهم في كون صلاة الصبي صلاة بل اختلفوا في صحتها وفسادها وللتبادر والملاحظة مقام بيانهم الماهيات</w:t>
      </w:r>
      <w:r>
        <w:rPr>
          <w:rStyle w:val="FootnoteAnchor"/>
          <w:rtl w:val="true"/>
        </w:rPr>
        <w:footnoteReference w:id="240"/>
      </w:r>
      <w:r>
        <w:rPr>
          <w:rFonts w:ascii="Amiri" w:hAnsi="Amiri" w:eastAsia="Amiri" w:cs="Amiri"/>
          <w:color w:val="111111"/>
          <w:sz w:val="28"/>
          <w:sz w:val="28"/>
          <w:szCs w:val="28"/>
          <w:rtl w:val="true"/>
          <w:lang w:bidi="ar-SA"/>
        </w:rPr>
        <w:t>، ولظواهر الأخبار التعليمية</w:t>
      </w:r>
      <w:r>
        <w:rPr>
          <w:rStyle w:val="FootnoteAnchor"/>
          <w:rtl w:val="true"/>
        </w:rPr>
        <w:footnoteReference w:id="241"/>
      </w:r>
      <w:r>
        <w:rPr>
          <w:rFonts w:ascii="Amiri" w:hAnsi="Amiri" w:eastAsia="Amiri" w:cs="Amiri"/>
          <w:color w:val="111111"/>
          <w:sz w:val="28"/>
          <w:sz w:val="28"/>
          <w:szCs w:val="28"/>
          <w:rtl w:val="true"/>
          <w:lang w:bidi="ar-SA"/>
        </w:rPr>
        <w:t xml:space="preserve">، ولقولهم يشترط في الوضوء كذا، وفي الصلاة كذا، فإن المتبادر شرائط الصحة لا الماهية، إلّا أن يدعى تبادر الأخير، فيصير دليلاً للخصم ولفهم العرف التعارض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الدار المغصوبة</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xml:space="preserve">، ولأنها </w:t>
      </w:r>
      <w:bookmarkStart w:id="84" w:name="pg9015_97455"/>
    </w:p>
    <w:p>
      <w:pPr>
        <w:pStyle w:val="BookText"/>
        <w:rPr/>
      </w:pPr>
      <w:bookmarkEnd w:id="84"/>
      <w:r>
        <w:rPr>
          <w:rFonts w:ascii="Amiri" w:hAnsi="Amiri" w:eastAsia="Amiri" w:cs="Amiri"/>
          <w:color w:val="111111"/>
          <w:sz w:val="28"/>
          <w:sz w:val="28"/>
          <w:szCs w:val="28"/>
          <w:rtl w:val="true"/>
          <w:lang w:bidi="ar-SA"/>
        </w:rPr>
        <w:t>لو كانت للصحيح لزم على الصحة</w:t>
      </w:r>
      <w:r>
        <w:rPr>
          <w:rStyle w:val="FootnoteAnchor"/>
          <w:rtl w:val="true"/>
        </w:rPr>
        <w:footnoteReference w:id="243"/>
      </w:r>
      <w:r>
        <w:rPr>
          <w:rFonts w:ascii="Amiri" w:hAnsi="Amiri" w:eastAsia="Amiri" w:cs="Amiri"/>
          <w:color w:val="111111"/>
          <w:sz w:val="28"/>
          <w:sz w:val="28"/>
          <w:szCs w:val="28"/>
          <w:rtl w:val="true"/>
          <w:lang w:bidi="ar-SA"/>
        </w:rPr>
        <w:t xml:space="preserve">، وللأستقراء؛ إما لأن الغالب في دلالة النهي أجزاء الماهيات أن لا تكون مقوّمة، أو لأن الغالب فيما لا يبطل الإخلال به سهواً من الأجزاء أن لا تكون مقوّمة، أو لأن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 كل أجزاء المركب مقوّمة له، أو لأن الغالب</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في المطلق التقييد وفي العام التخصيص</w:t>
      </w:r>
      <w:r>
        <w:rPr>
          <w:rStyle w:val="FootnoteAnchor"/>
          <w:rtl w:val="true"/>
        </w:rPr>
        <w:footnoteReference w:id="245"/>
      </w:r>
      <w:r>
        <w:rPr>
          <w:rFonts w:ascii="IRNazanin" w:hAnsi="IRNazanin" w:eastAsia="IRNazanin"/>
          <w:color w:val="111111"/>
          <w:sz w:val="28"/>
          <w:sz w:val="28"/>
          <w:szCs w:val="28"/>
          <w:rtl w:val="true"/>
          <w:lang w:bidi="fa-IR"/>
        </w:rPr>
        <w:t>، وللإجماع منهم سلفاً وخلفاً على</w:t>
      </w:r>
      <w:r>
        <w:rPr>
          <w:rStyle w:val="FootnoteAnchor"/>
          <w:rtl w:val="true"/>
        </w:rPr>
        <w:footnoteReference w:id="246"/>
      </w:r>
      <w:r>
        <w:rPr>
          <w:rFonts w:ascii="Amiri" w:hAnsi="Amiri" w:eastAsia="Amiri" w:cs="Amiri"/>
          <w:color w:val="111111"/>
          <w:sz w:val="28"/>
          <w:sz w:val="28"/>
          <w:szCs w:val="28"/>
          <w:rtl w:val="true"/>
          <w:lang w:bidi="ar-SA"/>
        </w:rPr>
        <w:t>إجراء أصل العدم عند الشك في الجزئية</w:t>
      </w:r>
      <w:r>
        <w:rPr>
          <w:rStyle w:val="FootnoteAnchor"/>
          <w:rtl w:val="true"/>
        </w:rPr>
        <w:footnoteReference w:id="247"/>
      </w:r>
      <w:r>
        <w:rPr>
          <w:rFonts w:ascii="Amiri" w:hAnsi="Amiri" w:eastAsia="Amiri" w:cs="Amiri"/>
          <w:color w:val="111111"/>
          <w:sz w:val="28"/>
          <w:sz w:val="28"/>
          <w:szCs w:val="28"/>
          <w:rtl w:val="true"/>
          <w:lang w:bidi="ar-SA"/>
        </w:rPr>
        <w:t>، فلا يثمر قول الصحيحي</w:t>
      </w:r>
      <w:r>
        <w:rPr>
          <w:rStyle w:val="FootnoteAnchor"/>
          <w:rtl w:val="true"/>
        </w:rPr>
        <w:footnoteReference w:id="248"/>
      </w:r>
      <w:r>
        <w:rPr>
          <w:rFonts w:ascii="IRNazanin" w:hAnsi="IRNazanin" w:eastAsia="IRNazanin"/>
          <w:color w:val="111111"/>
          <w:sz w:val="28"/>
          <w:sz w:val="28"/>
          <w:szCs w:val="28"/>
          <w:rtl w:val="true"/>
          <w:lang w:bidi="fa-IR"/>
        </w:rPr>
        <w:t xml:space="preserve">، أو على </w:t>
      </w:r>
      <w:r>
        <w:rPr>
          <w:rStyle w:val="FootnoteAnchor"/>
          <w:rtl w:val="true"/>
        </w:rPr>
        <w:footnoteReference w:id="249"/>
      </w:r>
      <w:r>
        <w:rPr>
          <w:rFonts w:ascii="Amiri" w:hAnsi="Amiri" w:eastAsia="Amiri" w:cs="Amiri"/>
          <w:color w:val="111111"/>
          <w:sz w:val="28"/>
          <w:sz w:val="28"/>
          <w:szCs w:val="28"/>
          <w:rtl w:val="true"/>
          <w:lang w:bidi="ar-SA"/>
        </w:rPr>
        <w:t>التمسك في نفيه بالإطلاق</w:t>
      </w:r>
      <w:r>
        <w:rPr>
          <w:rFonts w:eastAsia="Amiri" w:cs="Amiri" w:ascii="Amiri" w:hAnsi="Amiri"/>
          <w:color w:val="111111"/>
          <w:sz w:val="28"/>
          <w:szCs w:val="28"/>
          <w:rtl w:val="true"/>
          <w:lang w:bidi="ar-SA"/>
        </w:rPr>
        <w:t>.</w:t>
      </w:r>
      <w:r>
        <w:rPr>
          <w:rStyle w:val="FootnoteAnchor"/>
          <w:rtl w:val="true"/>
        </w:rPr>
        <w:footnoteReference w:id="250"/>
      </w:r>
    </w:p>
    <w:p>
      <w:pPr>
        <w:pStyle w:val="Heading3"/>
        <w:numPr>
          <w:ilvl w:val="2"/>
          <w:numId w:val="1"/>
        </w:numPr>
        <w:rPr/>
      </w:pPr>
      <w:bookmarkStart w:id="85" w:name="__RefHeading___Toc2001361_2870459653"/>
      <w:bookmarkStart w:id="86" w:name="_Toc30"/>
      <w:bookmarkEnd w:id="85"/>
      <w:r>
        <w:rPr>
          <w:rtl w:val="true"/>
        </w:rPr>
        <w:t>[</w:t>
      </w:r>
      <w:r>
        <w:rPr>
          <w:rtl w:val="true"/>
        </w:rPr>
        <w:t>أدلة الصحيحي</w:t>
      </w:r>
      <w:r>
        <w:rPr>
          <w:rtl w:val="true"/>
        </w:rPr>
        <w:t>]</w:t>
      </w:r>
      <w:bookmarkEnd w:id="8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وللصحيحيين تبادر الصحيح عند الإطلاق، وصحة السّلب عن الفاسدة، وإن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w:t>
      </w:r>
      <w:r>
        <w:rPr>
          <w:rStyle w:val="FootnoteAnchor"/>
          <w:rtl w:val="true"/>
        </w:rPr>
        <w:footnoteReference w:id="251"/>
      </w:r>
      <w:r>
        <w:rPr>
          <w:rFonts w:ascii="Amiri" w:hAnsi="Amiri" w:eastAsia="Amiri" w:cs="Amiri"/>
          <w:color w:val="111111"/>
          <w:sz w:val="28"/>
          <w:sz w:val="28"/>
          <w:szCs w:val="28"/>
          <w:rtl w:val="true"/>
          <w:lang w:bidi="ar-SA"/>
        </w:rPr>
        <w:t>والفاسدة ليست بعبادة، وإنا نقطع بوجود جزء مقوّم، ولا نعلمه بالخصوص، فيسري الإجمال</w:t>
      </w:r>
      <w:r>
        <w:rPr>
          <w:rStyle w:val="FootnoteAnchor"/>
          <w:rtl w:val="true"/>
        </w:rPr>
        <w:footnoteReference w:id="252"/>
      </w:r>
      <w:r>
        <w:rPr>
          <w:rFonts w:ascii="Amiri" w:hAnsi="Amiri" w:eastAsia="Amiri" w:cs="Amiri"/>
          <w:color w:val="111111"/>
          <w:sz w:val="28"/>
          <w:sz w:val="28"/>
          <w:szCs w:val="28"/>
          <w:rtl w:val="true"/>
          <w:lang w:bidi="ar-SA"/>
        </w:rPr>
        <w:t>إلى الكلّ</w:t>
      </w:r>
      <w:r>
        <w:rPr>
          <w:rStyle w:val="FootnoteAnchor"/>
          <w:rtl w:val="true"/>
        </w:rPr>
        <w:footnoteReference w:id="253"/>
      </w:r>
      <w:r>
        <w:rPr>
          <w:rFonts w:ascii="Amiri" w:hAnsi="Amiri" w:eastAsia="Amiri" w:cs="Amiri"/>
          <w:color w:val="111111"/>
          <w:sz w:val="28"/>
          <w:sz w:val="28"/>
          <w:szCs w:val="28"/>
          <w:rtl w:val="true"/>
          <w:lang w:bidi="ar-SA"/>
        </w:rPr>
        <w:t xml:space="preserve">، وإنّ موضوعات الأحكام توقيفية </w:t>
      </w:r>
    </w:p>
    <w:p>
      <w:pPr>
        <w:pStyle w:val="BookText"/>
        <w:rPr/>
      </w:pPr>
      <w:r>
        <w:rPr>
          <w:rFonts w:ascii="Amiri" w:hAnsi="Amiri" w:eastAsia="Amiri" w:cs="Amiri"/>
          <w:color w:val="111111"/>
          <w:sz w:val="28"/>
          <w:sz w:val="28"/>
          <w:szCs w:val="28"/>
          <w:rtl w:val="true"/>
          <w:lang w:bidi="ar-SA"/>
        </w:rPr>
        <w:t>لا عرفية</w:t>
      </w:r>
      <w:r>
        <w:rPr>
          <w:rStyle w:val="FootnoteAnchor"/>
          <w:rtl w:val="true"/>
        </w:rPr>
        <w:footnoteReference w:id="254"/>
      </w:r>
      <w:r>
        <w:rPr>
          <w:rFonts w:ascii="IRNazanin" w:hAnsi="IRNazanin" w:eastAsia="IRNazanin"/>
          <w:color w:val="111111"/>
          <w:sz w:val="28"/>
          <w:sz w:val="28"/>
          <w:szCs w:val="28"/>
          <w:rtl w:val="true"/>
          <w:lang w:bidi="fa-IR"/>
        </w:rPr>
        <w:t>، وظاهر قوله</w:t>
      </w:r>
      <w:r>
        <w:rPr>
          <w:rStyle w:val="FootnoteAnchor"/>
          <w:rtl w:val="true"/>
        </w:rPr>
        <w:footnoteReference w:id="2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الا بطهور</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ويثبت حكم الإجزاء بالإجماع المركب،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الا بفاتحة الكتاب</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وأنه على الأعمّ يلزم تقييدات كثيرة</w:t>
      </w:r>
      <w:r>
        <w:rPr>
          <w:rStyle w:val="FootnoteAnchor"/>
          <w:rtl w:val="true"/>
        </w:rPr>
        <w:footnoteReference w:id="258"/>
      </w:r>
      <w:r>
        <w:rPr>
          <w:rFonts w:ascii="Amiri" w:hAnsi="Amiri" w:eastAsia="Amiri" w:cs="Amiri"/>
          <w:color w:val="111111"/>
          <w:sz w:val="28"/>
          <w:sz w:val="28"/>
          <w:szCs w:val="28"/>
          <w:rtl w:val="true"/>
          <w:lang w:bidi="ar-SA"/>
        </w:rPr>
        <w:t>، وأنهم في مقام تفسير العبادة يفسرونها بالمجمل،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عبادة مخصوصة</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 وأنهم قسموا الصلاة مثلاً إلى الواجبة والمندوبة، ولم يدرجوا المحرمة في التقسيم، وأن ظاهر كلامهم في بيان الأجزاء والشرائط أنها شرائط الماهية واجزاؤها لا الصحة ولا ريب في فقد الكل والمشروط بفقدهما، وان من </w:t>
      </w:r>
      <w:r>
        <w:rPr>
          <w:rStyle w:val="FootnoteAnchor"/>
          <w:rtl w:val="true"/>
        </w:rPr>
        <w:footnoteReference w:id="260"/>
      </w:r>
      <w:r>
        <w:rPr>
          <w:rFonts w:ascii="Amiri" w:hAnsi="Amiri" w:eastAsia="Amiri" w:cs="Amiri"/>
          <w:color w:val="111111"/>
          <w:sz w:val="28"/>
          <w:sz w:val="28"/>
          <w:szCs w:val="28"/>
          <w:rtl w:val="true"/>
          <w:lang w:bidi="ar-SA"/>
        </w:rPr>
        <w:t xml:space="preserve">البعيد عدم صيرورة الصلاة مثلا حقيقة في الصحيحة مع كثرة استعمالها فيها في الغاية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وأنت إذا أحطت خبراً بأدلتنا استخرجت أجوبة تلك الأدلة بتأمل قليل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الحق الأعمّم العرفي لا الأركاني</w:t>
      </w:r>
      <w:r>
        <w:rPr>
          <w:rStyle w:val="FootnoteAnchor"/>
          <w:rtl w:val="true"/>
        </w:rPr>
        <w:footnoteReference w:id="262"/>
      </w:r>
      <w:r>
        <w:rPr>
          <w:rFonts w:ascii="Amiri" w:hAnsi="Amiri" w:eastAsia="Amiri" w:cs="Amiri"/>
          <w:color w:val="111111"/>
          <w:sz w:val="28"/>
          <w:sz w:val="28"/>
          <w:szCs w:val="28"/>
          <w:rtl w:val="true"/>
          <w:lang w:bidi="ar-SA"/>
        </w:rPr>
        <w:t>بحكم العرف الكاشف عن الشرع، كما مر</w:t>
      </w:r>
      <w:r>
        <w:rPr>
          <w:rFonts w:eastAsia="Amiri" w:cs="Amiri" w:ascii="Amiri" w:hAnsi="Amiri"/>
          <w:color w:val="111111"/>
          <w:sz w:val="28"/>
          <w:szCs w:val="28"/>
          <w:rtl w:val="true"/>
          <w:lang w:bidi="ar-SA"/>
        </w:rPr>
        <w:t xml:space="preserve">. </w:t>
      </w:r>
      <w:bookmarkStart w:id="87" w:name="pg9015_97457"/>
    </w:p>
    <w:p>
      <w:pPr>
        <w:pStyle w:val="BookText"/>
        <w:rPr/>
      </w:pPr>
      <w:bookmarkEnd w:id="87"/>
      <w:r>
        <w:rPr>
          <w:rFonts w:ascii="Amiri" w:hAnsi="Amiri" w:eastAsia="Amiri" w:cs="Amiri"/>
          <w:color w:val="111111"/>
          <w:sz w:val="28"/>
          <w:sz w:val="28"/>
          <w:szCs w:val="28"/>
          <w:rtl w:val="true"/>
          <w:lang w:bidi="ar-SA"/>
        </w:rPr>
        <w:t>فإن علمنا الصدّق العرفي مع نقص بعض الأركان، أو</w:t>
      </w:r>
      <w:r>
        <w:rPr>
          <w:rStyle w:val="FootnoteAnchor"/>
          <w:rtl w:val="true"/>
        </w:rPr>
        <w:footnoteReference w:id="263"/>
      </w:r>
      <w:r>
        <w:rPr>
          <w:rFonts w:ascii="Amiri" w:hAnsi="Amiri" w:eastAsia="Amiri" w:cs="Amiri"/>
          <w:color w:val="111111"/>
          <w:sz w:val="28"/>
          <w:sz w:val="28"/>
          <w:szCs w:val="28"/>
          <w:rtl w:val="true"/>
          <w:lang w:bidi="ar-SA"/>
        </w:rPr>
        <w:t>عدمه مع تحقق الأركان عملنا بمقتضاه، وإن شككنا في الصدق، فنحن فيه كالصحيحي، وعلى الأركاني لا إجمال في الموضوع له، فيصدق اللفظ مع وجودها لا مع عدمها،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كون المراد هو الأركان الواقعي</w:t>
      </w:r>
      <w:r>
        <w:rPr>
          <w:rStyle w:val="FootnoteAnchor"/>
          <w:rtl w:val="true"/>
        </w:rPr>
        <w:footnoteReference w:id="264"/>
      </w:r>
      <w:r>
        <w:rPr>
          <w:rFonts w:ascii="Amiri" w:hAnsi="Amiri" w:eastAsia="Amiri" w:cs="Amiri"/>
          <w:color w:val="111111"/>
          <w:sz w:val="28"/>
          <w:sz w:val="28"/>
          <w:szCs w:val="28"/>
          <w:rtl w:val="true"/>
          <w:lang w:bidi="ar-SA"/>
        </w:rPr>
        <w:t>، أو الأعم منها وما يقوم مقامها</w:t>
      </w:r>
      <w:r>
        <w:rPr>
          <w:rStyle w:val="FootnoteAnchor"/>
          <w:rtl w:val="true"/>
        </w:rPr>
        <w:footnoteReference w:id="265"/>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وتظهر الفائدة في جواز التمسك بالإطلاقات وعدمه</w:t>
      </w:r>
      <w:r>
        <w:rPr>
          <w:rStyle w:val="FootnoteAnchor"/>
          <w:rtl w:val="true"/>
        </w:rPr>
        <w:footnoteReference w:id="266"/>
      </w:r>
      <w:r>
        <w:rPr>
          <w:rFonts w:ascii="Amiri" w:hAnsi="Amiri" w:eastAsia="Amiri" w:cs="Amiri"/>
          <w:color w:val="111111"/>
          <w:sz w:val="28"/>
          <w:sz w:val="28"/>
          <w:szCs w:val="28"/>
          <w:rtl w:val="true"/>
          <w:lang w:bidi="ar-SA"/>
        </w:rPr>
        <w:t>، والحق الأخير؛ لقاعدة الاستعمال، وصحة التقسيم والتقييد، وتبادر الأول إطلاقي</w:t>
      </w:r>
      <w:r>
        <w:rPr>
          <w:rStyle w:val="FootnoteAnchor"/>
          <w:rtl w:val="true"/>
        </w:rPr>
        <w:footnoteReference w:id="267"/>
      </w:r>
      <w:r>
        <w:rPr>
          <w:rFonts w:ascii="Amiri" w:hAnsi="Amiri" w:eastAsia="Amiri" w:cs="Amiri"/>
          <w:color w:val="111111"/>
          <w:sz w:val="28"/>
          <w:sz w:val="28"/>
          <w:szCs w:val="28"/>
          <w:rtl w:val="true"/>
          <w:lang w:bidi="ar-SA"/>
        </w:rPr>
        <w:t>، وعلى المختار تكون الأركان الشرعية أركان المطلوب لا الصدق</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001363_2870459653"/>
      <w:bookmarkStart w:id="89" w:name="_Toc31"/>
      <w:bookmarkEnd w:id="88"/>
      <w:r>
        <w:rPr>
          <w:rtl w:val="true"/>
        </w:rPr>
        <w:t>[</w:t>
      </w:r>
      <w:r>
        <w:rPr>
          <w:rtl w:val="true"/>
        </w:rPr>
        <w:t>ثمرة المسألة</w:t>
      </w:r>
      <w:r>
        <w:rPr>
          <w:rtl w:val="true"/>
        </w:rPr>
        <w:t>]</w:t>
      </w:r>
      <w:bookmarkEnd w:id="8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ثمرة أصل المسألة تظهر فيما إذا شك في وجوب شيء وعدمه في العبادة، أو علمنا بوجوبه فيها وشككنا ان وجوبه تعبدي، أم شرط ، أم جزء، أو علمنا الوجوب الاستقلالي وشككنا انه واجب توصلي أيضاً أم لا، أو علمنا بالجزئية وشككنا في الركنية</w:t>
      </w:r>
      <w:r>
        <w:rPr>
          <w:rFonts w:eastAsia="Amiri" w:cs="Amiri" w:ascii="Amiri" w:hAnsi="Amiri"/>
          <w:color w:val="111111"/>
          <w:sz w:val="28"/>
          <w:szCs w:val="28"/>
          <w:rtl w:val="true"/>
          <w:lang w:bidi="ar-SA"/>
        </w:rPr>
        <w:t xml:space="preserve">. </w:t>
      </w:r>
      <w:bookmarkStart w:id="90" w:name="pg9015_97458"/>
    </w:p>
    <w:p>
      <w:pPr>
        <w:pStyle w:val="Heading2"/>
        <w:numPr>
          <w:ilvl w:val="1"/>
          <w:numId w:val="1"/>
        </w:numPr>
        <w:rPr/>
      </w:pPr>
      <w:bookmarkStart w:id="91" w:name="__RefHeading___Toc2001365_2870459653"/>
      <w:bookmarkStart w:id="92" w:name="_Toc32"/>
      <w:bookmarkEnd w:id="90"/>
      <w:bookmarkEnd w:id="91"/>
      <w:r>
        <w:rPr>
          <w:rtl w:val="true"/>
        </w:rPr>
        <w:t xml:space="preserve">أصل </w:t>
      </w:r>
      <w:r>
        <w:rPr>
          <w:rtl w:val="true"/>
        </w:rPr>
        <w:t>[</w:t>
      </w:r>
      <w:r>
        <w:rPr>
          <w:rtl w:val="true"/>
        </w:rPr>
        <w:t>في معرفة الوضع وعلائمه</w:t>
      </w:r>
      <w:r>
        <w:rPr>
          <w:rtl w:val="true"/>
        </w:rPr>
        <w:t>]</w:t>
      </w:r>
      <w:bookmarkEnd w:id="92"/>
    </w:p>
    <w:p>
      <w:pPr>
        <w:pStyle w:val="BookText"/>
        <w:rPr/>
      </w:pPr>
      <w:r>
        <w:rPr>
          <w:rFonts w:ascii="Amiri" w:hAnsi="Amiri" w:eastAsia="Amiri" w:cs="Amiri"/>
          <w:color w:val="111111"/>
          <w:sz w:val="28"/>
          <w:sz w:val="28"/>
          <w:szCs w:val="28"/>
          <w:rtl w:val="true"/>
          <w:lang w:bidi="ar-SA"/>
        </w:rPr>
        <w:t>يعرف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بتنصيص الواضع</w:t>
      </w:r>
      <w:r>
        <w:rPr>
          <w:rStyle w:val="FootnoteAnchor"/>
          <w:rtl w:val="true"/>
        </w:rPr>
        <w:footnoteReference w:id="268"/>
      </w:r>
      <w:r>
        <w:rPr>
          <w:rFonts w:ascii="Amiri" w:hAnsi="Amiri" w:eastAsia="Amiri" w:cs="Amiri"/>
          <w:color w:val="111111"/>
          <w:sz w:val="28"/>
          <w:sz w:val="28"/>
          <w:szCs w:val="28"/>
          <w:rtl w:val="true"/>
          <w:lang w:bidi="ar-SA"/>
        </w:rPr>
        <w:t>قطعاً أو ظناً، كما يتفق في الأعلام والعرفيات الخاصة وبتنصيص أهل اللسان</w:t>
      </w:r>
      <w:r>
        <w:rPr>
          <w:rStyle w:val="FootnoteAnchor"/>
          <w:rtl w:val="true"/>
        </w:rPr>
        <w:footnoteReference w:id="269"/>
      </w:r>
      <w:r>
        <w:rPr>
          <w:rFonts w:ascii="Amiri" w:hAnsi="Amiri" w:eastAsia="Amiri" w:cs="Amiri"/>
          <w:color w:val="111111"/>
          <w:sz w:val="28"/>
          <w:sz w:val="28"/>
          <w:szCs w:val="28"/>
          <w:rtl w:val="true"/>
          <w:lang w:bidi="ar-SA"/>
        </w:rPr>
        <w:t>قطعاً أو ظناً، وبالترديد بالقرائن</w:t>
      </w:r>
      <w:r>
        <w:rPr>
          <w:rStyle w:val="FootnoteAnchor"/>
          <w:rtl w:val="true"/>
        </w:rPr>
        <w:footnoteReference w:id="270"/>
      </w:r>
      <w:r>
        <w:rPr>
          <w:rFonts w:ascii="IRNazanin" w:hAnsi="IRNazanin" w:eastAsia="IRNazanin"/>
          <w:color w:val="111111"/>
          <w:sz w:val="28"/>
          <w:sz w:val="28"/>
          <w:szCs w:val="28"/>
          <w:rtl w:val="true"/>
          <w:lang w:bidi="fa-IR"/>
        </w:rPr>
        <w:t xml:space="preserve">من الواضع، أو أهل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واحداً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أو ظناً، و</w:t>
      </w:r>
      <w:r>
        <w:rPr>
          <w:rStyle w:val="FootnoteAnchor"/>
          <w:rtl w:val="true"/>
        </w:rPr>
        <w:footnoteReference w:id="271"/>
      </w:r>
      <w:r>
        <w:rPr>
          <w:rFonts w:ascii="IRNazanin" w:hAnsi="IRNazanin" w:eastAsia="IRNazanin"/>
          <w:color w:val="111111"/>
          <w:sz w:val="28"/>
          <w:sz w:val="28"/>
          <w:szCs w:val="28"/>
          <w:rtl w:val="true"/>
          <w:lang w:bidi="fa-IR"/>
        </w:rPr>
        <w:t>بالإخبار</w:t>
      </w:r>
      <w:r>
        <w:rPr>
          <w:rStyle w:val="FootnoteAnchor"/>
          <w:rtl w:val="true"/>
        </w:rPr>
        <w:footnoteReference w:id="272"/>
      </w:r>
      <w:r>
        <w:rPr>
          <w:rFonts w:ascii="Amiri" w:hAnsi="Amiri" w:eastAsia="Amiri" w:cs="Amiri"/>
          <w:color w:val="111111"/>
          <w:sz w:val="28"/>
          <w:sz w:val="28"/>
          <w:szCs w:val="28"/>
          <w:rtl w:val="true"/>
          <w:lang w:bidi="ar-SA"/>
        </w:rPr>
        <w:t xml:space="preserve">عن وضع الواضع قطعياً أم </w:t>
      </w:r>
      <w:r>
        <w:rPr>
          <w:rStyle w:val="FootnoteAnchor"/>
          <w:rtl w:val="true"/>
        </w:rPr>
        <w:footnoteReference w:id="273"/>
      </w:r>
      <w:r>
        <w:rPr>
          <w:rFonts w:ascii="Amiri" w:hAnsi="Amiri" w:eastAsia="Amiri" w:cs="Amiri"/>
          <w:color w:val="111111"/>
          <w:sz w:val="28"/>
          <w:sz w:val="28"/>
          <w:szCs w:val="28"/>
          <w:rtl w:val="true"/>
          <w:lang w:bidi="ar-SA"/>
        </w:rPr>
        <w:t>ظنياً، وبنقل نقلة متون اللغة من موادها وهيئاتها كالنحو، فإنّ قولهم حجة إذا أفاد الظن بإجماع المسلمين والقوم، وطريقة أهل العرف، وتقرير المعصومين</w:t>
      </w:r>
      <w:r>
        <w:rPr>
          <w:rStyle w:val="FootnoteAnchor"/>
          <w:rtl w:val="true"/>
        </w:rPr>
        <w:footnoteReference w:id="274"/>
      </w:r>
      <w:r>
        <w:rPr>
          <w:rFonts w:ascii="Amiri" w:hAnsi="Amiri" w:eastAsia="Amiri" w:cs="Amiri"/>
          <w:color w:val="111111"/>
          <w:sz w:val="28"/>
          <w:sz w:val="28"/>
          <w:szCs w:val="28"/>
          <w:rtl w:val="true"/>
          <w:lang w:bidi="ar-SA"/>
        </w:rPr>
        <w:t xml:space="preserve">، وترغيبهم أصحابهم على الضبط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والبرهان</w:t>
      </w:r>
      <w:r>
        <w:rPr>
          <w:rStyle w:val="FootnoteAnchor"/>
          <w:rtl w:val="true"/>
        </w:rPr>
        <w:footnoteReference w:id="276"/>
      </w:r>
      <w:r>
        <w:rPr>
          <w:rFonts w:ascii="Amiri" w:hAnsi="Amiri" w:eastAsia="Amiri" w:cs="Amiri"/>
          <w:color w:val="111111"/>
          <w:sz w:val="28"/>
          <w:sz w:val="28"/>
          <w:szCs w:val="28"/>
          <w:rtl w:val="true"/>
          <w:lang w:bidi="ar-SA"/>
        </w:rPr>
        <w:t xml:space="preserve">العقلي الحاكم بحجية الظن في اللغات إذا استلزم الظن بالفرع واقعاً، ويتم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بالإجماع </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المركب </w:t>
      </w:r>
      <w:r>
        <w:rPr>
          <w:rStyle w:val="FootnoteAnchor"/>
          <w:rtl w:val="true"/>
        </w:rPr>
        <w:footnoteReference w:id="278"/>
      </w:r>
      <w:r>
        <w:rPr>
          <w:rFonts w:ascii="Amiri" w:hAnsi="Amiri" w:eastAsia="Amiri" w:cs="Amiri"/>
          <w:color w:val="111111"/>
          <w:sz w:val="28"/>
          <w:sz w:val="28"/>
          <w:szCs w:val="28"/>
          <w:rtl w:val="true"/>
          <w:lang w:bidi="ar-SA"/>
        </w:rPr>
        <w:t xml:space="preserve">، بل الأخير يجري في مثل الشهرة، والصحيح </w:t>
      </w:r>
    </w:p>
    <w:p>
      <w:pPr>
        <w:pStyle w:val="BookText"/>
        <w:rPr/>
      </w:pPr>
      <w:r>
        <w:rPr>
          <w:rFonts w:ascii="IRNazanin" w:hAnsi="IRNazanin" w:eastAsia="IRNazanin"/>
          <w:color w:val="111111"/>
          <w:sz w:val="28"/>
          <w:sz w:val="28"/>
          <w:szCs w:val="28"/>
          <w:rtl w:val="true"/>
          <w:lang w:bidi="fa-IR"/>
        </w:rPr>
        <w:t>المشتمل على لفظ مظنون الوضع</w:t>
      </w:r>
      <w:r>
        <w:rPr>
          <w:rStyle w:val="FootnoteAnchor"/>
          <w:rtl w:val="true"/>
        </w:rPr>
        <w:footnoteReference w:id="279"/>
      </w:r>
      <w:r>
        <w:rPr>
          <w:rFonts w:ascii="Amiri" w:hAnsi="Amiri" w:eastAsia="Amiri" w:cs="Amiri"/>
          <w:color w:val="111111"/>
          <w:sz w:val="28"/>
          <w:sz w:val="28"/>
          <w:szCs w:val="28"/>
          <w:rtl w:val="true"/>
          <w:lang w:bidi="ar-SA"/>
        </w:rPr>
        <w:t xml:space="preserve">، وبيانه موكول إلى بحث حجية </w:t>
      </w:r>
      <w:r>
        <w:rPr>
          <w:rStyle w:val="FootnoteAnchor"/>
          <w:rtl w:val="true"/>
        </w:rPr>
        <w:footnoteReference w:id="280"/>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غير أهل الخبرة كالفقيه، وكذا الواحد المفيد للظن باللغة كقول اللغوي؛لقاعدة الاستلزام</w:t>
      </w:r>
      <w:r>
        <w:rPr>
          <w:rStyle w:val="FootnoteAnchor"/>
          <w:rtl w:val="true"/>
        </w:rPr>
        <w:footnoteReference w:id="281"/>
      </w:r>
      <w:r>
        <w:rPr>
          <w:rFonts w:ascii="Amiri" w:hAnsi="Amiri" w:eastAsia="Amiri" w:cs="Amiri"/>
          <w:color w:val="111111"/>
          <w:sz w:val="28"/>
          <w:sz w:val="28"/>
          <w:szCs w:val="28"/>
          <w:rtl w:val="true"/>
          <w:lang w:bidi="ar-SA"/>
        </w:rPr>
        <w:t>، وعدم الكفاية</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ولا يشترط الإسلام والإيمان والعدالة في نقلة اللغة؛ لعموم الأدلة، ومنطوق آية النبا</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انصرف إلى الموضوع المستنبط وقلنا بأن التبين </w:t>
      </w:r>
      <w:r>
        <w:rPr>
          <w:rStyle w:val="FootnoteAnchor"/>
          <w:rtl w:val="true"/>
        </w:rPr>
        <w:footnoteReference w:id="284"/>
      </w:r>
      <w:r>
        <w:rPr>
          <w:rFonts w:ascii="Amiri" w:hAnsi="Amiri" w:eastAsia="Amiri" w:cs="Amiri"/>
          <w:color w:val="111111"/>
          <w:sz w:val="28"/>
          <w:sz w:val="28"/>
          <w:szCs w:val="28"/>
          <w:rtl w:val="true"/>
          <w:lang w:bidi="ar-SA"/>
        </w:rPr>
        <w:t xml:space="preserve">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بما مرّ، نعم يشترط حصول الظن الطبعي</w:t>
      </w:r>
      <w:r>
        <w:rPr>
          <w:rStyle w:val="FootnoteAnchor"/>
          <w:rtl w:val="true"/>
        </w:rPr>
        <w:footnoteReference w:id="285"/>
      </w:r>
      <w:r>
        <w:rPr>
          <w:rStyle w:val="FootnoteAnchor"/>
          <w:rtl w:val="true"/>
        </w:rPr>
        <w:footnoteReference w:id="286"/>
      </w:r>
      <w:r>
        <w:rPr>
          <w:rFonts w:ascii="Amiri" w:hAnsi="Amiri" w:eastAsia="Amiri" w:cs="Amiri"/>
          <w:color w:val="111111"/>
          <w:sz w:val="28"/>
          <w:sz w:val="28"/>
          <w:szCs w:val="28"/>
          <w:rtl w:val="true"/>
          <w:lang w:bidi="ar-SA"/>
        </w:rPr>
        <w:t>، والخلو عن المعارض المعتبر 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حجية قول اللغوي في الألفاظ المهجورة وجهان، والمتصور في ذلك صور تظهر بالتامل</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تعارض قول ناقل من أهل اللغة مع آخر، فعن بعض</w:t>
      </w:r>
      <w:r>
        <w:rPr>
          <w:rStyle w:val="FootnoteAnchor"/>
          <w:rtl w:val="true"/>
        </w:rPr>
        <w:footnoteReference w:id="288"/>
      </w:r>
      <w:r>
        <w:rPr>
          <w:rFonts w:ascii="Amiri" w:hAnsi="Amiri" w:eastAsia="Amiri" w:cs="Amiri"/>
          <w:color w:val="111111"/>
          <w:sz w:val="28"/>
          <w:sz w:val="28"/>
          <w:szCs w:val="28"/>
          <w:rtl w:val="true"/>
          <w:lang w:bidi="ar-SA"/>
        </w:rPr>
        <w:t xml:space="preserve">أنه إن كانت النسبة تبايناً كلياً أو جزئياً، فالاشتراك لفظاً أو عموماً مطلقاً، أخذ بالأعم، كل ذلك تقديماً للمثبت على النافي </w:t>
      </w:r>
      <w:r>
        <w:rPr>
          <w:rStyle w:val="FootnoteAnchor"/>
          <w:rtl w:val="true"/>
        </w:rPr>
        <w:footnoteReference w:id="289"/>
      </w:r>
      <w:r>
        <w:rPr>
          <w:rFonts w:ascii="Amiri" w:hAnsi="Amiri" w:eastAsia="Amiri" w:cs="Amiri"/>
          <w:color w:val="111111"/>
          <w:sz w:val="28"/>
          <w:sz w:val="28"/>
          <w:szCs w:val="28"/>
          <w:rtl w:val="true"/>
          <w:lang w:bidi="ar-SA"/>
        </w:rPr>
        <w:t>، ولم يتعرض للمتساويين</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ومع ذلك ففي تقديم المثبت كليّة كلام</w:t>
      </w:r>
      <w:r>
        <w:rPr>
          <w:rStyle w:val="FootnoteAnchor"/>
          <w:rtl w:val="true"/>
        </w:rPr>
        <w:footnoteReference w:id="291"/>
      </w:r>
      <w:r>
        <w:rPr>
          <w:rFonts w:ascii="Amiri" w:hAnsi="Amiri" w:eastAsia="Amiri" w:cs="Amiri"/>
          <w:color w:val="111111"/>
          <w:sz w:val="28"/>
          <w:sz w:val="28"/>
          <w:szCs w:val="28"/>
          <w:rtl w:val="true"/>
          <w:lang w:bidi="ar-SA"/>
        </w:rPr>
        <w:t xml:space="preserve">، وفي الأخذ بالأعمّ وعدم حمل المطلق على المقيد إذا كان نقل الناقلين عن </w:t>
      </w:r>
      <w:r>
        <w:rPr>
          <w:rStyle w:val="FootnoteAnchor"/>
          <w:rtl w:val="true"/>
        </w:rPr>
        <w:footnoteReference w:id="292"/>
      </w:r>
      <w:r>
        <w:rPr>
          <w:rFonts w:ascii="Amiri" w:hAnsi="Amiri" w:eastAsia="Amiri" w:cs="Amiri"/>
          <w:color w:val="111111"/>
          <w:sz w:val="28"/>
          <w:sz w:val="28"/>
          <w:szCs w:val="28"/>
          <w:rtl w:val="true"/>
          <w:lang w:bidi="ar-SA"/>
        </w:rPr>
        <w:t>مبدأ واحد نظر، وللتفصيل في المقام</w:t>
      </w:r>
      <w:r>
        <w:rPr>
          <w:rStyle w:val="FootnoteAnchor"/>
          <w:rtl w:val="true"/>
        </w:rPr>
        <w:footnoteReference w:id="293"/>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w:t>
      </w:r>
      <w:r>
        <w:rPr>
          <w:rStyle w:val="FootnoteAnchor"/>
          <w:rtl w:val="true"/>
        </w:rPr>
        <w:footnoteReference w:id="29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كلام اللغوي بعضه ظاهر في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وبعضه</w:t>
      </w:r>
      <w:r>
        <w:rPr>
          <w:rStyle w:val="FootnoteAnchor"/>
          <w:rtl w:val="true"/>
        </w:rPr>
        <w:footnoteReference w:id="295"/>
      </w:r>
      <w:r>
        <w:rPr>
          <w:rFonts w:ascii="Amiri" w:hAnsi="Amiri" w:eastAsia="Amiri" w:cs="Amiri"/>
          <w:color w:val="111111"/>
          <w:sz w:val="28"/>
          <w:sz w:val="28"/>
          <w:szCs w:val="28"/>
          <w:rtl w:val="true"/>
          <w:lang w:bidi="ar-SA"/>
        </w:rPr>
        <w:t>ظاهر في بيان</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المجاز،وقد لا يصير ظاهراً في شيء من الأمرين، وحينئذ ففي الوقف كما عن المشهور</w:t>
      </w:r>
      <w:r>
        <w:rPr>
          <w:rStyle w:val="FootnoteAnchor"/>
          <w:rtl w:val="true"/>
        </w:rPr>
        <w:footnoteReference w:id="297"/>
      </w:r>
      <w:r>
        <w:rPr>
          <w:rFonts w:ascii="Amiri" w:hAnsi="Amiri" w:eastAsia="Amiri" w:cs="Amiri"/>
          <w:color w:val="111111"/>
          <w:sz w:val="28"/>
          <w:sz w:val="28"/>
          <w:szCs w:val="28"/>
          <w:rtl w:val="true"/>
          <w:lang w:bidi="ar-SA"/>
        </w:rPr>
        <w:t>لأن الاستعمال أعم منهما، أم الأصل الحقيقة كما عن المرتضى</w:t>
      </w:r>
      <w:r>
        <w:rPr>
          <w:rStyle w:val="FootnoteAnchor"/>
          <w:rtl w:val="true"/>
        </w:rPr>
        <w:footnoteReference w:id="298"/>
      </w:r>
      <w:r>
        <w:rPr>
          <w:rFonts w:ascii="Amiri" w:hAnsi="Amiri" w:eastAsia="Amiri" w:cs="Amiri"/>
          <w:color w:val="111111"/>
          <w:sz w:val="28"/>
          <w:sz w:val="28"/>
          <w:szCs w:val="28"/>
          <w:rtl w:val="true"/>
          <w:lang w:bidi="ar-SA"/>
        </w:rPr>
        <w:t>، أم المجاز كما عن ابن جنّي</w:t>
      </w:r>
      <w:r>
        <w:rPr>
          <w:rStyle w:val="FootnoteAnchor"/>
          <w:rtl w:val="true"/>
        </w:rPr>
        <w:footnoteReference w:id="299"/>
      </w:r>
      <w:r>
        <w:rPr>
          <w:rFonts w:ascii="Amiri" w:hAnsi="Amiri" w:eastAsia="Amiri" w:cs="Amiri"/>
          <w:color w:val="111111"/>
          <w:sz w:val="28"/>
          <w:sz w:val="28"/>
          <w:szCs w:val="28"/>
          <w:rtl w:val="true"/>
          <w:lang w:bidi="ar-SA"/>
        </w:rPr>
        <w:t xml:space="preserve">، وجوه، أظهرها في الأصل الأولي الأول </w:t>
      </w:r>
      <w:r>
        <w:rPr>
          <w:rStyle w:val="FootnoteAnchor"/>
          <w:rtl w:val="true"/>
        </w:rPr>
        <w:footnoteReference w:id="300"/>
      </w:r>
      <w:r>
        <w:rPr>
          <w:rFonts w:ascii="Amiri" w:hAnsi="Amiri" w:eastAsia="Amiri" w:cs="Amiri"/>
          <w:color w:val="111111"/>
          <w:sz w:val="28"/>
          <w:sz w:val="28"/>
          <w:szCs w:val="28"/>
          <w:rtl w:val="true"/>
          <w:lang w:bidi="ar-SA"/>
        </w:rPr>
        <w:t>، وفي انقلابه</w:t>
      </w:r>
      <w:r>
        <w:rPr>
          <w:rStyle w:val="FootnoteAnchor"/>
          <w:rtl w:val="true"/>
        </w:rPr>
        <w:footnoteReference w:id="301"/>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r>
        <w:rPr>
          <w:rStyle w:val="FootnoteAnchor"/>
          <w:rtl w:val="true"/>
        </w:rPr>
        <w:footnoteReference w:id="302"/>
      </w:r>
      <w:bookmarkStart w:id="93" w:name="pg9015_97461"/>
    </w:p>
    <w:p>
      <w:pPr>
        <w:pStyle w:val="Heading2"/>
        <w:numPr>
          <w:ilvl w:val="1"/>
          <w:numId w:val="1"/>
        </w:numPr>
        <w:rPr/>
      </w:pPr>
      <w:bookmarkStart w:id="94" w:name="__RefHeading___Toc2001367_2870459653"/>
      <w:bookmarkStart w:id="95" w:name="_Toc33"/>
      <w:bookmarkEnd w:id="93"/>
      <w:bookmarkEnd w:id="94"/>
      <w:r>
        <w:rPr>
          <w:rtl w:val="true"/>
        </w:rPr>
        <w:t xml:space="preserve">أصل </w:t>
      </w:r>
      <w:r>
        <w:rPr>
          <w:rtl w:val="true"/>
        </w:rPr>
        <w:t>[</w:t>
      </w:r>
      <w:r>
        <w:rPr>
          <w:rtl w:val="true"/>
        </w:rPr>
        <w:t>في التبادر وعدمه</w:t>
      </w:r>
      <w:r>
        <w:rPr>
          <w:rtl w:val="true"/>
        </w:rPr>
        <w:t>]</w:t>
      </w:r>
      <w:bookmarkEnd w:id="95"/>
    </w:p>
    <w:p>
      <w:pPr>
        <w:pStyle w:val="BookText"/>
        <w:rPr/>
      </w:pPr>
      <w:r>
        <w:rPr>
          <w:rFonts w:ascii="IRNazanin" w:hAnsi="IRNazanin" w:eastAsia="IRNazanin"/>
          <w:color w:val="111111"/>
          <w:sz w:val="28"/>
          <w:sz w:val="28"/>
          <w:szCs w:val="28"/>
          <w:rtl w:val="true"/>
          <w:lang w:bidi="fa-IR"/>
        </w:rPr>
        <w:t xml:space="preserve">هنا علائم تدل على الوضع التزاماً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Style w:val="FootnoteAnchor"/>
          <w:rtl w:val="true"/>
        </w:rPr>
        <w:footnoteReference w:id="303"/>
      </w:r>
      <w:r>
        <w:rPr>
          <w:rFonts w:ascii="Amiri" w:hAnsi="Amiri" w:eastAsia="Amiri" w:cs="Amiri"/>
          <w:color w:val="111111"/>
          <w:sz w:val="28"/>
          <w:sz w:val="28"/>
          <w:szCs w:val="28"/>
          <w:rtl w:val="true"/>
          <w:lang w:bidi="ar-SA"/>
        </w:rPr>
        <w:t xml:space="preserve">، وهو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الاستباق</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واصطلاحاً سبق المعنى من بين المعاني إلى الذهن</w:t>
      </w:r>
      <w:r>
        <w:rPr>
          <w:rStyle w:val="FootnoteAnchor"/>
          <w:rtl w:val="true"/>
        </w:rPr>
        <w:footnoteReference w:id="305"/>
      </w:r>
      <w:r>
        <w:rPr>
          <w:rFonts w:ascii="Amiri" w:hAnsi="Amiri" w:eastAsia="Amiri" w:cs="Amiri"/>
          <w:color w:val="111111"/>
          <w:sz w:val="28"/>
          <w:sz w:val="28"/>
          <w:szCs w:val="28"/>
          <w:rtl w:val="true"/>
          <w:lang w:bidi="ar-SA"/>
        </w:rPr>
        <w:t>، لا سبق الذهن إلى المعنى كما توهم</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فالتبادر للعالم بالوضع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Style w:val="FootnoteAnchor"/>
          <w:rtl w:val="true"/>
        </w:rPr>
        <w:footnoteReference w:id="307"/>
      </w:r>
      <w:r>
        <w:rPr>
          <w:rFonts w:ascii="Amiri" w:hAnsi="Amiri" w:eastAsia="Amiri" w:cs="Amiri"/>
          <w:color w:val="111111"/>
          <w:sz w:val="28"/>
          <w:sz w:val="28"/>
          <w:szCs w:val="28"/>
          <w:rtl w:val="true"/>
          <w:lang w:bidi="ar-SA"/>
        </w:rPr>
        <w:t>كان من حاق اللفظ</w:t>
      </w:r>
      <w:r>
        <w:rPr>
          <w:rStyle w:val="FootnoteAnchor"/>
          <w:rtl w:val="true"/>
        </w:rPr>
        <w:footnoteReference w:id="308"/>
      </w:r>
      <w:r>
        <w:rPr>
          <w:rFonts w:ascii="Amiri" w:hAnsi="Amiri" w:eastAsia="Amiri" w:cs="Amiri"/>
          <w:color w:val="111111"/>
          <w:sz w:val="28"/>
          <w:sz w:val="28"/>
          <w:szCs w:val="28"/>
          <w:rtl w:val="true"/>
          <w:lang w:bidi="ar-SA"/>
        </w:rPr>
        <w:t xml:space="preserve">تبادراً أولياً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الاستقلال في المراديّة، غير ناشئ عن</w:t>
      </w:r>
      <w:r>
        <w:rPr>
          <w:rStyle w:val="FootnoteAnchor"/>
          <w:rtl w:val="true"/>
        </w:rPr>
        <w:footnoteReference w:id="309"/>
      </w:r>
      <w:r>
        <w:rPr>
          <w:rFonts w:ascii="Amiri" w:hAnsi="Amiri" w:eastAsia="Amiri" w:cs="Amiri"/>
          <w:color w:val="111111"/>
          <w:sz w:val="28"/>
          <w:sz w:val="28"/>
          <w:szCs w:val="28"/>
          <w:rtl w:val="true"/>
          <w:lang w:bidi="ar-SA"/>
        </w:rPr>
        <w:t xml:space="preserve">ملاحظة القرائن تفصيلاً، داخلة وخارجة حتى مثل الشهرة والشيوع، فهو علامة للجاهل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مقام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تبادراً بالمعنى الأخص</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بالمعنى الأخص وهو ما كان مركباً من النفي والإثبات، بأن يصير المتبادر هذا المعنى فقط، بحيث يظهر منه عدم كون الغير موضوعاً له ومراداً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بالمعنى الأعم بأن يتبادر هذا المعنى من دون أن ينفي تبادر غيره، كما في المشتركات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مركباً من الإثبات والنفي، أم بالمعنى 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المشتركات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فالتبادر بقسميه علامة الحقيقة، وعدم التبادر بالمعنى الأعم وتبادر الغير بالمعنى الأخص علامة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تبادر الغير بالمعنى الأعمّ، وعدم التبادر بالمعنى الأخص، فهما أعم من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علمنا بفقد القرينة أو بعدم الالتفات إليها، فالتبادر اجتهادي، وإن شككنا فيهما، نفيناهما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علمنا بوجودها وبالالتفات إليها، وشككنا في أنها مؤكدة، أم ،صارفة، أم مفهمة، أم معينة، فالوقف إن لم نقل بأولوية التأسيس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يفصل في المقام تفصيل آخر لا يسع المقام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حصل التبادر في لسان أو زمان فالتعدّي إلى غيرهما يحتاج إلى الضميمة؛ إذ الدليل على حجّية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اتفاق العلماء، وإطباق أهل اللسان، والاستقراء، وبطلان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أزيد من ذلك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العمل به لا يصح الا بعد التخلية التامة؛ لاحتمال كون التبادر لأجل قرينة، أو عدمه لمانع، ويظهر ذلك بملاحظة صحة السلب، أو عدمها عن المعنى المتبادر، أو غيره</w:t>
      </w:r>
      <w:r>
        <w:rPr>
          <w:rFonts w:eastAsia="Amiri" w:cs="Amiri" w:ascii="Amiri" w:hAnsi="Amiri"/>
          <w:color w:val="111111"/>
          <w:sz w:val="28"/>
          <w:szCs w:val="28"/>
          <w:rtl w:val="true"/>
          <w:lang w:bidi="ar-SA"/>
        </w:rPr>
        <w:t xml:space="preserve">. </w:t>
      </w:r>
      <w:bookmarkStart w:id="96" w:name="pg9015_97463"/>
    </w:p>
    <w:p>
      <w:pPr>
        <w:pStyle w:val="Heading2"/>
        <w:numPr>
          <w:ilvl w:val="1"/>
          <w:numId w:val="1"/>
        </w:numPr>
        <w:rPr/>
      </w:pPr>
      <w:bookmarkStart w:id="97" w:name="__RefHeading___Toc2001369_2870459653"/>
      <w:bookmarkStart w:id="98" w:name="_Toc34"/>
      <w:bookmarkEnd w:id="96"/>
      <w:bookmarkEnd w:id="97"/>
      <w:r>
        <w:rPr>
          <w:rtl w:val="true"/>
        </w:rPr>
        <w:t xml:space="preserve">أصل </w:t>
      </w:r>
      <w:r>
        <w:rPr>
          <w:rtl w:val="true"/>
        </w:rPr>
        <w:t>[</w:t>
      </w:r>
      <w:r>
        <w:rPr>
          <w:rtl w:val="true"/>
        </w:rPr>
        <w:t>في صحة السلب وعدمها</w:t>
      </w:r>
      <w:r>
        <w:rPr>
          <w:rtl w:val="true"/>
        </w:rPr>
        <w:t>]</w:t>
      </w:r>
      <w:bookmarkEnd w:id="98"/>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وعدمها</w:t>
      </w:r>
      <w:r>
        <w:rPr>
          <w:rStyle w:val="FootnoteAnchor"/>
          <w:rtl w:val="true"/>
        </w:rPr>
        <w:footnoteReference w:id="311"/>
      </w:r>
      <w:r>
        <w:rPr>
          <w:rFonts w:ascii="Amiri" w:hAnsi="Amiri" w:eastAsia="Amiri" w:cs="Amiri"/>
          <w:color w:val="111111"/>
          <w:sz w:val="28"/>
          <w:sz w:val="28"/>
          <w:szCs w:val="28"/>
          <w:rtl w:val="true"/>
          <w:lang w:bidi="ar-SA"/>
        </w:rPr>
        <w:t>، فصحة السّلب أربعة أقسام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سلب كل الحقائق عن مورد الاستعمال، وهي كاشفة عن مجازيته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وصحة سلب كل المجازات عن مورد الاستعمال، وهي كاشفة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حقيقيته </w:t>
      </w:r>
      <w:r>
        <w:rPr>
          <w:rStyle w:val="FootnoteAnchor"/>
          <w:rtl w:val="true"/>
        </w:rPr>
        <w:footnoteReference w:id="313"/>
      </w:r>
      <w:r>
        <w:rPr>
          <w:rFonts w:ascii="Amiri" w:hAnsi="Amiri" w:eastAsia="Amiri" w:cs="Amiri"/>
          <w:color w:val="111111"/>
          <w:sz w:val="28"/>
          <w:sz w:val="28"/>
          <w:szCs w:val="28"/>
          <w:rtl w:val="true"/>
          <w:lang w:bidi="ar-SA"/>
        </w:rPr>
        <w:t>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وصحة سلب الحقيقة في الجملة،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بعضها عن مورد الاستعمال، وهي كاشفة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
      </w:r>
      <w:r>
        <w:rPr>
          <w:rFonts w:ascii="IRNazanin" w:hAnsi="IRNazanin" w:eastAsia="IRNazanin"/>
          <w:color w:val="111111"/>
          <w:sz w:val="28"/>
          <w:sz w:val="28"/>
          <w:szCs w:val="28"/>
          <w:rtl w:val="true"/>
          <w:lang w:bidi="fa-IR"/>
        </w:rPr>
        <w:t xml:space="preserve">عن المجازیة بالنسبة وفي الجملة، ولا تنفي وضع اللفظ عن مورد السلب كلية، فلا تثمر، ولا تكون علامة بالمعنى المطلوب هنا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وصحة سلب المجاز في الجملة عن مورد الاستعمال، وهذه لا تكشف عن شيء من الحقيقة والمجاز</w:t>
      </w:r>
      <w:r>
        <w:rPr>
          <w:rStyle w:val="FootnoteAnchor"/>
          <w:rtl w:val="true"/>
        </w:rPr>
        <w:footnoteReference w:id="316"/>
      </w:r>
      <w:r>
        <w:rPr>
          <w:rFonts w:ascii="Amiri" w:hAnsi="Amiri" w:eastAsia="Amiri" w:cs="Amiri"/>
          <w:color w:val="111111"/>
          <w:sz w:val="28"/>
          <w:sz w:val="28"/>
          <w:szCs w:val="28"/>
          <w:rtl w:val="true"/>
          <w:lang w:bidi="ar-SA"/>
        </w:rPr>
        <w:t xml:space="preserve">حتى بالنسبة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فالأخيران ليسا بعلامتين، وكذا الثاني ليس علامة لنا وإن كان تحققه في الواقع ملازماً للحقيقية صرفاً؛ وذلك لعدم حصر المجازات غالباً، وللزوم الدور الغير المندفع </w:t>
      </w:r>
      <w:r>
        <w:rPr>
          <w:rStyle w:val="FootnoteAnchor"/>
          <w:rtl w:val="true"/>
        </w:rPr>
        <w:footnoteReference w:id="317"/>
      </w:r>
      <w:r>
        <w:rPr>
          <w:rFonts w:ascii="Amiri" w:hAnsi="Amiri" w:eastAsia="Amiri" w:cs="Amiri"/>
          <w:color w:val="111111"/>
          <w:sz w:val="28"/>
          <w:sz w:val="28"/>
          <w:szCs w:val="28"/>
          <w:rtl w:val="true"/>
          <w:lang w:bidi="ar-SA"/>
        </w:rPr>
        <w:t>فتأمل، والقسم الأول علامة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وتلك الأقسام الأربعة متصورة في جانب عدم صحة السلب، والعلّامة منها أيضاً واحدة، وهي عدم صحة سلب المعنى الحقيقي في الجملة عن مورد الاستعمال، الكاشف عن كونه موضوعاً له، والثلاثة الأخر علامات واقعية لا وصول إليها؛ للدور الغير المندفع الا في بعض الصور، فانحصرت العلامة في اثنين من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كونهما علامة</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العلماء، وأهل اللسان، والاستقراء التام ولزوم خلاف الفرض لولا ذلك</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دور في هذين القسمين مصرحاً ومضمراً؛ لاعتبار تعدّد الشخص ولو بالاعتبار، كما مرَّ في التبادر فقول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الذهب ليس بعين يتبادر منه سلب كلّ المعاني، ويصير علامة، ويكون المستعمل فيه لفظ العين في هذا الكلام هو القدر المشترك مجازاً، بقرينة التجرد</w:t>
      </w:r>
      <w:r>
        <w:rPr>
          <w:rStyle w:val="FootnoteAnchor"/>
          <w:rtl w:val="true"/>
        </w:rPr>
        <w:footnoteReference w:id="320"/>
      </w:r>
      <w:r>
        <w:rPr>
          <w:rFonts w:ascii="Amiri" w:hAnsi="Amiri" w:eastAsia="Amiri" w:cs="Amiri"/>
          <w:color w:val="111111"/>
          <w:sz w:val="28"/>
          <w:sz w:val="28"/>
          <w:szCs w:val="28"/>
          <w:rtl w:val="true"/>
          <w:lang w:bidi="ar-SA"/>
        </w:rPr>
        <w:t>عن القرينة المعينة لإحدى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 الدور بأجوبة أخر</w:t>
      </w:r>
      <w:r>
        <w:rPr>
          <w:rStyle w:val="FootnoteAnchor"/>
          <w:rtl w:val="true"/>
        </w:rPr>
        <w:footnoteReference w:id="321"/>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عدم صحة السلب لا يكشف عن الحقيقة بنحو التطابق، بل يكشف عن أحد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تطابقه مع الموضوع له حقيقة، أو اتحاده معه مصداقاً، أو كونه فرداً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وجدت هذه العلامة</w:t>
      </w:r>
      <w:r>
        <w:rPr>
          <w:rStyle w:val="FootnoteAnchor"/>
          <w:rtl w:val="true"/>
        </w:rPr>
        <w:footnoteReference w:id="323"/>
      </w:r>
      <w:r>
        <w:rPr>
          <w:rFonts w:ascii="Amiri" w:hAnsi="Amiri" w:eastAsia="Amiri" w:cs="Amiri"/>
          <w:color w:val="111111"/>
          <w:sz w:val="28"/>
          <w:sz w:val="28"/>
          <w:szCs w:val="28"/>
          <w:rtl w:val="true"/>
          <w:lang w:bidi="ar-SA"/>
        </w:rPr>
        <w:t xml:space="preserve">في زمان أو لسان احتاج التعدي إلى غيرهما إلى ضميمة، كما مرَّ في التبادر ، وهي لا تجري في مثل المبهمات، ولا مثل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اختلاف المادة والصيغة، فلا 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متى شككنا في كون العلامة مقترنة بقرينة مضرة </w:t>
      </w:r>
      <w:r>
        <w:rPr>
          <w:rStyle w:val="FootnoteAnchor"/>
          <w:rtl w:val="true"/>
        </w:rPr>
        <w:footnoteReference w:id="324"/>
      </w:r>
      <w:r>
        <w:rPr>
          <w:rFonts w:ascii="Amiri" w:hAnsi="Amiri" w:eastAsia="Amiri" w:cs="Amiri"/>
          <w:color w:val="111111"/>
          <w:sz w:val="28"/>
          <w:sz w:val="28"/>
          <w:szCs w:val="28"/>
          <w:rtl w:val="true"/>
          <w:lang w:bidi="ar-SA"/>
        </w:rPr>
        <w:t>بكونها علامة، عملنا</w:t>
      </w:r>
      <w:r>
        <w:rPr>
          <w:rStyle w:val="FootnoteAnchor"/>
          <w:rtl w:val="true"/>
        </w:rPr>
        <w:footnoteReference w:id="325"/>
      </w:r>
      <w:r>
        <w:rPr>
          <w:rFonts w:ascii="IRNazanin" w:hAnsi="IRNazanin" w:eastAsia="IRNazanin"/>
          <w:color w:val="111111"/>
          <w:sz w:val="28"/>
          <w:sz w:val="28"/>
          <w:szCs w:val="28"/>
          <w:rtl w:val="true"/>
          <w:lang w:bidi="fa-IR"/>
        </w:rPr>
        <w:t>بالأغلب، ومع فقده فالوقف</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حصل التعارض بينها </w:t>
      </w:r>
      <w:r>
        <w:rPr>
          <w:rStyle w:val="FootnoteAnchor"/>
          <w:rtl w:val="true"/>
        </w:rPr>
        <w:footnoteReference w:id="326"/>
      </w:r>
      <w:r>
        <w:rPr>
          <w:rFonts w:ascii="Amiri" w:hAnsi="Amiri" w:eastAsia="Amiri" w:cs="Amiri"/>
          <w:color w:val="111111"/>
          <w:sz w:val="28"/>
          <w:sz w:val="28"/>
          <w:szCs w:val="28"/>
          <w:rtl w:val="true"/>
          <w:lang w:bidi="ar-SA"/>
        </w:rPr>
        <w:t>وبين العلامة السابقة، فحال الاجتهاديتين والمختلفتين واضحة</w:t>
      </w:r>
      <w:r>
        <w:rPr>
          <w:rStyle w:val="FootnoteAnchor"/>
          <w:rtl w:val="true"/>
        </w:rPr>
        <w:footnoteReference w:id="327"/>
      </w:r>
      <w:r>
        <w:rPr>
          <w:rFonts w:ascii="Amiri" w:hAnsi="Amiri" w:eastAsia="Amiri" w:cs="Amiri"/>
          <w:color w:val="111111"/>
          <w:sz w:val="28"/>
          <w:sz w:val="28"/>
          <w:szCs w:val="28"/>
          <w:rtl w:val="true"/>
          <w:lang w:bidi="ar-SA"/>
        </w:rPr>
        <w:t>، وفي الفقاهيتين تقدّم هذه العلامة؛ لقوة الاستقراء في جانبها</w:t>
      </w:r>
      <w:r>
        <w:rPr>
          <w:rFonts w:eastAsia="Amiri" w:cs="Amiri" w:ascii="Amiri" w:hAnsi="Amiri"/>
          <w:color w:val="111111"/>
          <w:sz w:val="28"/>
          <w:szCs w:val="28"/>
          <w:rtl w:val="true"/>
          <w:lang w:bidi="ar-SA"/>
        </w:rPr>
        <w:t xml:space="preserve">. </w:t>
      </w:r>
      <w:bookmarkStart w:id="99" w:name="pg9015_97466"/>
    </w:p>
    <w:p>
      <w:pPr>
        <w:pStyle w:val="Heading2"/>
        <w:numPr>
          <w:ilvl w:val="1"/>
          <w:numId w:val="1"/>
        </w:numPr>
        <w:rPr/>
      </w:pPr>
      <w:bookmarkStart w:id="100" w:name="__RefHeading___Toc2001371_2870459653"/>
      <w:bookmarkStart w:id="101" w:name="_Toc35"/>
      <w:bookmarkEnd w:id="99"/>
      <w:bookmarkEnd w:id="100"/>
      <w:r>
        <w:rPr>
          <w:rtl w:val="true"/>
        </w:rPr>
        <w:t xml:space="preserve">أصل </w:t>
      </w:r>
      <w:r>
        <w:rPr>
          <w:rtl w:val="true"/>
        </w:rPr>
        <w:t>[</w:t>
      </w:r>
      <w:r>
        <w:rPr>
          <w:rtl w:val="true"/>
        </w:rPr>
        <w:t>في الاطراد وعدمه</w:t>
      </w:r>
      <w:r>
        <w:rPr>
          <w:rtl w:val="true"/>
        </w:rPr>
        <w:t>]</w:t>
      </w:r>
      <w:bookmarkEnd w:id="101"/>
    </w:p>
    <w:p>
      <w:pPr>
        <w:pStyle w:val="Heading3"/>
        <w:numPr>
          <w:ilvl w:val="2"/>
          <w:numId w:val="1"/>
        </w:numPr>
        <w:rPr/>
      </w:pPr>
      <w:bookmarkStart w:id="102" w:name="__RefHeading___Toc2001373_2870459653"/>
      <w:bookmarkStart w:id="103" w:name="_Toc36"/>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الاطّراد</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اللفظ المستعمل في معنى موجود في مورد جائز الاستعمال في کل مورد وجد فيه هذا المعنى</w:t>
      </w:r>
      <w:r>
        <w:rPr>
          <w:rStyle w:val="FootnoteAnchor"/>
          <w:rtl w:val="true"/>
        </w:rPr>
        <w:footnoteReference w:id="329"/>
      </w:r>
      <w:r>
        <w:rPr>
          <w:rFonts w:ascii="Amiri" w:hAnsi="Amiri" w:eastAsia="Amiri" w:cs="Amiri"/>
          <w:color w:val="111111"/>
          <w:sz w:val="28"/>
          <w:sz w:val="28"/>
          <w:szCs w:val="28"/>
          <w:rtl w:val="true"/>
          <w:lang w:bidi="ar-SA"/>
        </w:rPr>
        <w:t>، بعد العلم بعدم مدخلية خصوصية المورد الذي رأينا استعماله فيه لأجل المعنى الموجود فيه، وعدم الاطراد</w:t>
      </w:r>
      <w:r>
        <w:rPr>
          <w:rStyle w:val="FootnoteAnchor"/>
          <w:rtl w:val="true"/>
        </w:rPr>
        <w:footnoteReference w:id="330"/>
      </w:r>
      <w:r>
        <w:rPr>
          <w:rFonts w:ascii="IRNazanin" w:hAnsi="IRNazanin" w:eastAsia="IRNazanin"/>
          <w:color w:val="111111"/>
          <w:sz w:val="28"/>
          <w:sz w:val="28"/>
          <w:szCs w:val="28"/>
          <w:rtl w:val="true"/>
          <w:lang w:bidi="fa-IR"/>
        </w:rPr>
        <w:t>ضده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واختلفوا في كونهما علامة على أقوال</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عليها وهو من خواصها، اختاره الآمدي في الإحكام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والغزالي في المستصفى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العلّامة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عميد الدين في المنية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ثالثها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الاطراد ليس علامة الحقيقة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وعدمه علامة المجاز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4" w:name="__RefHeading___Toc2001375_2870459653"/>
      <w:bookmarkStart w:id="105" w:name="_Toc37"/>
      <w:bookmarkEnd w:id="104"/>
      <w:r>
        <w:rPr>
          <w:rtl w:val="true"/>
        </w:rPr>
        <w:t>[</w:t>
      </w:r>
      <w:r>
        <w:rPr>
          <w:rtl w:val="true"/>
        </w:rPr>
        <w:t>المختار في المسألة</w:t>
      </w:r>
      <w:r>
        <w:rPr>
          <w:rtl w:val="true"/>
        </w:rPr>
        <w:t>]</w:t>
      </w:r>
      <w:bookmarkEnd w:id="105"/>
    </w:p>
    <w:p>
      <w:pPr>
        <w:pStyle w:val="BookText"/>
        <w:rPr/>
      </w:pPr>
      <w:r>
        <w:rPr>
          <w:rFonts w:ascii="Amiri" w:hAnsi="Amiri" w:eastAsia="Amiri" w:cs="Amiri"/>
          <w:color w:val="111111"/>
          <w:sz w:val="28"/>
          <w:sz w:val="28"/>
          <w:szCs w:val="28"/>
          <w:rtl w:val="true"/>
          <w:lang w:bidi="ar-SA"/>
        </w:rPr>
        <w:t>والحق وجود الاطّراد في كل المجازات كالحقائق، بناء على المختار من اشتراط وحدة الصنف في العلائق، كما هو لازم من يقول بنقل الآحاد أيضاً، فلا يكون شيء منهما علامة، إما الاطراد فلأعميّته، وإما عدمه فلعدم وجوده</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استدلالنا بهما في بعض الموارد؛ فلكشفهما عن التبادر الغالبي وعدمه، لا </w:t>
      </w:r>
      <w:bookmarkStart w:id="106" w:name="pg9015_97467"/>
    </w:p>
    <w:p>
      <w:pPr>
        <w:pStyle w:val="BookText"/>
        <w:rPr/>
      </w:pPr>
      <w:bookmarkEnd w:id="106"/>
      <w:r>
        <w:rPr>
          <w:rFonts w:ascii="Amiri" w:hAnsi="Amiri" w:eastAsia="Amiri" w:cs="Amiri"/>
          <w:color w:val="111111"/>
          <w:sz w:val="28"/>
          <w:sz w:val="28"/>
          <w:szCs w:val="28"/>
          <w:rtl w:val="true"/>
          <w:lang w:bidi="ar-SA"/>
        </w:rPr>
        <w:t xml:space="preserve">للاعتماد عليهما أنفسهما </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2001377_2870459653"/>
      <w:bookmarkStart w:id="108" w:name="_Toc38"/>
      <w:bookmarkEnd w:id="107"/>
      <w:r>
        <w:rPr>
          <w:rtl w:val="true"/>
        </w:rPr>
        <w:t xml:space="preserve">أصل </w:t>
      </w:r>
      <w:r>
        <w:rPr>
          <w:rtl w:val="true"/>
        </w:rPr>
        <w:t>[</w:t>
      </w:r>
      <w:r>
        <w:rPr>
          <w:rtl w:val="true"/>
        </w:rPr>
        <w:t>في أصالة الاستعمال</w:t>
      </w:r>
      <w:r>
        <w:rPr>
          <w:rtl w:val="true"/>
        </w:rPr>
        <w:t>]</w:t>
      </w:r>
      <w:bookmarkEnd w:id="108"/>
    </w:p>
    <w:p>
      <w:pPr>
        <w:pStyle w:val="Heading3"/>
        <w:numPr>
          <w:ilvl w:val="2"/>
          <w:numId w:val="1"/>
        </w:numPr>
        <w:rPr/>
      </w:pPr>
      <w:bookmarkStart w:id="109" w:name="__RefHeading___Toc2001379_2870459653"/>
      <w:bookmarkStart w:id="110" w:name="_Toc39"/>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هل الأصل في الاستعمال المجاز كما عن ابن جني</w:t>
      </w:r>
      <w:r>
        <w:rPr>
          <w:rStyle w:val="FootnoteAnchor"/>
          <w:rtl w:val="true"/>
        </w:rPr>
        <w:footnoteReference w:id="333"/>
      </w:r>
      <w:r>
        <w:rPr>
          <w:rFonts w:ascii="Amiri" w:hAnsi="Amiri" w:eastAsia="Amiri" w:cs="Amiri"/>
          <w:color w:val="111111"/>
          <w:sz w:val="28"/>
          <w:sz w:val="28"/>
          <w:szCs w:val="28"/>
          <w:rtl w:val="true"/>
          <w:lang w:bidi="ar-SA"/>
        </w:rPr>
        <w:t>، أم الحقيقة</w:t>
      </w:r>
      <w:r>
        <w:rPr>
          <w:rStyle w:val="FootnoteAnchor"/>
          <w:rtl w:val="true"/>
        </w:rPr>
        <w:footnoteReference w:id="334"/>
      </w:r>
      <w:r>
        <w:rPr>
          <w:rFonts w:ascii="Amiri" w:hAnsi="Amiri" w:eastAsia="Amiri" w:cs="Amiri"/>
          <w:color w:val="111111"/>
          <w:sz w:val="28"/>
          <w:sz w:val="28"/>
          <w:szCs w:val="28"/>
          <w:rtl w:val="true"/>
          <w:lang w:bidi="ar-SA"/>
        </w:rPr>
        <w:t>كما عن المرتضى</w:t>
      </w:r>
      <w:r>
        <w:rPr>
          <w:rStyle w:val="FootnoteAnchor"/>
          <w:rtl w:val="true"/>
        </w:rPr>
        <w:footnoteReference w:id="335"/>
      </w:r>
      <w:r>
        <w:rPr>
          <w:rFonts w:ascii="Amiri" w:hAnsi="Amiri" w:eastAsia="Amiri" w:cs="Amiri"/>
          <w:color w:val="111111"/>
          <w:sz w:val="28"/>
          <w:sz w:val="28"/>
          <w:szCs w:val="28"/>
          <w:rtl w:val="true"/>
          <w:lang w:bidi="ar-SA"/>
        </w:rPr>
        <w:t>، أم الحقيقة مع وحدة المستعمل فيه</w:t>
      </w:r>
      <w:r>
        <w:rPr>
          <w:rStyle w:val="FootnoteAnchor"/>
          <w:rtl w:val="true"/>
        </w:rPr>
        <w:footnoteReference w:id="336"/>
      </w:r>
      <w:r>
        <w:rPr>
          <w:rFonts w:ascii="IRNazanin" w:hAnsi="IRNazanin" w:eastAsia="IRNazanin"/>
          <w:color w:val="111111"/>
          <w:sz w:val="28"/>
          <w:sz w:val="28"/>
          <w:szCs w:val="28"/>
          <w:rtl w:val="true"/>
          <w:lang w:bidi="fa-IR"/>
        </w:rPr>
        <w:t>، والوقف</w:t>
      </w:r>
      <w:r>
        <w:rPr>
          <w:rStyle w:val="FootnoteAnchor"/>
          <w:rtl w:val="true"/>
        </w:rPr>
        <w:footnoteReference w:id="337"/>
      </w:r>
      <w:r>
        <w:rPr>
          <w:rFonts w:ascii="Amiri" w:hAnsi="Amiri" w:eastAsia="Amiri" w:cs="Amiri"/>
          <w:color w:val="111111"/>
          <w:sz w:val="28"/>
          <w:sz w:val="28"/>
          <w:szCs w:val="28"/>
          <w:rtl w:val="true"/>
          <w:lang w:bidi="ar-SA"/>
        </w:rPr>
        <w:t>مع تعدده كما عن المشهور</w:t>
      </w:r>
      <w:r>
        <w:rPr>
          <w:rStyle w:val="FootnoteAnchor"/>
          <w:rtl w:val="true"/>
        </w:rPr>
        <w:footnoteReference w:id="338"/>
      </w:r>
      <w:r>
        <w:rPr>
          <w:rFonts w:ascii="IRNazanin" w:hAnsi="IRNazanin" w:eastAsia="IRNazanin"/>
          <w:color w:val="111111"/>
          <w:sz w:val="28"/>
          <w:sz w:val="28"/>
          <w:szCs w:val="28"/>
          <w:rtl w:val="true"/>
          <w:lang w:bidi="fa-IR"/>
        </w:rPr>
        <w:t xml:space="preserve">، وجوه </w:t>
      </w:r>
      <w:r>
        <w:rPr>
          <w:rStyle w:val="FootnoteAnchor"/>
          <w:rtl w:val="true"/>
        </w:rPr>
        <w:footnoteReference w:id="339"/>
      </w:r>
      <w:r>
        <w:rPr>
          <w:rFonts w:ascii="Amiri" w:hAnsi="Amiri" w:eastAsia="Amiri" w:cs="Amiri"/>
          <w:color w:val="111111"/>
          <w:sz w:val="28"/>
          <w:sz w:val="28"/>
          <w:szCs w:val="28"/>
          <w:rtl w:val="true"/>
          <w:lang w:bidi="ar-SA"/>
        </w:rPr>
        <w:t>، ونسبة الوقف مطلقاً إلى المشهور</w:t>
      </w:r>
      <w:r>
        <w:rPr>
          <w:rStyle w:val="FootnoteAnchor"/>
          <w:rtl w:val="true"/>
        </w:rPr>
        <w:footnoteReference w:id="340"/>
      </w:r>
      <w:r>
        <w:rPr>
          <w:rFonts w:ascii="IRNazanin" w:hAnsi="IRNazanin" w:eastAsia="IRNazanin"/>
          <w:color w:val="111111"/>
          <w:sz w:val="28"/>
          <w:sz w:val="28"/>
          <w:szCs w:val="28"/>
          <w:rtl w:val="true"/>
          <w:lang w:bidi="fa-IR"/>
        </w:rPr>
        <w:t xml:space="preserve">سهو </w:t>
      </w:r>
      <w:r>
        <w:rPr>
          <w:rFonts w:eastAsia="IRNazanin" w:cs="IRNazanin"/>
          <w:color w:val="111111"/>
          <w:sz w:val="28"/>
          <w:szCs w:val="28"/>
          <w:rtl w:val="true"/>
          <w:lang w:bidi="fa-IR"/>
        </w:rPr>
        <w:t>.</w:t>
      </w:r>
    </w:p>
    <w:p>
      <w:pPr>
        <w:pStyle w:val="Heading3"/>
        <w:numPr>
          <w:ilvl w:val="2"/>
          <w:numId w:val="1"/>
        </w:numPr>
        <w:rPr/>
      </w:pPr>
      <w:bookmarkStart w:id="111" w:name="__RefHeading___Toc2001381_2870459653"/>
      <w:bookmarkStart w:id="112" w:name="_Toc40"/>
      <w:bookmarkEnd w:id="111"/>
      <w:r>
        <w:rPr>
          <w:rtl w:val="true"/>
        </w:rPr>
        <w:t>[</w:t>
      </w:r>
      <w:r>
        <w:rPr>
          <w:rtl w:val="true"/>
        </w:rPr>
        <w:t>المختار في المسألة</w:t>
      </w:r>
      <w:r>
        <w:rPr>
          <w:rtl w:val="true"/>
        </w:rPr>
        <w:t>]</w:t>
      </w:r>
      <w:bookmarkEnd w:id="112"/>
    </w:p>
    <w:p>
      <w:pPr>
        <w:pStyle w:val="BookText"/>
        <w:rPr/>
      </w:pPr>
      <w:r>
        <w:rPr>
          <w:rFonts w:ascii="Amiri" w:hAnsi="Amiri" w:eastAsia="Amiri" w:cs="Amiri"/>
          <w:color w:val="111111"/>
          <w:sz w:val="28"/>
          <w:sz w:val="28"/>
          <w:szCs w:val="28"/>
          <w:rtl w:val="true"/>
          <w:lang w:bidi="ar-SA"/>
        </w:rPr>
        <w:t>والحق في المتحد الحقيقة؛ للاتفاق، ولا يضر مخالفة ابن جنّي، ولإطباق أهل العرف عليه، وللاستقراء</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شككنا في وحدة المستعمل فيه وتعدده، نفينا الزائد بالأصل، واستدلال ابن جنّي بأن أكثر اللغات</w:t>
      </w:r>
      <w:r>
        <w:rPr>
          <w:rStyle w:val="FootnoteAnchor"/>
          <w:rtl w:val="true"/>
        </w:rPr>
        <w:footnoteReference w:id="342"/>
      </w:r>
      <w:r>
        <w:rPr>
          <w:rFonts w:ascii="IRNazanin" w:hAnsi="IRNazanin" w:eastAsia="IRNazanin"/>
          <w:color w:val="111111"/>
          <w:sz w:val="28"/>
          <w:sz w:val="28"/>
          <w:szCs w:val="28"/>
          <w:rtl w:val="true"/>
          <w:lang w:bidi="fa-IR"/>
        </w:rPr>
        <w:t xml:space="preserve">مجازات </w:t>
      </w:r>
      <w:r>
        <w:rPr>
          <w:rStyle w:val="FootnoteAnchor"/>
          <w:rtl w:val="true"/>
        </w:rPr>
        <w:footnoteReference w:id="343"/>
      </w:r>
      <w:r>
        <w:rPr>
          <w:rFonts w:ascii="Amiri" w:hAnsi="Amiri" w:eastAsia="Amiri" w:cs="Amiri"/>
          <w:color w:val="111111"/>
          <w:sz w:val="28"/>
          <w:sz w:val="28"/>
          <w:szCs w:val="28"/>
          <w:rtl w:val="true"/>
          <w:lang w:bidi="ar-SA"/>
        </w:rPr>
        <w:t xml:space="preserve">ليس في محله إن أراد أكثر الاستعمالات، وإن </w:t>
      </w:r>
    </w:p>
    <w:p>
      <w:pPr>
        <w:pStyle w:val="BookText"/>
        <w:rPr/>
      </w:pPr>
      <w:r>
        <w:rPr>
          <w:rFonts w:ascii="Amiri" w:hAnsi="Amiri" w:eastAsia="Amiri" w:cs="Amiri"/>
          <w:color w:val="111111"/>
          <w:sz w:val="28"/>
          <w:sz w:val="28"/>
          <w:szCs w:val="28"/>
          <w:rtl w:val="true"/>
          <w:lang w:bidi="ar-SA"/>
        </w:rPr>
        <w:t>أراد أكثر المفاهيم فهو مسلم في غير متحد المعنى</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وأمّا في المتعدد فبين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لا يكون مناسبة ولا جامع قريب، فحكمه الحقيقة ،فيهما، خلافاً لابن جنّي، وفاقاً للمشهور، وقد مر بطلان دليل ابن جني، واحتمال معنى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 بالأصل المقدم هنا على أصالة عدم الاشتراك لبناء العرف، فتعين الاشتراك اللفظي</w:t>
      </w:r>
    </w:p>
    <w:p>
      <w:pPr>
        <w:pStyle w:val="BookText"/>
        <w:rPr/>
      </w:pPr>
      <w:r>
        <w:rPr>
          <w:rFonts w:ascii="Amiri" w:hAnsi="Amiri" w:eastAsia="Amiri" w:cs="Amiri"/>
          <w:color w:val="111111"/>
          <w:sz w:val="28"/>
          <w:sz w:val="28"/>
          <w:szCs w:val="28"/>
          <w:rtl w:val="true"/>
          <w:lang w:bidi="ar-SA"/>
        </w:rPr>
        <w:t>وإما بينهما المناسبة دون الجامع القريب، فابن جنّي على المجاز، والمرتضى على الاشتراك اللفظي</w:t>
      </w:r>
      <w:r>
        <w:rPr>
          <w:rStyle w:val="FootnoteAnchor"/>
          <w:rtl w:val="true"/>
        </w:rPr>
        <w:footnoteReference w:id="345"/>
      </w:r>
      <w:r>
        <w:rPr>
          <w:rFonts w:ascii="Amiri" w:hAnsi="Amiri" w:eastAsia="Amiri" w:cs="Amiri"/>
          <w:color w:val="111111"/>
          <w:sz w:val="28"/>
          <w:sz w:val="28"/>
          <w:szCs w:val="28"/>
          <w:rtl w:val="true"/>
          <w:lang w:bidi="ar-SA"/>
        </w:rPr>
        <w:t>، والمشهور ان احدهما حقيقة والآخر مجاز ، ولا يحتمل الاشتراك المعنوي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الاشتراك اللفظي إن علمنا بعدم ملاحظة المتكلم المناسبة في شيء من المعنيين والحقيقة والمجاز إن علمنا بالملاحظة في أحدهما دون الآخر، وإن علمنا بالملاحظة فيهما احتمل كونهما مجازين بلا حقيقة وينفيه الندرة، والاشتراك اللفظي باستعمال كل من المعنيين في الآخر بالمناسبة، فيكون كل واحد حقيقة بنفسه مجازاً بالنسبة إلى الآخر ، وكون احدهما حقيقة 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ملاحظة المناسبة فيه من باب المقارنة الاتفاقية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مجازاً صرفاً، و</w:t>
      </w:r>
      <w:r>
        <w:rPr>
          <w:rStyle w:val="FootnoteAnchor"/>
          <w:rtl w:val="true"/>
        </w:rPr>
        <w:footnoteReference w:id="346"/>
      </w:r>
      <w:r>
        <w:rPr>
          <w:rFonts w:ascii="Amiri" w:hAnsi="Amiri" w:eastAsia="Amiri" w:cs="Amiri"/>
          <w:color w:val="111111"/>
          <w:sz w:val="28"/>
          <w:sz w:val="28"/>
          <w:szCs w:val="28"/>
          <w:rtl w:val="true"/>
          <w:lang w:bidi="ar-SA"/>
        </w:rPr>
        <w:t>ينفيه القلّة، فتعين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صور ثلاث أخر تظهر مع حكمها بتأمل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بينهما الجامع القريب دون المناسبة، فالسيد على الاشتراك، وابن جنّي على المجاز فيهما، والمشهور على الاشتراك المعنوي، ولا يتصور الحقيقة والمجاز حينئذ</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بينهما الجامع والمناسبة، فابن جنّي على المجاز فيهما، والسيد على الاشتراك </w:t>
      </w:r>
    </w:p>
    <w:p>
      <w:pPr>
        <w:pStyle w:val="BookText"/>
        <w:rPr/>
      </w:pPr>
      <w:r>
        <w:rPr>
          <w:rFonts w:ascii="Amiri" w:hAnsi="Amiri" w:eastAsia="Amiri" w:cs="Amiri"/>
          <w:color w:val="111111"/>
          <w:sz w:val="28"/>
          <w:sz w:val="28"/>
          <w:szCs w:val="28"/>
          <w:rtl w:val="true"/>
          <w:lang w:bidi="ar-SA"/>
        </w:rPr>
        <w:t>اللفظي، ويحتمل الاشتراك المعنوي، ولعلّه مذهب المحققين، والحقيقة والمجاز كما يظهر من صاحب المعالم</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والحق أن المتصور هنا وفي سابقه أيضاً تسع عشرة صورة، تظهر أحكامها بتدبر قليل</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w:t>
      </w:r>
      <w:r>
        <w:rPr>
          <w:rStyle w:val="FootnoteAnchor"/>
          <w:rtl w:val="true"/>
        </w:rPr>
        <w:footnoteReference w:id="350"/>
      </w:r>
      <w:r>
        <w:rPr>
          <w:rFonts w:ascii="Amiri" w:hAnsi="Amiri" w:eastAsia="Amiri" w:cs="Amiri"/>
          <w:color w:val="111111"/>
          <w:sz w:val="28"/>
          <w:sz w:val="28"/>
          <w:szCs w:val="28"/>
          <w:rtl w:val="true"/>
          <w:lang w:bidi="ar-SA"/>
        </w:rPr>
        <w:t>استعمل اللفظ في معنيين أحدهما فرد للآخر، كالشمس لو أطلقت على الكوكب المخصوص وعلى مطلق الكوكب</w:t>
      </w:r>
      <w:r>
        <w:rPr>
          <w:rStyle w:val="FootnoteAnchor"/>
          <w:rtl w:val="true"/>
        </w:rPr>
        <w:footnoteReference w:id="351"/>
      </w:r>
      <w:r>
        <w:rPr>
          <w:rFonts w:ascii="Amiri" w:hAnsi="Amiri" w:eastAsia="Amiri" w:cs="Amiri"/>
          <w:color w:val="111111"/>
          <w:sz w:val="28"/>
          <w:sz w:val="28"/>
          <w:szCs w:val="28"/>
          <w:rtl w:val="true"/>
          <w:lang w:bidi="ar-SA"/>
        </w:rPr>
        <w:t xml:space="preserve">النهاري، فالمتصور فيه خمس عشرة صورة، تتضح بالتأمل فيما سبق </w:t>
      </w:r>
      <w:r>
        <w:rPr>
          <w:rFonts w:eastAsia="Amiri" w:cs="Amiri" w:ascii="Amiri" w:hAnsi="Amiri"/>
          <w:color w:val="111111"/>
          <w:sz w:val="28"/>
          <w:szCs w:val="28"/>
          <w:rtl w:val="true"/>
          <w:lang w:bidi="ar-SA"/>
        </w:rPr>
        <w:t>.</w:t>
      </w:r>
      <w:r>
        <w:rPr>
          <w:rStyle w:val="FootnoteAnchor"/>
          <w:rtl w:val="true"/>
        </w:rPr>
        <w:footnoteReference w:id="352"/>
      </w:r>
      <w:bookmarkStart w:id="113" w:name="pg9015_97470"/>
    </w:p>
    <w:p>
      <w:pPr>
        <w:pStyle w:val="Heading2"/>
        <w:numPr>
          <w:ilvl w:val="1"/>
          <w:numId w:val="1"/>
        </w:numPr>
        <w:rPr/>
      </w:pPr>
      <w:bookmarkStart w:id="114" w:name="__RefHeading___Toc2001383_2870459653"/>
      <w:bookmarkStart w:id="115" w:name="_Toc41"/>
      <w:bookmarkEnd w:id="113"/>
      <w:bookmarkEnd w:id="114"/>
      <w:r>
        <w:rPr>
          <w:rtl w:val="true"/>
        </w:rPr>
        <w:t xml:space="preserve">أصل </w:t>
      </w:r>
      <w:r>
        <w:rPr>
          <w:rtl w:val="true"/>
        </w:rPr>
        <w:t>[</w:t>
      </w:r>
      <w:r>
        <w:rPr>
          <w:rtl w:val="true"/>
        </w:rPr>
        <w:t>في سائر العلائم</w:t>
      </w:r>
      <w:r>
        <w:rPr>
          <w:rtl w:val="true"/>
        </w:rPr>
        <w:t>]</w:t>
      </w:r>
      <w:bookmarkEnd w:id="11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العلائم التقسيم </w:t>
      </w:r>
      <w:r>
        <w:rPr>
          <w:rStyle w:val="FootnoteAnchor"/>
          <w:rtl w:val="true"/>
        </w:rPr>
        <w:footnoteReference w:id="353"/>
      </w:r>
      <w:r>
        <w:rPr>
          <w:rFonts w:ascii="Amiri" w:hAnsi="Amiri" w:eastAsia="Amiri" w:cs="Amiri"/>
          <w:color w:val="111111"/>
          <w:sz w:val="28"/>
          <w:sz w:val="28"/>
          <w:szCs w:val="28"/>
          <w:rtl w:val="true"/>
          <w:lang w:bidi="ar-SA"/>
        </w:rPr>
        <w:t>، وعدم التزام التقييد</w:t>
      </w:r>
      <w:r>
        <w:rPr>
          <w:rStyle w:val="FootnoteAnchor"/>
          <w:rtl w:val="true"/>
        </w:rPr>
        <w:footnoteReference w:id="354"/>
      </w:r>
      <w:r>
        <w:rPr>
          <w:rFonts w:ascii="IRNazanin" w:hAnsi="IRNazanin" w:eastAsia="IRNazanin"/>
          <w:color w:val="111111"/>
          <w:sz w:val="28"/>
          <w:sz w:val="28"/>
          <w:szCs w:val="28"/>
          <w:rtl w:val="true"/>
          <w:lang w:bidi="fa-IR"/>
        </w:rPr>
        <w:t>، واختلاف الجمع</w:t>
      </w:r>
      <w:r>
        <w:rPr>
          <w:rStyle w:val="FootnoteAnchor"/>
          <w:rtl w:val="true"/>
        </w:rPr>
        <w:footnoteReference w:id="355"/>
      </w:r>
      <w:r>
        <w:rPr>
          <w:rStyle w:val="FootnoteAnchor"/>
          <w:rtl w:val="true"/>
        </w:rPr>
        <w:footnoteReference w:id="356"/>
      </w:r>
      <w:r>
        <w:rPr>
          <w:rFonts w:ascii="IRNazanin" w:hAnsi="IRNazanin" w:eastAsia="IRNazanin"/>
          <w:color w:val="111111"/>
          <w:sz w:val="28"/>
          <w:sz w:val="28"/>
          <w:szCs w:val="28"/>
          <w:rtl w:val="true"/>
          <w:lang w:bidi="fa-IR"/>
        </w:rPr>
        <w:t>، وعدم الاشتقاق</w:t>
      </w:r>
      <w:r>
        <w:rPr>
          <w:rStyle w:val="FootnoteAnchor"/>
          <w:rtl w:val="true"/>
        </w:rPr>
        <w:footnoteReference w:id="357"/>
      </w:r>
      <w:r>
        <w:rPr>
          <w:rFonts w:ascii="Amiri" w:hAnsi="Amiri" w:eastAsia="Amiri" w:cs="Amiri"/>
          <w:color w:val="111111"/>
          <w:sz w:val="28"/>
          <w:sz w:val="28"/>
          <w:szCs w:val="28"/>
          <w:rtl w:val="true"/>
          <w:lang w:bidi="ar-SA"/>
        </w:rPr>
        <w:t xml:space="preserve">، والمناقضة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المنافرة</w:t>
      </w:r>
      <w:r>
        <w:rPr>
          <w:rStyle w:val="FootnoteAnchor"/>
          <w:rtl w:val="true"/>
        </w:rPr>
        <w:footnoteReference w:id="358"/>
      </w:r>
      <w:r>
        <w:rPr>
          <w:rFonts w:ascii="IRNazanin" w:hAnsi="IRNazanin" w:eastAsia="IRNazanin"/>
          <w:color w:val="111111"/>
          <w:sz w:val="28"/>
          <w:sz w:val="28"/>
          <w:szCs w:val="28"/>
          <w:rtl w:val="true"/>
          <w:lang w:bidi="fa-IR"/>
        </w:rPr>
        <w:t>، والاستصحاب</w:t>
      </w:r>
      <w:r>
        <w:rPr>
          <w:rStyle w:val="FootnoteAnchor"/>
          <w:rtl w:val="true"/>
        </w:rPr>
        <w:footnoteReference w:id="359"/>
      </w:r>
      <w:r>
        <w:rPr>
          <w:rFonts w:ascii="IRNazanin" w:hAnsi="IRNazanin" w:eastAsia="IRNazanin"/>
          <w:color w:val="111111"/>
          <w:sz w:val="28"/>
          <w:sz w:val="28"/>
          <w:szCs w:val="28"/>
          <w:rtl w:val="true"/>
          <w:lang w:bidi="fa-IR"/>
        </w:rPr>
        <w:t>،والاستقراء</w:t>
      </w:r>
      <w:r>
        <w:rPr>
          <w:rStyle w:val="FootnoteAnchor"/>
          <w:rtl w:val="true"/>
        </w:rPr>
        <w:footnoteReference w:id="360"/>
      </w:r>
      <w:r>
        <w:rPr>
          <w:rFonts w:ascii="Amiri" w:hAnsi="Amiri" w:eastAsia="Amiri" w:cs="Amiri"/>
          <w:color w:val="111111"/>
          <w:sz w:val="28"/>
          <w:sz w:val="28"/>
          <w:szCs w:val="28"/>
          <w:rtl w:val="true"/>
          <w:lang w:bidi="ar-SA"/>
        </w:rPr>
        <w:t>، والقياس</w:t>
      </w:r>
      <w:r>
        <w:rPr>
          <w:rStyle w:val="FootnoteAnchor"/>
          <w:rtl w:val="true"/>
        </w:rPr>
        <w:footnoteReference w:id="361"/>
      </w:r>
      <w:r>
        <w:rPr>
          <w:rFonts w:ascii="Amiri" w:hAnsi="Amiri" w:eastAsia="Amiri" w:cs="Amiri"/>
          <w:color w:val="111111"/>
          <w:sz w:val="28"/>
          <w:sz w:val="28"/>
          <w:szCs w:val="28"/>
          <w:rtl w:val="true"/>
          <w:lang w:bidi="ar-SA"/>
        </w:rPr>
        <w:t>، وفي جملة منها نظر</w:t>
      </w:r>
      <w:r>
        <w:rPr>
          <w:rFonts w:eastAsia="Amiri" w:cs="Amiri" w:ascii="Amiri" w:hAnsi="Amiri"/>
          <w:color w:val="111111"/>
          <w:sz w:val="28"/>
          <w:szCs w:val="28"/>
          <w:rtl w:val="true"/>
          <w:lang w:bidi="ar-SA"/>
        </w:rPr>
        <w:t>.</w:t>
      </w:r>
      <w:r>
        <w:rPr>
          <w:rStyle w:val="FootnoteAnchor"/>
          <w:rtl w:val="true"/>
        </w:rPr>
        <w:footnoteReference w:id="362"/>
      </w:r>
      <w:bookmarkStart w:id="116" w:name="pg9015_97471"/>
    </w:p>
    <w:p>
      <w:pPr>
        <w:pStyle w:val="Heading2"/>
        <w:numPr>
          <w:ilvl w:val="1"/>
          <w:numId w:val="1"/>
        </w:numPr>
        <w:rPr/>
      </w:pPr>
      <w:bookmarkStart w:id="117" w:name="__RefHeading___Toc2001385_2870459653"/>
      <w:bookmarkStart w:id="118" w:name="_Toc42"/>
      <w:bookmarkEnd w:id="116"/>
      <w:bookmarkEnd w:id="117"/>
      <w:r>
        <w:rPr>
          <w:rtl w:val="true"/>
        </w:rPr>
        <w:t xml:space="preserve">أصل </w:t>
      </w:r>
      <w:r>
        <w:rPr>
          <w:rtl w:val="true"/>
        </w:rPr>
        <w:t>[</w:t>
      </w:r>
      <w:r>
        <w:rPr>
          <w:rtl w:val="true"/>
        </w:rPr>
        <w:t>في المشترك واستعمالاته</w:t>
      </w:r>
      <w:r>
        <w:rPr>
          <w:rtl w:val="true"/>
        </w:rPr>
        <w:t>]</w:t>
      </w:r>
      <w:bookmarkEnd w:id="118"/>
    </w:p>
    <w:p>
      <w:pPr>
        <w:pStyle w:val="Heading3"/>
        <w:numPr>
          <w:ilvl w:val="2"/>
          <w:numId w:val="1"/>
        </w:numPr>
        <w:rPr/>
      </w:pPr>
      <w:bookmarkStart w:id="119" w:name="__RefHeading___Toc2001387_2870459653"/>
      <w:bookmarkStart w:id="120" w:name="_Toc43"/>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اللفظ موضوعاً بوضعين فصاعداً، لمعنيين فصاعداً، تعييناً أم تعيّناً</w:t>
      </w:r>
      <w:r>
        <w:rPr>
          <w:rFonts w:eastAsia="Amiri" w:cs="Amiri" w:ascii="Amiri" w:hAnsi="Amiri"/>
          <w:color w:val="111111"/>
          <w:sz w:val="28"/>
          <w:szCs w:val="28"/>
          <w:rtl w:val="true"/>
          <w:lang w:bidi="ar-SA"/>
        </w:rPr>
        <w:t>.</w:t>
      </w:r>
      <w:r>
        <w:rPr>
          <w:rStyle w:val="FootnoteAnchor"/>
          <w:rtl w:val="true"/>
        </w:rPr>
        <w:footnoteReference w:id="363"/>
      </w:r>
    </w:p>
    <w:p>
      <w:pPr>
        <w:pStyle w:val="Heading3"/>
        <w:numPr>
          <w:ilvl w:val="2"/>
          <w:numId w:val="1"/>
        </w:numPr>
        <w:rPr/>
      </w:pPr>
      <w:bookmarkStart w:id="121" w:name="__RefHeading___Toc2001389_2870459653"/>
      <w:bookmarkStart w:id="122" w:name="_Toc44"/>
      <w:bookmarkEnd w:id="121"/>
      <w:r>
        <w:rPr>
          <w:rtl w:val="true"/>
        </w:rPr>
        <w:t>[</w:t>
      </w:r>
      <w:r>
        <w:rPr>
          <w:rtl w:val="true"/>
        </w:rPr>
        <w:t>المختار في المسألة</w:t>
      </w:r>
      <w:r>
        <w:rPr>
          <w:rtl w:val="true"/>
        </w:rPr>
        <w:t>]</w:t>
      </w:r>
      <w:bookmarkEnd w:id="122"/>
    </w:p>
    <w:p>
      <w:pPr>
        <w:pStyle w:val="BookText"/>
        <w:rPr/>
      </w:pPr>
      <w:r>
        <w:rPr>
          <w:rFonts w:ascii="Amiri" w:hAnsi="Amiri" w:eastAsia="Amiri" w:cs="Amiri"/>
          <w:color w:val="111111"/>
          <w:sz w:val="28"/>
          <w:sz w:val="28"/>
          <w:szCs w:val="28"/>
          <w:rtl w:val="true"/>
          <w:lang w:bidi="ar-SA"/>
        </w:rPr>
        <w:t>والحق إمكانه</w:t>
      </w:r>
      <w:r>
        <w:rPr>
          <w:rStyle w:val="FootnoteAnchor"/>
          <w:rtl w:val="true"/>
        </w:rPr>
        <w:footnoteReference w:id="364"/>
      </w:r>
      <w:r>
        <w:rPr>
          <w:rFonts w:ascii="Amiri" w:hAnsi="Amiri" w:eastAsia="Amiri" w:cs="Amiri"/>
          <w:color w:val="111111"/>
          <w:sz w:val="28"/>
          <w:sz w:val="28"/>
          <w:szCs w:val="28"/>
          <w:rtl w:val="true"/>
          <w:lang w:bidi="ar-SA"/>
        </w:rPr>
        <w:t xml:space="preserve">، لا لأن رجحان طرف العدم أمر زائد منفي بالأصل </w:t>
      </w:r>
      <w:r>
        <w:rPr>
          <w:rStyle w:val="FootnoteAnchor"/>
          <w:rtl w:val="true"/>
        </w:rPr>
        <w:footnoteReference w:id="365"/>
      </w:r>
      <w:r>
        <w:rPr>
          <w:rFonts w:ascii="Amiri" w:hAnsi="Amiri" w:eastAsia="Amiri" w:cs="Amiri"/>
          <w:color w:val="111111"/>
          <w:sz w:val="28"/>
          <w:sz w:val="28"/>
          <w:szCs w:val="28"/>
          <w:rtl w:val="true"/>
          <w:lang w:bidi="ar-SA"/>
        </w:rPr>
        <w:t>، ولا لأن المشترك</w:t>
      </w:r>
      <w:r>
        <w:rPr>
          <w:rStyle w:val="FootnoteAnchor"/>
          <w:rtl w:val="true"/>
        </w:rPr>
        <w:footnoteReference w:id="366"/>
      </w:r>
      <w:r>
        <w:rPr>
          <w:rFonts w:ascii="Amiri" w:hAnsi="Amiri" w:eastAsia="Amiri" w:cs="Amiri"/>
          <w:color w:val="111111"/>
          <w:sz w:val="28"/>
          <w:sz w:val="28"/>
          <w:szCs w:val="28"/>
          <w:rtl w:val="true"/>
          <w:lang w:bidi="ar-SA"/>
        </w:rPr>
        <w:t>شيء، وكل شيء مخلوق الله تعالى</w:t>
      </w:r>
      <w:r>
        <w:rPr>
          <w:rStyle w:val="FootnoteAnchor"/>
          <w:rtl w:val="true"/>
        </w:rPr>
        <w:footnoteReference w:id="367"/>
      </w:r>
      <w:r>
        <w:rPr>
          <w:rFonts w:ascii="Amiri" w:hAnsi="Amiri" w:eastAsia="Amiri" w:cs="Amiri"/>
          <w:color w:val="111111"/>
          <w:sz w:val="28"/>
          <w:sz w:val="28"/>
          <w:szCs w:val="28"/>
          <w:rtl w:val="true"/>
          <w:lang w:bidi="ar-SA"/>
        </w:rPr>
        <w:t>، بل لقاعدة الإمكان</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وتوهم كون الاشتراك موجباً للإجمال المنافي لغرض الواضع</w:t>
      </w:r>
      <w:r>
        <w:rPr>
          <w:rFonts w:eastAsia="Amiri" w:cs="Amiri" w:ascii="Amiri" w:hAnsi="Amiri"/>
          <w:color w:val="111111"/>
          <w:sz w:val="28"/>
          <w:szCs w:val="28"/>
          <w:rtl w:val="true"/>
          <w:lang w:bidi="ar-SA"/>
        </w:rPr>
        <w:t>.</w:t>
      </w:r>
      <w:r>
        <w:rPr>
          <w:rStyle w:val="FootnoteAnchor"/>
          <w:rtl w:val="true"/>
        </w:rPr>
        <w:footnoteReference w:id="369"/>
      </w:r>
      <w:r>
        <w:rPr>
          <w:rStyle w:val="FootnoteAnchor"/>
          <w:rtl w:val="true"/>
        </w:rPr>
        <w:footnoteReference w:id="37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بوجوه لا تخفى على المتدبر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والحق وقوعه في اللغة</w:t>
      </w:r>
      <w:r>
        <w:rPr>
          <w:rStyle w:val="FootnoteAnchor"/>
          <w:rtl w:val="true"/>
        </w:rPr>
        <w:footnoteReference w:id="371"/>
      </w:r>
      <w:r>
        <w:rPr>
          <w:rFonts w:ascii="IRNazanin" w:hAnsi="IRNazanin" w:eastAsia="IRNazanin"/>
          <w:color w:val="111111"/>
          <w:sz w:val="28"/>
          <w:sz w:val="28"/>
          <w:szCs w:val="28"/>
          <w:rtl w:val="true"/>
          <w:lang w:bidi="fa-IR"/>
        </w:rPr>
        <w:t>، بل</w:t>
      </w:r>
      <w:r>
        <w:rPr>
          <w:rStyle w:val="FootnoteAnchor"/>
          <w:rtl w:val="true"/>
        </w:rPr>
        <w:footnoteReference w:id="372"/>
      </w:r>
      <w:r>
        <w:rPr>
          <w:rFonts w:ascii="Amiri" w:hAnsi="Amiri" w:eastAsia="Amiri" w:cs="Amiri"/>
          <w:color w:val="111111"/>
          <w:sz w:val="28"/>
          <w:sz w:val="28"/>
          <w:szCs w:val="28"/>
          <w:rtl w:val="true"/>
          <w:lang w:bidi="ar-SA"/>
        </w:rPr>
        <w:t>في القرآن الكريم</w:t>
      </w:r>
      <w:r>
        <w:rPr>
          <w:rStyle w:val="FootnoteAnchor"/>
          <w:rtl w:val="true"/>
        </w:rPr>
        <w:footnoteReference w:id="373"/>
      </w:r>
      <w:r>
        <w:rPr>
          <w:rFonts w:ascii="Amiri" w:hAnsi="Amiri" w:eastAsia="Amiri" w:cs="Amiri"/>
          <w:color w:val="111111"/>
          <w:sz w:val="28"/>
          <w:sz w:val="28"/>
          <w:szCs w:val="28"/>
          <w:rtl w:val="true"/>
          <w:lang w:bidi="ar-SA"/>
        </w:rPr>
        <w:t xml:space="preserve">،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عسعس</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ونحوهما مما استعمل في معنيين ليس بينهما مناسبة ولا قدر مشترك، ويتم في اللغة بضميمة أصالة عدم النقل</w:t>
      </w:r>
      <w:r>
        <w:rPr>
          <w:rStyle w:val="FootnoteAnchor"/>
          <w:rtl w:val="true"/>
        </w:rPr>
        <w:footnoteReference w:id="376"/>
      </w:r>
      <w:r>
        <w:rPr>
          <w:rFonts w:ascii="Amiri" w:hAnsi="Amiri" w:eastAsia="Amiri" w:cs="Amiri"/>
          <w:color w:val="111111"/>
          <w:sz w:val="28"/>
          <w:sz w:val="28"/>
          <w:szCs w:val="28"/>
          <w:rtl w:val="true"/>
          <w:lang w:bidi="ar-SA"/>
        </w:rPr>
        <w:t>، مع أن اللفظ المستعمل في اللغة في معنيين ليس بينهما مناسبة ولا جامع قريب</w:t>
      </w:r>
      <w:r>
        <w:rPr>
          <w:rStyle w:val="FootnoteAnchor"/>
          <w:rtl w:val="true"/>
        </w:rPr>
        <w:footnoteReference w:id="377"/>
      </w:r>
      <w:r>
        <w:rPr>
          <w:rFonts w:ascii="Amiri" w:hAnsi="Amiri" w:eastAsia="Amiri" w:cs="Amiri"/>
          <w:color w:val="111111"/>
          <w:sz w:val="28"/>
          <w:sz w:val="28"/>
          <w:szCs w:val="28"/>
          <w:rtl w:val="true"/>
          <w:lang w:bidi="ar-SA"/>
        </w:rPr>
        <w:t>كثير، فتعين الاشتراك اللفظي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المجاز بلا حقيقة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إمكانه ووقوعه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الندرة</w:t>
      </w:r>
      <w:r>
        <w:rPr>
          <w:rFonts w:eastAsia="Amiri" w:cs="Amiri" w:ascii="Amiri" w:hAnsi="Amiri"/>
          <w:color w:val="111111"/>
          <w:sz w:val="28"/>
          <w:szCs w:val="28"/>
          <w:rtl w:val="true"/>
          <w:lang w:bidi="ar-SA"/>
        </w:rPr>
        <w:t>.</w:t>
      </w:r>
      <w:r>
        <w:rPr>
          <w:rStyle w:val="FootnoteAnchor"/>
          <w:rtl w:val="true"/>
        </w:rPr>
        <w:footnoteReference w:id="379"/>
      </w:r>
      <w:bookmarkStart w:id="123" w:name="pg9015_97473"/>
    </w:p>
    <w:p>
      <w:pPr>
        <w:pStyle w:val="Heading3"/>
        <w:numPr>
          <w:ilvl w:val="2"/>
          <w:numId w:val="1"/>
        </w:numPr>
        <w:rPr/>
      </w:pPr>
      <w:bookmarkStart w:id="124" w:name="__RefHeading___Toc2001391_2870459653"/>
      <w:bookmarkStart w:id="125" w:name="_Toc45"/>
      <w:bookmarkEnd w:id="123"/>
      <w:bookmarkEnd w:id="124"/>
      <w:r>
        <w:rPr>
          <w:rtl w:val="true"/>
        </w:rPr>
        <w:t>[</w:t>
      </w:r>
      <w:r>
        <w:rPr>
          <w:rtl w:val="true"/>
        </w:rPr>
        <w:t>استعمال المشترك في أكثر من معنى</w:t>
      </w:r>
      <w:r>
        <w:rPr>
          <w:rtl w:val="true"/>
        </w:rPr>
        <w:t>]</w:t>
      </w:r>
      <w:bookmarkEnd w:id="125"/>
    </w:p>
    <w:p>
      <w:pPr>
        <w:pStyle w:val="BookText"/>
        <w:rPr/>
      </w:pPr>
      <w:r>
        <w:rPr>
          <w:rFonts w:ascii="Amiri" w:hAnsi="Amiri" w:eastAsia="Amiri" w:cs="Amiri"/>
          <w:color w:val="111111"/>
          <w:sz w:val="28"/>
          <w:sz w:val="28"/>
          <w:szCs w:val="28"/>
          <w:rtl w:val="true"/>
          <w:lang w:bidi="ar-SA"/>
        </w:rPr>
        <w:t>واختلفوا في جواز استعماله في أكثر من معنى واحد على أقوال</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 واختاره أبو هاشم وأبو عبد الله البصري وأبو الحسين البصري وفخر الدين الرازي والعلّامة الحلي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اللبيب للعميدي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ثالثها الجواز في غير المفرد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ورابعها الجواز في غير الإثبات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من المجوّزين من جوّزه حقيقة</w:t>
      </w:r>
      <w:r>
        <w:rPr>
          <w:rStyle w:val="FootnoteAnchor"/>
          <w:rtl w:val="true"/>
        </w:rPr>
        <w:footnoteReference w:id="381"/>
      </w:r>
      <w:r>
        <w:rPr>
          <w:rFonts w:ascii="Amiri" w:hAnsi="Amiri" w:eastAsia="Amiri" w:cs="Amiri"/>
          <w:color w:val="111111"/>
          <w:sz w:val="28"/>
          <w:sz w:val="28"/>
          <w:szCs w:val="28"/>
          <w:rtl w:val="true"/>
          <w:lang w:bidi="ar-SA"/>
        </w:rPr>
        <w:t>، ومنهم من جوّزه مجازاً</w:t>
      </w:r>
      <w:r>
        <w:rPr>
          <w:rStyle w:val="FootnoteAnchor"/>
          <w:rtl w:val="true"/>
        </w:rPr>
        <w:footnoteReference w:id="382"/>
      </w:r>
      <w:r>
        <w:rPr>
          <w:rFonts w:ascii="Amiri" w:hAnsi="Amiri" w:eastAsia="Amiri" w:cs="Amiri"/>
          <w:color w:val="111111"/>
          <w:sz w:val="28"/>
          <w:sz w:val="28"/>
          <w:szCs w:val="28"/>
          <w:rtl w:val="true"/>
          <w:lang w:bidi="ar-SA"/>
        </w:rPr>
        <w:t xml:space="preserve">، ومنهم من جعله في المفرد مجازاً وفي غيره حقيقة </w:t>
      </w:r>
      <w:r>
        <w:rPr>
          <w:rStyle w:val="FootnoteAnchor"/>
          <w:rtl w:val="true"/>
        </w:rPr>
        <w:footnoteReference w:id="383"/>
      </w:r>
      <w:r>
        <w:rPr>
          <w:rFonts w:ascii="Amiri" w:hAnsi="Amiri" w:eastAsia="Amiri" w:cs="Amiri"/>
          <w:color w:val="111111"/>
          <w:sz w:val="28"/>
          <w:sz w:val="28"/>
          <w:szCs w:val="28"/>
          <w:rtl w:val="true"/>
          <w:lang w:bidi="ar-SA"/>
        </w:rPr>
        <w:t xml:space="preserve">، ومن المانعين من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اجتهاداً، ومنهم من منعه</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فقاهة </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2001393_2870459653"/>
      <w:bookmarkStart w:id="127" w:name="_Toc46"/>
      <w:bookmarkEnd w:id="126"/>
      <w:r>
        <w:rPr>
          <w:rtl w:val="true"/>
        </w:rPr>
        <w:t>[</w:t>
      </w:r>
      <w:r>
        <w:rPr>
          <w:rtl w:val="true"/>
        </w:rPr>
        <w:t>تحرير محل النزاع</w:t>
      </w:r>
      <w:r>
        <w:rPr>
          <w:rtl w:val="true"/>
        </w:rPr>
        <w:t>]</w:t>
      </w:r>
      <w:bookmarkEnd w:id="12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النزاع إنما هو فيما </w:t>
      </w:r>
      <w:r>
        <w:rPr>
          <w:rStyle w:val="FootnoteAnchor"/>
          <w:rtl w:val="true"/>
        </w:rPr>
        <w:footnoteReference w:id="386"/>
      </w:r>
      <w:r>
        <w:rPr>
          <w:rFonts w:ascii="Amiri" w:hAnsi="Amiri" w:eastAsia="Amiri" w:cs="Amiri"/>
          <w:color w:val="111111"/>
          <w:sz w:val="28"/>
          <w:sz w:val="28"/>
          <w:szCs w:val="28"/>
          <w:rtl w:val="true"/>
          <w:lang w:bidi="ar-SA"/>
        </w:rPr>
        <w:t>أمكن الجمع بين المعنيين، فإن أراد إمكان الجمع</w:t>
      </w:r>
      <w:r>
        <w:rPr>
          <w:rStyle w:val="FootnoteAnchor"/>
          <w:rtl w:val="true"/>
        </w:rPr>
        <w:footnoteReference w:id="387"/>
      </w:r>
      <w:r>
        <w:rPr>
          <w:rFonts w:ascii="Amiri" w:hAnsi="Amiri" w:eastAsia="Amiri" w:cs="Amiri"/>
          <w:color w:val="111111"/>
          <w:sz w:val="28"/>
          <w:sz w:val="28"/>
          <w:szCs w:val="28"/>
          <w:rtl w:val="true"/>
          <w:lang w:bidi="ar-SA"/>
        </w:rPr>
        <w:t xml:space="preserve">في الإرادة ، فلا حاجة إلى هذا القيد؛ لخروج ما لا يمكن فيه ذلك بالفرض </w:t>
      </w:r>
      <w:bookmarkStart w:id="128" w:name="pg9015_97474"/>
    </w:p>
    <w:p>
      <w:pPr>
        <w:pStyle w:val="BookText"/>
        <w:rPr/>
      </w:pPr>
      <w:bookmarkEnd w:id="128"/>
      <w:r>
        <w:rPr>
          <w:rFonts w:ascii="Amiri" w:hAnsi="Amiri" w:eastAsia="Amiri" w:cs="Amiri"/>
          <w:color w:val="111111"/>
          <w:sz w:val="28"/>
          <w:sz w:val="28"/>
          <w:szCs w:val="28"/>
          <w:rtl w:val="true"/>
          <w:lang w:bidi="ar-SA"/>
        </w:rPr>
        <w:t>والبداهة، أو في الامتثال فالقبح العقلي لا ينافي الصحة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استعمال المشترك</w:t>
      </w:r>
      <w:r>
        <w:rPr>
          <w:rStyle w:val="FootnoteAnchor"/>
          <w:rtl w:val="true"/>
        </w:rPr>
        <w:footnoteReference w:id="388"/>
      </w:r>
      <w:r>
        <w:rPr>
          <w:rFonts w:ascii="Amiri" w:hAnsi="Amiri" w:eastAsia="Amiri" w:cs="Amiri"/>
          <w:color w:val="111111"/>
          <w:sz w:val="28"/>
          <w:sz w:val="28"/>
          <w:szCs w:val="28"/>
          <w:rtl w:val="true"/>
          <w:lang w:bidi="ar-SA"/>
        </w:rPr>
        <w:t xml:space="preserve">في أزيد من معنى إن كان في الإطلاقات المتعددة </w:t>
      </w:r>
      <w:r>
        <w:rPr>
          <w:rStyle w:val="FootnoteAnchor"/>
          <w:rtl w:val="true"/>
        </w:rPr>
        <w:footnoteReference w:id="389"/>
      </w:r>
      <w:r>
        <w:rPr>
          <w:rFonts w:ascii="Amiri" w:hAnsi="Amiri" w:eastAsia="Amiri" w:cs="Amiri"/>
          <w:color w:val="111111"/>
          <w:sz w:val="28"/>
          <w:sz w:val="28"/>
          <w:szCs w:val="28"/>
          <w:rtl w:val="true"/>
          <w:lang w:bidi="ar-SA"/>
        </w:rPr>
        <w:t>، أو في إطلاق واحد بطريق العموم المجموعي</w:t>
      </w:r>
      <w:r>
        <w:rPr>
          <w:rStyle w:val="FootnoteAnchor"/>
          <w:rtl w:val="true"/>
        </w:rPr>
        <w:footnoteReference w:id="390"/>
      </w:r>
      <w:r>
        <w:rPr>
          <w:rFonts w:ascii="Amiri" w:hAnsi="Amiri" w:eastAsia="Amiri" w:cs="Amiri"/>
          <w:color w:val="111111"/>
          <w:sz w:val="28"/>
          <w:sz w:val="28"/>
          <w:szCs w:val="28"/>
          <w:rtl w:val="true"/>
          <w:lang w:bidi="ar-SA"/>
        </w:rPr>
        <w:t>، أو المنطقي</w:t>
      </w:r>
      <w:r>
        <w:rPr>
          <w:rStyle w:val="FootnoteAnchor"/>
          <w:rtl w:val="true"/>
        </w:rPr>
        <w:footnoteReference w:id="391"/>
      </w:r>
      <w:r>
        <w:rPr>
          <w:rFonts w:ascii="Amiri" w:hAnsi="Amiri" w:eastAsia="Amiri" w:cs="Amiri"/>
          <w:color w:val="111111"/>
          <w:sz w:val="28"/>
          <w:sz w:val="28"/>
          <w:szCs w:val="28"/>
          <w:rtl w:val="true"/>
          <w:lang w:bidi="ar-SA"/>
        </w:rPr>
        <w:t>، أو الاستغراقي لكن على سبيل التخيير</w:t>
      </w:r>
      <w:r>
        <w:rPr>
          <w:rStyle w:val="FootnoteAnchor"/>
          <w:rtl w:val="true"/>
        </w:rPr>
        <w:footnoteReference w:id="392"/>
      </w:r>
      <w:r>
        <w:rPr>
          <w:rFonts w:ascii="Amiri" w:hAnsi="Amiri" w:eastAsia="Amiri" w:cs="Amiri"/>
          <w:color w:val="111111"/>
          <w:sz w:val="28"/>
          <w:sz w:val="28"/>
          <w:szCs w:val="28"/>
          <w:rtl w:val="true"/>
          <w:lang w:bidi="ar-SA"/>
        </w:rPr>
        <w:t>، فهو خارج عن النزاع، أو الاستغراقي على أن يكون كل معنى مراداً عيناً، ومورداً للنفي والإثبات</w:t>
      </w:r>
      <w:r>
        <w:rPr>
          <w:rStyle w:val="FootnoteAnchor"/>
          <w:rtl w:val="true"/>
        </w:rPr>
        <w:footnoteReference w:id="393"/>
      </w:r>
      <w:r>
        <w:rPr>
          <w:rFonts w:ascii="IRNazanin" w:hAnsi="IRNazanin" w:eastAsia="IRNazanin"/>
          <w:color w:val="111111"/>
          <w:sz w:val="28"/>
          <w:sz w:val="28"/>
          <w:szCs w:val="28"/>
          <w:rtl w:val="true"/>
          <w:lang w:bidi="fa-IR"/>
        </w:rPr>
        <w:t>، فهو محل النزاع</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129" w:name="__RefHeading___Toc2001395_2870459653"/>
      <w:bookmarkStart w:id="130" w:name="_Toc47"/>
      <w:bookmarkEnd w:id="129"/>
      <w:r>
        <w:rPr>
          <w:rtl w:val="true"/>
        </w:rPr>
        <w:t>[</w:t>
      </w:r>
      <w:r>
        <w:rPr>
          <w:rtl w:val="true"/>
        </w:rPr>
        <w:t>بيان كيفية أوضاع المفردات</w:t>
      </w:r>
      <w:r>
        <w:rPr>
          <w:rtl w:val="true"/>
        </w:rPr>
        <w:t>]</w:t>
      </w:r>
      <w:bookmarkEnd w:id="13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كون اللفظ المفرد موضوعاً للمعنى مع الوحدة</w:t>
      </w:r>
      <w:r>
        <w:rPr>
          <w:rStyle w:val="FootnoteAnchor"/>
          <w:rtl w:val="true"/>
        </w:rPr>
        <w:footnoteReference w:id="395"/>
      </w:r>
      <w:r>
        <w:rPr>
          <w:rFonts w:ascii="Amiri" w:hAnsi="Amiri" w:eastAsia="Amiri" w:cs="Amiri"/>
          <w:color w:val="111111"/>
          <w:sz w:val="28"/>
          <w:sz w:val="28"/>
          <w:szCs w:val="28"/>
          <w:rtl w:val="true"/>
          <w:lang w:bidi="ar-SA"/>
        </w:rPr>
        <w:t>، أو للمعنى المقيد بالوحدة</w:t>
      </w:r>
      <w:r>
        <w:rPr>
          <w:rStyle w:val="FootnoteAnchor"/>
          <w:rtl w:val="true"/>
        </w:rPr>
        <w:footnoteReference w:id="396"/>
      </w:r>
      <w:r>
        <w:rPr>
          <w:rFonts w:ascii="Amiri" w:hAnsi="Amiri" w:eastAsia="Amiri" w:cs="Amiri"/>
          <w:color w:val="111111"/>
          <w:sz w:val="28"/>
          <w:sz w:val="28"/>
          <w:szCs w:val="28"/>
          <w:rtl w:val="true"/>
          <w:lang w:bidi="ar-SA"/>
        </w:rPr>
        <w:t>، كما يحتمل تنزيل كلام المعالم على الأخير، أو للمعنى اللابشرط، كما عليه سلطان العلماء</w:t>
      </w:r>
      <w:r>
        <w:rPr>
          <w:rStyle w:val="FootnoteAnchor"/>
          <w:rtl w:val="true"/>
        </w:rPr>
        <w:footnoteReference w:id="397"/>
      </w:r>
      <w:r>
        <w:rPr>
          <w:rFonts w:ascii="Amiri" w:hAnsi="Amiri" w:eastAsia="Amiri" w:cs="Amiri"/>
          <w:color w:val="111111"/>
          <w:sz w:val="28"/>
          <w:sz w:val="28"/>
          <w:szCs w:val="28"/>
          <w:rtl w:val="true"/>
          <w:lang w:bidi="ar-SA"/>
        </w:rPr>
        <w:t xml:space="preserve">، ومعه الأصل الاعتباري إن اعتبر </w:t>
      </w:r>
      <w:r>
        <w:rPr>
          <w:rStyle w:val="FootnoteAnchor"/>
          <w:rtl w:val="true"/>
        </w:rPr>
        <w:footnoteReference w:id="398"/>
      </w:r>
      <w:r>
        <w:rPr>
          <w:rFonts w:ascii="IRNazanin" w:hAnsi="IRNazanin" w:eastAsia="IRNazanin"/>
          <w:color w:val="111111"/>
          <w:sz w:val="28"/>
          <w:sz w:val="28"/>
          <w:szCs w:val="28"/>
          <w:rtl w:val="true"/>
          <w:lang w:bidi="fa-IR"/>
        </w:rPr>
        <w:t xml:space="preserve">، أو للمعنى بشرط الإطلاق، </w:t>
      </w:r>
      <w:bookmarkStart w:id="131" w:name="pg9015_97475"/>
    </w:p>
    <w:p>
      <w:pPr>
        <w:pStyle w:val="BookText"/>
        <w:rPr/>
      </w:pPr>
      <w:bookmarkEnd w:id="131"/>
      <w:r>
        <w:rPr>
          <w:rFonts w:ascii="Amiri" w:hAnsi="Amiri" w:eastAsia="Amiri" w:cs="Amiri"/>
          <w:color w:val="111111"/>
          <w:sz w:val="28"/>
          <w:sz w:val="28"/>
          <w:szCs w:val="28"/>
          <w:rtl w:val="true"/>
          <w:lang w:bidi="ar-SA"/>
        </w:rPr>
        <w:t>كما زعم الفاضل القمّي</w:t>
      </w:r>
      <w:r>
        <w:rPr>
          <w:rStyle w:val="FootnoteAnchor"/>
          <w:rtl w:val="true"/>
        </w:rPr>
        <w:footnoteReference w:id="399"/>
      </w:r>
      <w:r>
        <w:rPr>
          <w:rFonts w:ascii="Amiri" w:hAnsi="Amiri" w:eastAsia="Amiri" w:cs="Amiri"/>
          <w:color w:val="111111"/>
          <w:sz w:val="28"/>
          <w:sz w:val="28"/>
          <w:szCs w:val="28"/>
          <w:rtl w:val="true"/>
          <w:lang w:bidi="ar-SA"/>
        </w:rPr>
        <w:t>انه مذهب السلطان ورده، وليس كما توهم، أو هو موضوع بالوضع الشخصي للمعنى اللابشرط ، و</w:t>
      </w:r>
      <w:r>
        <w:rPr>
          <w:rStyle w:val="FootnoteAnchor"/>
          <w:rtl w:val="true"/>
        </w:rPr>
        <w:footnoteReference w:id="400"/>
      </w:r>
      <w:r>
        <w:rPr>
          <w:rFonts w:ascii="Amiri" w:hAnsi="Amiri" w:eastAsia="Amiri" w:cs="Amiri"/>
          <w:color w:val="111111"/>
          <w:sz w:val="28"/>
          <w:sz w:val="28"/>
          <w:szCs w:val="28"/>
          <w:rtl w:val="true"/>
          <w:lang w:bidi="ar-SA"/>
        </w:rPr>
        <w:t>بالنوعي للمقيد بالوحدة، أو لا بد من الوقف، كما هو مقتضى أصالة التوقيفية، وجوه</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2001397_2870459653"/>
      <w:bookmarkStart w:id="133" w:name="_Toc48"/>
      <w:bookmarkEnd w:id="132"/>
      <w:r>
        <w:rPr>
          <w:rtl w:val="true"/>
        </w:rPr>
        <w:t>[</w:t>
      </w:r>
      <w:r>
        <w:rPr>
          <w:rtl w:val="true"/>
        </w:rPr>
        <w:t>بيان كيفية أوضاع التثنية والجمع وأداة النفي</w:t>
      </w:r>
      <w:r>
        <w:rPr>
          <w:rtl w:val="true"/>
        </w:rPr>
        <w:t>]</w:t>
      </w:r>
      <w:bookmarkEnd w:id="133"/>
    </w:p>
    <w:p>
      <w:pPr>
        <w:pStyle w:val="BookText"/>
        <w:rPr/>
      </w:pPr>
      <w:r>
        <w:rPr>
          <w:rFonts w:ascii="Amiri" w:hAnsi="Amiri" w:eastAsia="Amiri" w:cs="Amiri"/>
          <w:color w:val="111111"/>
          <w:sz w:val="28"/>
          <w:sz w:val="28"/>
          <w:szCs w:val="28"/>
          <w:rtl w:val="true"/>
          <w:lang w:bidi="ar-SA"/>
        </w:rPr>
        <w:t>وأما مثل الجمع، ففي كونه موضوعاً لما كان متفقاً في اللفظ والمعنى</w:t>
      </w:r>
      <w:r>
        <w:rPr>
          <w:rStyle w:val="FootnoteAnchor"/>
          <w:rtl w:val="true"/>
        </w:rPr>
        <w:footnoteReference w:id="401"/>
      </w:r>
      <w:r>
        <w:rPr>
          <w:rFonts w:ascii="IRNazanin" w:hAnsi="IRNazanin" w:eastAsia="IRNazanin"/>
          <w:color w:val="111111"/>
          <w:sz w:val="28"/>
          <w:sz w:val="28"/>
          <w:szCs w:val="28"/>
          <w:rtl w:val="true"/>
          <w:lang w:bidi="fa-IR"/>
        </w:rPr>
        <w:t xml:space="preserve">، أو لمطلق المتعدد المتفق </w:t>
      </w:r>
      <w:r>
        <w:rPr>
          <w:rStyle w:val="FootnoteAnchor"/>
          <w:rtl w:val="true"/>
        </w:rPr>
        <w:footnoteReference w:id="402"/>
      </w:r>
      <w:r>
        <w:rPr>
          <w:rFonts w:ascii="Amiri" w:hAnsi="Amiri" w:eastAsia="Amiri" w:cs="Amiri"/>
          <w:color w:val="111111"/>
          <w:sz w:val="28"/>
          <w:sz w:val="28"/>
          <w:szCs w:val="28"/>
          <w:rtl w:val="true"/>
          <w:lang w:bidi="ar-SA"/>
        </w:rPr>
        <w:t xml:space="preserve">لفظاً </w:t>
      </w:r>
      <w:r>
        <w:rPr>
          <w:rStyle w:val="FootnoteAnchor"/>
          <w:rtl w:val="true"/>
        </w:rPr>
        <w:footnoteReference w:id="403"/>
      </w:r>
      <w:r>
        <w:rPr>
          <w:rFonts w:ascii="Amiri" w:hAnsi="Amiri" w:eastAsia="Amiri" w:cs="Amiri"/>
          <w:color w:val="111111"/>
          <w:sz w:val="28"/>
          <w:sz w:val="28"/>
          <w:szCs w:val="28"/>
          <w:rtl w:val="true"/>
          <w:lang w:bidi="ar-SA"/>
        </w:rPr>
        <w:t>، فيكون مثل زيدين حقيقة، وإن لم يؤوّل بالمسمى، أو لا يشترط الاتفاق لفظاً ولا معنى كالقمرين، فيكون القمران حقيقة باعتبار العلامة ومجازاً باعتبار المادة احتمالات</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أداة </w:t>
      </w:r>
      <w:r>
        <w:rPr>
          <w:rStyle w:val="FootnoteAnchor"/>
          <w:rtl w:val="true"/>
        </w:rPr>
        <w:footnoteReference w:id="405"/>
      </w:r>
      <w:r>
        <w:rPr>
          <w:rFonts w:ascii="Amiri" w:hAnsi="Amiri" w:eastAsia="Amiri" w:cs="Amiri"/>
          <w:color w:val="111111"/>
          <w:sz w:val="28"/>
          <w:sz w:val="28"/>
          <w:szCs w:val="28"/>
          <w:rtl w:val="true"/>
          <w:lang w:bidi="ar-SA"/>
        </w:rPr>
        <w:t>النفي ، ففي كونها لنفي كل الأفراد من ماهيّة واحدة</w:t>
      </w:r>
      <w:r>
        <w:rPr>
          <w:rStyle w:val="FootnoteAnchor"/>
          <w:rtl w:val="true"/>
        </w:rPr>
        <w:footnoteReference w:id="406"/>
      </w:r>
      <w:r>
        <w:rPr>
          <w:rFonts w:ascii="Amiri" w:hAnsi="Amiri" w:eastAsia="Amiri" w:cs="Amiri"/>
          <w:color w:val="111111"/>
          <w:sz w:val="28"/>
          <w:sz w:val="28"/>
          <w:szCs w:val="28"/>
          <w:rtl w:val="true"/>
          <w:lang w:bidi="ar-SA"/>
        </w:rPr>
        <w:t xml:space="preserve">، أو لنفي ما يراد من اللفظ </w:t>
      </w:r>
      <w:r>
        <w:rPr>
          <w:rStyle w:val="FootnoteAnchor"/>
          <w:rtl w:val="true"/>
        </w:rPr>
        <w:footnoteReference w:id="407"/>
      </w:r>
      <w:r>
        <w:rPr>
          <w:rFonts w:ascii="Amiri" w:hAnsi="Amiri" w:eastAsia="Amiri" w:cs="Amiri"/>
          <w:color w:val="111111"/>
          <w:sz w:val="28"/>
          <w:sz w:val="28"/>
          <w:szCs w:val="28"/>
          <w:rtl w:val="true"/>
          <w:lang w:bidi="ar-SA"/>
        </w:rPr>
        <w:t>، أو كل ما يحتمله اللفظ، أوجه</w:t>
      </w:r>
      <w:r>
        <w:rPr>
          <w:rStyle w:val="FootnoteAnchor"/>
          <w:rtl w:val="true"/>
        </w:rPr>
        <w:footnoteReference w:id="408"/>
      </w:r>
      <w:r>
        <w:rPr>
          <w:rFonts w:ascii="IRNazanin" w:hAnsi="IRNazanin" w:eastAsia="IRNazanin"/>
          <w:color w:val="111111"/>
          <w:sz w:val="28"/>
          <w:sz w:val="28"/>
          <w:szCs w:val="28"/>
          <w:rtl w:val="true"/>
          <w:lang w:bidi="fa-IR"/>
        </w:rPr>
        <w:t>، ولعل الأوسط أوسط؛ للتبادر</w:t>
      </w:r>
      <w:r>
        <w:rPr>
          <w:rFonts w:eastAsia="IRNazanin" w:cs="IRNazanin"/>
          <w:color w:val="111111"/>
          <w:sz w:val="28"/>
          <w:szCs w:val="28"/>
          <w:rtl w:val="true"/>
          <w:lang w:bidi="fa-IR"/>
        </w:rPr>
        <w:t xml:space="preserve">. </w:t>
      </w:r>
      <w:bookmarkStart w:id="134" w:name="pg9015_97476"/>
    </w:p>
    <w:p>
      <w:pPr>
        <w:pStyle w:val="Heading3"/>
        <w:numPr>
          <w:ilvl w:val="2"/>
          <w:numId w:val="1"/>
        </w:numPr>
        <w:rPr/>
      </w:pPr>
      <w:bookmarkStart w:id="135" w:name="__RefHeading___Toc2001399_2870459653"/>
      <w:bookmarkStart w:id="136" w:name="_Toc49"/>
      <w:bookmarkEnd w:id="134"/>
      <w:bookmarkEnd w:id="135"/>
      <w:r>
        <w:rPr>
          <w:rtl w:val="true"/>
        </w:rPr>
        <w:t xml:space="preserve">[ </w:t>
      </w:r>
      <w:r>
        <w:rPr>
          <w:rtl w:val="true"/>
        </w:rPr>
        <w:t>ثمرة المسألة</w:t>
      </w:r>
      <w:r>
        <w:rPr>
          <w:rtl w:val="true"/>
        </w:rPr>
        <w:t>]</w:t>
      </w:r>
      <w:bookmarkEnd w:id="136"/>
    </w:p>
    <w:p>
      <w:pPr>
        <w:pStyle w:val="BookText"/>
        <w:rPr/>
      </w:pPr>
      <w:r>
        <w:rPr>
          <w:rFonts w:ascii="Amiri" w:hAnsi="Amiri" w:eastAsia="Amiri" w:cs="Amiri"/>
          <w:color w:val="111111"/>
          <w:sz w:val="28"/>
          <w:sz w:val="28"/>
          <w:szCs w:val="28"/>
          <w:rtl w:val="true"/>
          <w:lang w:bidi="ar-SA"/>
        </w:rPr>
        <w:t xml:space="preserve">ثم ثمرة النزاع في أصل المسألة تظهر في صحة هذا الاستعمال وغلطيته </w:t>
      </w:r>
      <w:r>
        <w:rPr>
          <w:rStyle w:val="FootnoteAnchor"/>
          <w:rtl w:val="true"/>
        </w:rPr>
        <w:footnoteReference w:id="409"/>
      </w:r>
      <w:r>
        <w:rPr>
          <w:rFonts w:ascii="Amiri" w:hAnsi="Amiri" w:eastAsia="Amiri" w:cs="Amiri"/>
          <w:color w:val="111111"/>
          <w:sz w:val="28"/>
          <w:sz w:val="28"/>
          <w:szCs w:val="28"/>
          <w:rtl w:val="true"/>
          <w:lang w:bidi="ar-SA"/>
        </w:rPr>
        <w:t xml:space="preserve">، وفيما لو ورد خبر مشتمل على لفظ مشترك مستعمل في أكثر من معنى، سواء كان منقولاً باللفظ، أو المعنى، أو مشكوك الحال، وفي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نِّسَائِكُمْ</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 xml:space="preserve">، فتأمل </w:t>
      </w:r>
      <w:r>
        <w:rPr>
          <w:rFonts w:eastAsia="IRNazanin" w:cs="IRNazanin"/>
          <w:color w:val="111111"/>
          <w:sz w:val="28"/>
          <w:szCs w:val="28"/>
          <w:rtl w:val="true"/>
          <w:lang w:bidi="fa-IR"/>
        </w:rPr>
        <w:t>.</w:t>
      </w:r>
    </w:p>
    <w:p>
      <w:pPr>
        <w:pStyle w:val="Heading3"/>
        <w:numPr>
          <w:ilvl w:val="2"/>
          <w:numId w:val="1"/>
        </w:numPr>
        <w:rPr/>
      </w:pPr>
      <w:bookmarkStart w:id="137" w:name="__RefHeading___Toc2001401_2870459653"/>
      <w:bookmarkStart w:id="138" w:name="_Toc50"/>
      <w:bookmarkEnd w:id="137"/>
      <w:r>
        <w:rPr>
          <w:rtl w:val="true"/>
        </w:rPr>
        <w:t>[</w:t>
      </w:r>
      <w:r>
        <w:rPr>
          <w:rtl w:val="true"/>
        </w:rPr>
        <w:t>تأسيس الأصل</w:t>
      </w:r>
      <w:r>
        <w:rPr>
          <w:rtl w:val="true"/>
        </w:rPr>
        <w:t>]</w:t>
      </w:r>
      <w:bookmarkEnd w:id="138"/>
    </w:p>
    <w:p>
      <w:pPr>
        <w:pStyle w:val="BookText"/>
        <w:rPr/>
      </w:pPr>
      <w:r>
        <w:rPr>
          <w:rFonts w:ascii="IRNazanin" w:hAnsi="IRNazanin" w:eastAsia="IRNazanin"/>
          <w:color w:val="111111"/>
          <w:sz w:val="28"/>
          <w:sz w:val="28"/>
          <w:szCs w:val="28"/>
          <w:rtl w:val="true"/>
          <w:lang w:bidi="fa-IR"/>
        </w:rPr>
        <w:t>الأصل على قول السلطان وما تلاه</w:t>
      </w:r>
      <w:r>
        <w:rPr>
          <w:rStyle w:val="FootnoteAnchor"/>
          <w:rtl w:val="true"/>
        </w:rPr>
        <w:footnoteReference w:id="411"/>
      </w:r>
      <w:r>
        <w:rPr>
          <w:rFonts w:ascii="Amiri" w:hAnsi="Amiri" w:eastAsia="Amiri" w:cs="Amiri"/>
          <w:color w:val="111111"/>
          <w:sz w:val="28"/>
          <w:sz w:val="28"/>
          <w:szCs w:val="28"/>
          <w:rtl w:val="true"/>
          <w:lang w:bidi="ar-SA"/>
        </w:rPr>
        <w:t>هو الجواز؛ لوجود المقتضي وفقد المانع، وكذا على الأقوال الأخر إن اكتفينا بنوع العلاقة</w:t>
      </w:r>
      <w:r>
        <w:rPr>
          <w:rStyle w:val="FootnoteAnchor"/>
          <w:rtl w:val="true"/>
        </w:rPr>
        <w:footnoteReference w:id="412"/>
      </w:r>
      <w:r>
        <w:rPr>
          <w:rFonts w:ascii="IRNazanin" w:hAnsi="IRNazanin" w:eastAsia="IRNazanin"/>
          <w:color w:val="111111"/>
          <w:sz w:val="28"/>
          <w:sz w:val="28"/>
          <w:szCs w:val="28"/>
          <w:rtl w:val="true"/>
          <w:lang w:bidi="fa-IR"/>
        </w:rPr>
        <w:t>، لا نقل الآحاد، أو</w:t>
      </w:r>
      <w:r>
        <w:rPr>
          <w:rStyle w:val="FootnoteAnchor"/>
          <w:rtl w:val="true"/>
        </w:rPr>
        <w:footnoteReference w:id="413"/>
      </w:r>
      <w:r>
        <w:rPr>
          <w:rFonts w:ascii="IRNazanin" w:hAnsi="IRNazanin" w:eastAsia="IRNazanin"/>
          <w:color w:val="111111"/>
          <w:sz w:val="28"/>
          <w:sz w:val="28"/>
          <w:szCs w:val="28"/>
          <w:rtl w:val="true"/>
          <w:lang w:bidi="fa-IR"/>
        </w:rPr>
        <w:t>الدوران مدار الاستقراء</w:t>
      </w:r>
      <w:r>
        <w:rPr>
          <w:rFonts w:eastAsia="IRNazanin" w:cs="IRNazanin"/>
          <w:color w:val="111111"/>
          <w:sz w:val="28"/>
          <w:szCs w:val="28"/>
          <w:rtl w:val="true"/>
          <w:lang w:bidi="fa-IR"/>
        </w:rPr>
        <w:t>.</w:t>
      </w:r>
      <w:r>
        <w:rPr>
          <w:rStyle w:val="FootnoteAnchor"/>
          <w:rtl w:val="true"/>
        </w:rPr>
        <w:footnoteReference w:id="41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ذكروا في المقام</w:t>
      </w:r>
      <w:r>
        <w:rPr>
          <w:rStyle w:val="FootnoteAnchor"/>
          <w:rtl w:val="true"/>
        </w:rPr>
        <w:footnoteReference w:id="415"/>
      </w:r>
      <w:r>
        <w:rPr>
          <w:rFonts w:ascii="Amiri" w:hAnsi="Amiri" w:eastAsia="Amiri" w:cs="Amiri"/>
          <w:color w:val="111111"/>
          <w:sz w:val="28"/>
          <w:sz w:val="28"/>
          <w:szCs w:val="28"/>
          <w:rtl w:val="true"/>
          <w:lang w:bidi="ar-SA"/>
        </w:rPr>
        <w:t>أدلّة لترجيح أقوال المسألة، ولا أستبعد الجواز المطلق حقيقة؛ لعدم الاستنكاف العرفي، لكنه استعمال ،مرجوح، لا يصار إليه إلا بقرينة</w:t>
      </w:r>
      <w:r>
        <w:rPr>
          <w:rFonts w:eastAsia="Amiri" w:cs="Amiri" w:ascii="Amiri" w:hAnsi="Amiri"/>
          <w:color w:val="111111"/>
          <w:sz w:val="28"/>
          <w:szCs w:val="28"/>
          <w:rtl w:val="true"/>
          <w:lang w:bidi="ar-SA"/>
        </w:rPr>
        <w:t xml:space="preserve">. </w:t>
      </w:r>
      <w:bookmarkStart w:id="139" w:name="pg9015_97477"/>
    </w:p>
    <w:p>
      <w:pPr>
        <w:pStyle w:val="Heading2"/>
        <w:numPr>
          <w:ilvl w:val="1"/>
          <w:numId w:val="1"/>
        </w:numPr>
        <w:rPr/>
      </w:pPr>
      <w:bookmarkStart w:id="140" w:name="__RefHeading___Toc2001403_2870459653"/>
      <w:bookmarkStart w:id="141" w:name="_Toc51"/>
      <w:bookmarkEnd w:id="139"/>
      <w:bookmarkEnd w:id="140"/>
      <w:r>
        <w:rPr>
          <w:rtl w:val="true"/>
        </w:rPr>
        <w:t xml:space="preserve">أصل </w:t>
      </w:r>
      <w:r>
        <w:rPr>
          <w:rtl w:val="true"/>
        </w:rPr>
        <w:t>[</w:t>
      </w:r>
      <w:r>
        <w:rPr>
          <w:rtl w:val="true"/>
        </w:rPr>
        <w:t>في استعمال اللفظ في معنييه الحقيقي والمجازي</w:t>
      </w:r>
      <w:r>
        <w:rPr>
          <w:rtl w:val="true"/>
        </w:rPr>
        <w:t>]</w:t>
      </w:r>
      <w:bookmarkEnd w:id="141"/>
    </w:p>
    <w:p>
      <w:pPr>
        <w:pStyle w:val="Heading3"/>
        <w:numPr>
          <w:ilvl w:val="2"/>
          <w:numId w:val="1"/>
        </w:numPr>
        <w:rPr/>
      </w:pPr>
      <w:bookmarkStart w:id="142" w:name="__RefHeading___Toc2001405_2870459653"/>
      <w:bookmarkStart w:id="143" w:name="_Toc52"/>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اختلفوا في جواز استعمال اللفظ في معنييه الحقيقي والمجازي على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الجواز مجازاً</w:t>
      </w:r>
      <w:r>
        <w:rPr>
          <w:rStyle w:val="FootnoteAnchor"/>
          <w:rtl w:val="true"/>
        </w:rPr>
        <w:footnoteReference w:id="416"/>
      </w:r>
      <w:r>
        <w:rPr>
          <w:rFonts w:ascii="Amiri" w:hAnsi="Amiri" w:eastAsia="Amiri" w:cs="Amiri"/>
          <w:color w:val="111111"/>
          <w:sz w:val="28"/>
          <w:sz w:val="28"/>
          <w:szCs w:val="28"/>
          <w:rtl w:val="true"/>
          <w:lang w:bidi="ar-SA"/>
        </w:rPr>
        <w:t>، أو حقيقة ومجازاً بالاعتبارين</w:t>
      </w:r>
      <w:r>
        <w:rPr>
          <w:rStyle w:val="FootnoteAnchor"/>
          <w:rtl w:val="true"/>
        </w:rPr>
        <w:footnoteReference w:id="417"/>
      </w:r>
      <w:r>
        <w:rPr>
          <w:rFonts w:ascii="IRNazanin" w:hAnsi="IRNazanin" w:eastAsia="IRNazanin"/>
          <w:color w:val="111111"/>
          <w:sz w:val="28"/>
          <w:sz w:val="28"/>
          <w:szCs w:val="28"/>
          <w:rtl w:val="true"/>
          <w:lang w:bidi="fa-IR"/>
        </w:rPr>
        <w:t>، وعدمه</w:t>
      </w:r>
      <w:r>
        <w:rPr>
          <w:rStyle w:val="FootnoteAnchor"/>
          <w:rtl w:val="true"/>
        </w:rPr>
        <w:footnoteReference w:id="418"/>
      </w:r>
      <w:r>
        <w:rPr>
          <w:rFonts w:ascii="Amiri" w:hAnsi="Amiri" w:eastAsia="Amiri" w:cs="Amiri"/>
          <w:color w:val="111111"/>
          <w:sz w:val="28"/>
          <w:sz w:val="28"/>
          <w:szCs w:val="28"/>
          <w:rtl w:val="true"/>
          <w:lang w:bidi="ar-SA"/>
        </w:rPr>
        <w:t>اجتهاداً أو 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طرق الاستعمال، وتحرير محل الجدال، ووضع المفرد، وثمرة النزاع ، وتأسيس الأصل، ما مرَّ في المشترك</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2001407_2870459653"/>
      <w:bookmarkStart w:id="145" w:name="_Toc53"/>
      <w:bookmarkEnd w:id="144"/>
      <w:r>
        <w:rPr>
          <w:rtl w:val="true"/>
        </w:rPr>
        <w:t>[</w:t>
      </w:r>
      <w:r>
        <w:rPr>
          <w:rtl w:val="true"/>
        </w:rPr>
        <w:t>بيان معنى الحقيقة والمجاز والكناية</w:t>
      </w:r>
      <w:r>
        <w:rPr>
          <w:rtl w:val="true"/>
        </w:rPr>
        <w:t>]</w:t>
      </w:r>
      <w:bookmarkEnd w:id="145"/>
    </w:p>
    <w:p>
      <w:pPr>
        <w:pStyle w:val="BookText"/>
        <w:rPr/>
      </w:pPr>
      <w:r>
        <w:rPr>
          <w:rFonts w:ascii="Amiri" w:hAnsi="Amiri" w:eastAsia="Amiri" w:cs="Amiri"/>
          <w:color w:val="111111"/>
          <w:sz w:val="28"/>
          <w:sz w:val="28"/>
          <w:szCs w:val="28"/>
          <w:rtl w:val="true"/>
          <w:lang w:bidi="ar-SA"/>
        </w:rPr>
        <w:t>ثم الحقيقة هو اللفظ المستعمل فيما وضع له</w:t>
      </w:r>
      <w:r>
        <w:rPr>
          <w:rStyle w:val="FootnoteAnchor"/>
          <w:rtl w:val="true"/>
        </w:rPr>
        <w:footnoteReference w:id="419"/>
      </w:r>
      <w:r>
        <w:rPr>
          <w:rFonts w:ascii="Amiri" w:hAnsi="Amiri" w:eastAsia="Amiri" w:cs="Amiri"/>
          <w:color w:val="111111"/>
          <w:sz w:val="28"/>
          <w:sz w:val="28"/>
          <w:szCs w:val="28"/>
          <w:rtl w:val="true"/>
          <w:lang w:bidi="ar-SA"/>
        </w:rPr>
        <w:t xml:space="preserve">، سواء أريد الانتقال إلى ألغير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اللفظ المستعمل في غير ما وضع له، سواء جاز إرادة الموضوع له معه أم لا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عند مشهور</w:t>
      </w:r>
      <w:r>
        <w:rPr>
          <w:rStyle w:val="FootnoteAnchor"/>
          <w:rtl w:val="true"/>
        </w:rPr>
        <w:footnoteReference w:id="422"/>
      </w:r>
      <w:r>
        <w:rPr>
          <w:rFonts w:ascii="Amiri" w:hAnsi="Amiri" w:eastAsia="Amiri" w:cs="Amiri"/>
          <w:color w:val="111111"/>
          <w:sz w:val="28"/>
          <w:sz w:val="28"/>
          <w:szCs w:val="28"/>
          <w:rtl w:val="true"/>
          <w:lang w:bidi="ar-SA"/>
        </w:rPr>
        <w:t xml:space="preserve">أهل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 بامتناع إرادة الموضوع له معه</w:t>
      </w:r>
      <w:r>
        <w:rPr>
          <w:rStyle w:val="FootnoteAnchor"/>
          <w:rtl w:val="true"/>
        </w:rPr>
        <w:footnoteReference w:id="423"/>
      </w:r>
      <w:r>
        <w:rPr>
          <w:rFonts w:ascii="Amiri" w:hAnsi="Amiri" w:eastAsia="Amiri" w:cs="Amiri"/>
          <w:color w:val="111111"/>
          <w:sz w:val="28"/>
          <w:sz w:val="28"/>
          <w:szCs w:val="28"/>
          <w:rtl w:val="true"/>
          <w:lang w:bidi="ar-SA"/>
        </w:rPr>
        <w:t>، فالمجاز عند الأصولي أعمّ مطلقاً من المجاز عند أهل البيان</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والكناية من مصطلحاتهم، والمنقول في تعريفها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فيما وضع له للانتقال إلى غيره</w:t>
      </w:r>
      <w:r>
        <w:rPr>
          <w:rStyle w:val="FootnoteAnchor"/>
          <w:rtl w:val="true"/>
        </w:rPr>
        <w:footnoteReference w:id="425"/>
      </w:r>
      <w:r>
        <w:rPr>
          <w:rFonts w:ascii="Amiri" w:hAnsi="Amiri" w:eastAsia="Amiri" w:cs="Amiri"/>
          <w:color w:val="111111"/>
          <w:sz w:val="28"/>
          <w:sz w:val="28"/>
          <w:szCs w:val="28"/>
          <w:rtl w:val="true"/>
          <w:lang w:bidi="ar-SA"/>
        </w:rPr>
        <w:t>، فتكون من أقسام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في المعنى الحقيقي والمجازي بنحو العموم الاستغراقي</w:t>
      </w:r>
      <w:r>
        <w:rPr>
          <w:rStyle w:val="FootnoteAnchor"/>
          <w:rtl w:val="true"/>
        </w:rPr>
        <w:footnoteReference w:id="426"/>
      </w:r>
      <w:r>
        <w:rPr>
          <w:rFonts w:ascii="Amiri" w:hAnsi="Amiri" w:eastAsia="Amiri" w:cs="Amiri"/>
          <w:color w:val="111111"/>
          <w:sz w:val="28"/>
          <w:sz w:val="28"/>
          <w:szCs w:val="28"/>
          <w:rtl w:val="true"/>
          <w:lang w:bidi="ar-SA"/>
        </w:rPr>
        <w:t>، كما هو محل النزاع هنا، فتكون مجازاً أصولياً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في غير ما وضع له مع جواز إرادة الموضوع له</w:t>
      </w:r>
      <w:r>
        <w:rPr>
          <w:rStyle w:val="FootnoteAnchor"/>
          <w:rtl w:val="true"/>
        </w:rPr>
        <w:footnoteReference w:id="427"/>
      </w:r>
      <w:r>
        <w:rPr>
          <w:rFonts w:ascii="Amiri" w:hAnsi="Amiri" w:eastAsia="Amiri" w:cs="Amiri"/>
          <w:color w:val="111111"/>
          <w:sz w:val="28"/>
          <w:sz w:val="28"/>
          <w:szCs w:val="28"/>
          <w:rtl w:val="true"/>
          <w:lang w:bidi="ar-SA"/>
        </w:rPr>
        <w:t>، فتكون أخص مطلقاً من المجاز</w:t>
      </w:r>
      <w:r>
        <w:rPr>
          <w:rStyle w:val="FootnoteAnchor"/>
          <w:rtl w:val="true"/>
        </w:rPr>
        <w:footnoteReference w:id="428"/>
      </w:r>
      <w:r>
        <w:rPr>
          <w:rFonts w:ascii="Amiri" w:hAnsi="Amiri" w:eastAsia="Amiri" w:cs="Amiri"/>
          <w:color w:val="111111"/>
          <w:sz w:val="28"/>
          <w:sz w:val="28"/>
          <w:szCs w:val="28"/>
          <w:rtl w:val="true"/>
          <w:lang w:bidi="ar-SA"/>
        </w:rPr>
        <w:t>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المنع من استعمال اللفظ في الحقيقة والمجاز أصولياً وبيانياً نفي الكناية رأساً، إلا أن يقول بأنها من أقسام الحقيقة، أو يفرق بين المجاز والكناية باعتبار ذاتهما </w:t>
      </w:r>
      <w:r>
        <w:rPr>
          <w:rStyle w:val="FootnoteAnchor"/>
          <w:rtl w:val="true"/>
        </w:rPr>
        <w:footnoteReference w:id="429"/>
      </w:r>
      <w:r>
        <w:rPr>
          <w:rFonts w:ascii="Amiri" w:hAnsi="Amiri" w:eastAsia="Amiri" w:cs="Amiri"/>
          <w:color w:val="111111"/>
          <w:sz w:val="28"/>
          <w:sz w:val="28"/>
          <w:szCs w:val="28"/>
          <w:rtl w:val="true"/>
          <w:lang w:bidi="ar-SA"/>
        </w:rPr>
        <w:t>لا حكمهما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أكثروا من الكلام في تحقيق الحق في المقام، ولا استبعد الجواز حقيقة ومجازاً بالاعتبارين؛ لما مرَّ في المشترك، ومن هنا يظهر جواز استعمال اللفظ</w:t>
      </w:r>
      <w:r>
        <w:rPr>
          <w:rStyle w:val="FootnoteAnchor"/>
          <w:rtl w:val="true"/>
        </w:rPr>
        <w:footnoteReference w:id="430"/>
      </w:r>
      <w:r>
        <w:rPr>
          <w:rFonts w:ascii="Amiri" w:hAnsi="Amiri" w:eastAsia="Amiri" w:cs="Amiri"/>
          <w:color w:val="111111"/>
          <w:sz w:val="28"/>
          <w:sz w:val="28"/>
          <w:szCs w:val="28"/>
          <w:rtl w:val="true"/>
          <w:lang w:bidi="ar-SA"/>
        </w:rPr>
        <w:t>في المجازين وعدمه لوحدة المناط</w:t>
      </w:r>
      <w:r>
        <w:rPr>
          <w:rFonts w:eastAsia="Amiri" w:cs="Amiri" w:ascii="Amiri" w:hAnsi="Amiri"/>
          <w:color w:val="111111"/>
          <w:sz w:val="28"/>
          <w:szCs w:val="28"/>
          <w:rtl w:val="true"/>
          <w:lang w:bidi="ar-SA"/>
        </w:rPr>
        <w:t xml:space="preserve">. </w:t>
      </w:r>
      <w:bookmarkStart w:id="146" w:name="pg9015_97479"/>
    </w:p>
    <w:p>
      <w:pPr>
        <w:pStyle w:val="Heading2"/>
        <w:numPr>
          <w:ilvl w:val="1"/>
          <w:numId w:val="1"/>
        </w:numPr>
        <w:rPr/>
      </w:pPr>
      <w:bookmarkStart w:id="147" w:name="__RefHeading___Toc2001409_2870459653"/>
      <w:bookmarkStart w:id="148" w:name="_Toc54"/>
      <w:bookmarkEnd w:id="146"/>
      <w:bookmarkEnd w:id="147"/>
      <w:r>
        <w:rPr>
          <w:rtl w:val="true"/>
        </w:rPr>
        <w:t xml:space="preserve">أصل </w:t>
      </w:r>
      <w:r>
        <w:rPr>
          <w:rtl w:val="true"/>
        </w:rPr>
        <w:t>[</w:t>
      </w:r>
      <w:r>
        <w:rPr>
          <w:rtl w:val="true"/>
        </w:rPr>
        <w:t>في أن الألفاظ موضوعة للمعاني اللابشرط</w:t>
      </w:r>
      <w:r>
        <w:rPr>
          <w:rtl w:val="true"/>
        </w:rPr>
        <w:t>]</w:t>
      </w:r>
      <w:bookmarkEnd w:id="148"/>
    </w:p>
    <w:p>
      <w:pPr>
        <w:pStyle w:val="Heading3"/>
        <w:numPr>
          <w:ilvl w:val="2"/>
          <w:numId w:val="1"/>
        </w:numPr>
        <w:rPr/>
      </w:pPr>
      <w:bookmarkStart w:id="149" w:name="__RefHeading___Toc2001411_2870459653"/>
      <w:bookmarkStart w:id="150" w:name="_Toc55"/>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الأصح وضع الألفاظ للمعنى اللابشرط</w:t>
      </w:r>
      <w:r>
        <w:rPr>
          <w:rStyle w:val="FootnoteAnchor"/>
          <w:rtl w:val="true"/>
        </w:rPr>
        <w:footnoteReference w:id="431"/>
      </w:r>
      <w:r>
        <w:rPr>
          <w:rFonts w:ascii="Amiri" w:hAnsi="Amiri" w:eastAsia="Amiri" w:cs="Amiri"/>
          <w:color w:val="111111"/>
          <w:sz w:val="28"/>
          <w:sz w:val="28"/>
          <w:szCs w:val="28"/>
          <w:rtl w:val="true"/>
          <w:lang w:bidi="ar-SA"/>
        </w:rPr>
        <w:t>، لا المعاني الذهنية بوصف وجودها في الذهن</w:t>
      </w:r>
      <w:r>
        <w:rPr>
          <w:rStyle w:val="FootnoteAnchor"/>
          <w:rtl w:val="true"/>
        </w:rPr>
        <w:footnoteReference w:id="432"/>
      </w:r>
      <w:r>
        <w:rPr>
          <w:rFonts w:ascii="Amiri" w:hAnsi="Amiri" w:eastAsia="Amiri" w:cs="Amiri"/>
          <w:color w:val="111111"/>
          <w:sz w:val="28"/>
          <w:sz w:val="28"/>
          <w:szCs w:val="28"/>
          <w:rtl w:val="true"/>
          <w:lang w:bidi="ar-SA"/>
        </w:rPr>
        <w:t>، ولا للأمور الخارجية كذلك</w:t>
      </w:r>
      <w:r>
        <w:rPr>
          <w:rStyle w:val="FootnoteAnchor"/>
          <w:rtl w:val="true"/>
        </w:rPr>
        <w:footnoteReference w:id="433"/>
      </w:r>
      <w:r>
        <w:rPr>
          <w:rFonts w:ascii="Amiri" w:hAnsi="Amiri" w:eastAsia="Amiri" w:cs="Amiri"/>
          <w:color w:val="111111"/>
          <w:sz w:val="28"/>
          <w:sz w:val="28"/>
          <w:szCs w:val="28"/>
          <w:rtl w:val="true"/>
          <w:lang w:bidi="ar-SA"/>
        </w:rPr>
        <w:t>، ولا التفصيل بين ما لا مصداق له كالمعدوم وغيره</w:t>
      </w:r>
      <w:r>
        <w:rPr>
          <w:rStyle w:val="FootnoteAnchor"/>
          <w:rtl w:val="true"/>
        </w:rPr>
        <w:footnoteReference w:id="434"/>
      </w:r>
      <w:r>
        <w:rPr>
          <w:rFonts w:ascii="Amiri" w:hAnsi="Amiri" w:eastAsia="Amiri" w:cs="Amiri"/>
          <w:color w:val="111111"/>
          <w:sz w:val="28"/>
          <w:sz w:val="28"/>
          <w:szCs w:val="28"/>
          <w:rtl w:val="true"/>
          <w:lang w:bidi="ar-SA"/>
        </w:rPr>
        <w:t>، وذلك للتبادر، والاستقراء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والاختلاف</w:t>
      </w:r>
      <w:r>
        <w:rPr>
          <w:rStyle w:val="FootnoteAnchor"/>
          <w:rtl w:val="true"/>
        </w:rPr>
        <w:footnoteReference w:id="435"/>
      </w:r>
      <w:r>
        <w:rPr>
          <w:rFonts w:ascii="Amiri" w:hAnsi="Amiri" w:eastAsia="Amiri" w:cs="Amiri"/>
          <w:color w:val="111111"/>
          <w:sz w:val="28"/>
          <w:sz w:val="28"/>
          <w:szCs w:val="28"/>
          <w:rtl w:val="true"/>
          <w:lang w:bidi="ar-SA"/>
        </w:rPr>
        <w:t xml:space="preserve">في التسمية إنما هو لاختلاف الاعتقاد بنفس الأمر، ولذا يصح السلب بعد تبين الخطأ </w:t>
      </w:r>
      <w:r>
        <w:rPr>
          <w:rStyle w:val="FootnoteAnchor"/>
          <w:rtl w:val="true"/>
        </w:rPr>
        <w:footnoteReference w:id="436"/>
      </w:r>
      <w:r>
        <w:rPr>
          <w:rFonts w:ascii="Amiri" w:hAnsi="Amiri" w:eastAsia="Amiri" w:cs="Amiri"/>
          <w:color w:val="111111"/>
          <w:sz w:val="28"/>
          <w:sz w:val="28"/>
          <w:szCs w:val="28"/>
          <w:rtl w:val="true"/>
          <w:lang w:bidi="ar-SA"/>
        </w:rPr>
        <w:t>، ولم يحكم بامتثال المأمور</w:t>
      </w:r>
      <w:r>
        <w:rPr>
          <w:rStyle w:val="FootnoteAnchor"/>
          <w:rtl w:val="true"/>
        </w:rPr>
        <w:footnoteReference w:id="437"/>
      </w:r>
      <w:r>
        <w:rPr>
          <w:rStyle w:val="FootnoteAnchor"/>
          <w:rtl w:val="true"/>
        </w:rPr>
        <w:footnoteReference w:id="438"/>
      </w:r>
      <w:r>
        <w:rPr>
          <w:rFonts w:ascii="Amiri" w:hAnsi="Amiri" w:eastAsia="Amiri" w:cs="Amiri"/>
          <w:color w:val="111111"/>
          <w:sz w:val="28"/>
          <w:sz w:val="28"/>
          <w:szCs w:val="28"/>
          <w:rtl w:val="true"/>
          <w:lang w:bidi="ar-SA"/>
        </w:rPr>
        <w:t>، مضافاً في الاحتمال الثالث إلى النقض بمثل المعدوم</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2001413_2870459653"/>
      <w:bookmarkStart w:id="152" w:name="_Toc56"/>
      <w:bookmarkEnd w:id="151"/>
      <w:r>
        <w:rPr>
          <w:rtl w:val="true"/>
        </w:rPr>
        <w:t>[</w:t>
      </w:r>
      <w:r>
        <w:rPr>
          <w:rtl w:val="true"/>
        </w:rPr>
        <w:t>ثمرة المسألة</w:t>
      </w:r>
      <w:r>
        <w:rPr>
          <w:rtl w:val="true"/>
        </w:rPr>
        <w:t>]</w:t>
      </w:r>
      <w:bookmarkEnd w:id="15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وتظهر الثمرة في التخطئة والتصويب</w:t>
      </w:r>
      <w:r>
        <w:rPr>
          <w:rStyle w:val="FootnoteAnchor"/>
          <w:rtl w:val="true"/>
        </w:rPr>
        <w:footnoteReference w:id="439"/>
      </w:r>
      <w:r>
        <w:rPr>
          <w:rFonts w:ascii="Amiri" w:hAnsi="Amiri" w:eastAsia="Amiri" w:cs="Amiri"/>
          <w:color w:val="111111"/>
          <w:sz w:val="28"/>
          <w:sz w:val="28"/>
          <w:szCs w:val="28"/>
          <w:rtl w:val="true"/>
          <w:lang w:bidi="ar-SA"/>
        </w:rPr>
        <w:t xml:space="preserve">، وفي حصول الامتثال في الإتيان </w:t>
      </w:r>
      <w:bookmarkStart w:id="153" w:name="pg9015_97480"/>
    </w:p>
    <w:p>
      <w:pPr>
        <w:pStyle w:val="BookText"/>
        <w:rPr/>
      </w:pPr>
      <w:bookmarkEnd w:id="153"/>
      <w:r>
        <w:rPr>
          <w:rFonts w:ascii="IRNazanin" w:hAnsi="IRNazanin" w:eastAsia="IRNazanin"/>
          <w:color w:val="111111"/>
          <w:sz w:val="28"/>
          <w:sz w:val="28"/>
          <w:szCs w:val="28"/>
          <w:rtl w:val="true"/>
          <w:lang w:bidi="fa-IR"/>
        </w:rPr>
        <w:t>بالمعتقد</w:t>
      </w:r>
      <w:r>
        <w:rPr>
          <w:rFonts w:eastAsia="IRNazanin" w:cs="IRNazanin"/>
          <w:color w:val="111111"/>
          <w:sz w:val="28"/>
          <w:szCs w:val="28"/>
          <w:rtl w:val="true"/>
          <w:lang w:bidi="fa-IR"/>
        </w:rPr>
        <w:t>.</w:t>
      </w:r>
      <w:r>
        <w:rPr>
          <w:rStyle w:val="FootnoteAnchor"/>
          <w:rtl w:val="true"/>
        </w:rPr>
        <w:footnoteReference w:id="440"/>
      </w:r>
    </w:p>
    <w:p>
      <w:pPr>
        <w:pStyle w:val="Heading2"/>
        <w:numPr>
          <w:ilvl w:val="1"/>
          <w:numId w:val="1"/>
        </w:numPr>
        <w:rPr/>
      </w:pPr>
      <w:bookmarkStart w:id="154" w:name="__RefHeading___Toc2001415_2870459653"/>
      <w:bookmarkStart w:id="155" w:name="_Toc57"/>
      <w:bookmarkEnd w:id="154"/>
      <w:r>
        <w:rPr>
          <w:rtl w:val="true"/>
        </w:rPr>
        <w:t xml:space="preserve">أصل </w:t>
      </w:r>
      <w:r>
        <w:rPr>
          <w:rtl w:val="true"/>
        </w:rPr>
        <w:t>[</w:t>
      </w:r>
      <w:r>
        <w:rPr>
          <w:rtl w:val="true"/>
        </w:rPr>
        <w:t>في أن الألفاظ موضوعة للأمور النفس الأمرية</w:t>
      </w:r>
      <w:r>
        <w:rPr>
          <w:rtl w:val="true"/>
        </w:rPr>
        <w:t>]</w:t>
      </w:r>
      <w:bookmarkEnd w:id="155"/>
    </w:p>
    <w:p>
      <w:pPr>
        <w:pStyle w:val="Heading3"/>
        <w:numPr>
          <w:ilvl w:val="2"/>
          <w:numId w:val="1"/>
        </w:numPr>
        <w:rPr/>
      </w:pPr>
      <w:bookmarkStart w:id="156" w:name="__RefHeading___Toc2001417_2870459653"/>
      <w:bookmarkStart w:id="157" w:name="_Toc58"/>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الأصح وضع اللفظ للأمر النفس الأمري ، لا المعلوم</w:t>
      </w:r>
      <w:r>
        <w:rPr>
          <w:rStyle w:val="FootnoteAnchor"/>
          <w:rtl w:val="true"/>
        </w:rPr>
        <w:footnoteReference w:id="441"/>
      </w:r>
      <w:r>
        <w:rPr>
          <w:rFonts w:ascii="Amiri" w:hAnsi="Amiri" w:eastAsia="Amiri" w:cs="Amiri"/>
          <w:color w:val="111111"/>
          <w:sz w:val="28"/>
          <w:sz w:val="28"/>
          <w:szCs w:val="28"/>
          <w:rtl w:val="true"/>
          <w:lang w:bidi="ar-SA"/>
        </w:rPr>
        <w:t>للتبادر، والاستقراء، وذم تارك الفحص، ولزوم كون مجهول الحال واسطة بين الفاسق والعادل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 هذه المسألة وسابقتها عموم من وجه</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2001419_2870459653"/>
      <w:bookmarkStart w:id="159" w:name="_Toc59"/>
      <w:bookmarkEnd w:id="158"/>
      <w:r>
        <w:rPr>
          <w:rtl w:val="true"/>
        </w:rPr>
        <w:t>[</w:t>
      </w:r>
      <w:r>
        <w:rPr>
          <w:rtl w:val="true"/>
        </w:rPr>
        <w:t>ثمرة المسألة</w:t>
      </w:r>
      <w:r>
        <w:rPr>
          <w:rtl w:val="true"/>
        </w:rPr>
        <w:t>]</w:t>
      </w:r>
      <w:bookmarkEnd w:id="15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والثمرة تظهر في لزوم الفحص، وفي الشبهة المحصورة</w:t>
      </w:r>
      <w:r>
        <w:rPr>
          <w:rFonts w:eastAsia="Amiri" w:cs="Amiri" w:ascii="Amiri" w:hAnsi="Amiri"/>
          <w:color w:val="111111"/>
          <w:sz w:val="28"/>
          <w:szCs w:val="28"/>
          <w:rtl w:val="true"/>
          <w:lang w:bidi="ar-SA"/>
        </w:rPr>
        <w:t>.</w:t>
      </w:r>
      <w:r>
        <w:rPr>
          <w:rStyle w:val="FootnoteAnchor"/>
          <w:rtl w:val="true"/>
        </w:rPr>
        <w:footnoteReference w:id="442"/>
      </w:r>
      <w:bookmarkStart w:id="160" w:name="pg9015_97481"/>
    </w:p>
    <w:p>
      <w:pPr>
        <w:pStyle w:val="Heading2"/>
        <w:numPr>
          <w:ilvl w:val="1"/>
          <w:numId w:val="1"/>
        </w:numPr>
        <w:rPr/>
      </w:pPr>
      <w:bookmarkStart w:id="161" w:name="__RefHeading___Toc2001421_2870459653"/>
      <w:bookmarkStart w:id="162" w:name="_Toc60"/>
      <w:bookmarkEnd w:id="160"/>
      <w:bookmarkEnd w:id="161"/>
      <w:r>
        <w:rPr>
          <w:rtl w:val="true"/>
        </w:rPr>
        <w:t xml:space="preserve">أصل </w:t>
      </w:r>
      <w:r>
        <w:rPr>
          <w:rtl w:val="true"/>
        </w:rPr>
        <w:t>[</w:t>
      </w:r>
      <w:r>
        <w:rPr>
          <w:rtl w:val="true"/>
        </w:rPr>
        <w:t>في تعارض العرف واللغة</w:t>
      </w:r>
      <w:r>
        <w:rPr>
          <w:rtl w:val="true"/>
        </w:rPr>
        <w:t>]</w:t>
      </w:r>
      <w:bookmarkEnd w:id="16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تعارض العرف واللغة</w:t>
      </w:r>
      <w:r>
        <w:rPr>
          <w:rStyle w:val="FootnoteAnchor"/>
          <w:rtl w:val="true"/>
        </w:rPr>
        <w:footnoteReference w:id="443"/>
      </w:r>
      <w:r>
        <w:rPr>
          <w:rFonts w:ascii="Amiri" w:hAnsi="Amiri" w:eastAsia="Amiri" w:cs="Amiri"/>
          <w:color w:val="111111"/>
          <w:sz w:val="28"/>
          <w:sz w:val="28"/>
          <w:szCs w:val="28"/>
          <w:rtl w:val="true"/>
          <w:lang w:bidi="ar-SA"/>
        </w:rPr>
        <w:t>، ولم يكن للشارع اصطلاح خاص، ولا قرينة على المراد، وجهل تاريخ صدور</w:t>
      </w:r>
      <w:r>
        <w:rPr>
          <w:rStyle w:val="FootnoteAnchor"/>
          <w:rtl w:val="true"/>
        </w:rPr>
        <w:footnoteReference w:id="444"/>
      </w:r>
      <w:r>
        <w:rPr>
          <w:rFonts w:ascii="Amiri" w:hAnsi="Amiri" w:eastAsia="Amiri" w:cs="Amiri"/>
          <w:color w:val="111111"/>
          <w:sz w:val="28"/>
          <w:sz w:val="28"/>
          <w:szCs w:val="28"/>
          <w:rtl w:val="true"/>
          <w:lang w:bidi="ar-SA"/>
        </w:rPr>
        <w:t>الخطاب، ففي تقديم اللغة</w:t>
      </w:r>
      <w:r>
        <w:rPr>
          <w:rStyle w:val="FootnoteAnchor"/>
          <w:rtl w:val="true"/>
        </w:rPr>
        <w:footnoteReference w:id="445"/>
      </w:r>
      <w:r>
        <w:rPr>
          <w:rFonts w:ascii="Amiri" w:hAnsi="Amiri" w:eastAsia="Amiri" w:cs="Amiri"/>
          <w:color w:val="111111"/>
          <w:sz w:val="28"/>
          <w:sz w:val="28"/>
          <w:szCs w:val="28"/>
          <w:rtl w:val="true"/>
          <w:lang w:bidi="ar-SA"/>
        </w:rPr>
        <w:t xml:space="preserve">لأصالة تأخر العرف،أو العرف كما هو المشهور </w:t>
      </w:r>
      <w:r>
        <w:rPr>
          <w:rStyle w:val="FootnoteAnchor"/>
          <w:rtl w:val="true"/>
        </w:rPr>
        <w:footnoteReference w:id="446"/>
      </w:r>
      <w:r>
        <w:rPr>
          <w:rFonts w:ascii="IRNazanin" w:hAnsi="IRNazanin" w:eastAsia="IRNazanin"/>
          <w:color w:val="111111"/>
          <w:sz w:val="28"/>
          <w:sz w:val="28"/>
          <w:szCs w:val="28"/>
          <w:rtl w:val="true"/>
          <w:lang w:bidi="fa-IR"/>
        </w:rPr>
        <w:t>للاستقراء ، أو الوقف</w:t>
      </w:r>
      <w:r>
        <w:rPr>
          <w:rStyle w:val="FootnoteAnchor"/>
          <w:rtl w:val="true"/>
        </w:rPr>
        <w:footnoteReference w:id="447"/>
      </w:r>
      <w:r>
        <w:rPr>
          <w:rFonts w:ascii="Amiri" w:hAnsi="Amiri" w:eastAsia="Amiri" w:cs="Amiri"/>
          <w:color w:val="111111"/>
          <w:sz w:val="28"/>
          <w:sz w:val="28"/>
          <w:szCs w:val="28"/>
          <w:rtl w:val="true"/>
          <w:lang w:bidi="ar-SA"/>
        </w:rPr>
        <w:t>،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والأوجه تقديم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مرجع التعارض إلى تعارض العرف اللاحق والعرف السابق القريب من زمن الشارع</w:t>
      </w:r>
      <w:r>
        <w:rPr>
          <w:rStyle w:val="FootnoteAnchor"/>
          <w:rtl w:val="true"/>
        </w:rPr>
        <w:footnoteReference w:id="448"/>
      </w:r>
      <w:r>
        <w:rPr>
          <w:rFonts w:ascii="Amiri" w:hAnsi="Amiri" w:eastAsia="Amiri" w:cs="Amiri"/>
          <w:color w:val="111111"/>
          <w:sz w:val="28"/>
          <w:sz w:val="28"/>
          <w:szCs w:val="28"/>
          <w:rtl w:val="true"/>
          <w:lang w:bidi="ar-SA"/>
        </w:rPr>
        <w:t>، نعم لو قال اللغوي في اللغة كذا، وفي العرف كذا احتمل تقديم العرف</w:t>
      </w:r>
      <w:r>
        <w:rPr>
          <w:rFonts w:eastAsia="Amiri" w:cs="Amiri" w:ascii="Amiri" w:hAnsi="Amiri"/>
          <w:color w:val="111111"/>
          <w:sz w:val="28"/>
          <w:szCs w:val="28"/>
          <w:rtl w:val="true"/>
          <w:lang w:bidi="ar-SA"/>
        </w:rPr>
        <w:t xml:space="preserve">. </w:t>
      </w:r>
      <w:bookmarkStart w:id="163" w:name="pg9015_97482"/>
    </w:p>
    <w:p>
      <w:pPr>
        <w:pStyle w:val="Heading2"/>
        <w:numPr>
          <w:ilvl w:val="1"/>
          <w:numId w:val="1"/>
        </w:numPr>
        <w:rPr/>
      </w:pPr>
      <w:bookmarkStart w:id="164" w:name="__RefHeading___Toc2001423_2870459653"/>
      <w:bookmarkStart w:id="165" w:name="_Toc61"/>
      <w:bookmarkEnd w:id="163"/>
      <w:bookmarkEnd w:id="164"/>
      <w:r>
        <w:rPr>
          <w:rtl w:val="true"/>
        </w:rPr>
        <w:t xml:space="preserve">أصل </w:t>
      </w:r>
      <w:r>
        <w:rPr>
          <w:rtl w:val="true"/>
        </w:rPr>
        <w:t>[</w:t>
      </w:r>
      <w:r>
        <w:rPr>
          <w:rtl w:val="true"/>
        </w:rPr>
        <w:t>في تعارض عرف السائل والمسؤول</w:t>
      </w:r>
      <w:r>
        <w:rPr>
          <w:rtl w:val="true"/>
        </w:rPr>
        <w:t>]</w:t>
      </w:r>
      <w:bookmarkEnd w:id="165"/>
    </w:p>
    <w:p>
      <w:pPr>
        <w:pStyle w:val="BookText"/>
        <w:rPr/>
      </w:pPr>
      <w:r>
        <w:rPr>
          <w:rFonts w:ascii="Amiri" w:hAnsi="Amiri" w:eastAsia="Amiri" w:cs="Amiri"/>
          <w:color w:val="111111"/>
          <w:sz w:val="28"/>
          <w:sz w:val="28"/>
          <w:szCs w:val="28"/>
          <w:rtl w:val="true"/>
          <w:lang w:bidi="ar-SA"/>
        </w:rPr>
        <w:t>اذا تعارض عرف السائل والمسؤول، ففي تقديم عرف السائل</w:t>
      </w:r>
      <w:r>
        <w:rPr>
          <w:rStyle w:val="FootnoteAnchor"/>
          <w:rtl w:val="true"/>
        </w:rPr>
        <w:footnoteReference w:id="449"/>
      </w:r>
      <w:r>
        <w:rPr>
          <w:rFonts w:ascii="IRNazanin" w:hAnsi="IRNazanin" w:eastAsia="IRNazanin"/>
          <w:color w:val="111111"/>
          <w:sz w:val="28"/>
          <w:sz w:val="28"/>
          <w:szCs w:val="28"/>
          <w:rtl w:val="true"/>
          <w:lang w:bidi="fa-IR"/>
        </w:rPr>
        <w:t>، أو المسؤول</w:t>
      </w:r>
      <w:r>
        <w:rPr>
          <w:rStyle w:val="FootnoteAnchor"/>
          <w:rtl w:val="true"/>
        </w:rPr>
        <w:footnoteReference w:id="450"/>
      </w:r>
      <w:r>
        <w:rPr>
          <w:rFonts w:ascii="IRNazanin" w:hAnsi="IRNazanin" w:eastAsia="IRNazanin"/>
          <w:color w:val="111111"/>
          <w:sz w:val="28"/>
          <w:sz w:val="28"/>
          <w:szCs w:val="28"/>
          <w:rtl w:val="true"/>
          <w:lang w:bidi="fa-IR"/>
        </w:rPr>
        <w:t>، أو بلد السؤال مطلقاً</w:t>
      </w:r>
      <w:r>
        <w:rPr>
          <w:rStyle w:val="FootnoteAnchor"/>
          <w:rtl w:val="true"/>
        </w:rPr>
        <w:footnoteReference w:id="451"/>
      </w:r>
      <w:r>
        <w:rPr>
          <w:rFonts w:ascii="IRNazanin" w:hAnsi="IRNazanin" w:eastAsia="IRNazanin"/>
          <w:color w:val="111111"/>
          <w:sz w:val="28"/>
          <w:sz w:val="28"/>
          <w:szCs w:val="28"/>
          <w:rtl w:val="true"/>
          <w:lang w:bidi="fa-IR"/>
        </w:rPr>
        <w:t>، أو إن وافق عرف السائل، أو إن وافق عرف المسؤول، أو إن وافق عرف أحدهما</w:t>
      </w:r>
      <w:r>
        <w:rPr>
          <w:rStyle w:val="FootnoteAnchor"/>
          <w:rtl w:val="true"/>
        </w:rPr>
        <w:footnoteReference w:id="452"/>
      </w:r>
      <w:r>
        <w:rPr>
          <w:rFonts w:ascii="IRNazanin" w:hAnsi="IRNazanin" w:eastAsia="IRNazanin"/>
          <w:color w:val="111111"/>
          <w:sz w:val="28"/>
          <w:sz w:val="28"/>
          <w:szCs w:val="28"/>
          <w:rtl w:val="true"/>
          <w:lang w:bidi="fa-IR"/>
        </w:rPr>
        <w:t>، أو الوقف</w:t>
      </w:r>
      <w:r>
        <w:rPr>
          <w:rStyle w:val="FootnoteAnchor"/>
          <w:rtl w:val="true"/>
        </w:rPr>
        <w:footnoteReference w:id="453"/>
      </w:r>
      <w:r>
        <w:rPr>
          <w:rFonts w:ascii="Amiri" w:hAnsi="Amiri" w:eastAsia="Amiri" w:cs="Amiri"/>
          <w:color w:val="111111"/>
          <w:sz w:val="28"/>
          <w:sz w:val="28"/>
          <w:szCs w:val="28"/>
          <w:rtl w:val="true"/>
          <w:lang w:bidi="ar-SA"/>
        </w:rPr>
        <w:t xml:space="preserve">، أو غير ذلك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صور المسألة كثيرة </w:t>
      </w:r>
      <w:r>
        <w:rPr>
          <w:rStyle w:val="FootnoteAnchor"/>
          <w:rtl w:val="true"/>
        </w:rPr>
        <w:footnoteReference w:id="454"/>
      </w:r>
      <w:r>
        <w:rPr>
          <w:rFonts w:ascii="Amiri" w:hAnsi="Amiri" w:eastAsia="Amiri" w:cs="Amiri"/>
          <w:color w:val="111111"/>
          <w:sz w:val="28"/>
          <w:sz w:val="28"/>
          <w:szCs w:val="28"/>
          <w:rtl w:val="true"/>
          <w:lang w:bidi="ar-SA"/>
        </w:rPr>
        <w:t>؛ لأنّ كلاً من السائل والمسؤول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عالم باصطلاح الآخر أو جاهل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w:t>
      </w:r>
      <w:r>
        <w:rPr>
          <w:rStyle w:val="FootnoteAnchor"/>
          <w:rtl w:val="true"/>
        </w:rPr>
        <w:footnoteReference w:id="455"/>
      </w:r>
      <w:r>
        <w:rPr>
          <w:rFonts w:ascii="IRNazanin" w:hAnsi="IRNazanin" w:eastAsia="IRNazanin"/>
          <w:color w:val="111111"/>
          <w:sz w:val="28"/>
          <w:sz w:val="28"/>
          <w:szCs w:val="28"/>
          <w:rtl w:val="true"/>
          <w:lang w:bidi="fa-IR"/>
        </w:rPr>
        <w:t>عالمان، أو جاهلان، أو مختلفان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المسؤول العالم باصطلاح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يعتقد بأنّ السائل أيضاً يعلم اصطلاحه، أو يعتقد بعدم</w:t>
      </w:r>
      <w:r>
        <w:rPr>
          <w:rStyle w:val="FootnoteAnchor"/>
          <w:rtl w:val="true"/>
        </w:rPr>
        <w:footnoteReference w:id="456"/>
      </w:r>
      <w:r>
        <w:rPr>
          <w:rFonts w:ascii="Amiri" w:hAnsi="Amiri" w:eastAsia="Amiri" w:cs="Amiri"/>
          <w:color w:val="111111"/>
          <w:sz w:val="28"/>
          <w:sz w:val="28"/>
          <w:szCs w:val="28"/>
          <w:rtl w:val="true"/>
          <w:lang w:bidi="ar-SA"/>
        </w:rPr>
        <w:t>علمه، أو يشك ، أو</w:t>
      </w:r>
      <w:r>
        <w:rPr>
          <w:rStyle w:val="FootnoteAnchor"/>
          <w:rtl w:val="true"/>
        </w:rPr>
        <w:footnoteReference w:id="457"/>
      </w:r>
      <w:r>
        <w:rPr>
          <w:rFonts w:ascii="Amiri" w:hAnsi="Amiri" w:eastAsia="Amiri" w:cs="Amiri"/>
          <w:color w:val="111111"/>
          <w:sz w:val="28"/>
          <w:sz w:val="28"/>
          <w:szCs w:val="28"/>
          <w:rtl w:val="true"/>
          <w:lang w:bidi="ar-SA"/>
        </w:rPr>
        <w:t>لا يلتفت إلى غير ذلك من الأقسام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والمرجع في الكل بناء العرف، أو حكم القوة العاقلة، كما لو كان المسؤول جاهلاً باصطلاح السائل، فإنه لا يتصور عقلاً حمل كلامه على اصطلاحه</w:t>
      </w:r>
      <w:r>
        <w:rPr>
          <w:rFonts w:eastAsia="Amiri" w:cs="Amiri" w:ascii="Amiri" w:hAnsi="Amiri"/>
          <w:color w:val="111111"/>
          <w:sz w:val="28"/>
          <w:szCs w:val="28"/>
          <w:rtl w:val="true"/>
          <w:lang w:bidi="ar-SA"/>
        </w:rPr>
        <w:t xml:space="preserve">. </w:t>
      </w:r>
      <w:bookmarkStart w:id="166" w:name="pg9015_97483"/>
    </w:p>
    <w:p>
      <w:pPr>
        <w:pStyle w:val="Heading2"/>
        <w:numPr>
          <w:ilvl w:val="1"/>
          <w:numId w:val="1"/>
        </w:numPr>
        <w:rPr/>
      </w:pPr>
      <w:bookmarkStart w:id="167" w:name="__RefHeading___Toc2001425_2870459653"/>
      <w:bookmarkStart w:id="168" w:name="_Toc62"/>
      <w:bookmarkEnd w:id="166"/>
      <w:bookmarkEnd w:id="167"/>
      <w:r>
        <w:rPr>
          <w:rtl w:val="true"/>
        </w:rPr>
        <w:t xml:space="preserve">أصل </w:t>
      </w:r>
      <w:r>
        <w:rPr>
          <w:rtl w:val="true"/>
        </w:rPr>
        <w:t>[</w:t>
      </w:r>
      <w:r>
        <w:rPr>
          <w:rtl w:val="true"/>
        </w:rPr>
        <w:t>في إطلاق ألفاظ الموازين والمقادير</w:t>
      </w:r>
      <w:r>
        <w:rPr>
          <w:rtl w:val="true"/>
        </w:rPr>
        <w:t>]</w:t>
      </w:r>
      <w:bookmarkEnd w:id="168"/>
    </w:p>
    <w:p>
      <w:pPr>
        <w:pStyle w:val="BookText"/>
        <w:rPr/>
      </w:pPr>
      <w:r>
        <w:rPr>
          <w:rFonts w:ascii="Amiri" w:hAnsi="Amiri" w:eastAsia="Amiri" w:cs="Amiri"/>
          <w:color w:val="111111"/>
          <w:sz w:val="28"/>
          <w:sz w:val="28"/>
          <w:szCs w:val="28"/>
          <w:rtl w:val="true"/>
          <w:lang w:bidi="ar-SA"/>
        </w:rPr>
        <w:t xml:space="preserve">إطلاق ألفاظ الموازين والمقادير على الناقص أو الزائد بيسير إنما هو من باب المجاز؛ للتبادر وصحة السلب، ولزوم التسلسل لولاه </w:t>
      </w:r>
      <w:r>
        <w:rPr>
          <w:rStyle w:val="FootnoteAnchor"/>
          <w:rtl w:val="true"/>
        </w:rPr>
        <w:footnoteReference w:id="458"/>
      </w:r>
      <w:r>
        <w:rPr>
          <w:rFonts w:ascii="Amiri" w:hAnsi="Amiri" w:eastAsia="Amiri" w:cs="Amiri"/>
          <w:color w:val="111111"/>
          <w:sz w:val="28"/>
          <w:sz w:val="28"/>
          <w:szCs w:val="28"/>
          <w:rtl w:val="true"/>
          <w:lang w:bidi="ar-SA"/>
        </w:rPr>
        <w:t xml:space="preserve">، فلا تسامح في الشرعيات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حصل التسامح في العرفيات في الأمور الحقيرة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إما للاحتياط، أو للأصول اللفظية</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2001427_2870459653"/>
      <w:bookmarkStart w:id="170" w:name="_Toc63"/>
      <w:bookmarkEnd w:id="169"/>
      <w:r>
        <w:rPr>
          <w:rtl w:val="true"/>
        </w:rPr>
        <w:t xml:space="preserve">أصل </w:t>
      </w:r>
      <w:r>
        <w:rPr>
          <w:rtl w:val="true"/>
        </w:rPr>
        <w:t>[</w:t>
      </w:r>
      <w:r>
        <w:rPr>
          <w:rtl w:val="true"/>
        </w:rPr>
        <w:t>في المشتق</w:t>
      </w:r>
      <w:r>
        <w:rPr>
          <w:rtl w:val="true"/>
        </w:rPr>
        <w:t>]</w:t>
      </w:r>
      <w:bookmarkEnd w:id="170"/>
    </w:p>
    <w:p>
      <w:pPr>
        <w:pStyle w:val="Heading3"/>
        <w:numPr>
          <w:ilvl w:val="2"/>
          <w:numId w:val="1"/>
        </w:numPr>
        <w:rPr/>
      </w:pPr>
      <w:bookmarkStart w:id="171" w:name="__RefHeading___Toc2001429_2870459653"/>
      <w:bookmarkStart w:id="172" w:name="_Toc64"/>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ما أخذ من شيء آخر، بأن كان له مأخذ من الألفاظ، ويدخل فيه المصادر</w:t>
      </w:r>
      <w:r>
        <w:rPr>
          <w:rStyle w:val="FootnoteAnchor"/>
          <w:rtl w:val="true"/>
        </w:rPr>
        <w:footnoteReference w:id="459"/>
      </w:r>
      <w:r>
        <w:rPr>
          <w:rFonts w:ascii="IRNazanin" w:hAnsi="IRNazanin" w:eastAsia="IRNazanin"/>
          <w:color w:val="111111"/>
          <w:sz w:val="28"/>
          <w:sz w:val="28"/>
          <w:szCs w:val="28"/>
          <w:rtl w:val="true"/>
          <w:lang w:bidi="fa-IR"/>
        </w:rPr>
        <w:t>، و</w:t>
      </w:r>
      <w:r>
        <w:rPr>
          <w:rStyle w:val="FootnoteAnchor"/>
          <w:rtl w:val="true"/>
        </w:rPr>
        <w:footnoteReference w:id="460"/>
      </w:r>
      <w:r>
        <w:rPr>
          <w:rFonts w:ascii="Amiri" w:hAnsi="Amiri" w:eastAsia="Amiri" w:cs="Amiri"/>
          <w:color w:val="111111"/>
          <w:sz w:val="28"/>
          <w:sz w:val="28"/>
          <w:szCs w:val="28"/>
          <w:rtl w:val="true"/>
          <w:lang w:bidi="ar-SA"/>
        </w:rPr>
        <w:t>على خصوص الأسماء المشتقة، والكلام هنا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ان وضع المشتق نوعي</w:t>
      </w:r>
      <w:r>
        <w:rPr>
          <w:rStyle w:val="FootnoteAnchor"/>
          <w:rtl w:val="true"/>
        </w:rPr>
        <w:footnoteReference w:id="461"/>
      </w:r>
      <w:r>
        <w:rPr>
          <w:rFonts w:ascii="IRNazanin" w:hAnsi="IRNazanin" w:eastAsia="IRNazanin"/>
          <w:color w:val="111111"/>
          <w:sz w:val="28"/>
          <w:sz w:val="28"/>
          <w:szCs w:val="28"/>
          <w:rtl w:val="true"/>
          <w:lang w:bidi="fa-IR"/>
        </w:rPr>
        <w:t>حذراً من تعدّد الأوضاع، ولزوم اللغو والعسر، أو</w:t>
      </w:r>
      <w:r>
        <w:rPr>
          <w:rStyle w:val="FootnoteAnchor"/>
          <w:rtl w:val="true"/>
        </w:rPr>
        <w:footnoteReference w:id="462"/>
      </w:r>
      <w:r>
        <w:rPr>
          <w:rFonts w:ascii="IRNazanin" w:hAnsi="IRNazanin" w:eastAsia="IRNazanin"/>
          <w:color w:val="111111"/>
          <w:sz w:val="28"/>
          <w:sz w:val="28"/>
          <w:szCs w:val="28"/>
          <w:rtl w:val="true"/>
          <w:lang w:bidi="fa-IR"/>
        </w:rPr>
        <w:t>العذر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أن وضعه قابل لقسمين من الأقسام الستة المتصورة</w:t>
      </w:r>
      <w:r>
        <w:rPr>
          <w:rStyle w:val="FootnoteAnchor"/>
          <w:rtl w:val="true"/>
        </w:rPr>
        <w:footnoteReference w:id="463"/>
      </w:r>
      <w:r>
        <w:rPr>
          <w:rFonts w:ascii="Amiri" w:hAnsi="Amiri" w:eastAsia="Amiri" w:cs="Amiri"/>
          <w:color w:val="111111"/>
          <w:sz w:val="28"/>
          <w:sz w:val="28"/>
          <w:szCs w:val="28"/>
          <w:rtl w:val="true"/>
          <w:lang w:bidi="ar-SA"/>
        </w:rPr>
        <w:t xml:space="preserve">، وهما كون الموضوع له عاماً أصولياً،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الموضوع عاماً أصولياً</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أم منطقياً</w:t>
      </w:r>
      <w:r>
        <w:rPr>
          <w:rStyle w:val="FootnoteAnchor"/>
          <w:rtl w:val="true"/>
        </w:rPr>
        <w:footnoteReference w:id="465"/>
      </w:r>
      <w:r>
        <w:rPr>
          <w:rFonts w:ascii="IRNazanin" w:hAnsi="IRNazanin" w:eastAsia="IRNazanin"/>
          <w:color w:val="111111"/>
          <w:sz w:val="28"/>
          <w:sz w:val="28"/>
          <w:szCs w:val="28"/>
          <w:rtl w:val="true"/>
          <w:lang w:bidi="fa-IR"/>
        </w:rPr>
        <w:t xml:space="preserve">،و ان </w:t>
      </w:r>
    </w:p>
    <w:p>
      <w:pPr>
        <w:pStyle w:val="BookText"/>
        <w:rPr/>
      </w:pPr>
      <w:r>
        <w:rPr>
          <w:rFonts w:ascii="IRNazanin" w:hAnsi="IRNazanin" w:eastAsia="IRNazanin"/>
          <w:color w:val="111111"/>
          <w:sz w:val="28"/>
          <w:sz w:val="28"/>
          <w:szCs w:val="28"/>
          <w:rtl w:val="true"/>
          <w:lang w:bidi="fa-IR"/>
        </w:rPr>
        <w:t>الوضع عام والموضوع له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يطلق ويراد به الماضي، أو الاستقبال أو الحال، أو حال التلبس أو القدر</w:t>
      </w:r>
      <w:r>
        <w:rPr>
          <w:rStyle w:val="FootnoteAnchor"/>
          <w:rtl w:val="true"/>
        </w:rPr>
        <w:footnoteReference w:id="466"/>
      </w:r>
      <w:r>
        <w:rPr>
          <w:rFonts w:ascii="Amiri" w:hAnsi="Amiri" w:eastAsia="Amiri" w:cs="Amiri"/>
          <w:color w:val="111111"/>
          <w:sz w:val="28"/>
          <w:sz w:val="28"/>
          <w:szCs w:val="28"/>
          <w:rtl w:val="true"/>
          <w:lang w:bidi="ar-SA"/>
        </w:rPr>
        <w:t>المشترك بين الأول والثالث، أو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الحاليات، أو الملكات </w:t>
      </w:r>
      <w:r>
        <w:rPr>
          <w:rStyle w:val="FootnoteAnchor"/>
          <w:rtl w:val="true"/>
        </w:rPr>
        <w:footnoteReference w:id="467"/>
      </w:r>
      <w:r>
        <w:rPr>
          <w:rStyle w:val="FootnoteAnchor"/>
          <w:rtl w:val="true"/>
        </w:rPr>
        <w:footnoteReference w:id="468"/>
      </w:r>
      <w:r>
        <w:rPr>
          <w:rFonts w:ascii="IRNazanin" w:hAnsi="IRNazanin" w:eastAsia="IRNazanin"/>
          <w:color w:val="111111"/>
          <w:sz w:val="28"/>
          <w:sz w:val="28"/>
          <w:szCs w:val="28"/>
          <w:rtl w:val="true"/>
          <w:lang w:bidi="fa-IR"/>
        </w:rPr>
        <w:t>، أو الحرف</w:t>
      </w:r>
      <w:r>
        <w:rPr>
          <w:rStyle w:val="FootnoteAnchor"/>
          <w:rtl w:val="true"/>
        </w:rPr>
        <w:footnoteReference w:id="469"/>
      </w:r>
      <w:r>
        <w:rPr>
          <w:rFonts w:ascii="Amiri" w:hAnsi="Amiri" w:eastAsia="Amiri" w:cs="Amiri"/>
          <w:color w:val="111111"/>
          <w:sz w:val="28"/>
          <w:sz w:val="28"/>
          <w:szCs w:val="28"/>
          <w:rtl w:val="true"/>
          <w:lang w:bidi="ar-SA"/>
        </w:rPr>
        <w:t>، والنسبة بين الأخيرين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استعماله في كل من الماضي والمستقبل يتصور على وجوه أربعة</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إنه كان ضارباً في الأمس، بإرادة الزمان، والربط من نفس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انه ضارب في الأمس، بارادة الربط من اللفظ والزمان من الخارج، كقولك هو ضارب في 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 أن يراد به هذا المعنى أيضاً لكن يراد الزمان والربط من الخارج، ويستعمل المشتق في مطلق التلبس بالضرب بلا إرادة زمان وربط منه بل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المستقبل فيتصور فيه تلك الأربعة أيضاً</w:t>
      </w:r>
    </w:p>
    <w:p>
      <w:pPr>
        <w:pStyle w:val="BookText"/>
        <w:rPr/>
      </w:pPr>
      <w:r>
        <w:rPr>
          <w:rFonts w:ascii="Amiri" w:hAnsi="Amiri" w:eastAsia="Amiri" w:cs="Amiri"/>
          <w:color w:val="111111"/>
          <w:sz w:val="28"/>
          <w:sz w:val="28"/>
          <w:szCs w:val="28"/>
          <w:rtl w:val="true"/>
          <w:lang w:bidi="ar-SA"/>
        </w:rPr>
        <w:t>، وفي الحال على وجهين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ومحل النزاع من تلك الاستعمالات غير محرر </w:t>
      </w:r>
      <w:r>
        <w:rPr>
          <w:rFonts w:eastAsia="Amiri" w:cs="Amiri" w:ascii="Amiri" w:hAnsi="Amiri"/>
          <w:color w:val="111111"/>
          <w:sz w:val="28"/>
          <w:szCs w:val="28"/>
          <w:rtl w:val="true"/>
          <w:lang w:bidi="ar-SA"/>
        </w:rPr>
        <w:t>.</w:t>
      </w:r>
      <w:bookmarkStart w:id="173" w:name="pg9015_97485"/>
    </w:p>
    <w:p>
      <w:pPr>
        <w:pStyle w:val="Heading3"/>
        <w:numPr>
          <w:ilvl w:val="2"/>
          <w:numId w:val="1"/>
        </w:numPr>
        <w:rPr/>
      </w:pPr>
      <w:bookmarkStart w:id="174" w:name="__RefHeading___Toc2001431_2870459653"/>
      <w:bookmarkStart w:id="175" w:name="_Toc65"/>
      <w:bookmarkEnd w:id="173"/>
      <w:bookmarkEnd w:id="174"/>
      <w:r>
        <w:rPr>
          <w:rtl w:val="true"/>
        </w:rPr>
        <w:t>[</w:t>
      </w:r>
      <w:r>
        <w:rPr>
          <w:rtl w:val="true"/>
        </w:rPr>
        <w:t>تأسيس للأصل</w:t>
      </w:r>
      <w:r>
        <w:rPr>
          <w:rtl w:val="true"/>
        </w:rPr>
        <w:t>]</w:t>
      </w:r>
      <w:bookmarkEnd w:id="175"/>
    </w:p>
    <w:p>
      <w:pPr>
        <w:pStyle w:val="BookText"/>
        <w:rPr/>
      </w:pPr>
      <w:r>
        <w:rPr>
          <w:rFonts w:ascii="Amiri" w:hAnsi="Amiri" w:eastAsia="Amiri" w:cs="Amiri"/>
          <w:color w:val="111111"/>
          <w:sz w:val="28"/>
          <w:sz w:val="28"/>
          <w:szCs w:val="28"/>
          <w:rtl w:val="true"/>
          <w:lang w:bidi="ar-SA"/>
        </w:rPr>
        <w:t xml:space="preserve">والأصل فيه التوقف؛ لقاعدة التوظيف </w:t>
      </w:r>
      <w:r>
        <w:rPr>
          <w:rStyle w:val="FootnoteAnchor"/>
          <w:rtl w:val="true"/>
        </w:rPr>
        <w:footnoteReference w:id="471"/>
      </w:r>
      <w:r>
        <w:rPr>
          <w:rFonts w:ascii="Amiri" w:hAnsi="Amiri" w:eastAsia="Amiri" w:cs="Amiri"/>
          <w:color w:val="111111"/>
          <w:sz w:val="28"/>
          <w:sz w:val="28"/>
          <w:szCs w:val="28"/>
          <w:rtl w:val="true"/>
          <w:lang w:bidi="ar-SA"/>
        </w:rPr>
        <w:t>إن لم يكن في المسألة قدر متيقن في كونه حقيقة، وإلا نفينا الحقيقية</w:t>
      </w:r>
      <w:r>
        <w:rPr>
          <w:rStyle w:val="FootnoteAnchor"/>
          <w:rtl w:val="true"/>
        </w:rPr>
        <w:footnoteReference w:id="472"/>
      </w:r>
      <w:r>
        <w:rPr>
          <w:rFonts w:ascii="Amiri" w:hAnsi="Amiri" w:eastAsia="Amiri" w:cs="Amiri"/>
          <w:color w:val="111111"/>
          <w:sz w:val="28"/>
          <w:sz w:val="28"/>
          <w:szCs w:val="28"/>
          <w:rtl w:val="true"/>
          <w:lang w:bidi="ar-SA"/>
        </w:rPr>
        <w:t>فيما عداه بأصالة عدم الاشتراك</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2001433_2870459653"/>
      <w:bookmarkStart w:id="177" w:name="_Toc66"/>
      <w:bookmarkEnd w:id="176"/>
      <w:r>
        <w:rPr>
          <w:rtl w:val="true"/>
        </w:rPr>
        <w:t>[</w:t>
      </w:r>
      <w:r>
        <w:rPr>
          <w:rtl w:val="true"/>
        </w:rPr>
        <w:t>ثمرة المسألة</w:t>
      </w:r>
      <w:r>
        <w:rPr>
          <w:rtl w:val="true"/>
        </w:rPr>
        <w:t>]</w:t>
      </w:r>
      <w:bookmarkEnd w:id="177"/>
    </w:p>
    <w:p>
      <w:pPr>
        <w:pStyle w:val="Heading3"/>
        <w:numPr>
          <w:ilvl w:val="2"/>
          <w:numId w:val="1"/>
        </w:numPr>
        <w:rPr/>
      </w:pPr>
      <w:bookmarkStart w:id="178" w:name="__RefHeading___Toc2001435_2870459653"/>
      <w:bookmarkStart w:id="179" w:name="_Toc67"/>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وثمرة النزاع تظهر في كراهة البول تحت الشجرة المثمرة، فيختلف الحال بإرادة المثمرة فعلاً ، أو ملكة</w:t>
      </w:r>
      <w:r>
        <w:rPr>
          <w:rStyle w:val="FootnoteAnchor"/>
          <w:rtl w:val="true"/>
        </w:rPr>
        <w:footnoteReference w:id="473"/>
      </w:r>
      <w:r>
        <w:rPr>
          <w:rFonts w:ascii="Amiri" w:hAnsi="Amiri" w:eastAsia="Amiri" w:cs="Amiri"/>
          <w:color w:val="111111"/>
          <w:sz w:val="28"/>
          <w:sz w:val="28"/>
          <w:szCs w:val="28"/>
          <w:rtl w:val="true"/>
          <w:lang w:bidi="ar-SA"/>
        </w:rPr>
        <w:t>، أو نوعاً</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فيكون زمان الكراهة زمان وجود الثمرة على الشجرة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بالملكة فيكون زمان الكراهة زمان وجود ملكة الإثمار وإن لم تثمر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بالنوع، فيكون زمان الكراهة زمان وجود الشجرة قائمة وإن لم تثمر أبداً كفحل النخل مثلاً</w:t>
      </w:r>
    </w:p>
    <w:p>
      <w:pPr>
        <w:pStyle w:val="BookText"/>
        <w:rPr/>
      </w:pPr>
      <w:r>
        <w:rPr>
          <w:rFonts w:ascii="Amiri" w:hAnsi="Amiri" w:eastAsia="Amiri" w:cs="Amiri"/>
          <w:color w:val="111111"/>
          <w:sz w:val="28"/>
          <w:sz w:val="28"/>
          <w:szCs w:val="28"/>
          <w:rtl w:val="true"/>
          <w:lang w:bidi="ar-SA"/>
        </w:rPr>
        <w:t>وكذا في مثل استعمال سؤر آكل الجيف</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ذكروا في استعمال المشتق فيما انقضى عنه المبدأ أقوالاً كثيرة، وأطالوا الكلام في نقضها وإبرامها</w:t>
      </w:r>
      <w:r>
        <w:rPr>
          <w:rFonts w:eastAsia="Amiri" w:cs="Amiri" w:ascii="Amiri" w:hAnsi="Amiri"/>
          <w:color w:val="111111"/>
          <w:sz w:val="28"/>
          <w:szCs w:val="28"/>
          <w:rtl w:val="true"/>
          <w:lang w:bidi="ar-SA"/>
        </w:rPr>
        <w:t>.</w:t>
      </w:r>
      <w:r>
        <w:rPr>
          <w:rStyle w:val="FootnoteAnchor"/>
          <w:rtl w:val="true"/>
        </w:rPr>
        <w:footnoteReference w:id="476"/>
      </w:r>
      <w:bookmarkStart w:id="180" w:name="pg9015_97486"/>
    </w:p>
    <w:p>
      <w:pPr>
        <w:pStyle w:val="Heading3"/>
        <w:numPr>
          <w:ilvl w:val="2"/>
          <w:numId w:val="1"/>
        </w:numPr>
        <w:rPr/>
      </w:pPr>
      <w:bookmarkStart w:id="181" w:name="__RefHeading___Toc2001437_2870459653"/>
      <w:bookmarkStart w:id="182" w:name="_Toc68"/>
      <w:bookmarkEnd w:id="180"/>
      <w:bookmarkEnd w:id="181"/>
      <w:r>
        <w:rPr>
          <w:rtl w:val="true"/>
        </w:rPr>
        <w:t>[</w:t>
      </w:r>
      <w:r>
        <w:rPr>
          <w:rtl w:val="true"/>
        </w:rPr>
        <w:t>المختار في المسألة</w:t>
      </w:r>
      <w:r>
        <w:rPr>
          <w:rtl w:val="true"/>
        </w:rPr>
        <w:t>]</w:t>
      </w:r>
      <w:bookmarkEnd w:id="182"/>
    </w:p>
    <w:p>
      <w:pPr>
        <w:pStyle w:val="BookText"/>
        <w:rPr/>
      </w:pPr>
      <w:r>
        <w:rPr>
          <w:rFonts w:ascii="Amiri" w:hAnsi="Amiri" w:eastAsia="Amiri" w:cs="Amiri"/>
          <w:color w:val="111111"/>
          <w:sz w:val="28"/>
          <w:sz w:val="28"/>
          <w:szCs w:val="28"/>
          <w:rtl w:val="true"/>
          <w:lang w:bidi="ar-SA"/>
        </w:rPr>
        <w:t xml:space="preserve">والحق أن المشتق بنفسه لا يدل إلّا على اتصاف الذات بالمبدأ، وتلبسه به كائناً ما كان من دون مدخلية زمان من الأزمنة؛ وذلك للتبادر، وعدم صحة السلب، وإتفاق النحاة على افتراق الاسم من الفعل، بأن الأول لا يدل على الزمان وضعاً، بخلاف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وهذا نص بالنسبة إلى قولهم اسم الفاعل بمعنى الماضي كذا، وبمعنى المستقبل كذا؛ لاحتمال أن يكون المراد المعنى المجازي، وينفى الحقيقية</w:t>
      </w:r>
      <w:r>
        <w:rPr>
          <w:rStyle w:val="FootnoteAnchor"/>
          <w:rtl w:val="true"/>
        </w:rPr>
        <w:footnoteReference w:id="478"/>
      </w:r>
      <w:r>
        <w:rPr>
          <w:rFonts w:ascii="Amiri" w:hAnsi="Amiri" w:eastAsia="Amiri" w:cs="Amiri"/>
          <w:color w:val="111111"/>
          <w:sz w:val="28"/>
          <w:sz w:val="28"/>
          <w:szCs w:val="28"/>
          <w:rtl w:val="true"/>
          <w:lang w:bidi="ar-SA"/>
        </w:rPr>
        <w:t>فيما عدا ما ذكر بالأصل؛ حذراً من الاشتراك، وعملاً بتبادر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المستفاد من هيئة المشتق ليس إلا التلبس بالمبدأ، لكن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حاليّاً استفيد التلبس به أو ملكياً فكذلك، وهكذا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مقتضى القواعد اللغوية أن لا يفيد المشتق إلا الحال المقابل للملكة والحرفة؛ لما مرَّ من أنّ الهيئة لا تدل الا على التلبس بالمادة</w:t>
      </w:r>
      <w:r>
        <w:rPr>
          <w:rStyle w:val="FootnoteAnchor"/>
          <w:rtl w:val="true"/>
        </w:rPr>
        <w:footnoteReference w:id="479"/>
      </w:r>
      <w:r>
        <w:rPr>
          <w:rFonts w:ascii="Amiri" w:hAnsi="Amiri" w:eastAsia="Amiri" w:cs="Amiri"/>
          <w:color w:val="111111"/>
          <w:sz w:val="28"/>
          <w:sz w:val="28"/>
          <w:szCs w:val="28"/>
          <w:rtl w:val="true"/>
          <w:lang w:bidi="ar-SA"/>
        </w:rPr>
        <w:t xml:space="preserve">، ولا ريب أن المواد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كالضرب والعلم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Style w:val="FootnoteAnchor"/>
          <w:rtl w:val="true"/>
        </w:rPr>
        <w:footnoteReference w:id="480"/>
      </w:r>
      <w:r>
        <w:rPr>
          <w:rFonts w:ascii="Amiri" w:hAnsi="Amiri" w:eastAsia="Amiri" w:cs="Amiri"/>
          <w:color w:val="111111"/>
          <w:sz w:val="28"/>
          <w:sz w:val="28"/>
          <w:szCs w:val="28"/>
          <w:rtl w:val="true"/>
          <w:lang w:bidi="ar-SA"/>
        </w:rPr>
        <w:t xml:space="preserve">حاليات لا ملكيات، لكن في بعض المشتقات حصل النقل إلى الحرفة، كما في أغلب صيغ فعّال </w:t>
      </w:r>
      <w:r>
        <w:rPr>
          <w:rStyle w:val="FootnoteAnchor"/>
          <w:rtl w:val="true"/>
        </w:rPr>
        <w:footnoteReference w:id="481"/>
      </w:r>
      <w:r>
        <w:rPr>
          <w:rFonts w:ascii="Amiri" w:hAnsi="Amiri" w:eastAsia="Amiri" w:cs="Amiri"/>
          <w:color w:val="111111"/>
          <w:sz w:val="28"/>
          <w:sz w:val="28"/>
          <w:szCs w:val="28"/>
          <w:rtl w:val="true"/>
          <w:lang w:bidi="ar-SA"/>
        </w:rPr>
        <w:t xml:space="preserve">، وفي بعضها قد استعملت في الحرفة والملكة، بحيث صارت مشتركة بين الاثنين </w:t>
      </w:r>
      <w:r>
        <w:rPr>
          <w:rStyle w:val="FootnoteAnchor"/>
          <w:rtl w:val="true"/>
        </w:rPr>
        <w:footnoteReference w:id="482"/>
      </w:r>
      <w:r>
        <w:rPr>
          <w:rFonts w:ascii="Amiri" w:hAnsi="Amiri" w:eastAsia="Amiri" w:cs="Amiri"/>
          <w:color w:val="111111"/>
          <w:sz w:val="28"/>
          <w:sz w:val="28"/>
          <w:szCs w:val="28"/>
          <w:rtl w:val="true"/>
          <w:lang w:bidi="ar-SA"/>
        </w:rPr>
        <w:t>، أو الثلاثة، كما في القارئ فانه يراد منه الحال والملكة والحرفة</w:t>
      </w:r>
      <w:r>
        <w:rPr>
          <w:rStyle w:val="FootnoteAnchor"/>
          <w:rtl w:val="true"/>
        </w:rPr>
        <w:footnoteReference w:id="483"/>
      </w:r>
      <w:r>
        <w:rPr>
          <w:rFonts w:ascii="IRNazanin" w:hAnsi="IRNazanin" w:eastAsia="IRNazanin"/>
          <w:color w:val="111111"/>
          <w:sz w:val="28"/>
          <w:sz w:val="28"/>
          <w:szCs w:val="28"/>
          <w:rtl w:val="true"/>
          <w:lang w:bidi="fa-IR"/>
        </w:rPr>
        <w:t>، و</w:t>
      </w:r>
      <w:r>
        <w:rPr>
          <w:rStyle w:val="FootnoteAnchor"/>
          <w:rtl w:val="true"/>
        </w:rPr>
        <w:footnoteReference w:id="484"/>
      </w:r>
      <w:r>
        <w:rPr>
          <w:rFonts w:ascii="Amiri" w:hAnsi="Amiri" w:eastAsia="Amiri" w:cs="Amiri"/>
          <w:color w:val="111111"/>
          <w:sz w:val="28"/>
          <w:sz w:val="28"/>
          <w:szCs w:val="28"/>
          <w:rtl w:val="true"/>
          <w:lang w:bidi="ar-SA"/>
        </w:rPr>
        <w:t>في أي منها استعمل كان حقيقة؛ لعدم صحة السلب، فلا بد من ملاحظة الموارد</w:t>
      </w:r>
      <w:r>
        <w:rPr>
          <w:rFonts w:eastAsia="Amiri" w:cs="Amiri" w:ascii="Amiri" w:hAnsi="Amiri"/>
          <w:color w:val="111111"/>
          <w:sz w:val="28"/>
          <w:szCs w:val="28"/>
          <w:rtl w:val="true"/>
          <w:lang w:bidi="ar-SA"/>
        </w:rPr>
        <w:t xml:space="preserve">. </w:t>
      </w:r>
      <w:bookmarkStart w:id="183" w:name="pg9015_97487"/>
    </w:p>
    <w:p>
      <w:pPr>
        <w:pStyle w:val="Heading2"/>
        <w:numPr>
          <w:ilvl w:val="1"/>
          <w:numId w:val="1"/>
        </w:numPr>
        <w:rPr/>
      </w:pPr>
      <w:bookmarkStart w:id="184" w:name="__RefHeading___Toc2001439_2870459653"/>
      <w:bookmarkStart w:id="185" w:name="_Toc69"/>
      <w:bookmarkEnd w:id="183"/>
      <w:bookmarkEnd w:id="184"/>
      <w:r>
        <w:rPr>
          <w:rtl w:val="true"/>
        </w:rPr>
        <w:t xml:space="preserve">أصل </w:t>
      </w:r>
      <w:r>
        <w:rPr>
          <w:rtl w:val="true"/>
        </w:rPr>
        <w:t>[</w:t>
      </w:r>
      <w:r>
        <w:rPr>
          <w:rtl w:val="true"/>
        </w:rPr>
        <w:t>في مادة الأمر</w:t>
      </w:r>
      <w:r>
        <w:rPr>
          <w:rtl w:val="true"/>
        </w:rPr>
        <w:t>]</w:t>
      </w:r>
      <w:bookmarkEnd w:id="18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مادة الأمر حقيقة في طلب المستعلي علا</w:t>
      </w:r>
      <w:r>
        <w:rPr>
          <w:rStyle w:val="FootnoteAnchor"/>
          <w:rtl w:val="true"/>
        </w:rPr>
        <w:footnoteReference w:id="485"/>
      </w:r>
      <w:r>
        <w:rPr>
          <w:rFonts w:ascii="IRNazanin" w:hAnsi="IRNazanin" w:eastAsia="IRNazanin"/>
          <w:color w:val="111111"/>
          <w:sz w:val="28"/>
          <w:sz w:val="28"/>
          <w:szCs w:val="28"/>
          <w:rtl w:val="true"/>
          <w:lang w:bidi="fa-IR"/>
        </w:rPr>
        <w:t>أم لا</w:t>
      </w:r>
      <w:r>
        <w:rPr>
          <w:rStyle w:val="FootnoteAnchor"/>
          <w:rtl w:val="true"/>
        </w:rPr>
        <w:footnoteReference w:id="486"/>
      </w:r>
      <w:r>
        <w:rPr>
          <w:rStyle w:val="FootnoteAnchor"/>
          <w:rtl w:val="true"/>
        </w:rPr>
        <w:footnoteReference w:id="487"/>
      </w:r>
      <w:r>
        <w:rPr>
          <w:rFonts w:ascii="Amiri" w:hAnsi="Amiri" w:eastAsia="Amiri" w:cs="Amiri"/>
          <w:color w:val="111111"/>
          <w:sz w:val="28"/>
          <w:sz w:val="28"/>
          <w:szCs w:val="28"/>
          <w:rtl w:val="true"/>
          <w:lang w:bidi="ar-SA"/>
        </w:rPr>
        <w:t>للتبادر بضميمة عدم صحة السلب، فتبادر المستعلي</w:t>
      </w:r>
      <w:r>
        <w:rPr>
          <w:rStyle w:val="FootnoteAnchor"/>
          <w:rtl w:val="true"/>
        </w:rPr>
        <w:footnoteReference w:id="488"/>
      </w:r>
      <w:r>
        <w:rPr>
          <w:rFonts w:ascii="Amiri" w:hAnsi="Amiri" w:eastAsia="Amiri" w:cs="Amiri"/>
          <w:color w:val="111111"/>
          <w:sz w:val="28"/>
          <w:sz w:val="28"/>
          <w:szCs w:val="28"/>
          <w:rtl w:val="true"/>
          <w:lang w:bidi="ar-SA"/>
        </w:rPr>
        <w:t>العالي إطلاقي</w:t>
      </w:r>
      <w:r>
        <w:rPr>
          <w:rStyle w:val="FootnoteAnchor"/>
          <w:rtl w:val="true"/>
        </w:rPr>
        <w:footnoteReference w:id="489"/>
      </w:r>
      <w:r>
        <w:rPr>
          <w:rFonts w:ascii="Amiri" w:hAnsi="Amiri" w:eastAsia="Amiri" w:cs="Amiri"/>
          <w:color w:val="111111"/>
          <w:sz w:val="28"/>
          <w:sz w:val="28"/>
          <w:szCs w:val="28"/>
          <w:rtl w:val="true"/>
          <w:lang w:bidi="ar-SA"/>
        </w:rPr>
        <w:t xml:space="preserve">، كما أن تبادر القول إطلاقي؛ لعدم صحة السّلب عن الطلب بالإشارة أو الكتابة، أو في الرؤيا، كما في الآية </w:t>
      </w:r>
      <w:r>
        <w:rPr>
          <w:rStyle w:val="FootnoteAnchor"/>
          <w:rtl w:val="true"/>
        </w:rPr>
        <w:footnoteReference w:id="490"/>
      </w:r>
      <w:r>
        <w:rPr>
          <w:rFonts w:ascii="Amiri" w:hAnsi="Amiri" w:eastAsia="Amiri" w:cs="Amiri"/>
          <w:color w:val="111111"/>
          <w:sz w:val="28"/>
          <w:sz w:val="28"/>
          <w:szCs w:val="28"/>
          <w:rtl w:val="true"/>
          <w:lang w:bidi="ar-SA"/>
        </w:rPr>
        <w:t>، ويختص وضعاً بالطلب الإيجابي</w:t>
      </w:r>
      <w:r>
        <w:rPr>
          <w:rStyle w:val="FootnoteAnchor"/>
          <w:rtl w:val="true"/>
        </w:rPr>
        <w:footnoteReference w:id="491"/>
      </w:r>
      <w:r>
        <w:rPr>
          <w:rStyle w:val="FootnoteAnchor"/>
          <w:rtl w:val="true"/>
        </w:rPr>
        <w:footnoteReference w:id="492"/>
      </w:r>
      <w:r>
        <w:rPr>
          <w:rFonts w:ascii="Amiri" w:hAnsi="Amiri" w:eastAsia="Amiri" w:cs="Amiri"/>
          <w:color w:val="111111"/>
          <w:sz w:val="28"/>
          <w:sz w:val="28"/>
          <w:szCs w:val="28"/>
          <w:rtl w:val="true"/>
          <w:lang w:bidi="ar-SA"/>
        </w:rPr>
        <w:t>للتبادر وذم التارك، والعلو لا يصير قرينة على الإيجاب،كما هو ظاهر</w:t>
      </w:r>
      <w:r>
        <w:rPr>
          <w:rStyle w:val="FootnoteAnchor"/>
          <w:rtl w:val="true"/>
        </w:rPr>
        <w:footnoteReference w:id="493"/>
      </w:r>
      <w:r>
        <w:rPr>
          <w:rFonts w:ascii="Amiri" w:hAnsi="Amiri" w:eastAsia="Amiri" w:cs="Amiri"/>
          <w:color w:val="111111"/>
          <w:sz w:val="28"/>
          <w:sz w:val="28"/>
          <w:szCs w:val="28"/>
          <w:rtl w:val="true"/>
          <w:lang w:bidi="ar-SA"/>
        </w:rPr>
        <w:t xml:space="preserve">، ولصحة السلب عن الطلب الندبي، ولخبر بريرة عن الطلب الندبي، والخبر بريرة </w:t>
      </w:r>
      <w:r>
        <w:rPr>
          <w:rStyle w:val="FootnoteAnchor"/>
          <w:rtl w:val="true"/>
        </w:rPr>
        <w:footnoteReference w:id="494"/>
      </w:r>
      <w:r>
        <w:rPr>
          <w:rFonts w:ascii="Amiri" w:hAnsi="Amiri" w:eastAsia="Amiri" w:cs="Amiri"/>
          <w:color w:val="111111"/>
          <w:sz w:val="28"/>
          <w:sz w:val="28"/>
          <w:szCs w:val="28"/>
          <w:rtl w:val="true"/>
          <w:lang w:bidi="ar-SA"/>
        </w:rPr>
        <w:t>، وخبر السواك</w:t>
      </w:r>
      <w:r>
        <w:rPr>
          <w:rStyle w:val="FootnoteAnchor"/>
          <w:rtl w:val="true"/>
        </w:rPr>
        <w:footnoteReference w:id="495"/>
      </w:r>
      <w:r>
        <w:rPr>
          <w:rFonts w:ascii="IRNazanin" w:hAnsi="IRNazanin" w:eastAsia="IRNazanin"/>
          <w:color w:val="111111"/>
          <w:sz w:val="28"/>
          <w:sz w:val="28"/>
          <w:szCs w:val="28"/>
          <w:rtl w:val="true"/>
          <w:lang w:bidi="fa-IR"/>
        </w:rPr>
        <w:t xml:space="preserve">، </w:t>
      </w:r>
      <w:bookmarkStart w:id="186" w:name="pg9015_97488"/>
    </w:p>
    <w:p>
      <w:pPr>
        <w:pStyle w:val="BookText"/>
        <w:rPr/>
      </w:pPr>
      <w:bookmarkEnd w:id="186"/>
      <w:r>
        <w:rPr>
          <w:rFonts w:ascii="Amiri" w:hAnsi="Amiri" w:eastAsia="Amiri" w:cs="Amiri"/>
          <w:color w:val="111111"/>
          <w:sz w:val="28"/>
          <w:sz w:val="28"/>
          <w:szCs w:val="28"/>
          <w:rtl w:val="true"/>
          <w:lang w:bidi="ar-SA"/>
        </w:rPr>
        <w:t>ودليل الخصم خال عن الدّلالة</w:t>
      </w:r>
      <w:r>
        <w:rPr>
          <w:rStyle w:val="FootnoteAnchor"/>
          <w:rtl w:val="true"/>
        </w:rPr>
        <w:footnoteReference w:id="496"/>
      </w:r>
      <w:r>
        <w:rPr>
          <w:rFonts w:ascii="Amiri" w:hAnsi="Amiri" w:eastAsia="Amiri" w:cs="Amiri"/>
          <w:color w:val="111111"/>
          <w:sz w:val="28"/>
          <w:sz w:val="28"/>
          <w:szCs w:val="28"/>
          <w:rtl w:val="true"/>
          <w:lang w:bidi="ar-SA"/>
        </w:rPr>
        <w:t xml:space="preserve">، ولو دل لم يكافئ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استعماله في مثل الشأن والفعل مجاز</w:t>
      </w:r>
      <w:r>
        <w:rPr>
          <w:rStyle w:val="FootnoteAnchor"/>
          <w:rtl w:val="true"/>
        </w:rPr>
        <w:footnoteReference w:id="497"/>
      </w:r>
      <w:r>
        <w:rPr>
          <w:rFonts w:ascii="Amiri" w:hAnsi="Amiri" w:eastAsia="Amiri" w:cs="Amiri"/>
          <w:color w:val="111111"/>
          <w:sz w:val="28"/>
          <w:sz w:val="28"/>
          <w:szCs w:val="28"/>
          <w:rtl w:val="true"/>
          <w:lang w:bidi="ar-SA"/>
        </w:rPr>
        <w:t>لتبادر خصوص الطلب، وصحة السلب عن</w:t>
      </w:r>
      <w:r>
        <w:rPr>
          <w:rStyle w:val="FootnoteAnchor"/>
          <w:rtl w:val="true"/>
        </w:rPr>
        <w:footnoteReference w:id="498"/>
      </w:r>
      <w:r>
        <w:rPr>
          <w:rFonts w:ascii="Amiri" w:hAnsi="Amiri" w:eastAsia="Amiri" w:cs="Amiri"/>
          <w:color w:val="111111"/>
          <w:sz w:val="28"/>
          <w:sz w:val="28"/>
          <w:szCs w:val="28"/>
          <w:rtl w:val="true"/>
          <w:lang w:bidi="ar-SA"/>
        </w:rPr>
        <w:t xml:space="preserve">غيره، ولفقد الجامع القريب بين الطلب ، وبينهما، والأصل عدم الاشتراك اللفظي، وللاشتقاق </w:t>
      </w:r>
      <w:r>
        <w:rPr>
          <w:rStyle w:val="FootnoteAnchor"/>
          <w:rtl w:val="true"/>
        </w:rPr>
        <w:footnoteReference w:id="499"/>
      </w:r>
      <w:r>
        <w:rPr>
          <w:rFonts w:ascii="IRNazanin" w:hAnsi="IRNazanin" w:eastAsia="IRNazanin"/>
          <w:color w:val="111111"/>
          <w:sz w:val="28"/>
          <w:sz w:val="28"/>
          <w:szCs w:val="28"/>
          <w:rtl w:val="true"/>
          <w:lang w:bidi="fa-IR"/>
        </w:rPr>
        <w:t>، واختلاف الجمع</w:t>
      </w:r>
      <w:r>
        <w:rPr>
          <w:rStyle w:val="FootnoteAnchor"/>
          <w:rtl w:val="true"/>
        </w:rPr>
        <w:footnoteReference w:id="500"/>
      </w:r>
      <w:r>
        <w:rPr>
          <w:rFonts w:ascii="Amiri" w:hAnsi="Amiri" w:eastAsia="Amiri" w:cs="Amiri"/>
          <w:color w:val="111111"/>
          <w:sz w:val="28"/>
          <w:sz w:val="28"/>
          <w:szCs w:val="28"/>
          <w:rtl w:val="true"/>
          <w:lang w:bidi="ar-SA"/>
        </w:rPr>
        <w:t>، وفي الأخيرين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أمرني بالترك حقيقة؛ للتبادر ، كما </w:t>
      </w:r>
      <w:r>
        <w:rPr>
          <w:rStyle w:val="FootnoteAnchor"/>
          <w:rtl w:val="true"/>
        </w:rPr>
        <w:footnoteReference w:id="501"/>
      </w:r>
      <w:r>
        <w:rPr>
          <w:rFonts w:ascii="Amiri" w:hAnsi="Amiri" w:eastAsia="Amiri" w:cs="Amiri"/>
          <w:color w:val="111111"/>
          <w:sz w:val="28"/>
          <w:sz w:val="28"/>
          <w:szCs w:val="28"/>
          <w:rtl w:val="true"/>
          <w:lang w:bidi="ar-SA"/>
        </w:rPr>
        <w:t>إن نهاني عن الترك حقيقة</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2001441_2870459653"/>
      <w:bookmarkStart w:id="188" w:name="_Toc70"/>
      <w:bookmarkEnd w:id="187"/>
      <w:r>
        <w:rPr>
          <w:rtl w:val="true"/>
        </w:rPr>
        <w:t xml:space="preserve">أصل </w:t>
      </w:r>
      <w:r>
        <w:rPr>
          <w:rtl w:val="true"/>
        </w:rPr>
        <w:t>[</w:t>
      </w:r>
      <w:r>
        <w:rPr>
          <w:rtl w:val="true"/>
        </w:rPr>
        <w:t>في صيغة الأمر</w:t>
      </w:r>
      <w:r>
        <w:rPr>
          <w:rtl w:val="true"/>
        </w:rPr>
        <w:t>]</w:t>
      </w:r>
      <w:bookmarkEnd w:id="188"/>
    </w:p>
    <w:p>
      <w:pPr>
        <w:pStyle w:val="Heading3"/>
        <w:numPr>
          <w:ilvl w:val="2"/>
          <w:numId w:val="1"/>
        </w:numPr>
        <w:rPr/>
      </w:pPr>
      <w:bookmarkStart w:id="189" w:name="__RefHeading___Toc2001443_2870459653"/>
      <w:bookmarkStart w:id="190" w:name="_Toc71"/>
      <w:bookmarkEnd w:id="189"/>
      <w:r>
        <w:rPr>
          <w:rtl w:val="true"/>
        </w:rPr>
        <w:t>اشارة</w:t>
      </w:r>
      <w:bookmarkEnd w:id="19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صيغة افعل وما في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كالمزيد، وأمر</w:t>
      </w:r>
      <w:r>
        <w:rPr>
          <w:rStyle w:val="FootnoteAnchor"/>
          <w:rtl w:val="true"/>
        </w:rPr>
        <w:footnoteReference w:id="502"/>
      </w:r>
      <w:r>
        <w:rPr>
          <w:rFonts w:ascii="Amiri" w:hAnsi="Amiri" w:eastAsia="Amiri" w:cs="Amiri"/>
          <w:color w:val="111111"/>
          <w:sz w:val="28"/>
          <w:sz w:val="28"/>
          <w:szCs w:val="28"/>
          <w:rtl w:val="true"/>
          <w:lang w:bidi="ar-SA"/>
        </w:rPr>
        <w:t>الغائب، وأسماء الأفعال، لا مثل الجمل الخبرية المؤولة</w:t>
      </w:r>
      <w:r>
        <w:rPr>
          <w:rStyle w:val="FootnoteAnchor"/>
          <w:rtl w:val="true"/>
        </w:rPr>
        <w:footnoteReference w:id="503"/>
      </w:r>
      <w:r>
        <w:rPr>
          <w:rFonts w:ascii="Amiri" w:hAnsi="Amiri" w:eastAsia="Amiri" w:cs="Amiri"/>
          <w:color w:val="111111"/>
          <w:sz w:val="28"/>
          <w:sz w:val="28"/>
          <w:szCs w:val="28"/>
          <w:rtl w:val="true"/>
          <w:lang w:bidi="ar-SA"/>
        </w:rPr>
        <w:t xml:space="preserve">إلى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الوجوب على الأصح</w:t>
      </w:r>
      <w:r>
        <w:rPr>
          <w:rStyle w:val="FootnoteAnchor"/>
          <w:rtl w:val="true"/>
        </w:rPr>
        <w:footnoteReference w:id="50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الطلب مع عدم الرضا بالترك، عالياً كان الطالب </w:t>
      </w:r>
      <w:r>
        <w:rPr>
          <w:rStyle w:val="FootnoteAnchor"/>
          <w:rtl w:val="true"/>
        </w:rPr>
        <w:footnoteReference w:id="505"/>
      </w:r>
      <w:r>
        <w:rPr>
          <w:rFonts w:ascii="Amiri" w:hAnsi="Amiri" w:eastAsia="Amiri" w:cs="Amiri"/>
          <w:color w:val="111111"/>
          <w:sz w:val="28"/>
          <w:sz w:val="28"/>
          <w:szCs w:val="28"/>
          <w:rtl w:val="true"/>
          <w:lang w:bidi="ar-SA"/>
        </w:rPr>
        <w:t xml:space="preserve">أم مستعلياً </w:t>
      </w:r>
      <w:r>
        <w:rPr>
          <w:rStyle w:val="FootnoteAnchor"/>
          <w:rtl w:val="true"/>
        </w:rPr>
        <w:footnoteReference w:id="506"/>
      </w:r>
      <w:r>
        <w:rPr>
          <w:rFonts w:ascii="IRNazanin" w:hAnsi="IRNazanin" w:eastAsia="IRNazanin"/>
          <w:color w:val="111111"/>
          <w:sz w:val="28"/>
          <w:sz w:val="28"/>
          <w:szCs w:val="28"/>
          <w:rtl w:val="true"/>
          <w:lang w:bidi="fa-IR"/>
        </w:rPr>
        <w:t xml:space="preserve">، أم لا؛ للتبادر </w:t>
      </w:r>
    </w:p>
    <w:p>
      <w:pPr>
        <w:pStyle w:val="BookText"/>
        <w:rPr/>
      </w:pPr>
      <w:r>
        <w:rPr>
          <w:rFonts w:ascii="Amiri" w:hAnsi="Amiri" w:eastAsia="Amiri" w:cs="Amiri"/>
          <w:color w:val="111111"/>
          <w:sz w:val="28"/>
          <w:sz w:val="28"/>
          <w:szCs w:val="28"/>
          <w:rtl w:val="true"/>
          <w:lang w:bidi="ar-SA"/>
        </w:rPr>
        <w:t>فيكون مدلول الصيغة أعمّ مطلقاً من مدلول المادة</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واحتج الأكثرون على الوجوب بذم العبد إذا لم يفعل بعد قول المولى له</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من غير قرينة، والعلو لا يصير قرينة؛ إذ النسبة بينه وبين الوجوب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والمراد بالأمر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xml:space="preserve">، والاستفهام إنكاري بحكم العقل </w:t>
      </w:r>
      <w:r>
        <w:rPr>
          <w:rStyle w:val="FootnoteAnchor"/>
          <w:rtl w:val="true"/>
        </w:rPr>
        <w:footnoteReference w:id="511"/>
      </w:r>
      <w:r>
        <w:rPr>
          <w:rFonts w:ascii="Amiri" w:hAnsi="Amiri" w:eastAsia="Amiri" w:cs="Amiri"/>
          <w:color w:val="111111"/>
          <w:sz w:val="28"/>
          <w:sz w:val="28"/>
          <w:szCs w:val="28"/>
          <w:rtl w:val="true"/>
          <w:lang w:bidi="ar-SA"/>
        </w:rPr>
        <w:t>، والأصل عدم القرينة يوم الخطاب حالية و</w:t>
      </w:r>
      <w:r>
        <w:rPr>
          <w:rStyle w:val="FootnoteAnchor"/>
          <w:rtl w:val="true"/>
        </w:rPr>
        <w:footnoteReference w:id="512"/>
      </w:r>
      <w:r>
        <w:rPr>
          <w:rFonts w:ascii="Amiri" w:hAnsi="Amiri" w:eastAsia="Amiri" w:cs="Amiri"/>
          <w:color w:val="111111"/>
          <w:sz w:val="28"/>
          <w:sz w:val="28"/>
          <w:szCs w:val="28"/>
          <w:rtl w:val="true"/>
          <w:lang w:bidi="ar-SA"/>
        </w:rPr>
        <w:t xml:space="preserve">مقالية </w:t>
      </w:r>
      <w:r>
        <w:rPr>
          <w:rStyle w:val="FootnoteAnchor"/>
          <w:rtl w:val="true"/>
        </w:rPr>
        <w:footnoteReference w:id="513"/>
      </w:r>
      <w:r>
        <w:rPr>
          <w:rFonts w:ascii="IRNazanin" w:hAnsi="IRNazanin" w:eastAsia="IRNazanin"/>
          <w:color w:val="111111"/>
          <w:sz w:val="28"/>
          <w:sz w:val="28"/>
          <w:szCs w:val="28"/>
          <w:rtl w:val="true"/>
          <w:lang w:bidi="fa-IR"/>
        </w:rPr>
        <w:t>؛ لبناء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في مقام توهم الحظر؛ فلا يفيد الوجوب</w:t>
      </w:r>
      <w:r>
        <w:rPr>
          <w:rStyle w:val="FootnoteAnchor"/>
          <w:rtl w:val="true"/>
        </w:rPr>
        <w:footnoteReference w:id="514"/>
      </w:r>
      <w:r>
        <w:rPr>
          <w:rFonts w:ascii="Amiri" w:hAnsi="Amiri" w:eastAsia="Amiri" w:cs="Amiri"/>
          <w:color w:val="111111"/>
          <w:sz w:val="28"/>
          <w:sz w:val="28"/>
          <w:szCs w:val="28"/>
          <w:rtl w:val="true"/>
          <w:lang w:bidi="ar-SA"/>
        </w:rPr>
        <w:t>إلا بالقرينة، فلا يتم الاستدلال، ممنوع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لم يتعلق بنفس المحظور</w:t>
      </w:r>
      <w:r>
        <w:rPr>
          <w:rStyle w:val="FootnoteAnchor"/>
          <w:rtl w:val="true"/>
        </w:rPr>
        <w:footnoteReference w:id="515"/>
      </w:r>
      <w:r>
        <w:rPr>
          <w:rFonts w:ascii="Amiri" w:hAnsi="Amiri" w:eastAsia="Amiri" w:cs="Amiri"/>
          <w:color w:val="111111"/>
          <w:sz w:val="28"/>
          <w:sz w:val="28"/>
          <w:szCs w:val="28"/>
          <w:rtl w:val="true"/>
          <w:lang w:bidi="ar-SA"/>
        </w:rPr>
        <w:t xml:space="preserve">، وجعل كلمة الاستفهام حقيقة في الأعم من طلب الفهم للنفس وللغير </w:t>
      </w:r>
      <w:r>
        <w:rPr>
          <w:rStyle w:val="FootnoteAnchor"/>
          <w:rtl w:val="true"/>
        </w:rPr>
        <w:footnoteReference w:id="516"/>
      </w:r>
      <w:r>
        <w:rPr>
          <w:rFonts w:ascii="Amiri" w:hAnsi="Amiri" w:eastAsia="Amiri" w:cs="Amiri"/>
          <w:color w:val="111111"/>
          <w:sz w:val="28"/>
          <w:sz w:val="28"/>
          <w:szCs w:val="28"/>
          <w:rtl w:val="true"/>
          <w:lang w:bidi="ar-SA"/>
        </w:rPr>
        <w:t xml:space="preserve">ينفيه التبادر، ولا ملازمة بين المادة </w:t>
      </w:r>
    </w:p>
    <w:p>
      <w:pPr>
        <w:pStyle w:val="BookText"/>
        <w:rPr/>
      </w:pPr>
      <w:r>
        <w:rPr>
          <w:rFonts w:ascii="Amiri" w:hAnsi="Amiri" w:eastAsia="Amiri" w:cs="Amiri"/>
          <w:color w:val="111111"/>
          <w:sz w:val="28"/>
          <w:sz w:val="28"/>
          <w:szCs w:val="28"/>
          <w:rtl w:val="true"/>
          <w:lang w:bidi="ar-SA"/>
        </w:rPr>
        <w:t xml:space="preserve">والصيغة في الحقيقة والمجاز </w:t>
      </w:r>
      <w:r>
        <w:rPr>
          <w:rStyle w:val="FootnoteAnchor"/>
          <w:rtl w:val="true"/>
        </w:rPr>
        <w:footnoteReference w:id="517"/>
      </w:r>
      <w:r>
        <w:rPr>
          <w:rFonts w:ascii="Amiri" w:hAnsi="Amiri" w:eastAsia="Amiri" w:cs="Amiri"/>
          <w:color w:val="111111"/>
          <w:sz w:val="28"/>
          <w:sz w:val="28"/>
          <w:szCs w:val="28"/>
          <w:rtl w:val="true"/>
          <w:lang w:bidi="ar-SA"/>
        </w:rPr>
        <w:t xml:space="preserve">، وحمل الاستفهام على التقريري للأقربية الاعتبارية، يدفعه كون الإنكاري أقرب عرفاً، وحمل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النقل بالمعنى، بعيد مخالف للظاهر </w:t>
      </w:r>
      <w:r>
        <w:rPr>
          <w:rStyle w:val="FootnoteAnchor"/>
          <w:rtl w:val="true"/>
        </w:rPr>
        <w:footnoteReference w:id="518"/>
      </w:r>
      <w:r>
        <w:rPr>
          <w:rFonts w:ascii="Amiri" w:hAnsi="Amiri" w:eastAsia="Amiri" w:cs="Amiri"/>
          <w:color w:val="111111"/>
          <w:sz w:val="28"/>
          <w:sz w:val="28"/>
          <w:szCs w:val="28"/>
          <w:rtl w:val="true"/>
          <w:lang w:bidi="ar-SA"/>
        </w:rPr>
        <w:t>، بل لحكم العقل، واحتمال اختلاف عرفنا مع عرف الملائكة مدفوع بالأصل، وبأن كلامنا إنما هو في خطاب</w:t>
      </w:r>
      <w:r>
        <w:rPr>
          <w:rStyle w:val="FootnoteAnchor"/>
          <w:rtl w:val="true"/>
        </w:rPr>
        <w:footnoteReference w:id="519"/>
      </w:r>
      <w:r>
        <w:rPr>
          <w:rFonts w:ascii="Amiri" w:hAnsi="Amiri" w:eastAsia="Amiri" w:cs="Amiri"/>
          <w:color w:val="111111"/>
          <w:sz w:val="28"/>
          <w:sz w:val="28"/>
          <w:szCs w:val="28"/>
          <w:rtl w:val="true"/>
          <w:lang w:bidi="ar-SA"/>
        </w:rPr>
        <w:t>البشر لا الملك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فإن تهديد مخالف الأمر دليل الوجوب، والصيغة المجردة يصدق عليها</w:t>
      </w:r>
      <w:r>
        <w:rPr>
          <w:rStyle w:val="FootnoteAnchor"/>
          <w:rtl w:val="true"/>
        </w:rPr>
        <w:footnoteReference w:id="521"/>
      </w:r>
      <w:r>
        <w:rPr>
          <w:rFonts w:ascii="Amiri" w:hAnsi="Amiri" w:eastAsia="Amiri" w:cs="Amiri"/>
          <w:color w:val="111111"/>
          <w:sz w:val="28"/>
          <w:sz w:val="28"/>
          <w:szCs w:val="28"/>
          <w:rtl w:val="true"/>
          <w:lang w:bidi="ar-SA"/>
        </w:rPr>
        <w:t xml:space="preserve">الأمر عرفاً، وإرادة الوجوب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استفيدت من السياق</w:t>
      </w:r>
      <w:r>
        <w:rPr>
          <w:rStyle w:val="FootnoteAnchor"/>
          <w:rtl w:val="true"/>
        </w:rPr>
        <w:footnoteReference w:id="522"/>
      </w:r>
      <w:r>
        <w:rPr>
          <w:rFonts w:ascii="IRNazanin" w:hAnsi="IRNazanin" w:eastAsia="IRNazanin"/>
          <w:color w:val="111111"/>
          <w:sz w:val="28"/>
          <w:sz w:val="28"/>
          <w:szCs w:val="28"/>
          <w:rtl w:val="true"/>
          <w:lang w:bidi="fa-IR"/>
        </w:rPr>
        <w:t xml:space="preserve">فلا دور </w:t>
      </w:r>
      <w:r>
        <w:rPr>
          <w:rStyle w:val="FootnoteAnchor"/>
          <w:rtl w:val="true"/>
        </w:rPr>
        <w:footnoteReference w:id="523"/>
      </w:r>
      <w:r>
        <w:rPr>
          <w:rFonts w:ascii="Amiri" w:hAnsi="Amiri" w:eastAsia="Amiri" w:cs="Amiri"/>
          <w:color w:val="111111"/>
          <w:sz w:val="28"/>
          <w:sz w:val="28"/>
          <w:szCs w:val="28"/>
          <w:rtl w:val="true"/>
          <w:lang w:bidi="ar-SA"/>
        </w:rPr>
        <w:t>، بل لا يعقل كون</w:t>
      </w:r>
      <w:r>
        <w:rPr>
          <w:rStyle w:val="FootnoteAnchor"/>
          <w:rtl w:val="true"/>
        </w:rPr>
        <w:footnoteReference w:id="524"/>
      </w:r>
      <w:r>
        <w:rPr>
          <w:rFonts w:ascii="Amiri" w:hAnsi="Amiri" w:eastAsia="Amiri" w:cs="Amiri"/>
          <w:color w:val="111111"/>
          <w:sz w:val="28"/>
          <w:sz w:val="28"/>
          <w:szCs w:val="28"/>
          <w:rtl w:val="true"/>
          <w:lang w:bidi="ar-SA"/>
        </w:rPr>
        <w:t>الأمر بالحذر في خصوص المقام ندباً؛ لدلالتها على أن مخالفة كل أمر محتملة للعذاب الأخروي، بل العرف من مادة الحذر يفهم الوجوب</w:t>
      </w:r>
      <w:r>
        <w:rPr>
          <w:rStyle w:val="FootnoteAnchor"/>
          <w:rtl w:val="true"/>
        </w:rPr>
        <w:footnoteReference w:id="525"/>
      </w:r>
      <w:r>
        <w:rPr>
          <w:rFonts w:ascii="Amiri" w:hAnsi="Amiri" w:eastAsia="Amiri" w:cs="Amiri"/>
          <w:color w:val="111111"/>
          <w:sz w:val="28"/>
          <w:sz w:val="28"/>
          <w:szCs w:val="28"/>
          <w:rtl w:val="true"/>
          <w:lang w:bidi="ar-SA"/>
        </w:rPr>
        <w:t xml:space="preserve">، بل ويفهم الوجوب وإن أريد من الأمر به الإرشاد </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وتوهم أن إيجاب الحذر لعله لدفع الضرر المحتمل؛ لاشتراك الأمر بين الوجوب والندب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عند الدوران، وكون التعدي بحرف الجر لا يلازم التضمين</w:t>
      </w:r>
      <w:r>
        <w:rPr>
          <w:rStyle w:val="FootnoteAnchor"/>
          <w:rtl w:val="true"/>
        </w:rPr>
        <w:footnoteReference w:id="527"/>
      </w:r>
      <w:r>
        <w:rPr>
          <w:rFonts w:ascii="Amiri" w:hAnsi="Amiri" w:eastAsia="Amiri" w:cs="Amiri"/>
          <w:color w:val="111111"/>
          <w:sz w:val="28"/>
          <w:sz w:val="28"/>
          <w:szCs w:val="28"/>
          <w:rtl w:val="true"/>
          <w:lang w:bidi="ar-SA"/>
        </w:rPr>
        <w:t xml:space="preserve">، وجعل المخالفة من باب حمل المندوب على الواجب أو عكسه خلاف المتبادر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بقرينة الوقوع بعد المستقبل يتبادر منه العموم البدلي</w:t>
      </w:r>
      <w:r>
        <w:rPr>
          <w:rStyle w:val="FootnoteAnchor"/>
          <w:rtl w:val="true"/>
        </w:rPr>
        <w:footnoteReference w:id="528"/>
      </w:r>
      <w:r>
        <w:rPr>
          <w:rFonts w:ascii="IRNazanin" w:hAnsi="IRNazanin" w:eastAsia="IRNazanin"/>
          <w:color w:val="111111"/>
          <w:sz w:val="28"/>
          <w:sz w:val="28"/>
          <w:szCs w:val="28"/>
          <w:rtl w:val="true"/>
          <w:lang w:bidi="fa-IR"/>
        </w:rPr>
        <w:t xml:space="preserve">، ولا يتصور كون الآية قرينة على إرادة الوجوب من الأوامر السابقة، ويتم الأمر في وضع اللاحقة بالإجماع المركب، كما في أوامر غير الله تعالى ورسوله صلی الله عليه واله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التأسيس في الآية أولى من التأكيد، فالأمر ليس للوجوب</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ثبوت القاعدة، بل لو ثبتت لم تكافئ ما سبق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هُمُ ارْكَعُوا لا يَرْكَعُونَ</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فإن المستفاد من السّياق ذمّهم على المخالفة والكفار مكلفون بالفروع</w:t>
      </w:r>
      <w:r>
        <w:rPr>
          <w:rStyle w:val="FootnoteAnchor"/>
          <w:rtl w:val="true"/>
        </w:rPr>
        <w:footnoteReference w:id="531"/>
      </w:r>
      <w:r>
        <w:rPr>
          <w:rFonts w:ascii="IRNazanin" w:hAnsi="IRNazanin" w:eastAsia="IRNazanin"/>
          <w:color w:val="111111"/>
          <w:sz w:val="28"/>
          <w:sz w:val="28"/>
          <w:szCs w:val="28"/>
          <w:rtl w:val="true"/>
          <w:lang w:bidi="fa-IR"/>
        </w:rPr>
        <w:t xml:space="preserve">، والاستدلال على عدمه بالسفه، أو </w:t>
      </w:r>
      <w:bookmarkStart w:id="191" w:name="pg9015_97492"/>
    </w:p>
    <w:p>
      <w:pPr>
        <w:pStyle w:val="BookText"/>
        <w:rPr/>
      </w:pPr>
      <w:bookmarkEnd w:id="191"/>
      <w:r>
        <w:rPr>
          <w:rFonts w:ascii="Amiri" w:hAnsi="Amiri" w:eastAsia="Amiri" w:cs="Amiri"/>
          <w:color w:val="111111"/>
          <w:sz w:val="28"/>
          <w:sz w:val="28"/>
          <w:szCs w:val="28"/>
          <w:rtl w:val="true"/>
          <w:lang w:bidi="ar-SA"/>
        </w:rPr>
        <w:t xml:space="preserve">التكليف بما لا يطاق واه جداً </w:t>
      </w:r>
      <w:r>
        <w:rPr>
          <w:rStyle w:val="FootnoteAnchor"/>
          <w:rtl w:val="true"/>
        </w:rPr>
        <w:footnoteReference w:id="532"/>
      </w:r>
      <w:r>
        <w:rPr>
          <w:rFonts w:ascii="Amiri" w:hAnsi="Amiri" w:eastAsia="Amiri" w:cs="Amiri"/>
          <w:color w:val="111111"/>
          <w:sz w:val="28"/>
          <w:sz w:val="28"/>
          <w:szCs w:val="28"/>
          <w:rtl w:val="true"/>
          <w:lang w:bidi="ar-SA"/>
        </w:rPr>
        <w:t xml:space="preserve">، وحمل الركوع على مطلق الإطاعة </w:t>
      </w:r>
      <w:r>
        <w:rPr>
          <w:rStyle w:val="FootnoteAnchor"/>
          <w:rtl w:val="true"/>
        </w:rPr>
        <w:footnoteReference w:id="533"/>
      </w:r>
      <w:r>
        <w:rPr>
          <w:rFonts w:ascii="IRNazanin" w:hAnsi="IRNazanin" w:eastAsia="IRNazanin"/>
          <w:color w:val="111111"/>
          <w:sz w:val="28"/>
          <w:sz w:val="28"/>
          <w:szCs w:val="28"/>
          <w:rtl w:val="true"/>
          <w:lang w:bidi="fa-IR"/>
        </w:rPr>
        <w:t xml:space="preserve">خلاف الظاهر، کاحتمال كون الذم للتكذيب </w:t>
      </w:r>
      <w:r>
        <w:rPr>
          <w:rStyle w:val="FootnoteAnchor"/>
          <w:rtl w:val="true"/>
        </w:rPr>
        <w:footnoteReference w:id="534"/>
      </w:r>
      <w:r>
        <w:rPr>
          <w:rFonts w:ascii="Amiri" w:hAnsi="Amiri" w:eastAsia="Amiri" w:cs="Amiri"/>
          <w:color w:val="111111"/>
          <w:sz w:val="28"/>
          <w:sz w:val="28"/>
          <w:szCs w:val="28"/>
          <w:rtl w:val="true"/>
          <w:lang w:bidi="ar-SA"/>
        </w:rPr>
        <w:t>، مع إمكان الذم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الحقيقة الشرعية للركوع</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بثبوتها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 الشرعي أقرب المجازات بعد تعذر</w:t>
      </w:r>
      <w:r>
        <w:rPr>
          <w:rStyle w:val="FootnoteAnchor"/>
          <w:rtl w:val="true"/>
        </w:rPr>
        <w:footnoteReference w:id="535"/>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وأدلة سائر الأقوال مدخولة</w:t>
      </w:r>
      <w:r>
        <w:rPr>
          <w:rFonts w:eastAsia="Amiri" w:cs="Amiri" w:ascii="Amiri" w:hAnsi="Amiri"/>
          <w:color w:val="111111"/>
          <w:sz w:val="28"/>
          <w:szCs w:val="28"/>
          <w:rtl w:val="true"/>
          <w:lang w:bidi="ar-SA"/>
        </w:rPr>
        <w:t>.</w:t>
      </w:r>
      <w:r>
        <w:rPr>
          <w:rStyle w:val="FootnoteAnchor"/>
          <w:rtl w:val="true"/>
        </w:rPr>
        <w:footnoteReference w:id="536"/>
      </w:r>
    </w:p>
    <w:p>
      <w:pPr>
        <w:pStyle w:val="Heading3"/>
        <w:numPr>
          <w:ilvl w:val="2"/>
          <w:numId w:val="1"/>
        </w:numPr>
        <w:rPr/>
      </w:pPr>
      <w:bookmarkStart w:id="192" w:name="__RefHeading___Toc2001445_2870459653"/>
      <w:bookmarkStart w:id="193" w:name="_Toc72"/>
      <w:bookmarkEnd w:id="192"/>
      <w:r>
        <w:rPr>
          <w:rtl w:val="true"/>
        </w:rPr>
        <w:t>تبصرة</w:t>
      </w:r>
      <w:bookmarkEnd w:id="193"/>
    </w:p>
    <w:p>
      <w:pPr>
        <w:pStyle w:val="Heading3"/>
        <w:numPr>
          <w:ilvl w:val="2"/>
          <w:numId w:val="1"/>
        </w:numPr>
        <w:rPr/>
      </w:pPr>
      <w:bookmarkStart w:id="194" w:name="__RefHeading___Toc2001447_2870459653"/>
      <w:bookmarkStart w:id="195" w:name="_Toc73"/>
      <w:bookmarkEnd w:id="194"/>
      <w:r>
        <w:rPr>
          <w:rtl w:val="true"/>
        </w:rPr>
        <w:t>[</w:t>
      </w:r>
      <w:r>
        <w:rPr>
          <w:rtl w:val="true"/>
        </w:rPr>
        <w:t>في المجاز المشهور</w:t>
      </w:r>
      <w:r>
        <w:rPr>
          <w:rtl w:val="true"/>
        </w:rPr>
        <w:t>]</w:t>
      </w:r>
      <w:bookmarkEnd w:id="195"/>
    </w:p>
    <w:p>
      <w:pPr>
        <w:pStyle w:val="BookText"/>
        <w:rPr/>
      </w:pPr>
      <w:r>
        <w:rPr>
          <w:rFonts w:ascii="IRNazanin" w:hAnsi="IRNazanin" w:eastAsia="IRNazanin"/>
          <w:color w:val="111111"/>
          <w:sz w:val="28"/>
          <w:sz w:val="28"/>
          <w:szCs w:val="28"/>
          <w:rtl w:val="true"/>
          <w:lang w:bidi="fa-IR"/>
        </w:rPr>
        <w:t xml:space="preserve">صاحب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اختياره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الأمر في الندب في عرف الأئمة علیهم السلام من المجازات الراجحة المساوي احتمالها لاحتمال الحقيقة؛ لكثرة استعماله فيه في عرفهم، فاستشكل في إثبات الوجوب بمجرد ورود أمر منهم علیهم السلام</w:t>
      </w:r>
      <w:r>
        <w:rPr>
          <w:rFonts w:eastAsia="IRNazanin" w:cs="IRNazanin"/>
          <w:color w:val="111111"/>
          <w:sz w:val="28"/>
          <w:szCs w:val="28"/>
          <w:rtl w:val="true"/>
          <w:lang w:bidi="fa-IR"/>
        </w:rPr>
        <w:t>.</w:t>
      </w:r>
      <w:r>
        <w:rPr>
          <w:rStyle w:val="FootnoteAnchor"/>
          <w:rtl w:val="true"/>
        </w:rPr>
        <w:footnoteReference w:id="53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الكثرة إلى حدّ صيرورته فيه من المجاز المشهور</w:t>
      </w:r>
      <w:r>
        <w:rPr>
          <w:rStyle w:val="FootnoteAnchor"/>
          <w:rtl w:val="true"/>
        </w:rPr>
        <w:footnoteReference w:id="538"/>
      </w:r>
      <w:r>
        <w:rPr>
          <w:rFonts w:ascii="Amiri" w:hAnsi="Amiri" w:eastAsia="Amiri" w:cs="Amiri"/>
          <w:color w:val="111111"/>
          <w:sz w:val="28"/>
          <w:sz w:val="28"/>
          <w:szCs w:val="28"/>
          <w:rtl w:val="true"/>
          <w:lang w:bidi="ar-SA"/>
        </w:rPr>
        <w:t xml:space="preserve">الذي هو ثالث </w:t>
      </w:r>
    </w:p>
    <w:p>
      <w:pPr>
        <w:pStyle w:val="BookText"/>
        <w:rPr/>
      </w:pPr>
      <w:r>
        <w:rPr>
          <w:rFonts w:ascii="IRNazanin" w:hAnsi="IRNazanin" w:eastAsia="IRNazanin"/>
          <w:color w:val="111111"/>
          <w:sz w:val="28"/>
          <w:sz w:val="28"/>
          <w:szCs w:val="28"/>
          <w:rtl w:val="true"/>
          <w:lang w:bidi="fa-IR"/>
        </w:rPr>
        <w:t>الدرجات</w:t>
      </w:r>
      <w:r>
        <w:rPr>
          <w:rStyle w:val="FootnoteAnchor"/>
          <w:rtl w:val="true"/>
        </w:rPr>
        <w:footnoteReference w:id="539"/>
      </w:r>
      <w:r>
        <w:rPr>
          <w:rFonts w:ascii="Amiri" w:hAnsi="Amiri" w:eastAsia="Amiri" w:cs="Amiri"/>
          <w:color w:val="111111"/>
          <w:sz w:val="28"/>
          <w:sz w:val="28"/>
          <w:szCs w:val="28"/>
          <w:rtl w:val="true"/>
          <w:lang w:bidi="ar-SA"/>
        </w:rPr>
        <w:t>الخمس المتصورة في استعمال اللفظ في معناه المجازي</w:t>
      </w:r>
      <w:r>
        <w:rPr>
          <w:rStyle w:val="FootnoteAnchor"/>
          <w:rtl w:val="true"/>
        </w:rPr>
        <w:footnoteReference w:id="540"/>
      </w:r>
      <w:r>
        <w:rPr>
          <w:rFonts w:ascii="Amiri" w:hAnsi="Amiri" w:eastAsia="Amiri" w:cs="Amiri"/>
          <w:color w:val="111111"/>
          <w:sz w:val="28"/>
          <w:sz w:val="28"/>
          <w:szCs w:val="28"/>
          <w:rtl w:val="true"/>
          <w:lang w:bidi="ar-SA"/>
        </w:rPr>
        <w:t xml:space="preserve">إلى أن يصل إلى حد النقل بل الكثرة إنما هي في خصوص الأوامر الشرعيّة </w:t>
      </w:r>
      <w:r>
        <w:rPr>
          <w:rStyle w:val="FootnoteAnchor"/>
          <w:rtl w:val="true"/>
        </w:rPr>
        <w:footnoteReference w:id="541"/>
      </w:r>
      <w:r>
        <w:rPr>
          <w:rFonts w:ascii="Amiri" w:hAnsi="Amiri" w:eastAsia="Amiri" w:cs="Amiri"/>
          <w:color w:val="111111"/>
          <w:sz w:val="28"/>
          <w:sz w:val="28"/>
          <w:szCs w:val="28"/>
          <w:rtl w:val="true"/>
          <w:lang w:bidi="ar-SA"/>
        </w:rPr>
        <w:t xml:space="preserve">، بل كثرتها أيضاً حصلت من استعمالات مجموع الأئمة الهلال </w:t>
      </w:r>
      <w:r>
        <w:rPr>
          <w:rStyle w:val="FootnoteAnchor"/>
          <w:rtl w:val="true"/>
        </w:rPr>
        <w:footnoteReference w:id="542"/>
      </w:r>
      <w:r>
        <w:rPr>
          <w:rFonts w:ascii="Amiri" w:hAnsi="Amiri" w:eastAsia="Amiri" w:cs="Amiri"/>
          <w:color w:val="111111"/>
          <w:sz w:val="28"/>
          <w:sz w:val="28"/>
          <w:szCs w:val="28"/>
          <w:rtl w:val="true"/>
          <w:lang w:bidi="ar-SA"/>
        </w:rPr>
        <w:t>فلا تثبت مراده، مع أن استعماله في الندب ليس بأزيد من استعمال العام والمطلق في الخاص والمقيد</w:t>
      </w:r>
      <w:r>
        <w:rPr>
          <w:rStyle w:val="FootnoteAnchor"/>
          <w:rtl w:val="true"/>
        </w:rPr>
        <w:footnoteReference w:id="543"/>
      </w:r>
      <w:r>
        <w:rPr>
          <w:rFonts w:ascii="Amiri" w:hAnsi="Amiri" w:eastAsia="Amiri" w:cs="Amiri"/>
          <w:color w:val="111111"/>
          <w:sz w:val="28"/>
          <w:sz w:val="28"/>
          <w:szCs w:val="28"/>
          <w:rtl w:val="true"/>
          <w:lang w:bidi="ar-SA"/>
        </w:rPr>
        <w:t>، واستعمال ألفاظ العبادة في المعاني الشرعية، فلم لا يتوقف فيها ولو في أصل المجاز ونوعه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الحق إمكان المجاز المشهور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للأصل </w:t>
      </w:r>
      <w:r>
        <w:rPr>
          <w:rStyle w:val="FootnoteAnchor"/>
          <w:rtl w:val="true"/>
        </w:rPr>
        <w:footnoteReference w:id="544"/>
      </w:r>
      <w:r>
        <w:rPr>
          <w:rFonts w:ascii="Amiri" w:hAnsi="Amiri" w:eastAsia="Amiri" w:cs="Amiri"/>
          <w:color w:val="111111"/>
          <w:sz w:val="28"/>
          <w:sz w:val="28"/>
          <w:szCs w:val="28"/>
          <w:rtl w:val="true"/>
          <w:lang w:bidi="ar-SA"/>
        </w:rPr>
        <w:t>، ووقوعه؛ لوقوع النقل التعيني</w:t>
      </w:r>
      <w:r>
        <w:rPr>
          <w:rStyle w:val="FootnoteAnchor"/>
          <w:rtl w:val="true"/>
        </w:rPr>
        <w:footnoteReference w:id="545"/>
      </w:r>
      <w:r>
        <w:rPr>
          <w:rFonts w:ascii="Amiri" w:hAnsi="Amiri" w:eastAsia="Amiri" w:cs="Amiri"/>
          <w:color w:val="111111"/>
          <w:sz w:val="28"/>
          <w:sz w:val="28"/>
          <w:szCs w:val="28"/>
          <w:rtl w:val="true"/>
          <w:lang w:bidi="ar-SA"/>
        </w:rPr>
        <w:t>، والضرورة قضت ببطلان الطفرة، لكن في تقديم المجاز المشهور</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على الحقيقة كما عن أبي يوسف، أو الحقيقة كما عن أبي حنيفة </w:t>
      </w:r>
      <w:r>
        <w:rPr>
          <w:rStyle w:val="FootnoteAnchor"/>
          <w:rtl w:val="true"/>
        </w:rPr>
        <w:footnoteReference w:id="547"/>
      </w:r>
      <w:r>
        <w:rPr>
          <w:rFonts w:ascii="Amiri" w:hAnsi="Amiri" w:eastAsia="Amiri" w:cs="Amiri"/>
          <w:color w:val="111111"/>
          <w:sz w:val="28"/>
          <w:sz w:val="28"/>
          <w:szCs w:val="28"/>
          <w:rtl w:val="true"/>
          <w:lang w:bidi="ar-SA"/>
        </w:rPr>
        <w:t xml:space="preserve">، أو الوقف كما عن العلّامة </w:t>
      </w:r>
      <w:r>
        <w:rPr>
          <w:rStyle w:val="FootnoteAnchor"/>
          <w:rtl w:val="true"/>
        </w:rPr>
        <w:footnoteReference w:id="548"/>
      </w:r>
      <w:r>
        <w:rPr>
          <w:rFonts w:ascii="Amiri" w:hAnsi="Amiri" w:eastAsia="Amiri" w:cs="Amiri"/>
          <w:color w:val="111111"/>
          <w:sz w:val="28"/>
          <w:sz w:val="28"/>
          <w:szCs w:val="28"/>
          <w:rtl w:val="true"/>
          <w:lang w:bidi="ar-SA"/>
        </w:rPr>
        <w:t xml:space="preserve">، وجوه، أظهرها الوقف فقاهة لا اجتهادا </w:t>
      </w:r>
      <w:r>
        <w:rPr>
          <w:rStyle w:val="FootnoteAnchor"/>
          <w:rtl w:val="true"/>
        </w:rPr>
        <w:footnoteReference w:id="549"/>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r>
        <w:rPr>
          <w:rStyle w:val="FootnoteAnchor"/>
          <w:rtl w:val="true"/>
        </w:rPr>
        <w:footnoteReference w:id="550"/>
      </w:r>
      <w:bookmarkStart w:id="196" w:name="pg9015_97494"/>
    </w:p>
    <w:p>
      <w:pPr>
        <w:pStyle w:val="Heading2"/>
        <w:numPr>
          <w:ilvl w:val="1"/>
          <w:numId w:val="1"/>
        </w:numPr>
        <w:rPr/>
      </w:pPr>
      <w:bookmarkStart w:id="197" w:name="__RefHeading___Toc2001449_2870459653"/>
      <w:bookmarkStart w:id="198" w:name="_Toc74"/>
      <w:bookmarkEnd w:id="196"/>
      <w:bookmarkEnd w:id="197"/>
      <w:r>
        <w:rPr>
          <w:rtl w:val="true"/>
        </w:rPr>
        <w:t xml:space="preserve">أصل </w:t>
      </w:r>
      <w:r>
        <w:rPr>
          <w:rtl w:val="true"/>
        </w:rPr>
        <w:t>[</w:t>
      </w:r>
      <w:r>
        <w:rPr>
          <w:rtl w:val="true"/>
        </w:rPr>
        <w:t>في أن الأمر بالأمر أمر أم لا</w:t>
      </w:r>
      <w:r>
        <w:rPr>
          <w:rtl w:val="true"/>
        </w:rPr>
        <w:t>]</w:t>
      </w:r>
      <w:bookmarkEnd w:id="198"/>
    </w:p>
    <w:p>
      <w:pPr>
        <w:pStyle w:val="Heading3"/>
        <w:numPr>
          <w:ilvl w:val="2"/>
          <w:numId w:val="1"/>
        </w:numPr>
        <w:rPr/>
      </w:pPr>
      <w:bookmarkStart w:id="199" w:name="__RefHeading___Toc2001451_2870459653"/>
      <w:bookmarkStart w:id="200" w:name="_Toc75"/>
      <w:bookmarkEnd w:id="199"/>
      <w:r>
        <w:rPr>
          <w:rtl w:val="true"/>
        </w:rPr>
        <w:t>اشارة</w:t>
      </w:r>
      <w:bookmarkEnd w:id="20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أن الأمر بالأمر أمر</w:t>
      </w:r>
      <w:r>
        <w:rPr>
          <w:rStyle w:val="FootnoteAnchor"/>
          <w:rtl w:val="true"/>
        </w:rPr>
        <w:footnoteReference w:id="551"/>
      </w:r>
      <w:r>
        <w:rPr>
          <w:rFonts w:ascii="Amiri" w:hAnsi="Amiri" w:eastAsia="Amiri" w:cs="Amiri"/>
          <w:color w:val="111111"/>
          <w:sz w:val="28"/>
          <w:sz w:val="28"/>
          <w:szCs w:val="28"/>
          <w:rtl w:val="true"/>
          <w:lang w:bidi="ar-SA"/>
        </w:rPr>
        <w:t>؛ للتبادر ، وعدم صحة السلب، وبناء العرف على ذمّ الثالث إن لم يفعل بعد علمه وإن لم يبلغ الواسطة إليه، وعلى ذمّ الأول لو عاتبه على الفعل حينئذ</w:t>
      </w:r>
      <w:r>
        <w:rPr>
          <w:rStyle w:val="FootnoteAnchor"/>
          <w:rtl w:val="true"/>
        </w:rPr>
        <w:footnoteReference w:id="552"/>
      </w:r>
      <w:r>
        <w:rPr>
          <w:rFonts w:ascii="IRNazanin" w:hAnsi="IRNazanin" w:eastAsia="IRNazanin"/>
          <w:color w:val="111111"/>
          <w:sz w:val="28"/>
          <w:sz w:val="28"/>
          <w:szCs w:val="28"/>
          <w:rtl w:val="true"/>
          <w:lang w:bidi="fa-IR"/>
        </w:rPr>
        <w:t>، واتفاق المسلمين على كون أوامره صلی الله علیه و آله وسلم من جانبه تعالى</w:t>
      </w:r>
      <w:r>
        <w:rPr>
          <w:rStyle w:val="FootnoteAnchor"/>
          <w:rtl w:val="true"/>
        </w:rPr>
        <w:footnoteReference w:id="553"/>
      </w:r>
      <w:r>
        <w:rPr>
          <w:rFonts w:ascii="Amiri" w:hAnsi="Amiri" w:eastAsia="Amiri" w:cs="Amiri"/>
          <w:color w:val="111111"/>
          <w:sz w:val="28"/>
          <w:sz w:val="28"/>
          <w:szCs w:val="28"/>
          <w:rtl w:val="true"/>
          <w:lang w:bidi="ar-SA"/>
        </w:rPr>
        <w:t>، إلا أن يجعل الأخير من باب القرينة</w:t>
      </w:r>
      <w:r>
        <w:rPr>
          <w:rStyle w:val="FootnoteAnchor"/>
          <w:rtl w:val="true"/>
        </w:rPr>
        <w:footnoteReference w:id="554"/>
      </w:r>
      <w:r>
        <w:rPr>
          <w:rFonts w:ascii="Amiri" w:hAnsi="Amiri" w:eastAsia="Amiri" w:cs="Amiri"/>
          <w:color w:val="111111"/>
          <w:sz w:val="28"/>
          <w:sz w:val="28"/>
          <w:szCs w:val="28"/>
          <w:rtl w:val="true"/>
          <w:lang w:bidi="ar-SA"/>
        </w:rPr>
        <w:t>، ودليل الخصم ضعيف</w:t>
      </w:r>
      <w:r>
        <w:rPr>
          <w:rStyle w:val="FootnoteAnchor"/>
          <w:rtl w:val="true"/>
        </w:rPr>
        <w:footnoteReference w:id="555"/>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bookmarkStart w:id="201" w:name="pg9015_97495"/>
    </w:p>
    <w:p>
      <w:pPr>
        <w:pStyle w:val="Heading3"/>
        <w:numPr>
          <w:ilvl w:val="2"/>
          <w:numId w:val="1"/>
        </w:numPr>
        <w:rPr/>
      </w:pPr>
      <w:bookmarkStart w:id="202" w:name="__RefHeading___Toc2001453_2870459653"/>
      <w:bookmarkStart w:id="203" w:name="_Toc76"/>
      <w:bookmarkEnd w:id="201"/>
      <w:bookmarkEnd w:id="202"/>
      <w:r>
        <w:rPr>
          <w:rtl w:val="true"/>
        </w:rPr>
        <w:t>[</w:t>
      </w:r>
      <w:r>
        <w:rPr>
          <w:rtl w:val="true"/>
        </w:rPr>
        <w:t>ثمرة المسألة</w:t>
      </w:r>
      <w:r>
        <w:rPr>
          <w:rtl w:val="true"/>
        </w:rPr>
        <w:t>]</w:t>
      </w:r>
      <w:bookmarkEnd w:id="203"/>
    </w:p>
    <w:p>
      <w:pPr>
        <w:pStyle w:val="BookText"/>
        <w:rPr/>
      </w:pPr>
      <w:r>
        <w:rPr>
          <w:rFonts w:ascii="Amiri" w:hAnsi="Amiri" w:eastAsia="Amiri" w:cs="Amiri"/>
          <w:color w:val="111111"/>
          <w:sz w:val="28"/>
          <w:sz w:val="28"/>
          <w:szCs w:val="28"/>
          <w:rtl w:val="true"/>
          <w:lang w:bidi="ar-SA"/>
        </w:rPr>
        <w:t>وتظهر الثمرة في مقام التوكيد</w:t>
      </w:r>
      <w:r>
        <w:rPr>
          <w:rStyle w:val="FootnoteAnchor"/>
          <w:rtl w:val="true"/>
        </w:rPr>
        <w:footnoteReference w:id="556"/>
      </w:r>
      <w:r>
        <w:rPr>
          <w:rFonts w:ascii="Amiri" w:hAnsi="Amiri" w:eastAsia="Amiri" w:cs="Amiri"/>
          <w:color w:val="111111"/>
          <w:sz w:val="28"/>
          <w:sz w:val="28"/>
          <w:szCs w:val="28"/>
          <w:rtl w:val="true"/>
          <w:lang w:bidi="ar-SA"/>
        </w:rPr>
        <w:t>، وفي النذر</w:t>
      </w:r>
      <w:r>
        <w:rPr>
          <w:rStyle w:val="FootnoteAnchor"/>
          <w:rtl w:val="true"/>
        </w:rPr>
        <w:footnoteReference w:id="557"/>
      </w:r>
      <w:r>
        <w:rPr>
          <w:rFonts w:ascii="Amiri" w:hAnsi="Amiri" w:eastAsia="Amiri" w:cs="Amiri"/>
          <w:color w:val="111111"/>
          <w:sz w:val="28"/>
          <w:sz w:val="28"/>
          <w:szCs w:val="28"/>
          <w:rtl w:val="true"/>
          <w:lang w:bidi="ar-SA"/>
        </w:rPr>
        <w:t>، وفيما لو توضأ الصبي ثم بلغ بالسن مثلاً</w:t>
      </w:r>
      <w:r>
        <w:rPr>
          <w:rStyle w:val="FootnoteAnchor"/>
          <w:rtl w:val="true"/>
        </w:rPr>
        <w:footnoteReference w:id="558"/>
      </w:r>
      <w:r>
        <w:rPr>
          <w:rFonts w:ascii="Amiri" w:hAnsi="Amiri" w:eastAsia="Amiri" w:cs="Amiri"/>
          <w:color w:val="111111"/>
          <w:sz w:val="28"/>
          <w:sz w:val="28"/>
          <w:szCs w:val="28"/>
          <w:rtl w:val="true"/>
          <w:lang w:bidi="ar-SA"/>
        </w:rPr>
        <w:t>، أو صلّى الظهرين ثم بلغ قبل خروج الوقت</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4" w:name="__RefHeading___Toc2001455_2870459653"/>
      <w:bookmarkStart w:id="205" w:name="_Toc77"/>
      <w:bookmarkEnd w:id="204"/>
      <w:r>
        <w:rPr>
          <w:rtl w:val="true"/>
        </w:rPr>
        <w:t xml:space="preserve">أصل </w:t>
      </w:r>
      <w:r>
        <w:rPr>
          <w:rtl w:val="true"/>
        </w:rPr>
        <w:t>[</w:t>
      </w:r>
      <w:r>
        <w:rPr>
          <w:rtl w:val="true"/>
        </w:rPr>
        <w:t>في الأمر الوارد عقيب الحظر</w:t>
      </w:r>
      <w:r>
        <w:rPr>
          <w:rtl w:val="true"/>
        </w:rPr>
        <w:t>]</w:t>
      </w:r>
      <w:bookmarkEnd w:id="205"/>
    </w:p>
    <w:p>
      <w:pPr>
        <w:pStyle w:val="Heading3"/>
        <w:numPr>
          <w:ilvl w:val="2"/>
          <w:numId w:val="1"/>
        </w:numPr>
        <w:rPr/>
      </w:pPr>
      <w:bookmarkStart w:id="206" w:name="__RefHeading___Toc2001457_2870459653"/>
      <w:bookmarkStart w:id="207" w:name="_Toc78"/>
      <w:bookmarkEnd w:id="206"/>
      <w:r>
        <w:rPr>
          <w:rtl w:val="true"/>
        </w:rPr>
        <w:t>اشارة</w:t>
      </w:r>
      <w:bookmarkEnd w:id="20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الأمر الوارد عقيب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الوجوب </w:t>
      </w:r>
      <w:r>
        <w:rPr>
          <w:rStyle w:val="FootnoteAnchor"/>
          <w:rtl w:val="true"/>
        </w:rPr>
        <w:footnoteReference w:id="560"/>
      </w:r>
      <w:r>
        <w:rPr>
          <w:rFonts w:ascii="IRNazanin" w:hAnsi="IRNazanin" w:eastAsia="IRNazanin"/>
          <w:color w:val="111111"/>
          <w:sz w:val="28"/>
          <w:sz w:val="28"/>
          <w:szCs w:val="28"/>
          <w:rtl w:val="true"/>
          <w:lang w:bidi="fa-IR"/>
        </w:rPr>
        <w:t xml:space="preserve">، أو </w:t>
      </w:r>
      <w:r>
        <w:rPr>
          <w:rStyle w:val="FootnoteAnchor"/>
          <w:rtl w:val="true"/>
        </w:rPr>
        <w:footnoteReference w:id="561"/>
      </w:r>
      <w:r>
        <w:rPr>
          <w:rFonts w:ascii="IRNazanin" w:hAnsi="IRNazanin" w:eastAsia="IRNazanin"/>
          <w:color w:val="111111"/>
          <w:sz w:val="28"/>
          <w:sz w:val="28"/>
          <w:szCs w:val="28"/>
          <w:rtl w:val="true"/>
          <w:lang w:bidi="fa-IR"/>
        </w:rPr>
        <w:t xml:space="preserve">الندب </w:t>
      </w:r>
      <w:r>
        <w:rPr>
          <w:rStyle w:val="FootnoteAnchor"/>
          <w:rtl w:val="true"/>
        </w:rPr>
        <w:footnoteReference w:id="562"/>
      </w:r>
      <w:r>
        <w:rPr>
          <w:rFonts w:ascii="Amiri" w:hAnsi="Amiri" w:eastAsia="Amiri" w:cs="Amiri"/>
          <w:color w:val="111111"/>
          <w:sz w:val="28"/>
          <w:sz w:val="28"/>
          <w:szCs w:val="28"/>
          <w:rtl w:val="true"/>
          <w:lang w:bidi="ar-SA"/>
        </w:rPr>
        <w:t>، أو الإباحة الخاصة</w:t>
      </w:r>
      <w:r>
        <w:rPr>
          <w:rStyle w:val="FootnoteAnchor"/>
          <w:rtl w:val="true"/>
        </w:rPr>
        <w:footnoteReference w:id="563"/>
      </w:r>
      <w:r>
        <w:rPr>
          <w:rFonts w:ascii="Amiri" w:hAnsi="Amiri" w:eastAsia="Amiri" w:cs="Amiri"/>
          <w:color w:val="111111"/>
          <w:sz w:val="28"/>
          <w:sz w:val="28"/>
          <w:szCs w:val="28"/>
          <w:rtl w:val="true"/>
          <w:lang w:bidi="ar-SA"/>
        </w:rPr>
        <w:t>، أو العامة</w:t>
      </w:r>
      <w:r>
        <w:rPr>
          <w:rStyle w:val="FootnoteAnchor"/>
          <w:rtl w:val="true"/>
        </w:rPr>
        <w:footnoteReference w:id="564"/>
      </w:r>
      <w:r>
        <w:rPr>
          <w:rFonts w:ascii="Amiri" w:hAnsi="Amiri" w:eastAsia="Amiri" w:cs="Amiri"/>
          <w:color w:val="111111"/>
          <w:sz w:val="28"/>
          <w:sz w:val="28"/>
          <w:szCs w:val="28"/>
          <w:rtl w:val="true"/>
          <w:lang w:bidi="ar-SA"/>
        </w:rPr>
        <w:t>، أو يتبع ما قبل النهي إذا علّق الأمر بزوال علّته</w:t>
      </w:r>
      <w:r>
        <w:rPr>
          <w:rStyle w:val="FootnoteAnchor"/>
          <w:rtl w:val="true"/>
        </w:rPr>
        <w:footnoteReference w:id="565"/>
      </w:r>
      <w:r>
        <w:rPr>
          <w:rFonts w:ascii="IRNazanin" w:hAnsi="IRNazanin" w:eastAsia="IRNazanin"/>
          <w:color w:val="111111"/>
          <w:sz w:val="28"/>
          <w:sz w:val="28"/>
          <w:szCs w:val="28"/>
          <w:rtl w:val="true"/>
          <w:lang w:bidi="fa-IR"/>
        </w:rPr>
        <w:t xml:space="preserve">، </w:t>
      </w:r>
      <w:bookmarkStart w:id="208" w:name="pg9015_97496"/>
    </w:p>
    <w:p>
      <w:pPr>
        <w:pStyle w:val="BookText"/>
        <w:rPr/>
      </w:pPr>
      <w:bookmarkEnd w:id="208"/>
      <w:r>
        <w:rPr>
          <w:rFonts w:ascii="IRNazanin" w:hAnsi="IRNazanin" w:eastAsia="IRNazanin"/>
          <w:color w:val="111111"/>
          <w:sz w:val="28"/>
          <w:sz w:val="28"/>
          <w:szCs w:val="28"/>
          <w:rtl w:val="true"/>
          <w:lang w:bidi="fa-IR"/>
        </w:rPr>
        <w:t>أو لا بد من الوقف</w:t>
      </w:r>
      <w:r>
        <w:rPr>
          <w:rStyle w:val="FootnoteAnchor"/>
          <w:rtl w:val="true"/>
        </w:rPr>
        <w:footnoteReference w:id="566"/>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Heading3"/>
        <w:numPr>
          <w:ilvl w:val="2"/>
          <w:numId w:val="1"/>
        </w:numPr>
        <w:rPr/>
      </w:pPr>
      <w:bookmarkStart w:id="209" w:name="__RefHeading___Toc2001459_2870459653"/>
      <w:bookmarkStart w:id="210" w:name="_Toc79"/>
      <w:bookmarkEnd w:id="209"/>
      <w:r>
        <w:rPr>
          <w:rtl w:val="true"/>
        </w:rPr>
        <w:t>[</w:t>
      </w:r>
      <w:r>
        <w:rPr>
          <w:rtl w:val="true"/>
        </w:rPr>
        <w:t>تحرير محل النزاع</w:t>
      </w:r>
      <w:r>
        <w:rPr>
          <w:rtl w:val="true"/>
        </w:rPr>
        <w:t>]</w:t>
      </w:r>
      <w:bookmarkEnd w:id="210"/>
    </w:p>
    <w:p>
      <w:pPr>
        <w:pStyle w:val="BookText"/>
        <w:rPr/>
      </w:pPr>
      <w:r>
        <w:rPr>
          <w:rFonts w:ascii="Amiri" w:hAnsi="Amiri" w:eastAsia="Amiri" w:cs="Amiri"/>
          <w:color w:val="111111"/>
          <w:sz w:val="28"/>
          <w:sz w:val="28"/>
          <w:szCs w:val="28"/>
          <w:rtl w:val="true"/>
          <w:lang w:bidi="ar-SA"/>
        </w:rPr>
        <w:t>ومرجع النزاع إلى أن تقدم الحظر هل هو قرينة صارفة أم لا ؟ كنزاعهم في صارفية الشهرة</w:t>
      </w:r>
      <w:r>
        <w:rPr>
          <w:rStyle w:val="FootnoteAnchor"/>
          <w:rtl w:val="true"/>
        </w:rPr>
        <w:footnoteReference w:id="567"/>
      </w:r>
      <w:r>
        <w:rPr>
          <w:rFonts w:ascii="Amiri" w:hAnsi="Amiri" w:eastAsia="Amiri" w:cs="Amiri"/>
          <w:color w:val="111111"/>
          <w:sz w:val="28"/>
          <w:sz w:val="28"/>
          <w:szCs w:val="28"/>
          <w:rtl w:val="true"/>
          <w:lang w:bidi="ar-SA"/>
        </w:rPr>
        <w:t>، والضمير الراجع إلى بعض العام، والاستثناء الواقع عقيب الجمل، وغيرها من الصوارف التي لها جهة جامعة، وأفراد كثيرة مع خفاء خفاء صرفها، ومحله إذا تعلق الأمر بنفس المحظور؛ والأصل فيه الوقف، سواء جعلنا عدم القرينة جزء المقتضي لحمل اللفظ على الحقيقة، أو وجودها مانعا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إجراء الأصل بتوهم أن الأصل عدم صارفية هذا الحادث، أو </w:t>
      </w:r>
      <w:r>
        <w:rPr>
          <w:rStyle w:val="FootnoteAnchor"/>
          <w:rtl w:val="true"/>
        </w:rPr>
        <w:footnoteReference w:id="568"/>
      </w:r>
      <w:r>
        <w:rPr>
          <w:rFonts w:ascii="Amiri" w:hAnsi="Amiri" w:eastAsia="Amiri" w:cs="Amiri"/>
          <w:color w:val="111111"/>
          <w:sz w:val="28"/>
          <w:sz w:val="28"/>
          <w:szCs w:val="28"/>
          <w:rtl w:val="true"/>
          <w:lang w:bidi="ar-SA"/>
        </w:rPr>
        <w:t>عدم الالتفات إليه، أو ان الأصل الحقيقة؛ لاستصحاب الظهور، أو أن الأصل في الاستعمال الحقيقة، فلا وجه له</w:t>
      </w:r>
      <w:r>
        <w:rPr>
          <w:rStyle w:val="FootnoteAnchor"/>
          <w:rtl w:val="true"/>
        </w:rPr>
        <w:footnoteReference w:id="569"/>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Heading3"/>
        <w:numPr>
          <w:ilvl w:val="2"/>
          <w:numId w:val="1"/>
        </w:numPr>
        <w:rPr/>
      </w:pPr>
      <w:bookmarkStart w:id="211" w:name="__RefHeading___Toc2001461_2870459653"/>
      <w:bookmarkStart w:id="212" w:name="_Toc80"/>
      <w:bookmarkEnd w:id="211"/>
      <w:r>
        <w:rPr>
          <w:rtl w:val="true"/>
        </w:rPr>
        <w:t>[</w:t>
      </w:r>
      <w:r>
        <w:rPr>
          <w:rtl w:val="true"/>
        </w:rPr>
        <w:t>المختار في المسألة</w:t>
      </w:r>
      <w:r>
        <w:rPr>
          <w:rtl w:val="true"/>
        </w:rPr>
        <w:t>]</w:t>
      </w:r>
      <w:bookmarkEnd w:id="212"/>
    </w:p>
    <w:p>
      <w:pPr>
        <w:pStyle w:val="BookText"/>
        <w:rPr/>
      </w:pPr>
      <w:r>
        <w:rPr>
          <w:rFonts w:ascii="Amiri" w:hAnsi="Amiri" w:eastAsia="Amiri" w:cs="Amiri"/>
          <w:color w:val="111111"/>
          <w:sz w:val="28"/>
          <w:sz w:val="28"/>
          <w:szCs w:val="28"/>
          <w:rtl w:val="true"/>
          <w:lang w:bidi="ar-SA"/>
        </w:rPr>
        <w:t>والحق إفادته الإباحة العامة مطابقة ، وإن انصرف إطلاقه إلى الإباحة الخاصة</w:t>
      </w:r>
      <w:r>
        <w:rPr>
          <w:rStyle w:val="FootnoteAnchor"/>
          <w:rtl w:val="true"/>
        </w:rPr>
        <w:footnoteReference w:id="570"/>
      </w:r>
      <w:r>
        <w:rPr>
          <w:rFonts w:ascii="IRNazanin" w:hAnsi="IRNazanin" w:eastAsia="IRNazanin"/>
          <w:color w:val="111111"/>
          <w:sz w:val="28"/>
          <w:sz w:val="28"/>
          <w:szCs w:val="28"/>
          <w:rtl w:val="true"/>
          <w:lang w:bidi="fa-IR"/>
        </w:rPr>
        <w:t>للتبادر، فتأمل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وحجج سائر الأقوال ضعيفة</w:t>
      </w:r>
      <w:r>
        <w:rPr>
          <w:rFonts w:eastAsia="Amiri" w:cs="Amiri" w:ascii="Amiri" w:hAnsi="Amiri"/>
          <w:color w:val="111111"/>
          <w:sz w:val="28"/>
          <w:szCs w:val="28"/>
          <w:rtl w:val="true"/>
          <w:lang w:bidi="ar-SA"/>
        </w:rPr>
        <w:t>.</w:t>
      </w:r>
      <w:r>
        <w:rPr>
          <w:rStyle w:val="FootnoteAnchor"/>
          <w:rtl w:val="true"/>
        </w:rPr>
        <w:footnoteReference w:id="571"/>
      </w:r>
      <w:bookmarkStart w:id="213" w:name="pg9015_97497"/>
    </w:p>
    <w:p>
      <w:pPr>
        <w:pStyle w:val="Heading2"/>
        <w:numPr>
          <w:ilvl w:val="1"/>
          <w:numId w:val="1"/>
        </w:numPr>
        <w:rPr/>
      </w:pPr>
      <w:bookmarkStart w:id="214" w:name="__RefHeading___Toc2001463_2870459653"/>
      <w:bookmarkStart w:id="215" w:name="_Toc81"/>
      <w:bookmarkEnd w:id="213"/>
      <w:bookmarkEnd w:id="214"/>
      <w:r>
        <w:rPr>
          <w:rtl w:val="true"/>
        </w:rPr>
        <w:t xml:space="preserve">أصل </w:t>
      </w:r>
      <w:r>
        <w:rPr>
          <w:rtl w:val="true"/>
        </w:rPr>
        <w:t>[</w:t>
      </w:r>
      <w:r>
        <w:rPr>
          <w:rtl w:val="true"/>
        </w:rPr>
        <w:t>في المرة والتكرار</w:t>
      </w:r>
      <w:r>
        <w:rPr>
          <w:rtl w:val="true"/>
        </w:rPr>
        <w:t>]</w:t>
      </w:r>
      <w:bookmarkEnd w:id="215"/>
    </w:p>
    <w:p>
      <w:pPr>
        <w:pStyle w:val="Heading3"/>
        <w:numPr>
          <w:ilvl w:val="2"/>
          <w:numId w:val="1"/>
        </w:numPr>
        <w:rPr/>
      </w:pPr>
      <w:bookmarkStart w:id="216" w:name="__RefHeading___Toc2001465_2870459653"/>
      <w:bookmarkStart w:id="217" w:name="_Toc82"/>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هل الأمر بمجرده للمرّة</w:t>
      </w:r>
      <w:r>
        <w:rPr>
          <w:rStyle w:val="FootnoteAnchor"/>
          <w:rtl w:val="true"/>
        </w:rPr>
        <w:footnoteReference w:id="572"/>
      </w:r>
      <w:r>
        <w:rPr>
          <w:rFonts w:ascii="Amiri" w:hAnsi="Amiri" w:eastAsia="Amiri" w:cs="Amiri"/>
          <w:color w:val="111111"/>
          <w:sz w:val="28"/>
          <w:sz w:val="28"/>
          <w:szCs w:val="28"/>
          <w:rtl w:val="true"/>
          <w:lang w:bidi="ar-SA"/>
        </w:rPr>
        <w:t>، أو التكرار</w:t>
      </w:r>
      <w:r>
        <w:rPr>
          <w:rStyle w:val="FootnoteAnchor"/>
          <w:rtl w:val="true"/>
        </w:rPr>
        <w:footnoteReference w:id="573"/>
      </w:r>
      <w:r>
        <w:rPr>
          <w:rFonts w:ascii="Amiri" w:hAnsi="Amiri" w:eastAsia="Amiri" w:cs="Amiri"/>
          <w:color w:val="111111"/>
          <w:sz w:val="28"/>
          <w:sz w:val="28"/>
          <w:szCs w:val="28"/>
          <w:rtl w:val="true"/>
          <w:lang w:bidi="ar-SA"/>
        </w:rPr>
        <w:t>، أو مشترك بينهما</w:t>
      </w:r>
      <w:r>
        <w:rPr>
          <w:rStyle w:val="FootnoteAnchor"/>
          <w:rtl w:val="true"/>
        </w:rPr>
        <w:footnoteReference w:id="574"/>
      </w:r>
      <w:r>
        <w:rPr>
          <w:rFonts w:ascii="Amiri" w:hAnsi="Amiri" w:eastAsia="Amiri" w:cs="Amiri"/>
          <w:color w:val="111111"/>
          <w:sz w:val="28"/>
          <w:sz w:val="28"/>
          <w:szCs w:val="28"/>
          <w:rtl w:val="true"/>
          <w:lang w:bidi="ar-SA"/>
        </w:rPr>
        <w:t>، أو للماهية المحضة</w:t>
      </w:r>
      <w:r>
        <w:rPr>
          <w:rStyle w:val="FootnoteAnchor"/>
          <w:rtl w:val="true"/>
        </w:rPr>
        <w:footnoteReference w:id="575"/>
      </w:r>
      <w:r>
        <w:rPr>
          <w:rFonts w:ascii="IRNazanin" w:hAnsi="IRNazanin" w:eastAsia="IRNazanin"/>
          <w:color w:val="111111"/>
          <w:sz w:val="28"/>
          <w:sz w:val="28"/>
          <w:szCs w:val="28"/>
          <w:rtl w:val="true"/>
          <w:lang w:bidi="fa-IR"/>
        </w:rPr>
        <w:t>، أو لابد من الوقف</w:t>
      </w:r>
      <w:r>
        <w:rPr>
          <w:rStyle w:val="FootnoteAnchor"/>
          <w:rtl w:val="true"/>
        </w:rPr>
        <w:footnoteReference w:id="576"/>
      </w:r>
      <w:r>
        <w:rPr>
          <w:rFonts w:ascii="IRNazanin" w:hAnsi="IRNazanin" w:eastAsia="IRNazanin"/>
          <w:color w:val="111111"/>
          <w:sz w:val="28"/>
          <w:sz w:val="28"/>
          <w:szCs w:val="28"/>
          <w:rtl w:val="true"/>
          <w:lang w:bidi="fa-IR"/>
        </w:rPr>
        <w:t>؟ ،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المرّة قد يراد بها إيجاد الفرد الواحد، وقد يراد بها الدفعة، والنسبة بينهما عموم مطلق</w:t>
      </w:r>
      <w:r>
        <w:rPr>
          <w:rFonts w:eastAsia="Amiri" w:cs="Amiri" w:ascii="Amiri" w:hAnsi="Amiri"/>
          <w:color w:val="111111"/>
          <w:sz w:val="28"/>
          <w:szCs w:val="28"/>
          <w:rtl w:val="true"/>
          <w:lang w:bidi="ar-SA"/>
        </w:rPr>
        <w:t>.</w:t>
      </w:r>
      <w:r>
        <w:rPr>
          <w:rStyle w:val="FootnoteAnchor"/>
          <w:rtl w:val="true"/>
        </w:rPr>
        <w:footnoteReference w:id="57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 بشرط</w:t>
      </w:r>
      <w:r>
        <w:rPr>
          <w:rStyle w:val="FootnoteAnchor"/>
          <w:rtl w:val="true"/>
        </w:rPr>
        <w:footnoteReference w:id="578"/>
      </w:r>
      <w:r>
        <w:rPr>
          <w:rFonts w:ascii="Amiri" w:hAnsi="Amiri" w:eastAsia="Amiri" w:cs="Amiri"/>
          <w:color w:val="111111"/>
          <w:sz w:val="28"/>
          <w:sz w:val="28"/>
          <w:szCs w:val="28"/>
          <w:rtl w:val="true"/>
          <w:lang w:bidi="ar-SA"/>
        </w:rPr>
        <w:t>، أو بشرط لا تقييداً</w:t>
      </w:r>
      <w:r>
        <w:rPr>
          <w:rStyle w:val="FootnoteAnchor"/>
          <w:rtl w:val="true"/>
        </w:rPr>
        <w:footnoteReference w:id="579"/>
      </w:r>
      <w:r>
        <w:rPr>
          <w:rFonts w:ascii="Amiri" w:hAnsi="Amiri" w:eastAsia="Amiri" w:cs="Amiri"/>
          <w:color w:val="111111"/>
          <w:sz w:val="28"/>
          <w:sz w:val="28"/>
          <w:szCs w:val="28"/>
          <w:rtl w:val="true"/>
          <w:lang w:bidi="ar-SA"/>
        </w:rPr>
        <w:t>، أو تعدداً</w:t>
      </w:r>
      <w:r>
        <w:rPr>
          <w:rStyle w:val="FootnoteAnchor"/>
          <w:rtl w:val="true"/>
        </w:rPr>
        <w:footnoteReference w:id="580"/>
      </w:r>
      <w:r>
        <w:rPr>
          <w:rFonts w:ascii="Amiri" w:hAnsi="Amiri" w:eastAsia="Amiri" w:cs="Amiri"/>
          <w:color w:val="111111"/>
          <w:sz w:val="28"/>
          <w:sz w:val="28"/>
          <w:szCs w:val="28"/>
          <w:rtl w:val="true"/>
          <w:lang w:bidi="ar-SA"/>
        </w:rPr>
        <w:t xml:space="preserve">، والتكرار أيضاً </w:t>
      </w:r>
      <w:bookmarkStart w:id="218" w:name="pg9015_97498"/>
    </w:p>
    <w:p>
      <w:pPr>
        <w:pStyle w:val="BookText"/>
        <w:rPr/>
      </w:pPr>
      <w:bookmarkEnd w:id="218"/>
      <w:r>
        <w:rPr>
          <w:rFonts w:ascii="Amiri" w:hAnsi="Amiri" w:eastAsia="Amiri" w:cs="Amiri"/>
          <w:color w:val="111111"/>
          <w:sz w:val="28"/>
          <w:sz w:val="28"/>
          <w:szCs w:val="28"/>
          <w:rtl w:val="true"/>
          <w:lang w:bidi="ar-SA"/>
        </w:rPr>
        <w:t xml:space="preserve">يكون تقييدياً </w:t>
      </w:r>
      <w:r>
        <w:rPr>
          <w:rStyle w:val="FootnoteAnchor"/>
          <w:rtl w:val="true"/>
        </w:rPr>
        <w:footnoteReference w:id="581"/>
      </w:r>
      <w:r>
        <w:rPr>
          <w:rFonts w:ascii="Amiri" w:hAnsi="Amiri" w:eastAsia="Amiri" w:cs="Amiri"/>
          <w:color w:val="111111"/>
          <w:sz w:val="28"/>
          <w:sz w:val="28"/>
          <w:szCs w:val="28"/>
          <w:rtl w:val="true"/>
          <w:lang w:bidi="ar-SA"/>
        </w:rPr>
        <w:t xml:space="preserve">وتعددياً </w:t>
      </w:r>
      <w:r>
        <w:rPr>
          <w:rStyle w:val="FootnoteAnchor"/>
          <w:rtl w:val="true"/>
        </w:rPr>
        <w:footnoteReference w:id="582"/>
      </w:r>
      <w:r>
        <w:rPr>
          <w:rFonts w:ascii="IRNazanin" w:hAnsi="IRNazanin" w:eastAsia="IRNazanin"/>
          <w:color w:val="111111"/>
          <w:sz w:val="28"/>
          <w:sz w:val="28"/>
          <w:szCs w:val="28"/>
          <w:rtl w:val="true"/>
          <w:lang w:bidi="fa-IR"/>
        </w:rPr>
        <w:t xml:space="preserve">، والمراد </w:t>
      </w:r>
      <w:r>
        <w:rPr>
          <w:rStyle w:val="FootnoteAnchor"/>
          <w:rtl w:val="true"/>
        </w:rPr>
        <w:footnoteReference w:id="583"/>
      </w:r>
      <w:r>
        <w:rPr>
          <w:rFonts w:ascii="Amiri" w:hAnsi="Amiri" w:eastAsia="Amiri" w:cs="Amiri"/>
          <w:color w:val="111111"/>
          <w:sz w:val="28"/>
          <w:sz w:val="28"/>
          <w:szCs w:val="28"/>
          <w:rtl w:val="true"/>
          <w:lang w:bidi="ar-SA"/>
        </w:rPr>
        <w:t>دلالة اللفظ على التكرار الأبدي وإن كان التقييد بالإمكان العقلي أو الشرعي ثابتاً من الخارج</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2001467_2870459653"/>
      <w:bookmarkStart w:id="220" w:name="_Toc83"/>
      <w:bookmarkEnd w:id="219"/>
      <w:r>
        <w:rPr>
          <w:rtl w:val="true"/>
        </w:rPr>
        <w:t>[</w:t>
      </w:r>
      <w:r>
        <w:rPr>
          <w:rtl w:val="true"/>
        </w:rPr>
        <w:t>ثمرة المسألة</w:t>
      </w:r>
      <w:r>
        <w:rPr>
          <w:rtl w:val="true"/>
        </w:rPr>
        <w:t>]</w:t>
      </w:r>
      <w:bookmarkEnd w:id="220"/>
    </w:p>
    <w:p>
      <w:pPr>
        <w:pStyle w:val="BookText"/>
        <w:rPr/>
      </w:pPr>
      <w:r>
        <w:rPr>
          <w:rFonts w:ascii="Amiri" w:hAnsi="Amiri" w:eastAsia="Amiri" w:cs="Amiri"/>
          <w:color w:val="111111"/>
          <w:sz w:val="28"/>
          <w:sz w:val="28"/>
          <w:szCs w:val="28"/>
          <w:rtl w:val="true"/>
          <w:lang w:bidi="ar-SA"/>
        </w:rPr>
        <w:t xml:space="preserve">وأما ثمرة الخلاف، فتظهر في أنه إن </w:t>
      </w:r>
      <w:r>
        <w:rPr>
          <w:rStyle w:val="FootnoteAnchor"/>
          <w:rtl w:val="true"/>
        </w:rPr>
        <w:footnoteReference w:id="584"/>
      </w:r>
      <w:r>
        <w:rPr>
          <w:rFonts w:ascii="IRNazanin" w:hAnsi="IRNazanin" w:eastAsia="IRNazanin"/>
          <w:color w:val="111111"/>
          <w:sz w:val="28"/>
          <w:sz w:val="28"/>
          <w:szCs w:val="28"/>
          <w:rtl w:val="true"/>
          <w:lang w:bidi="fa-IR"/>
        </w:rPr>
        <w:t xml:space="preserve">أتى بأفراد </w:t>
      </w:r>
      <w:r>
        <w:rPr>
          <w:rStyle w:val="FootnoteAnchor"/>
          <w:rtl w:val="true"/>
        </w:rPr>
        <w:footnoteReference w:id="585"/>
      </w:r>
      <w:r>
        <w:rPr>
          <w:rFonts w:ascii="Amiri" w:hAnsi="Amiri" w:eastAsia="Amiri" w:cs="Amiri"/>
          <w:color w:val="111111"/>
          <w:sz w:val="28"/>
          <w:sz w:val="28"/>
          <w:szCs w:val="28"/>
          <w:rtl w:val="true"/>
          <w:lang w:bidi="ar-SA"/>
        </w:rPr>
        <w:t>من الماهية تدريجاً، فعلى المرة التقييدية لا امتثال وعلى تعدد المطلوب يكون بالأول ممتثلاً، وبما زاد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اللابشرط والماهية من حيث هي ممتثل بالفرد الأول يقيناً، وفي امتثاله بالفرد الزائد وجهان</w:t>
      </w:r>
      <w:r>
        <w:rPr>
          <w:rStyle w:val="FootnoteAnchor"/>
          <w:rtl w:val="true"/>
        </w:rPr>
        <w:footnoteReference w:id="586"/>
      </w:r>
      <w:r>
        <w:rPr>
          <w:rFonts w:ascii="Amiri" w:hAnsi="Amiri" w:eastAsia="Amiri" w:cs="Amiri"/>
          <w:color w:val="111111"/>
          <w:sz w:val="28"/>
          <w:sz w:val="28"/>
          <w:szCs w:val="28"/>
          <w:rtl w:val="true"/>
          <w:lang w:bidi="ar-SA"/>
        </w:rPr>
        <w:t xml:space="preserve">، أظهر هما العدم، بل هو عاص في الزائد؛ للبدعة </w:t>
      </w:r>
      <w:r>
        <w:rPr>
          <w:rStyle w:val="FootnoteAnchor"/>
          <w:rtl w:val="true"/>
        </w:rPr>
        <w:footnoteReference w:id="587"/>
      </w:r>
      <w:r>
        <w:rPr>
          <w:rFonts w:ascii="Amiri" w:hAnsi="Amiri" w:eastAsia="Amiri" w:cs="Amiri"/>
          <w:color w:val="111111"/>
          <w:sz w:val="28"/>
          <w:sz w:val="28"/>
          <w:szCs w:val="28"/>
          <w:rtl w:val="true"/>
          <w:lang w:bidi="ar-SA"/>
        </w:rPr>
        <w:t>لا لدلالة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دفعة وكان المراد بالمرة الفرد الواحد، فعلى المرة التقييدية لا امتثال، وكذا على تعدد المطلوب إن قلنا بعدم جواز اجتماع الأمر والنهي، أو قلنا بجوازه ولكن لم يعين المأمور به فيما يشترط تعيينه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المرة </w:t>
      </w:r>
      <w:r>
        <w:rPr>
          <w:rStyle w:val="FootnoteAnchor"/>
          <w:rtl w:val="true"/>
        </w:rPr>
        <w:footnoteReference w:id="588"/>
      </w:r>
      <w:r>
        <w:rPr>
          <w:rFonts w:ascii="Amiri" w:hAnsi="Amiri" w:eastAsia="Amiri" w:cs="Amiri"/>
          <w:color w:val="111111"/>
          <w:sz w:val="28"/>
          <w:sz w:val="28"/>
          <w:szCs w:val="28"/>
          <w:rtl w:val="true"/>
          <w:lang w:bidi="ar-SA"/>
        </w:rPr>
        <w:t>اللابشرط والماهية يكون الحال كتعدد المطلوب، الا ان النهي هنا للتشريع</w:t>
      </w:r>
      <w:r>
        <w:rPr>
          <w:rFonts w:eastAsia="Amiri" w:cs="Amiri" w:ascii="Amiri" w:hAnsi="Amiri"/>
          <w:color w:val="111111"/>
          <w:sz w:val="28"/>
          <w:szCs w:val="28"/>
          <w:rtl w:val="true"/>
          <w:lang w:bidi="ar-SA"/>
        </w:rPr>
        <w:t xml:space="preserve">. </w:t>
      </w:r>
      <w:bookmarkStart w:id="221" w:name="pg9015_97499"/>
    </w:p>
    <w:p>
      <w:pPr>
        <w:pStyle w:val="BookText"/>
        <w:rPr/>
      </w:pPr>
      <w:bookmarkEnd w:id="221"/>
      <w:r>
        <w:rPr>
          <w:rFonts w:ascii="Amiri" w:hAnsi="Amiri" w:eastAsia="Amiri" w:cs="Amiri"/>
          <w:color w:val="111111"/>
          <w:sz w:val="28"/>
          <w:sz w:val="28"/>
          <w:szCs w:val="28"/>
          <w:rtl w:val="true"/>
          <w:lang w:bidi="ar-SA"/>
        </w:rPr>
        <w:t>ويظهر الفرق بين الأخيرين في النية في وجه</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أو كان المراد بالمرّة هو الدفعة، فعلى المرة التقييدية لا امتثال لدلالة الأصل، وقاعدة التشريع المحرمة للفرد الزائد وعلى تعدد المطلوب يبنى الأمر على جواز اجتماع الأمر والنهي وعدمه بالتفصيل المتقدّم آنفاً، وكذا على المرة اللابشرط والماهية يبنى الأمر على جواز الاجتماع وعدمه</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2001469_2870459653"/>
      <w:bookmarkStart w:id="223" w:name="_Toc84"/>
      <w:bookmarkEnd w:id="222"/>
      <w:r>
        <w:rPr>
          <w:rtl w:val="true"/>
        </w:rPr>
        <w:t>[</w:t>
      </w:r>
      <w:r>
        <w:rPr>
          <w:rtl w:val="true"/>
        </w:rPr>
        <w:t>تأسيس الأصل</w:t>
      </w:r>
      <w:r>
        <w:rPr>
          <w:rtl w:val="true"/>
        </w:rPr>
        <w:t>]</w:t>
      </w:r>
      <w:bookmarkEnd w:id="22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مقتضى الأصل العملي متى دار الأمر بين التكرارين، هو التقييدي؛ للاشتغال</w:t>
      </w:r>
      <w:r>
        <w:rPr>
          <w:rStyle w:val="FootnoteAnchor"/>
          <w:rtl w:val="true"/>
        </w:rPr>
        <w:footnoteReference w:id="590"/>
      </w:r>
      <w:r>
        <w:rPr>
          <w:rFonts w:ascii="Amiri" w:hAnsi="Amiri" w:eastAsia="Amiri" w:cs="Amiri"/>
          <w:color w:val="111111"/>
          <w:sz w:val="28"/>
          <w:sz w:val="28"/>
          <w:szCs w:val="28"/>
          <w:rtl w:val="true"/>
          <w:lang w:bidi="ar-SA"/>
        </w:rPr>
        <w:t>والبراءة</w:t>
      </w:r>
      <w:r>
        <w:rPr>
          <w:rStyle w:val="FootnoteAnchor"/>
          <w:rtl w:val="true"/>
        </w:rPr>
        <w:footnoteReference w:id="591"/>
      </w:r>
      <w:r>
        <w:rPr>
          <w:rFonts w:ascii="Amiri" w:hAnsi="Amiri" w:eastAsia="Amiri" w:cs="Amiri"/>
          <w:color w:val="111111"/>
          <w:sz w:val="28"/>
          <w:sz w:val="28"/>
          <w:szCs w:val="28"/>
          <w:rtl w:val="true"/>
          <w:lang w:bidi="ar-SA"/>
        </w:rPr>
        <w:t xml:space="preserve">، أو بين المرة اللا بشرط أو الماهية وبين المرة التعددية هو المرة اللا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لأصل البراءة </w:t>
      </w:r>
      <w:r>
        <w:rPr>
          <w:rStyle w:val="FootnoteAnchor"/>
          <w:rtl w:val="true"/>
        </w:rPr>
        <w:footnoteReference w:id="592"/>
      </w:r>
      <w:r>
        <w:rPr>
          <w:rFonts w:ascii="Amiri" w:hAnsi="Amiri" w:eastAsia="Amiri" w:cs="Amiri"/>
          <w:color w:val="111111"/>
          <w:sz w:val="28"/>
          <w:sz w:val="28"/>
          <w:szCs w:val="28"/>
          <w:rtl w:val="true"/>
          <w:lang w:bidi="ar-SA"/>
        </w:rPr>
        <w:t xml:space="preserve">أو بين المرة التقييدية واللا بشرط، أو بينها </w:t>
      </w:r>
      <w:r>
        <w:rPr>
          <w:rStyle w:val="FootnoteAnchor"/>
          <w:rtl w:val="true"/>
        </w:rPr>
        <w:footnoteReference w:id="593"/>
      </w:r>
      <w:r>
        <w:rPr>
          <w:rFonts w:ascii="Amiri" w:hAnsi="Amiri" w:eastAsia="Amiri" w:cs="Amiri"/>
          <w:color w:val="111111"/>
          <w:sz w:val="28"/>
          <w:sz w:val="28"/>
          <w:szCs w:val="28"/>
          <w:rtl w:val="true"/>
          <w:lang w:bidi="ar-SA"/>
        </w:rPr>
        <w:t>وبين الماهية اللابشرط</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هو المرة التقييدية؛ لأصل الشغل، وهكذا فقس سائر صور الدّوران واستخرج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والأصل </w:t>
      </w:r>
      <w:r>
        <w:rPr>
          <w:rStyle w:val="FootnoteAnchor"/>
          <w:rtl w:val="true"/>
        </w:rPr>
        <w:footnoteReference w:id="595"/>
      </w:r>
      <w:r>
        <w:rPr>
          <w:rFonts w:ascii="Amiri" w:hAnsi="Amiri" w:eastAsia="Amiri" w:cs="Amiri"/>
          <w:color w:val="111111"/>
          <w:sz w:val="28"/>
          <w:sz w:val="28"/>
          <w:szCs w:val="28"/>
          <w:rtl w:val="true"/>
          <w:lang w:bidi="ar-SA"/>
        </w:rPr>
        <w:t>اللفظي الفقاهتي هو الوقف</w:t>
      </w:r>
      <w:r>
        <w:rPr>
          <w:rStyle w:val="FootnoteAnchor"/>
          <w:rtl w:val="true"/>
        </w:rPr>
        <w:footnoteReference w:id="596"/>
      </w:r>
      <w:r>
        <w:rPr>
          <w:rFonts w:ascii="Amiri" w:hAnsi="Amiri" w:eastAsia="Amiri" w:cs="Amiri"/>
          <w:color w:val="111111"/>
          <w:sz w:val="28"/>
          <w:sz w:val="28"/>
          <w:szCs w:val="28"/>
          <w:rtl w:val="true"/>
          <w:lang w:bidi="ar-SA"/>
        </w:rPr>
        <w:t>، والاجتهادي هو الوضع للماهية؛ الأصالة عدم الوضع لغيرها، إلا ان يمنع جريان هذا الأصل، أو اعتباره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الأظهر</w:t>
      </w:r>
      <w:r>
        <w:rPr>
          <w:rStyle w:val="FootnoteAnchor"/>
          <w:rtl w:val="true"/>
        </w:rPr>
        <w:footnoteReference w:id="597"/>
      </w:r>
      <w:r>
        <w:rPr>
          <w:rFonts w:ascii="Amiri" w:hAnsi="Amiri" w:eastAsia="Amiri" w:cs="Amiri"/>
          <w:color w:val="111111"/>
          <w:sz w:val="28"/>
          <w:sz w:val="28"/>
          <w:szCs w:val="28"/>
          <w:rtl w:val="true"/>
          <w:lang w:bidi="ar-SA"/>
        </w:rPr>
        <w:t>كونه للماهية؛ للتبادر، وطريقة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تمسك القائل بالاشتراك بأن حسن الاستفهام </w:t>
      </w:r>
      <w:r>
        <w:rPr>
          <w:rStyle w:val="FootnoteAnchor"/>
          <w:rtl w:val="true"/>
        </w:rPr>
        <w:footnoteReference w:id="598"/>
      </w:r>
      <w:r>
        <w:rPr>
          <w:rFonts w:ascii="Amiri" w:hAnsi="Amiri" w:eastAsia="Amiri" w:cs="Amiri"/>
          <w:color w:val="111111"/>
          <w:sz w:val="28"/>
          <w:sz w:val="28"/>
          <w:szCs w:val="28"/>
          <w:rtl w:val="true"/>
          <w:lang w:bidi="ar-SA"/>
        </w:rPr>
        <w:t>دليل الاحتمال، والاحتمال دليل الإجمال، والإجمال</w:t>
      </w:r>
      <w:r>
        <w:rPr>
          <w:rStyle w:val="FootnoteAnchor"/>
          <w:rtl w:val="true"/>
        </w:rPr>
        <w:footnoteReference w:id="599"/>
      </w:r>
      <w:r>
        <w:rPr>
          <w:rFonts w:ascii="Amiri" w:hAnsi="Amiri" w:eastAsia="Amiri" w:cs="Amiri"/>
          <w:color w:val="111111"/>
          <w:sz w:val="28"/>
          <w:sz w:val="28"/>
          <w:szCs w:val="28"/>
          <w:rtl w:val="true"/>
          <w:lang w:bidi="ar-SA"/>
        </w:rPr>
        <w:t>دليل الاشتراك لدفعناه بمنع المقدمة الأولى إن أراد الاحتمال المساوي</w:t>
      </w:r>
      <w:r>
        <w:rPr>
          <w:rStyle w:val="FootnoteAnchor"/>
          <w:rtl w:val="true"/>
        </w:rPr>
        <w:footnoteReference w:id="600"/>
      </w:r>
      <w:r>
        <w:rPr>
          <w:rFonts w:ascii="Amiri" w:hAnsi="Amiri" w:eastAsia="Amiri" w:cs="Amiri"/>
          <w:color w:val="111111"/>
          <w:sz w:val="28"/>
          <w:sz w:val="28"/>
          <w:szCs w:val="28"/>
          <w:rtl w:val="true"/>
          <w:lang w:bidi="ar-SA"/>
        </w:rPr>
        <w:t>، ومنع الثانية إن أراد مطلق الاحتمال</w:t>
      </w:r>
      <w:r>
        <w:rPr>
          <w:rStyle w:val="FootnoteAnchor"/>
          <w:rtl w:val="true"/>
        </w:rPr>
        <w:footnoteReference w:id="601"/>
      </w:r>
      <w:r>
        <w:rPr>
          <w:rFonts w:ascii="Amiri" w:hAnsi="Amiri" w:eastAsia="Amiri" w:cs="Amiri"/>
          <w:color w:val="111111"/>
          <w:sz w:val="28"/>
          <w:sz w:val="28"/>
          <w:szCs w:val="28"/>
          <w:rtl w:val="true"/>
          <w:lang w:bidi="ar-SA"/>
        </w:rPr>
        <w:t>، مع منع الثالثة مطلقاً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لسائر الأقوال ما يعتمد عليه</w:t>
      </w:r>
      <w:r>
        <w:rPr>
          <w:rFonts w:eastAsia="Amiri" w:cs="Amiri" w:ascii="Amiri" w:hAnsi="Amiri"/>
          <w:color w:val="111111"/>
          <w:sz w:val="28"/>
          <w:szCs w:val="28"/>
          <w:rtl w:val="true"/>
          <w:lang w:bidi="ar-SA"/>
        </w:rPr>
        <w:t>.</w:t>
      </w:r>
      <w:r>
        <w:rPr>
          <w:rStyle w:val="FootnoteAnchor"/>
          <w:rtl w:val="true"/>
        </w:rPr>
        <w:footnoteReference w:id="602"/>
      </w:r>
      <w:bookmarkStart w:id="224" w:name="pg9015_97501"/>
    </w:p>
    <w:p>
      <w:pPr>
        <w:pStyle w:val="Heading2"/>
        <w:numPr>
          <w:ilvl w:val="1"/>
          <w:numId w:val="1"/>
        </w:numPr>
        <w:rPr/>
      </w:pPr>
      <w:bookmarkStart w:id="225" w:name="__RefHeading___Toc2001471_2870459653"/>
      <w:bookmarkStart w:id="226" w:name="_Toc85"/>
      <w:bookmarkEnd w:id="224"/>
      <w:bookmarkEnd w:id="225"/>
      <w:r>
        <w:rPr>
          <w:rtl w:val="true"/>
        </w:rPr>
        <w:t xml:space="preserve">أصل </w:t>
      </w:r>
      <w:r>
        <w:rPr>
          <w:rtl w:val="true"/>
        </w:rPr>
        <w:t>[</w:t>
      </w:r>
      <w:r>
        <w:rPr>
          <w:rtl w:val="true"/>
        </w:rPr>
        <w:t>في الفور والتراخي</w:t>
      </w:r>
      <w:r>
        <w:rPr>
          <w:rtl w:val="true"/>
        </w:rPr>
        <w:t>]</w:t>
      </w:r>
      <w:bookmarkEnd w:id="226"/>
    </w:p>
    <w:p>
      <w:pPr>
        <w:pStyle w:val="Heading3"/>
        <w:numPr>
          <w:ilvl w:val="2"/>
          <w:numId w:val="1"/>
        </w:numPr>
        <w:rPr/>
      </w:pPr>
      <w:bookmarkStart w:id="227" w:name="__RefHeading___Toc2001473_2870459653"/>
      <w:bookmarkStart w:id="228" w:name="_Toc86"/>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هل الأمر المجرد للفور</w:t>
      </w:r>
      <w:r>
        <w:rPr>
          <w:rStyle w:val="FootnoteAnchor"/>
          <w:rtl w:val="true"/>
        </w:rPr>
        <w:footnoteReference w:id="603"/>
      </w:r>
      <w:r>
        <w:rPr>
          <w:rFonts w:ascii="Amiri" w:hAnsi="Amiri" w:eastAsia="Amiri" w:cs="Amiri"/>
          <w:color w:val="111111"/>
          <w:sz w:val="28"/>
          <w:sz w:val="28"/>
          <w:szCs w:val="28"/>
          <w:rtl w:val="true"/>
          <w:lang w:bidi="ar-SA"/>
        </w:rPr>
        <w:t>، أو مشترك بينه وبين جواز التراخي</w:t>
      </w:r>
      <w:r>
        <w:rPr>
          <w:rStyle w:val="FootnoteAnchor"/>
          <w:rtl w:val="true"/>
        </w:rPr>
        <w:footnoteReference w:id="604"/>
      </w:r>
      <w:r>
        <w:rPr>
          <w:rFonts w:ascii="Amiri" w:hAnsi="Amiri" w:eastAsia="Amiri" w:cs="Amiri"/>
          <w:color w:val="111111"/>
          <w:sz w:val="28"/>
          <w:sz w:val="28"/>
          <w:szCs w:val="28"/>
          <w:rtl w:val="true"/>
          <w:lang w:bidi="ar-SA"/>
        </w:rPr>
        <w:t>، أو للماهية</w:t>
      </w:r>
      <w:r>
        <w:rPr>
          <w:rStyle w:val="FootnoteAnchor"/>
          <w:rtl w:val="true"/>
        </w:rPr>
        <w:footnoteReference w:id="605"/>
      </w:r>
      <w:r>
        <w:rPr>
          <w:rFonts w:ascii="IRNazanin" w:hAnsi="IRNazanin" w:eastAsia="IRNazanin"/>
          <w:color w:val="111111"/>
          <w:sz w:val="28"/>
          <w:sz w:val="28"/>
          <w:szCs w:val="28"/>
          <w:rtl w:val="true"/>
          <w:lang w:bidi="fa-IR"/>
        </w:rPr>
        <w:t>، أم لابد من الوقف</w:t>
      </w:r>
      <w:r>
        <w:rPr>
          <w:rStyle w:val="FootnoteAnchor"/>
          <w:rtl w:val="true"/>
        </w:rPr>
        <w:footnoteReference w:id="606"/>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أن المضيق بالمعنى الأخص ما كان الواجب فيه مضيقاً من جهة الرخصة والإجزاء، ومحدوداً بوقت معين ، و </w:t>
      </w:r>
      <w:r>
        <w:rPr>
          <w:rStyle w:val="FootnoteAnchor"/>
          <w:rtl w:val="true"/>
        </w:rPr>
        <w:footnoteReference w:id="607"/>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ضاق من جهة الرخصة</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والموسّع بالمعنى الأخص ما وسع من الجهتين </w:t>
      </w:r>
      <w:r>
        <w:rPr>
          <w:rStyle w:val="FootnoteAnchor"/>
          <w:rtl w:val="true"/>
        </w:rPr>
        <w:footnoteReference w:id="609"/>
      </w:r>
      <w:r>
        <w:rPr>
          <w:rFonts w:ascii="Amiri" w:hAnsi="Amiri" w:eastAsia="Amiri" w:cs="Amiri"/>
          <w:color w:val="111111"/>
          <w:sz w:val="28"/>
          <w:sz w:val="28"/>
          <w:szCs w:val="28"/>
          <w:rtl w:val="true"/>
          <w:lang w:bidi="ar-SA"/>
        </w:rPr>
        <w:t>المذكورتين، وبالمعنى الأعم ما وسع من جهة الإجزاء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والفور بالمعنى الأخص</w:t>
      </w:r>
      <w:r>
        <w:rPr>
          <w:rStyle w:val="FootnoteAnchor"/>
          <w:rtl w:val="true"/>
        </w:rPr>
        <w:footnoteReference w:id="610"/>
      </w:r>
      <w:r>
        <w:rPr>
          <w:rFonts w:ascii="Amiri" w:hAnsi="Amiri" w:eastAsia="Amiri" w:cs="Amiri"/>
          <w:color w:val="111111"/>
          <w:sz w:val="28"/>
          <w:sz w:val="28"/>
          <w:szCs w:val="28"/>
          <w:rtl w:val="true"/>
          <w:lang w:bidi="ar-SA"/>
        </w:rPr>
        <w:t xml:space="preserve">أن يكون الشيء لازم التعجيل، وغير محدود بوقت، </w:t>
      </w:r>
      <w:bookmarkStart w:id="229" w:name="pg9015_97502"/>
    </w:p>
    <w:p>
      <w:pPr>
        <w:pStyle w:val="BookText"/>
        <w:rPr/>
      </w:pPr>
      <w:bookmarkEnd w:id="229"/>
      <w:r>
        <w:rPr>
          <w:rFonts w:ascii="Amiri" w:hAnsi="Amiri" w:eastAsia="Amiri" w:cs="Amiri"/>
          <w:color w:val="111111"/>
          <w:sz w:val="28"/>
          <w:sz w:val="28"/>
          <w:szCs w:val="28"/>
          <w:rtl w:val="true"/>
          <w:lang w:bidi="ar-SA"/>
        </w:rPr>
        <w:t>وبالمعنى الأعمّ أن يكون</w:t>
      </w:r>
      <w:r>
        <w:rPr>
          <w:rStyle w:val="FootnoteAnchor"/>
          <w:rtl w:val="true"/>
        </w:rPr>
        <w:footnoteReference w:id="611"/>
      </w:r>
      <w:r>
        <w:rPr>
          <w:rFonts w:ascii="Amiri" w:hAnsi="Amiri" w:eastAsia="Amiri" w:cs="Amiri"/>
          <w:color w:val="111111"/>
          <w:sz w:val="28"/>
          <w:sz w:val="28"/>
          <w:szCs w:val="28"/>
          <w:rtl w:val="true"/>
          <w:lang w:bidi="ar-SA"/>
        </w:rPr>
        <w:t>لازم التعجيل وإن كان محدوداً</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ثم الفور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تقييدي</w:t>
      </w:r>
      <w:r>
        <w:rPr>
          <w:rStyle w:val="FootnoteAnchor"/>
          <w:rtl w:val="true"/>
        </w:rPr>
        <w:footnoteReference w:id="613"/>
      </w:r>
      <w:r>
        <w:rPr>
          <w:rFonts w:ascii="Amiri" w:hAnsi="Amiri" w:eastAsia="Amiri" w:cs="Amiri"/>
          <w:color w:val="111111"/>
          <w:sz w:val="28"/>
          <w:sz w:val="28"/>
          <w:szCs w:val="28"/>
          <w:rtl w:val="true"/>
          <w:lang w:bidi="ar-SA"/>
        </w:rPr>
        <w:t>، أو تعددي</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ففي الثالث، وهكذا</w:t>
      </w:r>
    </w:p>
    <w:p>
      <w:pPr>
        <w:pStyle w:val="BookText"/>
        <w:rPr/>
      </w:pPr>
      <w:r>
        <w:rPr>
          <w:rFonts w:ascii="Amiri" w:hAnsi="Amiri" w:eastAsia="Amiri" w:cs="Amiri"/>
          <w:color w:val="111111"/>
          <w:sz w:val="28"/>
          <w:sz w:val="28"/>
          <w:szCs w:val="28"/>
          <w:rtl w:val="true"/>
          <w:lang w:bidi="ar-SA"/>
        </w:rPr>
        <w:t>، وعلى التقادير إما حقيقي، أو عرفي، والعرف يختلف بحسب المقامات، والنسبة بين المذكورات واضحة بعد التأمل الصادق، وكذا الأصل في مسائل الدوران</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2001475_2870459653"/>
      <w:bookmarkStart w:id="231" w:name="_Toc87"/>
      <w:bookmarkEnd w:id="230"/>
      <w:r>
        <w:rPr>
          <w:rtl w:val="true"/>
        </w:rPr>
        <w:t>[</w:t>
      </w:r>
      <w:r>
        <w:rPr>
          <w:rtl w:val="true"/>
        </w:rPr>
        <w:t>ثمرة المسألة</w:t>
      </w:r>
      <w:r>
        <w:rPr>
          <w:rtl w:val="true"/>
        </w:rPr>
        <w:t>]</w:t>
      </w:r>
      <w:bookmarkEnd w:id="231"/>
    </w:p>
    <w:p>
      <w:pPr>
        <w:pStyle w:val="BookText"/>
        <w:rPr/>
      </w:pPr>
      <w:r>
        <w:rPr>
          <w:rFonts w:ascii="Amiri" w:hAnsi="Amiri" w:eastAsia="Amiri" w:cs="Amiri"/>
          <w:color w:val="111111"/>
          <w:sz w:val="28"/>
          <w:sz w:val="28"/>
          <w:szCs w:val="28"/>
          <w:rtl w:val="true"/>
          <w:lang w:bidi="ar-SA"/>
        </w:rPr>
        <w:t xml:space="preserve">ثم ثمرة القول بالماهية </w:t>
      </w:r>
      <w:r>
        <w:rPr>
          <w:rStyle w:val="FootnoteAnchor"/>
          <w:rtl w:val="true"/>
        </w:rPr>
        <w:footnoteReference w:id="615"/>
      </w:r>
      <w:r>
        <w:rPr>
          <w:rFonts w:ascii="Amiri" w:hAnsi="Amiri" w:eastAsia="Amiri" w:cs="Amiri"/>
          <w:color w:val="111111"/>
          <w:sz w:val="28"/>
          <w:sz w:val="28"/>
          <w:szCs w:val="28"/>
          <w:rtl w:val="true"/>
          <w:lang w:bidi="ar-SA"/>
        </w:rPr>
        <w:t>جواز التأخير بدلالة اللفظ ؛ وثمرة الاشتراك بين الفور التقييدي وجواز التراخي من حيث دلالة اللفظ عند عدم القرينة هو الوقف، ومن حيث العمل إن كان إجماع على نفي الثالث جواز التراخي</w:t>
      </w:r>
      <w:r>
        <w:rPr>
          <w:rStyle w:val="FootnoteAnchor"/>
          <w:rtl w:val="true"/>
        </w:rPr>
        <w:footnoteReference w:id="616"/>
      </w:r>
      <w:r>
        <w:rPr>
          <w:rFonts w:ascii="Amiri" w:hAnsi="Amiri" w:eastAsia="Amiri" w:cs="Amiri"/>
          <w:color w:val="111111"/>
          <w:sz w:val="28"/>
          <w:sz w:val="28"/>
          <w:szCs w:val="28"/>
          <w:rtl w:val="true"/>
          <w:lang w:bidi="ar-SA"/>
        </w:rPr>
        <w:t>، والا تعدد المطلوب؛ عملاً بالأصلين، وإن لم يكن الإتيان بالفعل في وقت الفور تعيّن التقييدي، وبين الفور التعددي وجواز التراخي جواز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وثمرة الوقف كالاشتراك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والثمرة بين القول بالفور والقول بعدم الفور واضحة، وبين القول بالفور المستفاد من الصيغة ومن الخارج التقييد على الأول، وتعدد المطلوب على الأخير، </w:t>
      </w:r>
      <w:bookmarkStart w:id="232" w:name="pg9015_97503"/>
    </w:p>
    <w:p>
      <w:pPr>
        <w:pStyle w:val="BookText"/>
        <w:rPr/>
      </w:pPr>
      <w:bookmarkEnd w:id="232"/>
      <w:r>
        <w:rPr>
          <w:rFonts w:ascii="Amiri" w:hAnsi="Amiri" w:eastAsia="Amiri" w:cs="Amiri"/>
          <w:color w:val="111111"/>
          <w:sz w:val="28"/>
          <w:sz w:val="28"/>
          <w:szCs w:val="28"/>
          <w:rtl w:val="true"/>
          <w:lang w:bidi="ar-SA"/>
        </w:rPr>
        <w:t>وفيه نظر واضح ويمكن فرض الثمرة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الفور المستفاد من الدليل الشرعي ، أو </w:t>
      </w:r>
      <w:r>
        <w:rPr>
          <w:rStyle w:val="FootnoteAnchor"/>
          <w:rtl w:val="true"/>
        </w:rPr>
        <w:footnoteReference w:id="617"/>
      </w:r>
      <w:r>
        <w:rPr>
          <w:rFonts w:ascii="Amiri" w:hAnsi="Amiri" w:eastAsia="Amiri" w:cs="Amiri"/>
          <w:color w:val="111111"/>
          <w:sz w:val="28"/>
          <w:sz w:val="28"/>
          <w:szCs w:val="28"/>
          <w:rtl w:val="true"/>
          <w:lang w:bidi="ar-SA"/>
        </w:rPr>
        <w:t>العقلي المستقل، حصول التعارض عند دلالة دليل خارجي على التوقيت</w:t>
      </w:r>
      <w:r>
        <w:rPr>
          <w:rStyle w:val="FootnoteAnchor"/>
          <w:rtl w:val="true"/>
        </w:rPr>
        <w:footnoteReference w:id="618"/>
      </w:r>
      <w:r>
        <w:rPr>
          <w:rFonts w:ascii="Amiri" w:hAnsi="Amiri" w:eastAsia="Amiri" w:cs="Amiri"/>
          <w:color w:val="111111"/>
          <w:sz w:val="28"/>
          <w:sz w:val="28"/>
          <w:szCs w:val="28"/>
          <w:rtl w:val="true"/>
          <w:lang w:bidi="ar-SA"/>
        </w:rPr>
        <w:t>بوقت موسّع على الأول لا الأخير، وبين العقلي المستقل والتبعي، حصول الإثم بنفس التأخير وعدمه</w:t>
      </w:r>
      <w:r>
        <w:rPr>
          <w:rFonts w:eastAsia="Amiri" w:cs="Amiri" w:ascii="Amiri" w:hAnsi="Amiri"/>
          <w:color w:val="111111"/>
          <w:sz w:val="28"/>
          <w:szCs w:val="28"/>
          <w:rtl w:val="true"/>
          <w:lang w:bidi="ar-SA"/>
        </w:rPr>
        <w:t>.</w:t>
      </w:r>
      <w:r>
        <w:rPr>
          <w:rStyle w:val="FootnoteAnchor"/>
          <w:rtl w:val="true"/>
        </w:rPr>
        <w:footnoteReference w:id="619"/>
      </w:r>
    </w:p>
    <w:p>
      <w:pPr>
        <w:pStyle w:val="Heading3"/>
        <w:numPr>
          <w:ilvl w:val="2"/>
          <w:numId w:val="1"/>
        </w:numPr>
        <w:rPr/>
      </w:pPr>
      <w:bookmarkStart w:id="233" w:name="__RefHeading___Toc2001477_2870459653"/>
      <w:bookmarkStart w:id="234" w:name="_Toc88"/>
      <w:bookmarkEnd w:id="233"/>
      <w:r>
        <w:rPr>
          <w:rtl w:val="true"/>
        </w:rPr>
        <w:t>[</w:t>
      </w:r>
      <w:r>
        <w:rPr>
          <w:rtl w:val="true"/>
        </w:rPr>
        <w:t>تأسيس الأصل</w:t>
      </w:r>
      <w:r>
        <w:rPr>
          <w:rtl w:val="true"/>
        </w:rPr>
        <w:t>]</w:t>
      </w:r>
      <w:bookmarkEnd w:id="234"/>
    </w:p>
    <w:p>
      <w:pPr>
        <w:pStyle w:val="BookText"/>
        <w:rPr/>
      </w:pPr>
      <w:r>
        <w:rPr>
          <w:rFonts w:ascii="Amiri" w:hAnsi="Amiri" w:eastAsia="Amiri" w:cs="Amiri"/>
          <w:color w:val="111111"/>
          <w:sz w:val="28"/>
          <w:sz w:val="28"/>
          <w:szCs w:val="28"/>
          <w:rtl w:val="true"/>
          <w:lang w:bidi="ar-SA"/>
        </w:rPr>
        <w:t>ثم الأصل في المسألة عملاً أو لفظاً، فقاهتياً أو اجتهادياً، يظهر مما مر هنا وفي بحث المرّة ، فلا حاجة إلى التكرار</w:t>
      </w:r>
    </w:p>
    <w:p>
      <w:pPr>
        <w:pStyle w:val="Heading3"/>
        <w:numPr>
          <w:ilvl w:val="2"/>
          <w:numId w:val="1"/>
        </w:numPr>
        <w:rPr/>
      </w:pPr>
      <w:bookmarkStart w:id="235" w:name="__RefHeading___Toc2001479_2870459653"/>
      <w:bookmarkStart w:id="236" w:name="_Toc89"/>
      <w:bookmarkEnd w:id="235"/>
      <w:r>
        <w:rPr>
          <w:rtl w:val="true"/>
        </w:rPr>
        <w:t>[</w:t>
      </w:r>
      <w:r>
        <w:rPr>
          <w:rtl w:val="true"/>
        </w:rPr>
        <w:t>المختار في المسألة</w:t>
      </w:r>
      <w:r>
        <w:rPr>
          <w:rtl w:val="true"/>
        </w:rPr>
        <w:t>]</w:t>
      </w:r>
      <w:bookmarkEnd w:id="236"/>
    </w:p>
    <w:p>
      <w:pPr>
        <w:pStyle w:val="BookText"/>
        <w:rPr/>
      </w:pPr>
      <w:r>
        <w:rPr>
          <w:rFonts w:ascii="Amiri" w:hAnsi="Amiri" w:eastAsia="Amiri" w:cs="Amiri"/>
          <w:color w:val="111111"/>
          <w:sz w:val="28"/>
          <w:sz w:val="28"/>
          <w:szCs w:val="28"/>
          <w:rtl w:val="true"/>
          <w:lang w:bidi="ar-SA"/>
        </w:rPr>
        <w:t>ثم الحق أنّ الأمر المجرد موضوع للماهية المحضة؛ للتبادر، وفهم العرف التأسيس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فوراً</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2001481_2870459653"/>
      <w:bookmarkStart w:id="238" w:name="_Toc90"/>
      <w:bookmarkEnd w:id="237"/>
      <w:r>
        <w:rPr>
          <w:rtl w:val="true"/>
        </w:rPr>
        <w:t>[</w:t>
      </w:r>
      <w:r>
        <w:rPr>
          <w:rtl w:val="true"/>
        </w:rPr>
        <w:t>أدلة القول بالفور</w:t>
      </w:r>
      <w:r>
        <w:rPr>
          <w:rtl w:val="true"/>
        </w:rPr>
        <w:t>]</w:t>
      </w:r>
      <w:bookmarkEnd w:id="23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على الفور بالاستقراء</w:t>
      </w:r>
      <w:r>
        <w:rPr>
          <w:rStyle w:val="FootnoteAnchor"/>
          <w:rtl w:val="true"/>
        </w:rPr>
        <w:footnoteReference w:id="620"/>
      </w:r>
      <w:r>
        <w:rPr>
          <w:rFonts w:ascii="Amiri" w:hAnsi="Amiri" w:eastAsia="Amiri" w:cs="Amiri"/>
          <w:color w:val="111111"/>
          <w:sz w:val="28"/>
          <w:sz w:val="28"/>
          <w:szCs w:val="28"/>
          <w:rtl w:val="true"/>
          <w:lang w:bidi="ar-SA"/>
        </w:rPr>
        <w:t>، وبقول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للحاله</w:t>
      </w:r>
      <w:r>
        <w:rPr>
          <w:rStyle w:val="FootnoteAnchor"/>
          <w:rtl w:val="true"/>
        </w:rPr>
        <w:footnoteReference w:id="621"/>
      </w:r>
      <w:r>
        <w:rPr>
          <w:rFonts w:ascii="Amiri" w:hAnsi="Amiri" w:eastAsia="Amiri" w:cs="Amiri"/>
          <w:color w:val="111111"/>
          <w:sz w:val="28"/>
          <w:sz w:val="28"/>
          <w:szCs w:val="28"/>
          <w:rtl w:val="true"/>
          <w:lang w:bidi="ar-SA"/>
        </w:rPr>
        <w:t xml:space="preserve">، وبذمّ </w:t>
      </w:r>
    </w:p>
    <w:p>
      <w:pPr>
        <w:pStyle w:val="BookText"/>
        <w:rPr/>
      </w:pPr>
      <w:r>
        <w:rPr>
          <w:rFonts w:ascii="Amiri" w:hAnsi="Amiri" w:eastAsia="Amiri" w:cs="Amiri"/>
          <w:color w:val="111111"/>
          <w:sz w:val="28"/>
          <w:sz w:val="28"/>
          <w:szCs w:val="28"/>
          <w:rtl w:val="true"/>
          <w:lang w:bidi="ar-SA"/>
        </w:rPr>
        <w:t>الله سبحانه إبليس على ترك السجود فوراً وبالتبادر، وبأن النهي يفيد الفور فكذا الأمر؛ بجامع الطلب</w:t>
      </w:r>
      <w:r>
        <w:rPr>
          <w:rStyle w:val="FootnoteAnchor"/>
          <w:rtl w:val="true"/>
        </w:rPr>
        <w:footnoteReference w:id="622"/>
      </w:r>
      <w:r>
        <w:rPr>
          <w:rFonts w:ascii="Amiri" w:hAnsi="Amiri" w:eastAsia="Amiri" w:cs="Amiri"/>
          <w:color w:val="111111"/>
          <w:sz w:val="28"/>
          <w:sz w:val="28"/>
          <w:szCs w:val="28"/>
          <w:rtl w:val="true"/>
          <w:lang w:bidi="ar-SA"/>
        </w:rPr>
        <w:t>، وبأن الأمر بالشيء يقتضي النهي عن ضدّه، والنهي عن الضد يستلزم دوام الترك الملازم لدوام الفعل ولهم أدلة أخر دالة على أن المراد من الأمر الفور، وإن لم تدل على وضعه له، وهي آيتا الاستباق</w:t>
      </w:r>
      <w:r>
        <w:rPr>
          <w:rStyle w:val="FootnoteAnchor"/>
          <w:rtl w:val="true"/>
        </w:rPr>
        <w:footnoteReference w:id="623"/>
      </w:r>
      <w:r>
        <w:rPr>
          <w:rFonts w:ascii="Amiri" w:hAnsi="Amiri" w:eastAsia="Amiri" w:cs="Amiri"/>
          <w:color w:val="111111"/>
          <w:sz w:val="28"/>
          <w:sz w:val="28"/>
          <w:szCs w:val="28"/>
          <w:rtl w:val="true"/>
          <w:lang w:bidi="ar-SA"/>
        </w:rPr>
        <w:t xml:space="preserve">والمسارعة </w:t>
      </w:r>
      <w:r>
        <w:rPr>
          <w:rStyle w:val="FootnoteAnchor"/>
          <w:rtl w:val="true"/>
        </w:rPr>
        <w:footnoteReference w:id="624"/>
      </w:r>
      <w:r>
        <w:rPr>
          <w:rFonts w:ascii="IRNazanin" w:hAnsi="IRNazanin" w:eastAsia="IRNazanin"/>
          <w:color w:val="111111"/>
          <w:sz w:val="28"/>
          <w:sz w:val="28"/>
          <w:szCs w:val="28"/>
          <w:rtl w:val="true"/>
          <w:lang w:bidi="fa-IR"/>
        </w:rPr>
        <w:t>، ولزوم الإغراء بالجهل لولاه</w:t>
      </w:r>
      <w:r>
        <w:rPr>
          <w:rStyle w:val="FootnoteAnchor"/>
          <w:rtl w:val="true"/>
        </w:rPr>
        <w:footnoteReference w:id="625"/>
      </w:r>
      <w:r>
        <w:rPr>
          <w:rFonts w:ascii="IRNazanin" w:hAnsi="IRNazanin" w:eastAsia="IRNazanin"/>
          <w:color w:val="111111"/>
          <w:sz w:val="28"/>
          <w:sz w:val="28"/>
          <w:szCs w:val="28"/>
          <w:rtl w:val="true"/>
          <w:lang w:bidi="fa-IR"/>
        </w:rPr>
        <w:t>، وأصل الشغل، ودفع الضرر</w:t>
      </w:r>
      <w:r>
        <w:rPr>
          <w:rStyle w:val="FootnoteAnchor"/>
          <w:rtl w:val="true"/>
        </w:rPr>
        <w:footnoteReference w:id="626"/>
      </w:r>
      <w:r>
        <w:rPr>
          <w:rFonts w:ascii="IRNazanin" w:hAnsi="IRNazanin" w:eastAsia="IRNazanin"/>
          <w:color w:val="111111"/>
          <w:sz w:val="28"/>
          <w:sz w:val="28"/>
          <w:szCs w:val="28"/>
          <w:rtl w:val="true"/>
          <w:lang w:bidi="fa-IR"/>
        </w:rPr>
        <w:t>المحتمل</w:t>
      </w:r>
      <w:r>
        <w:rPr>
          <w:rStyle w:val="FootnoteAnchor"/>
          <w:rtl w:val="true"/>
        </w:rPr>
        <w:footnoteReference w:id="627"/>
      </w:r>
      <w:r>
        <w:rPr>
          <w:rFonts w:ascii="IRNazanin" w:hAnsi="IRNazanin" w:eastAsia="IRNazanin"/>
          <w:color w:val="111111"/>
          <w:sz w:val="28"/>
          <w:sz w:val="28"/>
          <w:szCs w:val="28"/>
          <w:rtl w:val="true"/>
          <w:lang w:bidi="fa-IR"/>
        </w:rPr>
        <w:t xml:space="preserve">، ولزوم فوات الغرض غالباً لولاه </w:t>
      </w:r>
      <w:r>
        <w:rPr>
          <w:rStyle w:val="FootnoteAnchor"/>
          <w:rtl w:val="true"/>
        </w:rPr>
        <w:footnoteReference w:id="628"/>
      </w:r>
      <w:r>
        <w:rPr>
          <w:rFonts w:ascii="Amiri" w:hAnsi="Amiri" w:eastAsia="Amiri" w:cs="Amiri"/>
          <w:color w:val="111111"/>
          <w:sz w:val="28"/>
          <w:sz w:val="28"/>
          <w:szCs w:val="28"/>
          <w:rtl w:val="true"/>
          <w:lang w:bidi="ar-SA"/>
        </w:rPr>
        <w:t>، وأجوبتها بعد التأمل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الحقُّ في الأوامر العرفية إرادة الفور العرفي المختلف بحسب المقامات سعة وضيقاً، تقييداً وتعدداً، ولو شك فبناء العرف على التعدد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الأوامر الشرعية لا يجوز التأخير إذا وصل إلى حدّ التهاون وإن ظن بالتمكن؛ لحكم المقدّمة العقلية</w:t>
      </w:r>
      <w:r>
        <w:rPr>
          <w:rFonts w:eastAsia="Amiri" w:cs="Amiri" w:ascii="Amiri" w:hAnsi="Amiri"/>
          <w:color w:val="111111"/>
          <w:sz w:val="28"/>
          <w:szCs w:val="28"/>
          <w:rtl w:val="true"/>
          <w:lang w:bidi="ar-SA"/>
        </w:rPr>
        <w:t>.</w:t>
      </w:r>
      <w:r>
        <w:rPr>
          <w:rStyle w:val="FootnoteAnchor"/>
          <w:rtl w:val="true"/>
        </w:rPr>
        <w:footnoteReference w:id="629"/>
      </w:r>
      <w:bookmarkStart w:id="239" w:name="pg9015_97505"/>
    </w:p>
    <w:p>
      <w:pPr>
        <w:pStyle w:val="Heading2"/>
        <w:numPr>
          <w:ilvl w:val="1"/>
          <w:numId w:val="1"/>
        </w:numPr>
        <w:rPr/>
      </w:pPr>
      <w:bookmarkStart w:id="240" w:name="__RefHeading___Toc2001483_2870459653"/>
      <w:bookmarkStart w:id="241" w:name="_Toc91"/>
      <w:bookmarkEnd w:id="239"/>
      <w:bookmarkEnd w:id="240"/>
      <w:r>
        <w:rPr>
          <w:rtl w:val="true"/>
        </w:rPr>
        <w:t xml:space="preserve">أصل </w:t>
      </w:r>
      <w:r>
        <w:rPr>
          <w:rtl w:val="true"/>
        </w:rPr>
        <w:t>[</w:t>
      </w:r>
      <w:r>
        <w:rPr>
          <w:rtl w:val="true"/>
        </w:rPr>
        <w:t>في أن القضاء بفرض جديد أم لا بل بالأمر الأول</w:t>
      </w:r>
      <w:r>
        <w:rPr>
          <w:rtl w:val="true"/>
        </w:rPr>
        <w:t>]</w:t>
      </w:r>
      <w:bookmarkEnd w:id="241"/>
    </w:p>
    <w:p>
      <w:pPr>
        <w:pStyle w:val="BookText"/>
        <w:rPr/>
      </w:pPr>
      <w:r>
        <w:rPr>
          <w:rFonts w:ascii="Amiri" w:hAnsi="Amiri" w:eastAsia="Amiri" w:cs="Amiri"/>
          <w:color w:val="111111"/>
          <w:sz w:val="28"/>
          <w:sz w:val="28"/>
          <w:szCs w:val="28"/>
          <w:rtl w:val="true"/>
          <w:lang w:bidi="ar-SA"/>
        </w:rPr>
        <w:t>الأصح أن القضاء بفرض جديد لا بالأمر الأول</w:t>
      </w:r>
      <w:r>
        <w:rPr>
          <w:rStyle w:val="FootnoteAnchor"/>
          <w:rtl w:val="true"/>
        </w:rPr>
        <w:footnoteReference w:id="630"/>
      </w:r>
      <w:r>
        <w:rPr>
          <w:rFonts w:ascii="IRNazanin" w:hAnsi="IRNazanin" w:eastAsia="IRNazanin"/>
          <w:color w:val="111111"/>
          <w:sz w:val="28"/>
          <w:sz w:val="28"/>
          <w:szCs w:val="28"/>
          <w:rtl w:val="true"/>
          <w:lang w:bidi="fa-IR"/>
        </w:rPr>
        <w:t>للأصل</w:t>
      </w:r>
      <w:r>
        <w:rPr>
          <w:rStyle w:val="FootnoteAnchor"/>
          <w:rtl w:val="true"/>
        </w:rPr>
        <w:footnoteReference w:id="631"/>
      </w:r>
      <w:r>
        <w:rPr>
          <w:rFonts w:ascii="Amiri" w:hAnsi="Amiri" w:eastAsia="Amiri" w:cs="Amiri"/>
          <w:color w:val="111111"/>
          <w:sz w:val="28"/>
          <w:sz w:val="28"/>
          <w:szCs w:val="28"/>
          <w:rtl w:val="true"/>
          <w:lang w:bidi="ar-SA"/>
        </w:rPr>
        <w:t>، ومفهوم الزمان إن كان حجة، والحق عدم حجيته، لكن يكفي فهم العرف</w:t>
      </w:r>
      <w:r>
        <w:rPr>
          <w:rStyle w:val="FootnoteAnchor"/>
          <w:rtl w:val="true"/>
        </w:rPr>
        <w:footnoteReference w:id="632"/>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أي كون الزمان جزء المطلوب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والتمسك للقول الثاني بأنّ المتبادر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ذكر الوقت من باب ذكر أحد الأفراد</w:t>
      </w:r>
      <w:r>
        <w:rPr>
          <w:rStyle w:val="FootnoteAnchor"/>
          <w:rtl w:val="true"/>
        </w:rPr>
        <w:footnoteReference w:id="633"/>
      </w:r>
      <w:r>
        <w:rPr>
          <w:rFonts w:ascii="IRNazanin" w:hAnsi="IRNazanin" w:eastAsia="IRNazanin"/>
          <w:color w:val="111111"/>
          <w:sz w:val="28"/>
          <w:sz w:val="28"/>
          <w:szCs w:val="28"/>
          <w:rtl w:val="true"/>
          <w:lang w:bidi="fa-IR"/>
        </w:rPr>
        <w:t>، أو أن</w:t>
      </w:r>
      <w:r>
        <w:rPr>
          <w:rStyle w:val="FootnoteAnchor"/>
          <w:rtl w:val="true"/>
        </w:rPr>
        <w:footnoteReference w:id="634"/>
      </w:r>
      <w:r>
        <w:rPr>
          <w:rFonts w:ascii="Amiri" w:hAnsi="Amiri" w:eastAsia="Amiri" w:cs="Amiri"/>
          <w:color w:val="111111"/>
          <w:sz w:val="28"/>
          <w:sz w:val="28"/>
          <w:szCs w:val="28"/>
          <w:rtl w:val="true"/>
          <w:lang w:bidi="ar-SA"/>
        </w:rPr>
        <w:t xml:space="preserve">المتبادر تعدد المطلوب، أو أن الأصل مع الشك في التقييد والتعدد هو الأخير </w:t>
      </w:r>
      <w:r>
        <w:rPr>
          <w:rStyle w:val="FootnoteAnchor"/>
          <w:rtl w:val="true"/>
        </w:rPr>
        <w:footnoteReference w:id="6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الأصل مع الشك في كون الوقت جزءاً أم فرداً هو الأخير</w:t>
      </w:r>
      <w:r>
        <w:rPr>
          <w:rFonts w:eastAsia="Amiri" w:cs="Amiri" w:ascii="Amiri" w:hAnsi="Amiri"/>
          <w:color w:val="111111"/>
          <w:sz w:val="28"/>
          <w:szCs w:val="28"/>
          <w:rtl w:val="true"/>
          <w:lang w:bidi="ar-SA"/>
        </w:rPr>
        <w:t>)</w:t>
      </w:r>
      <w:r>
        <w:rPr>
          <w:rStyle w:val="FootnoteAnchor"/>
          <w:rtl w:val="true"/>
        </w:rPr>
        <w:footnoteReference w:id="636"/>
      </w:r>
      <w:r>
        <w:rPr>
          <w:rFonts w:ascii="IRNazanin" w:hAnsi="IRNazanin" w:eastAsia="IRNazanin"/>
          <w:color w:val="111111"/>
          <w:sz w:val="28"/>
          <w:sz w:val="28"/>
          <w:szCs w:val="28"/>
          <w:rtl w:val="true"/>
          <w:lang w:bidi="fa-IR"/>
        </w:rPr>
        <w:t>، أو</w:t>
      </w:r>
      <w:r>
        <w:rPr>
          <w:rStyle w:val="FootnoteAnchor"/>
          <w:rtl w:val="true"/>
        </w:rPr>
        <w:footnoteReference w:id="637"/>
      </w:r>
      <w:r>
        <w:rPr>
          <w:rFonts w:ascii="Amiri" w:hAnsi="Amiri" w:eastAsia="Amiri" w:cs="Amiri"/>
          <w:color w:val="111111"/>
          <w:sz w:val="28"/>
          <w:sz w:val="28"/>
          <w:szCs w:val="28"/>
          <w:rtl w:val="true"/>
          <w:lang w:bidi="ar-SA"/>
        </w:rPr>
        <w:t xml:space="preserve">بأن انتفاء القيد لا يستلزم انتفاء المقيد ولو بحكم الأصل مع الشك فيه </w:t>
      </w:r>
      <w:r>
        <w:rPr>
          <w:rStyle w:val="FootnoteAnchor"/>
          <w:rtl w:val="true"/>
        </w:rPr>
        <w:footnoteReference w:id="638"/>
      </w:r>
      <w:r>
        <w:rPr>
          <w:rFonts w:ascii="Amiri" w:hAnsi="Amiri" w:eastAsia="Amiri" w:cs="Amiri"/>
          <w:color w:val="111111"/>
          <w:sz w:val="28"/>
          <w:sz w:val="28"/>
          <w:szCs w:val="28"/>
          <w:rtl w:val="true"/>
          <w:lang w:bidi="ar-SA"/>
        </w:rPr>
        <w:t xml:space="preserve">، أو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Style w:val="FootnoteAnchor"/>
          <w:rtl w:val="true"/>
        </w:rPr>
        <w:footnoteReference w:id="639"/>
      </w:r>
      <w:r>
        <w:rPr>
          <w:rFonts w:ascii="IRNazanin" w:hAnsi="IRNazanin" w:eastAsia="IRNazanin"/>
          <w:color w:val="111111"/>
          <w:sz w:val="28"/>
          <w:sz w:val="28"/>
          <w:szCs w:val="28"/>
          <w:rtl w:val="true"/>
          <w:lang w:bidi="fa-IR"/>
        </w:rPr>
        <w:t>، أو بالاستقراء</w:t>
      </w:r>
      <w:r>
        <w:rPr>
          <w:rFonts w:eastAsia="IRNazanin" w:cs="IRNazanin"/>
          <w:color w:val="111111"/>
          <w:sz w:val="28"/>
          <w:szCs w:val="28"/>
          <w:rtl w:val="true"/>
          <w:lang w:bidi="fa-IR"/>
        </w:rPr>
        <w:t>.</w:t>
      </w:r>
      <w:r>
        <w:rPr>
          <w:rStyle w:val="FootnoteAnchor"/>
          <w:rtl w:val="true"/>
        </w:rPr>
        <w:footnoteReference w:id="640"/>
      </w:r>
      <w:bookmarkStart w:id="242" w:name="pg9015_97506"/>
    </w:p>
    <w:p>
      <w:pPr>
        <w:pStyle w:val="BookText"/>
        <w:rPr/>
      </w:pPr>
      <w:bookmarkEnd w:id="242"/>
      <w:r>
        <w:rPr>
          <w:rFonts w:ascii="Amiri" w:hAnsi="Amiri" w:eastAsia="Amiri" w:cs="Amiri"/>
          <w:color w:val="111111"/>
          <w:sz w:val="28"/>
          <w:sz w:val="28"/>
          <w:szCs w:val="28"/>
          <w:rtl w:val="true"/>
          <w:lang w:bidi="ar-SA"/>
        </w:rPr>
        <w:t>بيّن الفساد</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نعم، يمكن أن يقال فيما ورد الأمر بقضائه في بعض الأحوال، ولم يرد عدم قضائه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يفهم من ذلك تعدد المطلوب، فيسري إلى صور الشك من أفراد هذا القسم</w:t>
      </w:r>
      <w:r>
        <w:rPr>
          <w:rFonts w:eastAsia="Amiri" w:cs="Amiri" w:ascii="Amiri" w:hAnsi="Amiri"/>
          <w:color w:val="111111"/>
          <w:sz w:val="28"/>
          <w:szCs w:val="28"/>
          <w:rtl w:val="true"/>
          <w:lang w:bidi="ar-SA"/>
        </w:rPr>
        <w:t>.</w:t>
      </w:r>
    </w:p>
    <w:p>
      <w:pPr>
        <w:pStyle w:val="Heading2"/>
        <w:numPr>
          <w:ilvl w:val="1"/>
          <w:numId w:val="1"/>
        </w:numPr>
        <w:rPr/>
      </w:pPr>
      <w:bookmarkStart w:id="243" w:name="__RefHeading___Toc2001485_2870459653"/>
      <w:bookmarkStart w:id="244" w:name="_Toc92"/>
      <w:bookmarkEnd w:id="243"/>
      <w:r>
        <w:rPr>
          <w:rtl w:val="true"/>
        </w:rPr>
        <w:t xml:space="preserve">أصل </w:t>
      </w:r>
      <w:r>
        <w:rPr>
          <w:rtl w:val="true"/>
        </w:rPr>
        <w:t>[</w:t>
      </w:r>
      <w:r>
        <w:rPr>
          <w:rtl w:val="true"/>
        </w:rPr>
        <w:t>في مقدمة الواجب</w:t>
      </w:r>
      <w:r>
        <w:rPr>
          <w:rtl w:val="true"/>
        </w:rPr>
        <w:t>]</w:t>
      </w:r>
      <w:bookmarkEnd w:id="244"/>
    </w:p>
    <w:p>
      <w:pPr>
        <w:pStyle w:val="Heading3"/>
        <w:numPr>
          <w:ilvl w:val="2"/>
          <w:numId w:val="1"/>
        </w:numPr>
        <w:rPr/>
      </w:pPr>
      <w:bookmarkStart w:id="245" w:name="__RefHeading___Toc2001487_2870459653"/>
      <w:bookmarkStart w:id="246" w:name="_Toc93"/>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هل الأمر بشيء على الإطلاق يقتضي إيجاب ما لا</w:t>
      </w:r>
      <w:r>
        <w:rPr>
          <w:rStyle w:val="FootnoteAnchor"/>
          <w:rtl w:val="true"/>
        </w:rPr>
        <w:footnoteReference w:id="642"/>
      </w:r>
      <w:r>
        <w:rPr>
          <w:rFonts w:ascii="Amiri" w:hAnsi="Amiri" w:eastAsia="Amiri" w:cs="Amiri"/>
          <w:color w:val="111111"/>
          <w:sz w:val="28"/>
          <w:sz w:val="28"/>
          <w:szCs w:val="28"/>
          <w:rtl w:val="true"/>
          <w:lang w:bidi="ar-SA"/>
        </w:rPr>
        <w:t>يتم الا به من المقدمات مطلقاً</w:t>
      </w:r>
      <w:r>
        <w:rPr>
          <w:rStyle w:val="FootnoteAnchor"/>
          <w:rtl w:val="true"/>
        </w:rPr>
        <w:footnoteReference w:id="643"/>
      </w:r>
      <w:r>
        <w:rPr>
          <w:rFonts w:ascii="IRNazanin" w:hAnsi="IRNazanin" w:eastAsia="IRNazanin"/>
          <w:color w:val="111111"/>
          <w:sz w:val="28"/>
          <w:sz w:val="28"/>
          <w:szCs w:val="28"/>
          <w:rtl w:val="true"/>
          <w:lang w:bidi="fa-IR"/>
        </w:rPr>
        <w:t>، أم لا مطلقاً</w:t>
      </w:r>
      <w:r>
        <w:rPr>
          <w:rStyle w:val="FootnoteAnchor"/>
          <w:rtl w:val="true"/>
        </w:rPr>
        <w:footnoteReference w:id="644"/>
      </w:r>
      <w:r>
        <w:rPr>
          <w:rFonts w:ascii="Amiri" w:hAnsi="Amiri" w:eastAsia="Amiri" w:cs="Amiri"/>
          <w:color w:val="111111"/>
          <w:sz w:val="28"/>
          <w:sz w:val="28"/>
          <w:szCs w:val="28"/>
          <w:rtl w:val="true"/>
          <w:lang w:bidi="ar-SA"/>
        </w:rPr>
        <w:t>، أم يقتضي في السبب</w:t>
      </w:r>
      <w:r>
        <w:rPr>
          <w:rStyle w:val="FootnoteAnchor"/>
          <w:rtl w:val="true"/>
        </w:rPr>
        <w:footnoteReference w:id="645"/>
      </w:r>
      <w:r>
        <w:rPr>
          <w:rFonts w:ascii="Amiri" w:hAnsi="Amiri" w:eastAsia="Amiri" w:cs="Amiri"/>
          <w:color w:val="111111"/>
          <w:sz w:val="28"/>
          <w:sz w:val="28"/>
          <w:szCs w:val="28"/>
          <w:rtl w:val="true"/>
          <w:lang w:bidi="ar-SA"/>
        </w:rPr>
        <w:t>خاصة</w:t>
      </w:r>
      <w:r>
        <w:rPr>
          <w:rStyle w:val="FootnoteAnchor"/>
          <w:rtl w:val="true"/>
        </w:rPr>
        <w:footnoteReference w:id="646"/>
      </w:r>
      <w:r>
        <w:rPr>
          <w:rFonts w:ascii="Amiri" w:hAnsi="Amiri" w:eastAsia="Amiri" w:cs="Amiri"/>
          <w:color w:val="111111"/>
          <w:sz w:val="28"/>
          <w:sz w:val="28"/>
          <w:szCs w:val="28"/>
          <w:rtl w:val="true"/>
          <w:lang w:bidi="ar-SA"/>
        </w:rPr>
        <w:t>، أم في الشرط الشرعي خاصة</w:t>
      </w:r>
      <w:r>
        <w:rPr>
          <w:rStyle w:val="FootnoteAnchor"/>
          <w:rtl w:val="true"/>
        </w:rPr>
        <w:footnoteReference w:id="647"/>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بالمسبب عين</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الأمر بالسبب</w:t>
      </w:r>
      <w:r>
        <w:rPr>
          <w:rStyle w:val="FootnoteAnchor"/>
          <w:rtl w:val="true"/>
        </w:rPr>
        <w:footnoteReference w:id="649"/>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Heading3"/>
        <w:numPr>
          <w:ilvl w:val="2"/>
          <w:numId w:val="1"/>
        </w:numPr>
        <w:rPr/>
      </w:pPr>
      <w:bookmarkStart w:id="247" w:name="__RefHeading___Toc2001489_2870459653"/>
      <w:bookmarkStart w:id="248" w:name="_Toc94"/>
      <w:bookmarkEnd w:id="247"/>
      <w:r>
        <w:rPr>
          <w:rtl w:val="true"/>
        </w:rPr>
        <w:t xml:space="preserve">[ </w:t>
      </w:r>
      <w:r>
        <w:rPr>
          <w:rtl w:val="true"/>
        </w:rPr>
        <w:t>أقسام الواجب</w:t>
      </w:r>
      <w:r>
        <w:rPr>
          <w:rtl w:val="true"/>
        </w:rPr>
        <w:t>]</w:t>
      </w:r>
      <w:bookmarkEnd w:id="24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الواجب من حيث عدم تعلّق وجوبه بوجود شيء يُفرَض مطلقٌ، ومن حيث تعلق وجوبه بوجود شيء يُفرَض مقيّد ومشروط</w:t>
      </w:r>
      <w:r>
        <w:rPr>
          <w:rFonts w:eastAsia="Amiri" w:cs="Amiri" w:ascii="Amiri" w:hAnsi="Amiri"/>
          <w:color w:val="111111"/>
          <w:sz w:val="28"/>
          <w:szCs w:val="28"/>
          <w:rtl w:val="true"/>
          <w:lang w:bidi="ar-SA"/>
        </w:rPr>
        <w:t xml:space="preserve">. </w:t>
      </w:r>
      <w:bookmarkStart w:id="249" w:name="pg9015_97507"/>
    </w:p>
    <w:p>
      <w:pPr>
        <w:pStyle w:val="BookText"/>
        <w:rPr/>
      </w:pPr>
      <w:bookmarkEnd w:id="249"/>
      <w:r>
        <w:rPr>
          <w:rFonts w:ascii="Amiri" w:hAnsi="Amiri" w:eastAsia="Amiri" w:cs="Amiri"/>
          <w:color w:val="111111"/>
          <w:sz w:val="28"/>
          <w:sz w:val="28"/>
          <w:szCs w:val="28"/>
          <w:rtl w:val="true"/>
          <w:lang w:bidi="ar-SA"/>
        </w:rPr>
        <w:t>ثم إن لم يكن الأمر به من جهة الأمر بغيره فنفسي والا فغيري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أمر به لأجل الإطاعة </w:t>
      </w:r>
      <w:r>
        <w:rPr>
          <w:rStyle w:val="FootnoteAnchor"/>
          <w:rtl w:val="true"/>
        </w:rPr>
        <w:footnoteReference w:id="650"/>
      </w:r>
      <w:r>
        <w:rPr>
          <w:rFonts w:ascii="Amiri" w:hAnsi="Amiri" w:eastAsia="Amiri" w:cs="Amiri"/>
          <w:color w:val="111111"/>
          <w:sz w:val="28"/>
          <w:sz w:val="28"/>
          <w:szCs w:val="28"/>
          <w:rtl w:val="true"/>
          <w:lang w:bidi="ar-SA"/>
        </w:rPr>
        <w:t>والانقياد فتعبدي، والا فتوصلي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تعلق به الخطاب والأمر </w:t>
      </w:r>
      <w:r>
        <w:rPr>
          <w:rStyle w:val="FootnoteAnchor"/>
          <w:rtl w:val="true"/>
        </w:rPr>
        <w:footnoteReference w:id="651"/>
      </w:r>
      <w:r>
        <w:rPr>
          <w:rFonts w:ascii="Amiri" w:hAnsi="Amiri" w:eastAsia="Amiri" w:cs="Amiri"/>
          <w:color w:val="111111"/>
          <w:sz w:val="28"/>
          <w:sz w:val="28"/>
          <w:szCs w:val="28"/>
          <w:rtl w:val="true"/>
          <w:lang w:bidi="ar-SA"/>
        </w:rPr>
        <w:t>أصالة فأصلي ، والا فتبعي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ينقسم أيضاً</w:t>
      </w:r>
      <w:r>
        <w:rPr>
          <w:rStyle w:val="FootnoteAnchor"/>
          <w:rtl w:val="true"/>
        </w:rPr>
        <w:footnoteReference w:id="652"/>
      </w:r>
      <w:r>
        <w:rPr>
          <w:rFonts w:ascii="Amiri" w:hAnsi="Amiri" w:eastAsia="Amiri" w:cs="Amiri"/>
          <w:color w:val="111111"/>
          <w:sz w:val="28"/>
          <w:sz w:val="28"/>
          <w:szCs w:val="28"/>
          <w:rtl w:val="true"/>
          <w:lang w:bidi="ar-SA"/>
        </w:rPr>
        <w:t>إلى الشَّرطي وغيره، وفي تفسيره وجهان</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وعليك بملاحظة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تلك الأقسام</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واستخراج مقتضى الأصول اللفظية والعملية في صور الدوران بين تلك الأقسام، أو بين كون الواجب تعبدياً صرفاً، أم توصلياً صرفاً، أم ذا جهتين مستقلتين، أم مرتبطتين ثنائياً وثلاثياً ورباعياً</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2001491_2870459653"/>
      <w:bookmarkStart w:id="251" w:name="_Toc95"/>
      <w:bookmarkEnd w:id="250"/>
      <w:r>
        <w:rPr>
          <w:rtl w:val="true"/>
        </w:rPr>
        <w:t>[</w:t>
      </w:r>
      <w:r>
        <w:rPr>
          <w:rtl w:val="true"/>
        </w:rPr>
        <w:t>معنى المقدمة وبيان أقسامها</w:t>
      </w:r>
      <w:r>
        <w:rPr>
          <w:rtl w:val="true"/>
        </w:rPr>
        <w:t>]</w:t>
      </w:r>
      <w:bookmarkEnd w:id="251"/>
    </w:p>
    <w:p>
      <w:pPr>
        <w:pStyle w:val="BookText"/>
        <w:rPr/>
      </w:pPr>
      <w:r>
        <w:rPr>
          <w:rFonts w:ascii="Amiri" w:hAnsi="Amiri" w:eastAsia="Amiri" w:cs="Amiri"/>
          <w:color w:val="111111"/>
          <w:sz w:val="28"/>
          <w:sz w:val="28"/>
          <w:szCs w:val="28"/>
          <w:rtl w:val="true"/>
          <w:lang w:bidi="ar-SA"/>
        </w:rPr>
        <w:t xml:space="preserve">ثم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مقدمة الجيش، ومقدمة الكتاب</w:t>
      </w:r>
      <w:r>
        <w:rPr>
          <w:rStyle w:val="FootnoteAnchor"/>
          <w:rtl w:val="true"/>
        </w:rPr>
        <w:footnoteReference w:id="655"/>
      </w:r>
      <w:r>
        <w:rPr>
          <w:rFonts w:ascii="Amiri" w:hAnsi="Amiri" w:eastAsia="Amiri" w:cs="Amiri"/>
          <w:color w:val="111111"/>
          <w:sz w:val="28"/>
          <w:sz w:val="28"/>
          <w:szCs w:val="28"/>
          <w:rtl w:val="true"/>
          <w:lang w:bidi="ar-SA"/>
        </w:rPr>
        <w:t>، وما يتوقف عليه الشيء سبباً، أو جزءاً، أو شرطاً، أو فقد مانع، وكل من السبب والشرط والمانع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Style w:val="FootnoteAnchor"/>
          <w:rtl w:val="true"/>
        </w:rPr>
        <w:footnoteReference w:id="656"/>
      </w:r>
      <w:r>
        <w:rPr>
          <w:rFonts w:ascii="Amiri" w:hAnsi="Amiri" w:eastAsia="Amiri" w:cs="Amiri"/>
          <w:color w:val="111111"/>
          <w:sz w:val="28"/>
          <w:sz w:val="28"/>
          <w:szCs w:val="28"/>
          <w:rtl w:val="true"/>
          <w:lang w:bidi="ar-SA"/>
        </w:rPr>
        <w:t>عقلي، أو شرعي، أو 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ذاتي، أو جعلي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مقدمة وجوب الشيء، أو مقدّمة وجود ذاته، أو وجود صحته، أو وجود العلم به</w:t>
      </w:r>
      <w:r>
        <w:rPr>
          <w:rFonts w:eastAsia="Amiri" w:cs="Amiri" w:ascii="Amiri" w:hAnsi="Amiri"/>
          <w:color w:val="111111"/>
          <w:sz w:val="28"/>
          <w:szCs w:val="28"/>
          <w:rtl w:val="true"/>
          <w:lang w:bidi="ar-SA"/>
        </w:rPr>
        <w:t xml:space="preserve">. </w:t>
      </w:r>
      <w:bookmarkStart w:id="252" w:name="pg9015_97508"/>
    </w:p>
    <w:p>
      <w:pPr>
        <w:pStyle w:val="BookText"/>
        <w:rPr/>
      </w:pPr>
      <w:bookmarkEnd w:id="252"/>
      <w:r>
        <w:rPr>
          <w:rFonts w:ascii="Amiri" w:hAnsi="Amiri" w:eastAsia="Amiri" w:cs="Amiri"/>
          <w:color w:val="111111"/>
          <w:sz w:val="28"/>
          <w:sz w:val="28"/>
          <w:szCs w:val="28"/>
          <w:rtl w:val="true"/>
          <w:lang w:bidi="ar-SA"/>
        </w:rPr>
        <w:t xml:space="preserve">والنسبة بين مقدّمة الوجوب والوجود 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 إما فعلية، وإما</w:t>
      </w:r>
      <w:r>
        <w:rPr>
          <w:rStyle w:val="FootnoteAnchor"/>
          <w:rtl w:val="true"/>
        </w:rPr>
        <w:footnoteReference w:id="657"/>
      </w:r>
      <w:r>
        <w:rPr>
          <w:rFonts w:ascii="Amiri" w:hAnsi="Amiri" w:eastAsia="Amiri" w:cs="Amiri"/>
          <w:color w:val="111111"/>
          <w:sz w:val="28"/>
          <w:sz w:val="28"/>
          <w:szCs w:val="28"/>
          <w:rtl w:val="true"/>
          <w:lang w:bidi="ar-SA"/>
        </w:rPr>
        <w:t>تركية</w:t>
      </w:r>
      <w:r>
        <w:rPr>
          <w:rFonts w:eastAsia="Amiri" w:cs="Amiri" w:ascii="Amiri" w:hAnsi="Amiri"/>
          <w:color w:val="111111"/>
          <w:sz w:val="28"/>
          <w:szCs w:val="28"/>
          <w:rtl w:val="true"/>
          <w:lang w:bidi="ar-SA"/>
        </w:rPr>
        <w:t>.</w:t>
      </w:r>
      <w:r>
        <w:rPr>
          <w:rStyle w:val="FootnoteAnchor"/>
          <w:rtl w:val="true"/>
        </w:rPr>
        <w:footnoteReference w:id="658"/>
      </w:r>
    </w:p>
    <w:p>
      <w:pPr>
        <w:pStyle w:val="Heading3"/>
        <w:numPr>
          <w:ilvl w:val="2"/>
          <w:numId w:val="1"/>
        </w:numPr>
        <w:rPr/>
      </w:pPr>
      <w:bookmarkStart w:id="253" w:name="__RefHeading___Toc2001493_2870459653"/>
      <w:bookmarkStart w:id="254" w:name="_Toc96"/>
      <w:bookmarkEnd w:id="253"/>
      <w:r>
        <w:rPr>
          <w:rtl w:val="true"/>
        </w:rPr>
        <w:t>[</w:t>
      </w:r>
      <w:r>
        <w:rPr>
          <w:rtl w:val="true"/>
        </w:rPr>
        <w:t>أنواع الدلالة</w:t>
      </w:r>
      <w:r>
        <w:rPr>
          <w:rtl w:val="true"/>
        </w:rPr>
        <w:t>]</w:t>
      </w:r>
      <w:bookmarkEnd w:id="254"/>
    </w:p>
    <w:p>
      <w:pPr>
        <w:pStyle w:val="BookText"/>
        <w:rPr/>
      </w:pPr>
      <w:r>
        <w:rPr>
          <w:rFonts w:ascii="Amiri" w:hAnsi="Amiri" w:eastAsia="Amiri" w:cs="Amiri"/>
          <w:color w:val="111111"/>
          <w:sz w:val="28"/>
          <w:sz w:val="28"/>
          <w:szCs w:val="28"/>
          <w:rtl w:val="true"/>
          <w:lang w:bidi="ar-SA"/>
        </w:rPr>
        <w:t xml:space="preserve">ثم إن دلالة اللفظ على تمام المراد من حيث إنه تمام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وعلى جزئه 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 وعلى الخارج اللازم من حيث هو </w:t>
      </w:r>
      <w:r>
        <w:rPr>
          <w:rStyle w:val="FootnoteAnchor"/>
          <w:rtl w:val="true"/>
        </w:rPr>
        <w:footnoteReference w:id="659"/>
      </w:r>
      <w:r>
        <w:rPr>
          <w:rFonts w:ascii="Amiri" w:hAnsi="Amiri" w:eastAsia="Amiri" w:cs="Amiri"/>
          <w:color w:val="111111"/>
          <w:sz w:val="28"/>
          <w:sz w:val="28"/>
          <w:szCs w:val="28"/>
          <w:rtl w:val="true"/>
          <w:lang w:bidi="ar-SA"/>
        </w:rPr>
        <w:t xml:space="preserve">خارج لازم التزام؛ والأولى لفظية، والثانية تبعية،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بيّن بالمعنى الأخص، أو الأعم، والأخيرة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لفظية، أو عقلية، والأخيرة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يكون المستفاد فيها تبعياً كالاستفادة، أو مستقلاً </w:t>
      </w:r>
      <w:r>
        <w:rPr>
          <w:rFonts w:eastAsia="Amiri" w:cs="Amiri" w:ascii="Amiri" w:hAnsi="Amiri"/>
          <w:color w:val="111111"/>
          <w:sz w:val="28"/>
          <w:szCs w:val="28"/>
          <w:rtl w:val="true"/>
          <w:lang w:bidi="ar-SA"/>
        </w:rPr>
        <w:t>.</w:t>
      </w:r>
      <w:r>
        <w:rPr>
          <w:rStyle w:val="FootnoteAnchor"/>
          <w:rtl w:val="true"/>
        </w:rPr>
        <w:footnoteReference w:id="660"/>
      </w:r>
    </w:p>
    <w:p>
      <w:pPr>
        <w:pStyle w:val="Heading3"/>
        <w:numPr>
          <w:ilvl w:val="2"/>
          <w:numId w:val="1"/>
        </w:numPr>
        <w:rPr/>
      </w:pPr>
      <w:bookmarkStart w:id="255" w:name="__RefHeading___Toc2001495_2870459653"/>
      <w:bookmarkStart w:id="256" w:name="_Toc97"/>
      <w:bookmarkEnd w:id="255"/>
      <w:r>
        <w:rPr>
          <w:rtl w:val="true"/>
        </w:rPr>
        <w:t>[</w:t>
      </w:r>
      <w:r>
        <w:rPr>
          <w:rtl w:val="true"/>
        </w:rPr>
        <w:t>تحرير محل النزاع</w:t>
      </w:r>
      <w:r>
        <w:rPr>
          <w:rtl w:val="true"/>
        </w:rPr>
        <w:t>]</w:t>
      </w:r>
      <w:bookmarkEnd w:id="256"/>
    </w:p>
    <w:p>
      <w:pPr>
        <w:pStyle w:val="BookText"/>
        <w:rPr/>
      </w:pPr>
      <w:r>
        <w:rPr>
          <w:rFonts w:ascii="Amiri" w:hAnsi="Amiri" w:eastAsia="Amiri" w:cs="Amiri"/>
          <w:color w:val="111111"/>
          <w:sz w:val="28"/>
          <w:sz w:val="28"/>
          <w:szCs w:val="28"/>
          <w:rtl w:val="true"/>
          <w:lang w:bidi="ar-SA"/>
        </w:rPr>
        <w:t>ثم المراد في محل النزاع من المقدمة ما كانت مقدورة، لا غير المقدورة</w:t>
      </w:r>
      <w:r>
        <w:rPr>
          <w:rStyle w:val="FootnoteAnchor"/>
          <w:rtl w:val="true"/>
        </w:rPr>
        <w:footnoteReference w:id="661"/>
      </w:r>
      <w:r>
        <w:rPr>
          <w:rStyle w:val="FootnoteAnchor"/>
          <w:rtl w:val="true"/>
        </w:rPr>
        <w:footnoteReference w:id="662"/>
      </w:r>
      <w:r>
        <w:rPr>
          <w:rFonts w:ascii="Amiri" w:hAnsi="Amiri" w:eastAsia="Amiri" w:cs="Amiri"/>
          <w:color w:val="111111"/>
          <w:sz w:val="28"/>
          <w:sz w:val="28"/>
          <w:szCs w:val="28"/>
          <w:rtl w:val="true"/>
          <w:lang w:bidi="ar-SA"/>
        </w:rPr>
        <w:t xml:space="preserve">، لكن في دخول مقدمة تسبب عدم القدرة عليها من فعل المكلف، وسلب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بالمرة باختياره</w:t>
      </w:r>
      <w:r>
        <w:rPr>
          <w:rFonts w:eastAsia="Amiri" w:cs="Amiri" w:ascii="Amiri" w:hAnsi="Amiri"/>
          <w:color w:val="111111"/>
          <w:sz w:val="28"/>
          <w:szCs w:val="28"/>
          <w:rtl w:val="true"/>
          <w:lang w:bidi="ar-SA"/>
        </w:rPr>
        <w:t>)</w:t>
      </w:r>
      <w:r>
        <w:rPr>
          <w:rStyle w:val="FootnoteAnchor"/>
          <w:rtl w:val="true"/>
        </w:rPr>
        <w:footnoteReference w:id="663"/>
      </w:r>
      <w:r>
        <w:rPr>
          <w:rFonts w:ascii="IRNazanin" w:hAnsi="IRNazanin" w:eastAsia="IRNazanin"/>
          <w:color w:val="111111"/>
          <w:sz w:val="28"/>
          <w:sz w:val="28"/>
          <w:szCs w:val="28"/>
          <w:rtl w:val="true"/>
          <w:lang w:bidi="fa-IR"/>
        </w:rPr>
        <w:t>، وجهان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على الأصح في دخول المقدورة بين الداخلة والخارجة،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والعلمية والتركية، والسببية</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وغيرها، وما أمر بها مستقلاً أم لا؟</w:t>
      </w:r>
      <w:r>
        <w:rPr>
          <w:rStyle w:val="FootnoteAnchor"/>
          <w:rtl w:val="true"/>
        </w:rPr>
        <w:footnoteReference w:id="665"/>
      </w:r>
      <w:r>
        <w:rPr>
          <w:rFonts w:ascii="Amiri" w:hAnsi="Amiri" w:eastAsia="Amiri" w:cs="Amiri"/>
          <w:color w:val="111111"/>
          <w:sz w:val="28"/>
          <w:sz w:val="28"/>
          <w:szCs w:val="28"/>
          <w:rtl w:val="true"/>
          <w:lang w:bidi="ar-SA"/>
        </w:rPr>
        <w:t xml:space="preserve">، وما كان وجوب ذي </w:t>
      </w:r>
      <w:bookmarkStart w:id="257" w:name="pg9015_97509"/>
    </w:p>
    <w:p>
      <w:pPr>
        <w:pStyle w:val="BookText"/>
        <w:rPr/>
      </w:pPr>
      <w:bookmarkEnd w:id="257"/>
      <w:r>
        <w:rPr>
          <w:rFonts w:ascii="Amiri" w:hAnsi="Amiri" w:eastAsia="Amiri" w:cs="Amiri"/>
          <w:color w:val="111111"/>
          <w:sz w:val="28"/>
          <w:sz w:val="28"/>
          <w:szCs w:val="28"/>
          <w:rtl w:val="true"/>
          <w:lang w:bidi="ar-SA"/>
        </w:rPr>
        <w:t>المقدمة فيها ثابتاً بدليل لفظي أم لبيّ، ومن الواجب أعمّ من النفسي والتوصلي</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وأما المراد من الوجوب</w:t>
      </w:r>
      <w:r>
        <w:rPr>
          <w:rStyle w:val="FootnoteAnchor"/>
          <w:rtl w:val="true"/>
        </w:rPr>
        <w:footnoteReference w:id="667"/>
      </w:r>
      <w:r>
        <w:rPr>
          <w:rFonts w:ascii="Amiri" w:hAnsi="Amiri" w:eastAsia="Amiri" w:cs="Amiri"/>
          <w:color w:val="111111"/>
          <w:sz w:val="28"/>
          <w:sz w:val="28"/>
          <w:szCs w:val="28"/>
          <w:rtl w:val="true"/>
          <w:lang w:bidi="ar-SA"/>
        </w:rPr>
        <w:t>ففيه وجوه</w:t>
      </w:r>
      <w:r>
        <w:rPr>
          <w:rStyle w:val="FootnoteAnchor"/>
          <w:rtl w:val="true"/>
        </w:rPr>
        <w:footnoteReference w:id="668"/>
      </w:r>
      <w:r>
        <w:rPr>
          <w:rFonts w:ascii="Amiri" w:hAnsi="Amiri" w:eastAsia="Amiri" w:cs="Amiri"/>
          <w:color w:val="111111"/>
          <w:sz w:val="28"/>
          <w:sz w:val="28"/>
          <w:szCs w:val="28"/>
          <w:rtl w:val="true"/>
          <w:lang w:bidi="ar-SA"/>
        </w:rPr>
        <w:t>، أظهرها كون النزاع في استحقاق، العقاب على ترك ذي المقدمة عند ترك المقدمة</w:t>
      </w:r>
      <w:r>
        <w:rPr>
          <w:rStyle w:val="FootnoteAnchor"/>
          <w:rtl w:val="true"/>
        </w:rPr>
        <w:footnoteReference w:id="669"/>
      </w:r>
      <w:r>
        <w:rPr>
          <w:rFonts w:ascii="Amiri" w:hAnsi="Amiri" w:eastAsia="Amiri" w:cs="Amiri"/>
          <w:color w:val="111111"/>
          <w:sz w:val="28"/>
          <w:sz w:val="28"/>
          <w:szCs w:val="28"/>
          <w:rtl w:val="true"/>
          <w:lang w:bidi="ar-SA"/>
        </w:rPr>
        <w:t xml:space="preserve">، وفيه عندي نظر </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2001497_2870459653"/>
      <w:bookmarkStart w:id="259" w:name="_Toc98"/>
      <w:bookmarkEnd w:id="258"/>
      <w:r>
        <w:rPr>
          <w:rtl w:val="true"/>
        </w:rPr>
        <w:t>[</w:t>
      </w:r>
      <w:r>
        <w:rPr>
          <w:rtl w:val="true"/>
        </w:rPr>
        <w:t>ثمرة المسألة</w:t>
      </w:r>
      <w:r>
        <w:rPr>
          <w:rtl w:val="true"/>
        </w:rPr>
        <w:t>]</w:t>
      </w:r>
      <w:bookmarkEnd w:id="25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ثمرة النزاع فقد تفرض في الفسق والعدالة عند ترك المقدّمة</w:t>
      </w:r>
      <w:r>
        <w:rPr>
          <w:rStyle w:val="FootnoteAnchor"/>
          <w:rtl w:val="true"/>
        </w:rPr>
        <w:footnoteReference w:id="670"/>
      </w:r>
      <w:r>
        <w:rPr>
          <w:rFonts w:ascii="Amiri" w:hAnsi="Amiri" w:eastAsia="Amiri" w:cs="Amiri"/>
          <w:color w:val="111111"/>
          <w:sz w:val="28"/>
          <w:sz w:val="28"/>
          <w:szCs w:val="28"/>
          <w:rtl w:val="true"/>
          <w:lang w:bidi="ar-SA"/>
        </w:rPr>
        <w:t>، وفي جواز اجتماع الأمر والنهي وعدمه</w:t>
      </w:r>
      <w:r>
        <w:rPr>
          <w:rStyle w:val="FootnoteAnchor"/>
          <w:rtl w:val="true"/>
        </w:rPr>
        <w:footnoteReference w:id="671"/>
      </w:r>
      <w:r>
        <w:rPr>
          <w:rFonts w:ascii="Amiri" w:hAnsi="Amiri" w:eastAsia="Amiri" w:cs="Amiri"/>
          <w:color w:val="111111"/>
          <w:sz w:val="28"/>
          <w:sz w:val="28"/>
          <w:szCs w:val="28"/>
          <w:rtl w:val="true"/>
          <w:lang w:bidi="ar-SA"/>
        </w:rPr>
        <w:t>، وفي اشتراط نية الوجوب، وفي تعدد العقاب ووحدته</w:t>
      </w:r>
      <w:r>
        <w:rPr>
          <w:rStyle w:val="FootnoteAnchor"/>
          <w:rtl w:val="true"/>
        </w:rPr>
        <w:footnoteReference w:id="672"/>
      </w:r>
      <w:r>
        <w:rPr>
          <w:rFonts w:ascii="Amiri" w:hAnsi="Amiri" w:eastAsia="Amiri" w:cs="Amiri"/>
          <w:color w:val="111111"/>
          <w:sz w:val="28"/>
          <w:sz w:val="28"/>
          <w:szCs w:val="28"/>
          <w:rtl w:val="true"/>
          <w:lang w:bidi="ar-SA"/>
        </w:rPr>
        <w:t>، وفي تعدد الثواب، وفي النذر وشبهه</w:t>
      </w:r>
      <w:r>
        <w:rPr>
          <w:rStyle w:val="FootnoteAnchor"/>
          <w:rtl w:val="true"/>
        </w:rPr>
        <w:footnoteReference w:id="673"/>
      </w:r>
      <w:r>
        <w:rPr>
          <w:rFonts w:ascii="IRNazanin" w:hAnsi="IRNazanin" w:eastAsia="IRNazanin"/>
          <w:color w:val="111111"/>
          <w:sz w:val="28"/>
          <w:sz w:val="28"/>
          <w:szCs w:val="28"/>
          <w:rtl w:val="true"/>
          <w:lang w:bidi="fa-IR"/>
        </w:rPr>
        <w:t>، وللتأمل</w:t>
      </w:r>
      <w:r>
        <w:rPr>
          <w:rStyle w:val="FootnoteAnchor"/>
          <w:rtl w:val="true"/>
        </w:rPr>
        <w:footnoteReference w:id="674"/>
      </w:r>
      <w:r>
        <w:rPr>
          <w:rFonts w:ascii="Amiri" w:hAnsi="Amiri" w:eastAsia="Amiri" w:cs="Amiri"/>
          <w:color w:val="111111"/>
          <w:sz w:val="28"/>
          <w:sz w:val="28"/>
          <w:szCs w:val="28"/>
          <w:rtl w:val="true"/>
          <w:lang w:bidi="ar-SA"/>
        </w:rPr>
        <w:t>فيها مجال</w:t>
      </w:r>
      <w:r>
        <w:rPr>
          <w:rFonts w:eastAsia="Amiri" w:cs="Amiri" w:ascii="Amiri" w:hAnsi="Amiri"/>
          <w:color w:val="111111"/>
          <w:sz w:val="28"/>
          <w:szCs w:val="28"/>
          <w:rtl w:val="true"/>
          <w:lang w:bidi="ar-SA"/>
        </w:rPr>
        <w:t xml:space="preserve">. </w:t>
      </w:r>
      <w:bookmarkStart w:id="260" w:name="pg9015_97510"/>
    </w:p>
    <w:p>
      <w:pPr>
        <w:pStyle w:val="Heading3"/>
        <w:numPr>
          <w:ilvl w:val="2"/>
          <w:numId w:val="1"/>
        </w:numPr>
        <w:rPr/>
      </w:pPr>
      <w:bookmarkStart w:id="261" w:name="__RefHeading___Toc2001499_2870459653"/>
      <w:bookmarkStart w:id="262" w:name="_Toc99"/>
      <w:bookmarkEnd w:id="260"/>
      <w:bookmarkEnd w:id="261"/>
      <w:r>
        <w:rPr>
          <w:rtl w:val="true"/>
        </w:rPr>
        <w:t>[</w:t>
      </w:r>
      <w:r>
        <w:rPr>
          <w:rtl w:val="true"/>
        </w:rPr>
        <w:t>تأسيس الأصل</w:t>
      </w:r>
      <w:r>
        <w:rPr>
          <w:rtl w:val="true"/>
        </w:rPr>
        <w:t>]</w:t>
      </w:r>
      <w:bookmarkEnd w:id="262"/>
    </w:p>
    <w:p>
      <w:pPr>
        <w:pStyle w:val="BookText"/>
        <w:rPr/>
      </w:pPr>
      <w:r>
        <w:rPr>
          <w:rFonts w:ascii="Amiri" w:hAnsi="Amiri" w:eastAsia="Amiri" w:cs="Amiri"/>
          <w:color w:val="111111"/>
          <w:sz w:val="28"/>
          <w:sz w:val="28"/>
          <w:szCs w:val="28"/>
          <w:rtl w:val="true"/>
          <w:lang w:bidi="ar-SA"/>
        </w:rPr>
        <w:t>وأما الأصل فعدم وجوب المقدمة باحتمالاته؛ إذ لا أقل من التوقف، وان جعلنا الأمر بالمسبب عين الأمر بالسبب فمخالفته للأصل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فالحق أن المكلف يستحق عقاب</w:t>
      </w:r>
      <w:r>
        <w:rPr>
          <w:rStyle w:val="FootnoteAnchor"/>
          <w:rtl w:val="true"/>
        </w:rPr>
        <w:footnoteReference w:id="675"/>
      </w:r>
      <w:r>
        <w:rPr>
          <w:rFonts w:ascii="Amiri" w:hAnsi="Amiri" w:eastAsia="Amiri" w:cs="Amiri"/>
          <w:color w:val="111111"/>
          <w:sz w:val="28"/>
          <w:sz w:val="28"/>
          <w:szCs w:val="28"/>
          <w:rtl w:val="true"/>
          <w:lang w:bidi="ar-SA"/>
        </w:rPr>
        <w:t xml:space="preserve">ترك ذي المقدمة عند ترك المقدمة، فهو معاقب على الترك </w:t>
      </w:r>
      <w:r>
        <w:rPr>
          <w:rStyle w:val="FootnoteAnchor"/>
          <w:rtl w:val="true"/>
        </w:rPr>
        <w:footnoteReference w:id="676"/>
      </w:r>
      <w:r>
        <w:rPr>
          <w:rFonts w:ascii="Amiri" w:hAnsi="Amiri" w:eastAsia="Amiri" w:cs="Amiri"/>
          <w:color w:val="111111"/>
          <w:sz w:val="28"/>
          <w:sz w:val="28"/>
          <w:szCs w:val="28"/>
          <w:rtl w:val="true"/>
          <w:lang w:bidi="ar-SA"/>
        </w:rPr>
        <w:t>حقيقة وحكماً؛ لبناء العقلاء، والقوة العاقلة، وليس لباقي الأقوال ما يعتمد عليه</w:t>
      </w:r>
      <w:r>
        <w:rPr>
          <w:rFonts w:eastAsia="Amiri" w:cs="Amiri" w:ascii="Amiri" w:hAnsi="Amiri"/>
          <w:color w:val="111111"/>
          <w:sz w:val="28"/>
          <w:szCs w:val="28"/>
          <w:rtl w:val="true"/>
          <w:lang w:bidi="ar-SA"/>
        </w:rPr>
        <w:t>.</w:t>
      </w:r>
      <w:r>
        <w:rPr>
          <w:rStyle w:val="FootnoteAnchor"/>
          <w:rtl w:val="true"/>
        </w:rPr>
        <w:footnoteReference w:id="677"/>
      </w:r>
    </w:p>
    <w:p>
      <w:pPr>
        <w:pStyle w:val="Heading2"/>
        <w:numPr>
          <w:ilvl w:val="1"/>
          <w:numId w:val="1"/>
        </w:numPr>
        <w:rPr/>
      </w:pPr>
      <w:bookmarkStart w:id="263" w:name="__RefHeading___Toc2001501_2870459653"/>
      <w:bookmarkStart w:id="264" w:name="_Toc100"/>
      <w:bookmarkEnd w:id="263"/>
      <w:r>
        <w:rPr>
          <w:rtl w:val="true"/>
        </w:rPr>
        <w:t xml:space="preserve">أصل </w:t>
      </w:r>
      <w:r>
        <w:rPr>
          <w:rtl w:val="true"/>
        </w:rPr>
        <w:t>[</w:t>
      </w:r>
      <w:r>
        <w:rPr>
          <w:rtl w:val="true"/>
        </w:rPr>
        <w:t>في النهي عن الضد</w:t>
      </w:r>
      <w:r>
        <w:rPr>
          <w:rtl w:val="true"/>
        </w:rPr>
        <w:t>]</w:t>
      </w:r>
      <w:bookmarkEnd w:id="264"/>
    </w:p>
    <w:p>
      <w:pPr>
        <w:pStyle w:val="Heading3"/>
        <w:numPr>
          <w:ilvl w:val="2"/>
          <w:numId w:val="1"/>
        </w:numPr>
        <w:rPr/>
      </w:pPr>
      <w:bookmarkStart w:id="265" w:name="__RefHeading___Toc2001503_2870459653"/>
      <w:bookmarkStart w:id="266" w:name="_Toc101"/>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هل الأمر بالشيء يقتضي النهي عن ضده أم لا؟</w:t>
      </w:r>
    </w:p>
    <w:p>
      <w:pPr>
        <w:pStyle w:val="BookText"/>
        <w:rPr/>
      </w:pPr>
      <w:r>
        <w:rPr>
          <w:rFonts w:ascii="Amiri" w:hAnsi="Amiri" w:eastAsia="Amiri" w:cs="Amiri"/>
          <w:color w:val="111111"/>
          <w:sz w:val="28"/>
          <w:sz w:val="28"/>
          <w:szCs w:val="28"/>
          <w:rtl w:val="true"/>
          <w:lang w:bidi="ar-SA"/>
        </w:rPr>
        <w:t xml:space="preserve">والفرق بين هذه المسألة وسابقتها </w:t>
      </w:r>
      <w:r>
        <w:rPr>
          <w:rStyle w:val="FootnoteAnchor"/>
          <w:rtl w:val="true"/>
        </w:rPr>
        <w:footnoteReference w:id="678"/>
      </w:r>
      <w:r>
        <w:rPr>
          <w:rFonts w:ascii="IRNazanin" w:hAnsi="IRNazanin" w:eastAsia="IRNazanin"/>
          <w:color w:val="111111"/>
          <w:sz w:val="28"/>
          <w:sz w:val="28"/>
          <w:szCs w:val="28"/>
          <w:rtl w:val="true"/>
          <w:lang w:bidi="fa-IR"/>
        </w:rPr>
        <w:t>عموم من وجهه</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اختلاف المتلازمين حكماً</w:t>
      </w:r>
    </w:p>
    <w:p>
      <w:pPr>
        <w:pStyle w:val="BookText"/>
        <w:rPr/>
      </w:pPr>
      <w:r>
        <w:rPr>
          <w:rFonts w:ascii="Amiri" w:hAnsi="Amiri" w:eastAsia="Amiri" w:cs="Amiri"/>
          <w:color w:val="111111"/>
          <w:sz w:val="28"/>
          <w:sz w:val="28"/>
          <w:szCs w:val="28"/>
          <w:rtl w:val="true"/>
          <w:lang w:bidi="ar-SA"/>
        </w:rPr>
        <w:t>، بحسب الأقوال المحققة، 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المحتملة </w:t>
      </w:r>
      <w:r>
        <w:rPr>
          <w:rFonts w:eastAsia="Amiri" w:cs="Amiri" w:ascii="Amiri" w:hAnsi="Amiri"/>
          <w:color w:val="111111"/>
          <w:sz w:val="28"/>
          <w:szCs w:val="28"/>
          <w:rtl w:val="true"/>
          <w:lang w:bidi="ar-SA"/>
        </w:rPr>
        <w:t>.</w:t>
      </w:r>
      <w:bookmarkStart w:id="267" w:name="pg9015_97511"/>
    </w:p>
    <w:p>
      <w:pPr>
        <w:pStyle w:val="BookText"/>
        <w:rPr/>
      </w:pPr>
      <w:bookmarkEnd w:id="267"/>
      <w:r>
        <w:rPr>
          <w:rFonts w:ascii="Amiri" w:hAnsi="Amiri" w:eastAsia="Amiri" w:cs="Amiri"/>
          <w:color w:val="111111"/>
          <w:sz w:val="28"/>
          <w:sz w:val="28"/>
          <w:szCs w:val="28"/>
          <w:rtl w:val="true"/>
          <w:lang w:bidi="ar-SA"/>
        </w:rPr>
        <w:t xml:space="preserve">والضد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الشيء الوجودي المنافي للشيء</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الأضداد الوجودية، وعلى احد الأضداد الوجودية لا بعينه، وقد يتوهم ان مرجعهما واحد</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وعلى الضدّ</w:t>
      </w:r>
      <w:r>
        <w:rPr>
          <w:rStyle w:val="FootnoteAnchor"/>
          <w:rtl w:val="true"/>
        </w:rPr>
        <w:footnoteReference w:id="682"/>
      </w:r>
      <w:r>
        <w:rPr>
          <w:rFonts w:ascii="Amiri" w:hAnsi="Amiri" w:eastAsia="Amiri" w:cs="Amiri"/>
          <w:color w:val="111111"/>
          <w:sz w:val="28"/>
          <w:sz w:val="28"/>
          <w:szCs w:val="28"/>
          <w:rtl w:val="true"/>
          <w:lang w:bidi="ar-SA"/>
        </w:rPr>
        <w:t>العام ، أي الكفّ، أو ترك المأمور به، وكلها حقيقة الا الأخير على الأخير فمجاز؛ لكونه عدمياً صرفاً، وعلاقة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الكلية والجزئية، فيكون مجازاً مرسلاً</w:t>
      </w:r>
      <w:r>
        <w:rPr>
          <w:rStyle w:val="FootnoteAnchor"/>
          <w:rtl w:val="true"/>
        </w:rPr>
        <w:footnoteReference w:id="683"/>
      </w:r>
      <w:r>
        <w:rPr>
          <w:rFonts w:ascii="IRNazanin" w:hAnsi="IRNazanin" w:eastAsia="IRNazanin"/>
          <w:color w:val="111111"/>
          <w:sz w:val="28"/>
          <w:sz w:val="28"/>
          <w:szCs w:val="28"/>
          <w:rtl w:val="true"/>
          <w:lang w:bidi="fa-IR"/>
        </w:rPr>
        <w:t xml:space="preserve">، أو </w:t>
      </w:r>
      <w:r>
        <w:rPr>
          <w:rStyle w:val="FootnoteAnchor"/>
          <w:rtl w:val="true"/>
        </w:rPr>
        <w:footnoteReference w:id="684"/>
      </w:r>
      <w:r>
        <w:rPr>
          <w:rFonts w:ascii="Amiri" w:hAnsi="Amiri" w:eastAsia="Amiri" w:cs="Amiri"/>
          <w:color w:val="111111"/>
          <w:sz w:val="28"/>
          <w:sz w:val="28"/>
          <w:szCs w:val="28"/>
          <w:rtl w:val="true"/>
          <w:lang w:bidi="ar-SA"/>
        </w:rPr>
        <w:t xml:space="preserve">المشابهة فيكون استعارة </w:t>
      </w:r>
      <w:r>
        <w:rPr>
          <w:rStyle w:val="FootnoteAnchor"/>
          <w:rtl w:val="true"/>
        </w:rPr>
        <w:footnoteReference w:id="685"/>
      </w:r>
      <w:r>
        <w:rPr>
          <w:rFonts w:ascii="Amiri" w:hAnsi="Amiri" w:eastAsia="Amiri" w:cs="Amiri"/>
          <w:color w:val="111111"/>
          <w:sz w:val="28"/>
          <w:sz w:val="28"/>
          <w:szCs w:val="28"/>
          <w:rtl w:val="true"/>
          <w:lang w:bidi="ar-SA"/>
        </w:rPr>
        <w:t>، أو المجاورة</w:t>
      </w:r>
      <w:r>
        <w:rPr>
          <w:rStyle w:val="FootnoteAnchor"/>
          <w:rtl w:val="true"/>
        </w:rPr>
        <w:footnoteReference w:id="686"/>
      </w:r>
      <w:r>
        <w:rPr>
          <w:rFonts w:ascii="Amiri" w:hAnsi="Amiri" w:eastAsia="Amiri" w:cs="Amiri"/>
          <w:color w:val="111111"/>
          <w:sz w:val="28"/>
          <w:sz w:val="28"/>
          <w:szCs w:val="28"/>
          <w:rtl w:val="true"/>
          <w:lang w:bidi="ar-SA"/>
        </w:rPr>
        <w:t>على بعد عرفي، مع إمكان اختصاصها بالمحسوسين</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2001505_2870459653"/>
      <w:bookmarkStart w:id="269" w:name="_Toc102"/>
      <w:bookmarkEnd w:id="268"/>
      <w:r>
        <w:rPr>
          <w:rtl w:val="true"/>
        </w:rPr>
        <w:t>[</w:t>
      </w:r>
      <w:r>
        <w:rPr>
          <w:rtl w:val="true"/>
        </w:rPr>
        <w:t>تحرير محل النزاع</w:t>
      </w:r>
      <w:r>
        <w:rPr>
          <w:rtl w:val="true"/>
        </w:rPr>
        <w:t>]</w:t>
      </w:r>
      <w:bookmarkEnd w:id="26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ومحل النزاع مطلق الضد، والمأمور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الأصح</w:t>
      </w:r>
      <w:r>
        <w:rPr>
          <w:rStyle w:val="FootnoteAnchor"/>
          <w:rtl w:val="true"/>
        </w:rPr>
        <w:footnoteReference w:id="687"/>
      </w:r>
      <w:r>
        <w:rPr>
          <w:rFonts w:ascii="Amiri" w:hAnsi="Amiri" w:eastAsia="Amiri" w:cs="Amiri"/>
          <w:color w:val="111111"/>
          <w:sz w:val="28"/>
          <w:sz w:val="28"/>
          <w:szCs w:val="28"/>
          <w:rtl w:val="true"/>
          <w:lang w:bidi="ar-SA"/>
        </w:rPr>
        <w:t>، أعم مما إذا كان الضد والمأمور به</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موسعين، أو مضيّقين، أو مختلفين </w:t>
      </w:r>
      <w:r>
        <w:rPr>
          <w:rStyle w:val="FootnoteAnchor"/>
          <w:rtl w:val="true"/>
        </w:rPr>
        <w:footnoteReference w:id="689"/>
      </w:r>
      <w:r>
        <w:rPr>
          <w:rFonts w:ascii="Amiri" w:hAnsi="Amiri" w:eastAsia="Amiri" w:cs="Amiri"/>
          <w:color w:val="111111"/>
          <w:sz w:val="28"/>
          <w:sz w:val="28"/>
          <w:szCs w:val="28"/>
          <w:rtl w:val="true"/>
          <w:lang w:bidi="ar-SA"/>
        </w:rPr>
        <w:t>، كما يشهد به استدلالهم، وكون نزاعهم أعم من اللفظي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الحق أن ترك الضدّ مقدّمة لفعل الضدّ الأخر</w:t>
      </w:r>
      <w:r>
        <w:rPr>
          <w:rStyle w:val="FootnoteAnchor"/>
          <w:rtl w:val="true"/>
        </w:rPr>
        <w:footnoteReference w:id="690"/>
      </w:r>
      <w:r>
        <w:rPr>
          <w:rFonts w:ascii="Amiri" w:hAnsi="Amiri" w:eastAsia="Amiri" w:cs="Amiri"/>
          <w:color w:val="111111"/>
          <w:sz w:val="28"/>
          <w:sz w:val="28"/>
          <w:szCs w:val="28"/>
          <w:rtl w:val="true"/>
          <w:lang w:bidi="ar-SA"/>
        </w:rPr>
        <w:t xml:space="preserve">إذ من المحال اجتماع الشيء مع ما ينافيه دون العكس، سواء قلنا ببقاء الأكوان وعدم احتياج </w:t>
      </w:r>
      <w:r>
        <w:rPr>
          <w:rStyle w:val="FootnoteAnchor"/>
          <w:rtl w:val="true"/>
        </w:rPr>
        <w:footnoteReference w:id="691"/>
      </w:r>
      <w:r>
        <w:rPr>
          <w:rFonts w:ascii="Amiri" w:hAnsi="Amiri" w:eastAsia="Amiri" w:cs="Amiri"/>
          <w:color w:val="111111"/>
          <w:sz w:val="28"/>
          <w:sz w:val="28"/>
          <w:szCs w:val="28"/>
          <w:rtl w:val="true"/>
          <w:lang w:bidi="ar-SA"/>
        </w:rPr>
        <w:t>الباقي إلى المؤثر، أم لم نقل ؛ لكفاية وجود الصارف في استناد الترك إليه، فتكون المقارنة 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المعيار في جواز اختلاف المتلازمين في الحكم </w:t>
      </w:r>
      <w:r>
        <w:rPr>
          <w:rStyle w:val="FootnoteAnchor"/>
          <w:rtl w:val="true"/>
        </w:rPr>
        <w:footnoteReference w:id="692"/>
      </w:r>
      <w:r>
        <w:rPr>
          <w:rFonts w:ascii="Amiri" w:hAnsi="Amiri" w:eastAsia="Amiri" w:cs="Amiri"/>
          <w:color w:val="111111"/>
          <w:sz w:val="28"/>
          <w:sz w:val="28"/>
          <w:szCs w:val="28"/>
          <w:rtl w:val="true"/>
          <w:lang w:bidi="ar-SA"/>
        </w:rPr>
        <w:t xml:space="preserve">التفصيل بين الأحكام، لا الأقسام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المصنف اختار التفصيل أيضاً لكن لا بالنحو المذكور؛ فإن ما ذكر تفصيل بين أقسام المتلازمين دون الأحكام، بل يحصل من ضرب كل من الأحكام الخمسة في الأربعة الأخر عشرون، فأسقط المكررات وخذ البواقي، أو هي عشرة، ففي ستة منها يجوز اختلاف المتلازمين في الحكم وهي أن يكون أحد المتلازمين واجباً والآخر مستحبّاً أو مباحاً، أو يكون أحدهما مستحبّاً والآخر مباحاً، أو يكون أحدهما مباحاً والآخر حراماً أو مكروهاً، أو يكون أحدهما محرماً والآخر مكروهاً، ولا يجوز الاختلاف في الأربعة الباقية،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واجباً والآخر مكروهاً أو محرماً، أو يكون أحدهما مستحبّاً والآخر مكروهاً أو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والمعيار في جواز الاختلاف في الحكم هو إمكان الامتثال بها وعدمه، ففي الستة الأولية لما كان الامتثال بالحكمين المختلفين ممكناً حكمنا بالجواز وفي الأربعة الباقية لما لم يكن الامتثال بالحكمين معاً حكمنا بعدم الجواز</w:t>
      </w:r>
    </w:p>
    <w:p>
      <w:pPr>
        <w:pStyle w:val="BookText"/>
        <w:rPr/>
      </w:pPr>
      <w:r>
        <w:rPr>
          <w:rFonts w:ascii="IRNazanin" w:hAnsi="IRNazanin" w:eastAsia="IRNazanin"/>
          <w:color w:val="111111"/>
          <w:sz w:val="28"/>
          <w:sz w:val="28"/>
          <w:szCs w:val="28"/>
          <w:rtl w:val="true"/>
          <w:lang w:bidi="fa-IR"/>
        </w:rPr>
        <w:t>، ولا إطلاق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الحكم بأحد الطرفين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يمكن الامتثال كأن يكون أحدهما واجباً والآخر محرماً، أو مكروهاً، أو أحدهما مستحباً والآخر مكروهاً أو محرماً، لم </w:t>
      </w:r>
      <w:r>
        <w:rPr>
          <w:rStyle w:val="FootnoteAnchor"/>
          <w:rtl w:val="true"/>
        </w:rPr>
        <w:footnoteReference w:id="694"/>
      </w:r>
      <w:r>
        <w:rPr>
          <w:rFonts w:ascii="Amiri" w:hAnsi="Amiri" w:eastAsia="Amiri" w:cs="Amiri"/>
          <w:color w:val="111111"/>
          <w:sz w:val="28"/>
          <w:sz w:val="28"/>
          <w:szCs w:val="28"/>
          <w:rtl w:val="true"/>
          <w:lang w:bidi="ar-SA"/>
        </w:rPr>
        <w:t xml:space="preserve">يجز الاختلاف، والا جاز، كما في </w:t>
      </w:r>
    </w:p>
    <w:p>
      <w:pPr>
        <w:pStyle w:val="BookText"/>
        <w:rPr/>
      </w:pPr>
      <w:r>
        <w:rPr>
          <w:rFonts w:ascii="IRNazanin" w:hAnsi="IRNazanin" w:eastAsia="IRNazanin"/>
          <w:color w:val="111111"/>
          <w:sz w:val="28"/>
          <w:sz w:val="28"/>
          <w:szCs w:val="28"/>
          <w:rtl w:val="true"/>
          <w:lang w:bidi="fa-IR"/>
        </w:rPr>
        <w:t>الصور</w:t>
      </w:r>
      <w:r>
        <w:rPr>
          <w:rStyle w:val="FootnoteAnchor"/>
          <w:rtl w:val="true"/>
        </w:rPr>
        <w:footnoteReference w:id="695"/>
      </w:r>
      <w:r>
        <w:rPr>
          <w:rFonts w:ascii="Amiri" w:hAnsi="Amiri" w:eastAsia="Amiri" w:cs="Amiri"/>
          <w:color w:val="111111"/>
          <w:sz w:val="28"/>
          <w:sz w:val="28"/>
          <w:szCs w:val="28"/>
          <w:rtl w:val="true"/>
          <w:lang w:bidi="ar-SA"/>
        </w:rPr>
        <w:t>السّت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ما ذكر حكم القوة العاقلة، نعم لو كان الامتناع والتلازم ناشئاً عن قدرة المكلّف واختياره، فيمتنع عليه الامتثال بالاختيار، جاز الاختلاف حينئذ مطلقاً، فلو ترك الزنا في ضمن شرب الخمر اختياراً، جاز كون ترك</w:t>
      </w:r>
      <w:r>
        <w:rPr>
          <w:rFonts w:eastAsia="Amiri" w:cs="Amiri" w:ascii="Amiri" w:hAnsi="Amiri"/>
          <w:color w:val="111111"/>
          <w:sz w:val="28"/>
          <w:szCs w:val="28"/>
          <w:rtl w:val="true"/>
          <w:lang w:bidi="ar-SA"/>
        </w:rPr>
        <w:t xml:space="preserve">) </w:t>
      </w:r>
      <w:r>
        <w:rPr>
          <w:rStyle w:val="FootnoteAnchor"/>
          <w:rtl w:val="true"/>
        </w:rPr>
        <w:footnoteReference w:id="696"/>
      </w:r>
      <w:r>
        <w:rPr>
          <w:rFonts w:ascii="IRNazanin" w:hAnsi="IRNazanin" w:eastAsia="IRNazanin"/>
          <w:color w:val="111111"/>
          <w:sz w:val="28"/>
          <w:sz w:val="28"/>
          <w:szCs w:val="28"/>
          <w:rtl w:val="true"/>
          <w:lang w:bidi="fa-IR"/>
        </w:rPr>
        <w:t>الزنا واجباً، والشرب حراماً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اندفع نفي الكعبي المباح معللاً في أحد النقلين بعدم اختلاف المتلازمين حكماً ، فإنه فاسد بكلا تقريريه </w:t>
      </w:r>
      <w:r>
        <w:rPr>
          <w:rStyle w:val="FootnoteAnchor"/>
          <w:rtl w:val="true"/>
        </w:rPr>
        <w:footnoteReference w:id="697"/>
      </w:r>
      <w:r>
        <w:rPr>
          <w:rFonts w:ascii="Amiri" w:hAnsi="Amiri" w:eastAsia="Amiri" w:cs="Amiri"/>
          <w:color w:val="111111"/>
          <w:sz w:val="28"/>
          <w:sz w:val="28"/>
          <w:szCs w:val="28"/>
          <w:rtl w:val="true"/>
          <w:lang w:bidi="ar-SA"/>
        </w:rPr>
        <w:t>، كالتعليل بالمقدّمية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أقوال </w:t>
      </w:r>
      <w:r>
        <w:rPr>
          <w:rStyle w:val="FootnoteAnchor"/>
          <w:rtl w:val="true"/>
        </w:rPr>
        <w:footnoteReference w:id="698"/>
      </w:r>
      <w:r>
        <w:rPr>
          <w:rFonts w:ascii="Amiri" w:hAnsi="Amiri" w:eastAsia="Amiri" w:cs="Amiri"/>
          <w:color w:val="111111"/>
          <w:sz w:val="28"/>
          <w:sz w:val="28"/>
          <w:szCs w:val="28"/>
          <w:rtl w:val="true"/>
          <w:lang w:bidi="ar-SA"/>
        </w:rPr>
        <w:t xml:space="preserve">الضدّ العام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العينية</w:t>
      </w:r>
      <w:r>
        <w:rPr>
          <w:rStyle w:val="FootnoteAnchor"/>
          <w:rtl w:val="true"/>
        </w:rPr>
        <w:footnoteReference w:id="699"/>
      </w:r>
      <w:r>
        <w:rPr>
          <w:rFonts w:ascii="IRNazanin" w:hAnsi="IRNazanin" w:eastAsia="IRNazanin"/>
          <w:color w:val="111111"/>
          <w:sz w:val="28"/>
          <w:sz w:val="28"/>
          <w:szCs w:val="28"/>
          <w:rtl w:val="true"/>
          <w:lang w:bidi="fa-IR"/>
        </w:rPr>
        <w:t>، والتضمن</w:t>
      </w:r>
      <w:r>
        <w:rPr>
          <w:rStyle w:val="FootnoteAnchor"/>
          <w:rtl w:val="true"/>
        </w:rPr>
        <w:footnoteReference w:id="700"/>
      </w:r>
      <w:r>
        <w:rPr>
          <w:rFonts w:ascii="Amiri" w:hAnsi="Amiri" w:eastAsia="Amiri" w:cs="Amiri"/>
          <w:color w:val="111111"/>
          <w:sz w:val="28"/>
          <w:sz w:val="28"/>
          <w:szCs w:val="28"/>
          <w:rtl w:val="true"/>
          <w:lang w:bidi="ar-SA"/>
        </w:rPr>
        <w:t>، والالتزام اللفظي</w:t>
      </w:r>
      <w:r>
        <w:rPr>
          <w:rStyle w:val="FootnoteAnchor"/>
          <w:rtl w:val="true"/>
        </w:rPr>
        <w:footnoteReference w:id="701"/>
      </w:r>
      <w:r>
        <w:rPr>
          <w:rFonts w:ascii="Amiri" w:hAnsi="Amiri" w:eastAsia="Amiri" w:cs="Amiri"/>
          <w:color w:val="111111"/>
          <w:sz w:val="28"/>
          <w:sz w:val="28"/>
          <w:szCs w:val="28"/>
          <w:rtl w:val="true"/>
          <w:lang w:bidi="ar-SA"/>
        </w:rPr>
        <w:t>والعقلي الذي هو وفاقي حتى من المرتضى، وإسناد الإنكار المطلق إليه سهو</w:t>
      </w:r>
      <w:r>
        <w:rPr>
          <w:rFonts w:eastAsia="Amiri" w:cs="Amiri" w:ascii="Amiri" w:hAnsi="Amiri"/>
          <w:color w:val="111111"/>
          <w:sz w:val="28"/>
          <w:szCs w:val="28"/>
          <w:rtl w:val="true"/>
          <w:lang w:bidi="ar-SA"/>
        </w:rPr>
        <w:t>.</w:t>
      </w:r>
      <w:r>
        <w:rPr>
          <w:rStyle w:val="FootnoteAnchor"/>
          <w:rtl w:val="true"/>
        </w:rPr>
        <w:footnoteReference w:id="702"/>
      </w:r>
      <w:r>
        <w:rPr>
          <w:rStyle w:val="FootnoteAnchor"/>
          <w:rtl w:val="true"/>
        </w:rPr>
        <w:footnoteReference w:id="70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وأقوال الخاص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وعدم الأمر بالضد</w:t>
      </w:r>
      <w:r>
        <w:rPr>
          <w:rStyle w:val="FootnoteAnchor"/>
          <w:rtl w:val="true"/>
        </w:rPr>
        <w:footnoteReference w:id="704"/>
      </w:r>
      <w:r>
        <w:rPr>
          <w:rFonts w:ascii="Amiri" w:hAnsi="Amiri" w:eastAsia="Amiri" w:cs="Amiri"/>
          <w:color w:val="111111"/>
          <w:sz w:val="28"/>
          <w:sz w:val="28"/>
          <w:szCs w:val="28"/>
          <w:rtl w:val="true"/>
          <w:lang w:bidi="ar-SA"/>
        </w:rPr>
        <w:t xml:space="preserve">، وعدم مقدّمية ترك الضد لفعل الآخر ، ولازمه الإنكار المطلق </w:t>
      </w:r>
      <w:r>
        <w:rPr>
          <w:rStyle w:val="FootnoteAnchor"/>
          <w:rtl w:val="true"/>
        </w:rPr>
        <w:footnoteReference w:id="705"/>
      </w:r>
      <w:r>
        <w:rPr>
          <w:rFonts w:ascii="Amiri" w:hAnsi="Amiri" w:eastAsia="Amiri" w:cs="Amiri"/>
          <w:color w:val="111111"/>
          <w:sz w:val="28"/>
          <w:sz w:val="28"/>
          <w:szCs w:val="28"/>
          <w:rtl w:val="true"/>
          <w:lang w:bidi="ar-SA"/>
        </w:rPr>
        <w:t>، واقتضاء النهي التبعي</w:t>
      </w:r>
      <w:r>
        <w:rPr>
          <w:rFonts w:eastAsia="Amiri" w:cs="Amiri" w:ascii="Amiri" w:hAnsi="Amiri"/>
          <w:color w:val="111111"/>
          <w:sz w:val="28"/>
          <w:szCs w:val="28"/>
          <w:rtl w:val="true"/>
          <w:lang w:bidi="ar-SA"/>
        </w:rPr>
        <w:t>.</w:t>
      </w:r>
      <w:r>
        <w:rPr>
          <w:rStyle w:val="FootnoteAnchor"/>
          <w:rtl w:val="true"/>
        </w:rPr>
        <w:footnoteReference w:id="706"/>
      </w:r>
      <w:bookmarkStart w:id="270" w:name="pg9015_97514"/>
    </w:p>
    <w:p>
      <w:pPr>
        <w:pStyle w:val="Heading3"/>
        <w:numPr>
          <w:ilvl w:val="2"/>
          <w:numId w:val="1"/>
        </w:numPr>
        <w:rPr/>
      </w:pPr>
      <w:bookmarkStart w:id="271" w:name="__RefHeading___Toc2001507_2870459653"/>
      <w:bookmarkStart w:id="272" w:name="_Toc103"/>
      <w:bookmarkEnd w:id="270"/>
      <w:bookmarkEnd w:id="271"/>
      <w:r>
        <w:rPr>
          <w:rtl w:val="true"/>
        </w:rPr>
        <w:t>[</w:t>
      </w:r>
      <w:r>
        <w:rPr>
          <w:rtl w:val="true"/>
        </w:rPr>
        <w:t>ثمرة المسألة</w:t>
      </w:r>
      <w:r>
        <w:rPr>
          <w:rtl w:val="true"/>
        </w:rPr>
        <w:t>]</w:t>
      </w:r>
      <w:bookmarkEnd w:id="272"/>
    </w:p>
    <w:p>
      <w:pPr>
        <w:pStyle w:val="BookText"/>
        <w:rPr/>
      </w:pPr>
      <w:r>
        <w:rPr>
          <w:rFonts w:ascii="Amiri" w:hAnsi="Amiri" w:eastAsia="Amiri" w:cs="Amiri"/>
          <w:color w:val="111111"/>
          <w:sz w:val="28"/>
          <w:sz w:val="28"/>
          <w:szCs w:val="28"/>
          <w:rtl w:val="true"/>
          <w:lang w:bidi="ar-SA"/>
        </w:rPr>
        <w:t xml:space="preserve">وتظهر ثمرة النزاع في مثل النذر </w:t>
      </w:r>
      <w:r>
        <w:rPr>
          <w:rStyle w:val="FootnoteAnchor"/>
          <w:rtl w:val="true"/>
        </w:rPr>
        <w:footnoteReference w:id="707"/>
      </w:r>
      <w:r>
        <w:rPr>
          <w:rFonts w:ascii="IRNazanin" w:hAnsi="IRNazanin" w:eastAsia="IRNazanin"/>
          <w:color w:val="111111"/>
          <w:sz w:val="28"/>
          <w:sz w:val="28"/>
          <w:szCs w:val="28"/>
          <w:rtl w:val="true"/>
          <w:lang w:bidi="fa-IR"/>
        </w:rPr>
        <w:t xml:space="preserve">، والظهار </w:t>
      </w:r>
      <w:r>
        <w:rPr>
          <w:rStyle w:val="FootnoteAnchor"/>
          <w:rtl w:val="true"/>
        </w:rPr>
        <w:footnoteReference w:id="708"/>
      </w:r>
      <w:r>
        <w:rPr>
          <w:rFonts w:ascii="Amiri" w:hAnsi="Amiri" w:eastAsia="Amiri" w:cs="Amiri"/>
          <w:color w:val="111111"/>
          <w:sz w:val="28"/>
          <w:sz w:val="28"/>
          <w:szCs w:val="28"/>
          <w:rtl w:val="true"/>
          <w:lang w:bidi="ar-SA"/>
        </w:rPr>
        <w:t xml:space="preserve">، وفيها </w:t>
      </w:r>
      <w:r>
        <w:rPr>
          <w:rStyle w:val="FootnoteAnchor"/>
          <w:rtl w:val="true"/>
        </w:rPr>
        <w:footnoteReference w:id="709"/>
      </w:r>
      <w:r>
        <w:rPr>
          <w:rFonts w:ascii="Amiri" w:hAnsi="Amiri" w:eastAsia="Amiri" w:cs="Amiri"/>
          <w:color w:val="111111"/>
          <w:sz w:val="28"/>
          <w:sz w:val="28"/>
          <w:szCs w:val="28"/>
          <w:rtl w:val="true"/>
          <w:lang w:bidi="ar-SA"/>
        </w:rPr>
        <w:t xml:space="preserve">نظر وتفصيل بالنسبة إلى الأمرين هل هما قطعيان،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ظنيان</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أم مختلفان ؟ والثمرة إنما تتم في بعض هذه الصور بضميمة مقدمة خارجية</w:t>
      </w:r>
      <w:r>
        <w:rPr>
          <w:rFonts w:eastAsia="Amiri" w:cs="Amiri" w:ascii="Amiri" w:hAnsi="Amiri"/>
          <w:color w:val="111111"/>
          <w:sz w:val="28"/>
          <w:szCs w:val="28"/>
          <w:rtl w:val="true"/>
          <w:lang w:bidi="ar-SA"/>
        </w:rPr>
        <w:t>.</w:t>
      </w:r>
      <w:r>
        <w:rPr>
          <w:rStyle w:val="FootnoteAnchor"/>
          <w:rtl w:val="true"/>
        </w:rPr>
        <w:footnoteReference w:id="711"/>
      </w:r>
    </w:p>
    <w:p>
      <w:pPr>
        <w:pStyle w:val="Heading3"/>
        <w:numPr>
          <w:ilvl w:val="2"/>
          <w:numId w:val="1"/>
        </w:numPr>
        <w:rPr/>
      </w:pPr>
      <w:bookmarkStart w:id="273" w:name="__RefHeading___Toc2001509_2870459653"/>
      <w:bookmarkStart w:id="274" w:name="_Toc104"/>
      <w:bookmarkEnd w:id="273"/>
      <w:r>
        <w:rPr>
          <w:rtl w:val="true"/>
        </w:rPr>
        <w:t>[</w:t>
      </w:r>
      <w:r>
        <w:rPr>
          <w:rtl w:val="true"/>
        </w:rPr>
        <w:t>تأسيس الأصل</w:t>
      </w:r>
      <w:r>
        <w:rPr>
          <w:rtl w:val="true"/>
        </w:rPr>
        <w:t>]</w:t>
      </w:r>
      <w:bookmarkEnd w:id="274"/>
    </w:p>
    <w:p>
      <w:pPr>
        <w:pStyle w:val="BookText"/>
        <w:rPr/>
      </w:pPr>
      <w:r>
        <w:rPr>
          <w:rFonts w:ascii="Amiri" w:hAnsi="Amiri" w:eastAsia="Amiri" w:cs="Amiri"/>
          <w:color w:val="111111"/>
          <w:sz w:val="28"/>
          <w:sz w:val="28"/>
          <w:szCs w:val="28"/>
          <w:rtl w:val="true"/>
          <w:lang w:bidi="ar-SA"/>
        </w:rPr>
        <w:t>ثم القول بأن الأمر يقتضي النهي عن ضدّه الخاص لفظاً تضمناً ، أو التزاماً، مخالف للأصل من جهة أصالة البراءة عن الإثم الحاصل في فعل الضد، وأصالة صحة الضدّ</w:t>
      </w:r>
      <w:r>
        <w:rPr>
          <w:rStyle w:val="FootnoteAnchor"/>
          <w:rtl w:val="true"/>
        </w:rPr>
        <w:footnoteReference w:id="712"/>
      </w:r>
      <w:r>
        <w:rPr>
          <w:rFonts w:ascii="Amiri" w:hAnsi="Amiri" w:eastAsia="Amiri" w:cs="Amiri"/>
          <w:color w:val="111111"/>
          <w:sz w:val="28"/>
          <w:sz w:val="28"/>
          <w:szCs w:val="28"/>
          <w:rtl w:val="true"/>
          <w:lang w:bidi="ar-SA"/>
        </w:rPr>
        <w:t>الناشئة عن إطلاق</w:t>
      </w:r>
      <w:r>
        <w:rPr>
          <w:rStyle w:val="FootnoteAnchor"/>
          <w:rtl w:val="true"/>
        </w:rPr>
        <w:footnoteReference w:id="713"/>
      </w:r>
      <w:r>
        <w:rPr>
          <w:rFonts w:ascii="Amiri" w:hAnsi="Amiri" w:eastAsia="Amiri" w:cs="Amiri"/>
          <w:color w:val="111111"/>
          <w:sz w:val="28"/>
          <w:sz w:val="28"/>
          <w:szCs w:val="28"/>
          <w:rtl w:val="true"/>
          <w:lang w:bidi="ar-SA"/>
        </w:rPr>
        <w:t>الأمر به، وأصالة توقيفية الألفاظ، مع التايد بأصالة عدم التفات</w:t>
      </w:r>
      <w:r>
        <w:rPr>
          <w:rStyle w:val="FootnoteAnchor"/>
          <w:rtl w:val="true"/>
        </w:rPr>
        <w:footnoteReference w:id="714"/>
      </w:r>
      <w:r>
        <w:rPr>
          <w:rFonts w:ascii="Amiri" w:hAnsi="Amiri" w:eastAsia="Amiri" w:cs="Amiri"/>
          <w:color w:val="111111"/>
          <w:sz w:val="28"/>
          <w:sz w:val="28"/>
          <w:szCs w:val="28"/>
          <w:rtl w:val="true"/>
          <w:lang w:bidi="ar-SA"/>
        </w:rPr>
        <w:t>الواضع إلى الضد، وهكذا، فلاحظ الأصول بالنسبة إلى الأقوال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الأظهر اقتضاء الأمر النهي عن الضد العام عقلاً كما هو واضح، ولفظاً لكن التزاماً بالمعنى الأعم؛ للتبادر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الضدّ الخاص، فلا يقتضى الأمر النهي عنه الا تبعاً؛ لأن ترك الضدّ مقدمة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لفعل ضدّه </w:t>
      </w:r>
      <w:r>
        <w:rPr>
          <w:rStyle w:val="FootnoteAnchor"/>
          <w:rtl w:val="true"/>
        </w:rPr>
        <w:footnoteReference w:id="715"/>
      </w:r>
      <w:r>
        <w:rPr>
          <w:rFonts w:ascii="Amiri" w:hAnsi="Amiri" w:eastAsia="Amiri" w:cs="Amiri"/>
          <w:color w:val="111111"/>
          <w:sz w:val="28"/>
          <w:sz w:val="28"/>
          <w:szCs w:val="28"/>
          <w:rtl w:val="true"/>
          <w:lang w:bidi="ar-SA"/>
        </w:rPr>
        <w:t xml:space="preserve">كما مرَّ ، ومقدمة الواجب واجبة تبعاً، ولقد </w:t>
      </w:r>
      <w:r>
        <w:rPr>
          <w:rStyle w:val="FootnoteAnchor"/>
          <w:rtl w:val="true"/>
        </w:rPr>
        <w:footnoteReference w:id="716"/>
      </w:r>
      <w:r>
        <w:rPr>
          <w:rFonts w:ascii="IRNazanin" w:hAnsi="IRNazanin" w:eastAsia="IRNazanin"/>
          <w:color w:val="111111"/>
          <w:sz w:val="28"/>
          <w:sz w:val="28"/>
          <w:szCs w:val="28"/>
          <w:rtl w:val="true"/>
          <w:lang w:bidi="fa-IR"/>
        </w:rPr>
        <w:t xml:space="preserve">حصل لصاحب المعالم </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البحث</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عثرات كثيرة أشرنا إليها في كتابنا الكبير </w:t>
      </w:r>
      <w:r>
        <w:rPr>
          <w:rStyle w:val="FootnoteAnchor"/>
          <w:rtl w:val="true"/>
        </w:rPr>
        <w:footnoteReference w:id="71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bookmarkStart w:id="275" w:name="pg9015_97516"/>
    </w:p>
    <w:p>
      <w:pPr>
        <w:pStyle w:val="Heading2"/>
        <w:numPr>
          <w:ilvl w:val="1"/>
          <w:numId w:val="1"/>
        </w:numPr>
        <w:rPr/>
      </w:pPr>
      <w:bookmarkStart w:id="276" w:name="__RefHeading___Toc2001511_2870459653"/>
      <w:bookmarkStart w:id="277" w:name="_Toc105"/>
      <w:bookmarkEnd w:id="275"/>
      <w:bookmarkEnd w:id="276"/>
      <w:r>
        <w:rPr>
          <w:rtl w:val="true"/>
        </w:rPr>
        <w:t xml:space="preserve">أصل </w:t>
      </w:r>
      <w:r>
        <w:rPr>
          <w:rtl w:val="true"/>
        </w:rPr>
        <w:t>[</w:t>
      </w:r>
      <w:r>
        <w:rPr>
          <w:rtl w:val="true"/>
        </w:rPr>
        <w:t>في نسخ الوجوب</w:t>
      </w:r>
      <w:r>
        <w:rPr>
          <w:rtl w:val="true"/>
        </w:rPr>
        <w:t>]</w:t>
      </w:r>
      <w:bookmarkEnd w:id="277"/>
    </w:p>
    <w:p>
      <w:pPr>
        <w:pStyle w:val="Heading3"/>
        <w:numPr>
          <w:ilvl w:val="2"/>
          <w:numId w:val="1"/>
        </w:numPr>
        <w:rPr/>
      </w:pPr>
      <w:bookmarkStart w:id="278" w:name="__RefHeading___Toc2001513_2870459653"/>
      <w:bookmarkStart w:id="279" w:name="_Toc106"/>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اذا أوجب الشارع شيئاً، ثم نسخ وجوبه، فهل يبقى الجواز أم لا؟ وجهان، بل وجوه وأقوال</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واختار الرازي في المحصول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والعلّامة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لزوم البقاء</w:t>
      </w:r>
    </w:p>
    <w:p>
      <w:pPr>
        <w:pStyle w:val="Heading3"/>
        <w:numPr>
          <w:ilvl w:val="2"/>
          <w:numId w:val="1"/>
        </w:numPr>
        <w:rPr/>
      </w:pPr>
      <w:bookmarkStart w:id="280" w:name="__RefHeading___Toc2001515_2870459653"/>
      <w:bookmarkStart w:id="281" w:name="_Toc107"/>
      <w:bookmarkEnd w:id="280"/>
      <w:r>
        <w:rPr>
          <w:rtl w:val="true"/>
        </w:rPr>
        <w:t>[</w:t>
      </w:r>
      <w:r>
        <w:rPr>
          <w:rtl w:val="true"/>
        </w:rPr>
        <w:t>تحرير محل النزاع</w:t>
      </w:r>
      <w:r>
        <w:rPr>
          <w:rtl w:val="true"/>
        </w:rPr>
        <w:t>]</w:t>
      </w:r>
      <w:bookmarkEnd w:id="281"/>
    </w:p>
    <w:p>
      <w:pPr>
        <w:pStyle w:val="BookText"/>
        <w:rPr/>
      </w:pPr>
      <w:r>
        <w:rPr>
          <w:rFonts w:ascii="Amiri" w:hAnsi="Amiri" w:eastAsia="Amiri" w:cs="Amiri"/>
          <w:color w:val="111111"/>
          <w:sz w:val="28"/>
          <w:sz w:val="28"/>
          <w:szCs w:val="28"/>
          <w:rtl w:val="true"/>
          <w:lang w:bidi="ar-SA"/>
        </w:rPr>
        <w:t xml:space="preserve">والنزاع من حيث المنسوخ في الحكم التكليفي الوجوبي، ومن حيث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رفع الناسخ</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الهيئة التركيبية أو الفصل</w:t>
      </w:r>
      <w:r>
        <w:rPr>
          <w:rStyle w:val="FootnoteAnchor"/>
          <w:rtl w:val="true"/>
        </w:rPr>
        <w:footnoteReference w:id="722"/>
      </w:r>
      <w:r>
        <w:rPr>
          <w:rFonts w:ascii="Amiri" w:hAnsi="Amiri" w:eastAsia="Amiri" w:cs="Amiri"/>
          <w:color w:val="111111"/>
          <w:sz w:val="28"/>
          <w:sz w:val="28"/>
          <w:szCs w:val="28"/>
          <w:rtl w:val="true"/>
          <w:lang w:bidi="ar-SA"/>
        </w:rPr>
        <w:t>، وكان الناسخ غير مثبت لحكم آخر، ومن حيث الدلالة فيما إذا كان الدليل الدال على المنسوخ دالا على وجوبه بحيث لولا الناسخ لزم الإتيان به، ومن حيث الحكم الباقي في</w:t>
      </w:r>
      <w:r>
        <w:rPr>
          <w:rStyle w:val="FootnoteAnchor"/>
          <w:rtl w:val="true"/>
        </w:rPr>
        <w:footnoteReference w:id="723"/>
      </w:r>
      <w:r>
        <w:rPr>
          <w:rFonts w:ascii="IRNazanin" w:hAnsi="IRNazanin" w:eastAsia="IRNazanin"/>
          <w:color w:val="111111"/>
          <w:sz w:val="28"/>
          <w:sz w:val="28"/>
          <w:szCs w:val="28"/>
          <w:rtl w:val="true"/>
          <w:lang w:bidi="fa-IR"/>
        </w:rPr>
        <w:t>الجواز المستفاد من الأمر تبعاً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في كون النزاع في الدلالة اللفظية، أو العقلية، أو هما، وجوه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هو فيما كان الدال على الناسخ والمنسوخ لفظاً، أم لباً، أم مختلفاً</w:t>
      </w:r>
      <w:r>
        <w:rPr>
          <w:rStyle w:val="FootnoteAnchor"/>
          <w:rtl w:val="true"/>
        </w:rPr>
        <w:footnoteReference w:id="724"/>
      </w:r>
      <w:r>
        <w:rPr>
          <w:rFonts w:ascii="Amiri" w:hAnsi="Amiri" w:eastAsia="Amiri" w:cs="Amiri"/>
          <w:color w:val="111111"/>
          <w:sz w:val="28"/>
          <w:sz w:val="28"/>
          <w:szCs w:val="28"/>
          <w:rtl w:val="true"/>
          <w:lang w:bidi="ar-SA"/>
        </w:rPr>
        <w:t>، احتمالات، أقواها اختصاص النزاع باللفظيين</w:t>
      </w:r>
      <w:r>
        <w:rPr>
          <w:rStyle w:val="FootnoteAnchor"/>
          <w:rtl w:val="true"/>
        </w:rPr>
        <w:footnoteReference w:id="725"/>
      </w:r>
      <w:r>
        <w:rPr>
          <w:rFonts w:ascii="Amiri" w:hAnsi="Amiri" w:eastAsia="Amiri" w:cs="Amiri"/>
          <w:color w:val="111111"/>
          <w:sz w:val="28"/>
          <w:sz w:val="28"/>
          <w:szCs w:val="28"/>
          <w:rtl w:val="true"/>
          <w:lang w:bidi="ar-SA"/>
        </w:rPr>
        <w:t xml:space="preserve">، ولم أر للنزاع فائدة مهمة، والأصل </w:t>
      </w:r>
      <w:bookmarkStart w:id="282" w:name="pg9015_97517"/>
    </w:p>
    <w:p>
      <w:pPr>
        <w:pStyle w:val="BookText"/>
        <w:rPr/>
      </w:pPr>
      <w:bookmarkEnd w:id="282"/>
      <w:r>
        <w:rPr>
          <w:rFonts w:ascii="Amiri" w:hAnsi="Amiri" w:eastAsia="Amiri" w:cs="Amiri"/>
          <w:color w:val="111111"/>
          <w:sz w:val="28"/>
          <w:sz w:val="28"/>
          <w:szCs w:val="28"/>
          <w:rtl w:val="true"/>
          <w:lang w:bidi="ar-SA"/>
        </w:rPr>
        <w:t>في المسألة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مع النافين؛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لذهاب الجنس بذهاب فصله</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لوحدة وجودهما</w:t>
      </w:r>
      <w:r>
        <w:rPr>
          <w:rFonts w:eastAsia="Amiri" w:cs="Amiri" w:ascii="Amiri" w:hAnsi="Amiri"/>
          <w:color w:val="111111"/>
          <w:sz w:val="28"/>
          <w:szCs w:val="28"/>
          <w:rtl w:val="true"/>
          <w:lang w:bidi="ar-SA"/>
        </w:rPr>
        <w:t>.</w:t>
      </w:r>
      <w:r>
        <w:rPr>
          <w:rStyle w:val="FootnoteAnchor"/>
          <w:rtl w:val="true"/>
        </w:rPr>
        <w:footnoteReference w:id="727"/>
      </w:r>
    </w:p>
    <w:p>
      <w:pPr>
        <w:pStyle w:val="Heading2"/>
        <w:numPr>
          <w:ilvl w:val="1"/>
          <w:numId w:val="1"/>
        </w:numPr>
        <w:rPr/>
      </w:pPr>
      <w:bookmarkStart w:id="283" w:name="__RefHeading___Toc2001517_2870459653"/>
      <w:bookmarkStart w:id="284" w:name="_Toc108"/>
      <w:bookmarkEnd w:id="283"/>
      <w:r>
        <w:rPr>
          <w:rtl w:val="true"/>
        </w:rPr>
        <w:t xml:space="preserve">أصل </w:t>
      </w:r>
      <w:r>
        <w:rPr>
          <w:rtl w:val="true"/>
        </w:rPr>
        <w:t>[</w:t>
      </w:r>
      <w:r>
        <w:rPr>
          <w:rtl w:val="true"/>
        </w:rPr>
        <w:t>في الأمر مع العلم بانتفاء شرطه</w:t>
      </w:r>
      <w:r>
        <w:rPr>
          <w:rtl w:val="true"/>
        </w:rPr>
        <w:t>]</w:t>
      </w:r>
      <w:bookmarkEnd w:id="284"/>
    </w:p>
    <w:p>
      <w:pPr>
        <w:pStyle w:val="Heading3"/>
        <w:numPr>
          <w:ilvl w:val="2"/>
          <w:numId w:val="1"/>
        </w:numPr>
        <w:rPr/>
      </w:pPr>
      <w:bookmarkStart w:id="285" w:name="__RefHeading___Toc2001519_2870459653"/>
      <w:bookmarkStart w:id="286" w:name="_Toc109"/>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 xml:space="preserve">هل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الآمر</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مع العلم بانتفاء شرطه مطلقاً، أم في خصوص الشرط الوجوبي الشرعي، أم لا مطلقاً ؟ أقوال</w:t>
      </w:r>
      <w:r>
        <w:rPr>
          <w:rFonts w:eastAsia="Amiri" w:cs="Amiri" w:ascii="Amiri" w:hAnsi="Amiri"/>
          <w:color w:val="111111"/>
          <w:sz w:val="28"/>
          <w:szCs w:val="28"/>
          <w:rtl w:val="true"/>
          <w:lang w:bidi="ar-SA"/>
        </w:rPr>
        <w:t>.</w:t>
      </w:r>
      <w:r>
        <w:rPr>
          <w:rStyle w:val="FootnoteAnchor"/>
          <w:rtl w:val="true"/>
        </w:rPr>
        <w:footnoteReference w:id="729"/>
      </w:r>
    </w:p>
    <w:p>
      <w:pPr>
        <w:pStyle w:val="Heading3"/>
        <w:numPr>
          <w:ilvl w:val="2"/>
          <w:numId w:val="1"/>
        </w:numPr>
        <w:rPr/>
      </w:pPr>
      <w:bookmarkStart w:id="287" w:name="__RefHeading___Toc2001521_2870459653"/>
      <w:bookmarkStart w:id="288" w:name="_Toc110"/>
      <w:bookmarkEnd w:id="287"/>
      <w:r>
        <w:rPr>
          <w:rtl w:val="true"/>
        </w:rPr>
        <w:t>[</w:t>
      </w:r>
      <w:r>
        <w:rPr>
          <w:rtl w:val="true"/>
        </w:rPr>
        <w:t>تحرير محل النزاع</w:t>
      </w:r>
      <w:r>
        <w:rPr>
          <w:rtl w:val="true"/>
        </w:rPr>
        <w:t>]</w:t>
      </w:r>
      <w:bookmarkEnd w:id="288"/>
    </w:p>
    <w:p>
      <w:pPr>
        <w:pStyle w:val="BookText"/>
        <w:rPr/>
      </w:pPr>
      <w:r>
        <w:rPr>
          <w:rFonts w:ascii="IRNazanin" w:hAnsi="IRNazanin" w:eastAsia="IRNazanin"/>
          <w:color w:val="111111"/>
          <w:sz w:val="28"/>
          <w:sz w:val="28"/>
          <w:szCs w:val="28"/>
          <w:rtl w:val="true"/>
          <w:lang w:bidi="fa-IR"/>
        </w:rPr>
        <w:t>ومحلّ النزاع الشرائط</w:t>
      </w:r>
      <w:r>
        <w:rPr>
          <w:rStyle w:val="FootnoteAnchor"/>
          <w:rtl w:val="true"/>
        </w:rPr>
        <w:footnoteReference w:id="730"/>
      </w:r>
      <w:r>
        <w:rPr>
          <w:rFonts w:ascii="Amiri" w:hAnsi="Amiri" w:eastAsia="Amiri" w:cs="Amiri"/>
          <w:color w:val="111111"/>
          <w:sz w:val="28"/>
          <w:sz w:val="28"/>
          <w:szCs w:val="28"/>
          <w:rtl w:val="true"/>
          <w:lang w:bidi="ar-SA"/>
        </w:rPr>
        <w:t>الوجوبية، كانت مقدمة للوجود أيضاً أم لا، وفيما لم يكن الأمر جاهلاً</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والأصل مع المجوز؛ لأصالة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الحق في المسألة فتفصيله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النزاع في صحة الأمر الحقيقي من العالم بانتفاء شرط الوجوب، فالحق مع المانع؛ حذراً من السفه، والتكليف بما لا يطاق</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في جواز التكليف التوطيني على نحو الحقيقة، فالحق مع المجوز؛ لجوازه </w:t>
      </w:r>
    </w:p>
    <w:p>
      <w:pPr>
        <w:pStyle w:val="BookText"/>
        <w:rPr/>
      </w:pPr>
      <w:r>
        <w:rPr>
          <w:rFonts w:ascii="Amiri" w:hAnsi="Amiri" w:eastAsia="Amiri" w:cs="Amiri"/>
          <w:color w:val="111111"/>
          <w:sz w:val="28"/>
          <w:sz w:val="28"/>
          <w:szCs w:val="28"/>
          <w:rtl w:val="true"/>
          <w:lang w:bidi="ar-SA"/>
        </w:rPr>
        <w:t>عقلاً، وصحته لغة، ووقوعه عرفا، وكونه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نحو المجاز ، فالحق جوازه بالذات عقلاً، وعدم جوازه لغة</w:t>
      </w:r>
      <w:r>
        <w:rPr>
          <w:rStyle w:val="FootnoteAnchor"/>
          <w:rtl w:val="true"/>
        </w:rPr>
        <w:footnoteReference w:id="732"/>
      </w:r>
      <w:r>
        <w:rPr>
          <w:rFonts w:ascii="Amiri" w:hAnsi="Amiri" w:eastAsia="Amiri" w:cs="Amiri"/>
          <w:color w:val="111111"/>
          <w:sz w:val="28"/>
          <w:sz w:val="28"/>
          <w:szCs w:val="28"/>
          <w:rtl w:val="true"/>
          <w:lang w:bidi="ar-SA"/>
        </w:rPr>
        <w:t>حذراً من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صحة التكليف الابتلائي الساذج التنجيزي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أنه محل نزاعهم</w:t>
      </w:r>
      <w:r>
        <w:rPr>
          <w:rStyle w:val="FootnoteAnchor"/>
          <w:rtl w:val="true"/>
        </w:rPr>
        <w:footnoteReference w:id="733"/>
      </w:r>
      <w:r>
        <w:rPr>
          <w:rFonts w:ascii="Amiri" w:hAnsi="Amiri" w:eastAsia="Amiri" w:cs="Amiri"/>
          <w:color w:val="111111"/>
          <w:sz w:val="28"/>
          <w:sz w:val="28"/>
          <w:szCs w:val="28"/>
          <w:rtl w:val="true"/>
          <w:lang w:bidi="ar-SA"/>
        </w:rPr>
        <w:t>، بمعنى التكليف في الواقع بنفس الفعل المفقود شرط وجوبه، فالحق مع المانع؛ حذراً من التكليف بالمحال، او</w:t>
      </w:r>
      <w:r>
        <w:rPr>
          <w:rStyle w:val="FootnoteAnchor"/>
          <w:rtl w:val="true"/>
        </w:rPr>
        <w:footnoteReference w:id="734"/>
      </w:r>
      <w:r>
        <w:rPr>
          <w:rFonts w:ascii="Amiri" w:hAnsi="Amiri" w:eastAsia="Amiri" w:cs="Amiri"/>
          <w:color w:val="111111"/>
          <w:sz w:val="28"/>
          <w:sz w:val="28"/>
          <w:szCs w:val="28"/>
          <w:rtl w:val="true"/>
          <w:lang w:bidi="ar-SA"/>
        </w:rPr>
        <w:t>في الصغرى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العبد مجبور في الإرادة حتى يكون الأمر بالفعل عند عدمها من باب الأمر مع العلم بانتفاء شرط الوجوب، أو هو مختار فيها حتى يكون من باب الأمر مع العلم بانتفاء شرط الوجود، فالحق مع القائل بالاختيار، فيخرج عن المتنازع، لكن لو</w:t>
      </w:r>
      <w:r>
        <w:rPr>
          <w:rStyle w:val="FootnoteAnchor"/>
          <w:rtl w:val="true"/>
        </w:rPr>
        <w:footnoteReference w:id="735"/>
      </w:r>
      <w:r>
        <w:rPr>
          <w:rFonts w:ascii="Amiri" w:hAnsi="Amiri" w:eastAsia="Amiri" w:cs="Amiri"/>
          <w:color w:val="111111"/>
          <w:sz w:val="28"/>
          <w:sz w:val="28"/>
          <w:szCs w:val="28"/>
          <w:rtl w:val="true"/>
          <w:lang w:bidi="ar-SA"/>
        </w:rPr>
        <w:t>سلّمنا الصغرى منعنا الكبرى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في جواز التعليق من العالم ،وعدمه، فالحق أن التوطيني الحقيقي جائز، وما عداه غير جائز</w:t>
      </w:r>
      <w:r>
        <w:rPr>
          <w:rFonts w:eastAsia="Amiri" w:cs="Amiri" w:ascii="Amiri" w:hAnsi="Amiri"/>
          <w:color w:val="111111"/>
          <w:sz w:val="28"/>
          <w:szCs w:val="28"/>
          <w:rtl w:val="true"/>
          <w:lang w:bidi="ar-SA"/>
        </w:rPr>
        <w:t xml:space="preserve">. </w:t>
      </w:r>
      <w:bookmarkStart w:id="289" w:name="pg9015_97519"/>
    </w:p>
    <w:p>
      <w:pPr>
        <w:pStyle w:val="Heading3"/>
        <w:numPr>
          <w:ilvl w:val="2"/>
          <w:numId w:val="1"/>
        </w:numPr>
        <w:rPr/>
      </w:pPr>
      <w:bookmarkStart w:id="290" w:name="__RefHeading___Toc2001523_2870459653"/>
      <w:bookmarkStart w:id="291" w:name="_Toc111"/>
      <w:bookmarkEnd w:id="289"/>
      <w:bookmarkEnd w:id="290"/>
      <w:r>
        <w:rPr>
          <w:rtl w:val="true"/>
        </w:rPr>
        <w:t>[</w:t>
      </w:r>
      <w:r>
        <w:rPr>
          <w:rtl w:val="true"/>
        </w:rPr>
        <w:t>ثمرة المسألة</w:t>
      </w:r>
      <w:r>
        <w:rPr>
          <w:rtl w:val="true"/>
        </w:rPr>
        <w:t>]</w:t>
      </w:r>
      <w:bookmarkEnd w:id="29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ثمرة النزاع قد تفرض فيما لو وجد المتيمم الماء ولم يمض من الزمان ما يتمكن من الوضوء فيه، ففقده، فهل يعيد التيمم أم لا؟ ، وفي وجوب القضاء وعدمه على من دخل عليه الوقت وهو واجد للشرائط ، ثم زال الشرط قبل مضي زمان يسع الإتيان بالواجب ، وفي</w:t>
      </w:r>
      <w:r>
        <w:rPr>
          <w:rStyle w:val="FootnoteAnchor"/>
          <w:rtl w:val="true"/>
        </w:rPr>
        <w:footnoteReference w:id="736"/>
      </w:r>
      <w:r>
        <w:rPr>
          <w:rFonts w:ascii="Amiri" w:hAnsi="Amiri" w:eastAsia="Amiri" w:cs="Amiri"/>
          <w:color w:val="111111"/>
          <w:sz w:val="28"/>
          <w:sz w:val="28"/>
          <w:szCs w:val="28"/>
          <w:rtl w:val="true"/>
          <w:lang w:bidi="ar-SA"/>
        </w:rPr>
        <w:t>لزوم الكفارة وعدمه على من أفطر، ثم انكشف فقد شرط الوجوب واقعاً، وفي وجوب الحج وعدمه على من</w:t>
      </w:r>
      <w:r>
        <w:rPr>
          <w:rStyle w:val="FootnoteAnchor"/>
          <w:rtl w:val="true"/>
        </w:rPr>
        <w:footnoteReference w:id="737"/>
      </w:r>
      <w:r>
        <w:rPr>
          <w:rFonts w:ascii="Amiri" w:hAnsi="Amiri" w:eastAsia="Amiri" w:cs="Amiri"/>
          <w:color w:val="111111"/>
          <w:sz w:val="28"/>
          <w:sz w:val="28"/>
          <w:szCs w:val="28"/>
          <w:rtl w:val="true"/>
          <w:lang w:bidi="ar-SA"/>
        </w:rPr>
        <w:t>منعه مانع في أثناء الطريق في</w:t>
      </w:r>
      <w:r>
        <w:rPr>
          <w:rStyle w:val="FootnoteAnchor"/>
          <w:rtl w:val="true"/>
        </w:rPr>
        <w:footnoteReference w:id="738"/>
      </w:r>
      <w:r>
        <w:rPr>
          <w:rFonts w:ascii="Amiri" w:hAnsi="Amiri" w:eastAsia="Amiri" w:cs="Amiri"/>
          <w:color w:val="111111"/>
          <w:sz w:val="28"/>
          <w:sz w:val="28"/>
          <w:szCs w:val="28"/>
          <w:rtl w:val="true"/>
          <w:lang w:bidi="ar-SA"/>
        </w:rPr>
        <w:t>عام الاستطاعة، وفي مثل النذر والظهار، إلى غير ذلك من الموارد، وللنظر فيها مجال</w:t>
      </w:r>
      <w:r>
        <w:rPr>
          <w:rFonts w:eastAsia="Amiri" w:cs="Amiri" w:ascii="Amiri" w:hAnsi="Amiri"/>
          <w:color w:val="111111"/>
          <w:sz w:val="28"/>
          <w:szCs w:val="28"/>
          <w:rtl w:val="true"/>
          <w:lang w:bidi="ar-SA"/>
        </w:rPr>
        <w:t xml:space="preserve">. </w:t>
      </w:r>
      <w:bookmarkStart w:id="292" w:name="pg9015_97520"/>
    </w:p>
    <w:p>
      <w:pPr>
        <w:pStyle w:val="Heading2"/>
        <w:numPr>
          <w:ilvl w:val="1"/>
          <w:numId w:val="1"/>
        </w:numPr>
        <w:rPr/>
      </w:pPr>
      <w:bookmarkStart w:id="293" w:name="__RefHeading___Toc2001525_2870459653"/>
      <w:bookmarkStart w:id="294" w:name="_Toc112"/>
      <w:bookmarkEnd w:id="292"/>
      <w:bookmarkEnd w:id="293"/>
      <w:r>
        <w:rPr>
          <w:rtl w:val="true"/>
        </w:rPr>
        <w:t xml:space="preserve">أصل </w:t>
      </w:r>
      <w:r>
        <w:rPr>
          <w:rtl w:val="true"/>
        </w:rPr>
        <w:t>[</w:t>
      </w:r>
      <w:r>
        <w:rPr>
          <w:rtl w:val="true"/>
        </w:rPr>
        <w:t>في أن الأمر لطلب ايجاد الماهية لا الفرد</w:t>
      </w:r>
      <w:r>
        <w:rPr>
          <w:rtl w:val="true"/>
        </w:rPr>
        <w:t>]</w:t>
      </w:r>
      <w:bookmarkEnd w:id="294"/>
    </w:p>
    <w:p>
      <w:pPr>
        <w:pStyle w:val="BookText"/>
        <w:rPr/>
      </w:pPr>
      <w:r>
        <w:rPr>
          <w:rFonts w:ascii="Amiri" w:hAnsi="Amiri" w:eastAsia="Amiri" w:cs="Amiri"/>
          <w:color w:val="111111"/>
          <w:sz w:val="28"/>
          <w:sz w:val="28"/>
          <w:szCs w:val="28"/>
          <w:rtl w:val="true"/>
          <w:lang w:bidi="ar-SA"/>
        </w:rPr>
        <w:t xml:space="preserve">إذا أطلق المادة </w:t>
      </w:r>
      <w:r>
        <w:rPr>
          <w:rStyle w:val="FootnoteAnchor"/>
          <w:rtl w:val="true"/>
        </w:rPr>
        <w:footnoteReference w:id="739"/>
      </w:r>
      <w:r>
        <w:rPr>
          <w:rFonts w:ascii="Amiri" w:hAnsi="Amiri" w:eastAsia="Amiri" w:cs="Amiri"/>
          <w:color w:val="111111"/>
          <w:sz w:val="28"/>
          <w:sz w:val="28"/>
          <w:szCs w:val="28"/>
          <w:rtl w:val="true"/>
          <w:lang w:bidi="ar-SA"/>
        </w:rPr>
        <w:t>ولم تقيد بفرد خاص، كصُم وصلّ، فمقتضى الوضع اللغوي طلب إيجاد الماهية من حيث هي من غير مدخلية الفرد؛ للتبادر بضمّ أصالة عدم النقل، ولاتفاق الكل</w:t>
      </w:r>
      <w:r>
        <w:rPr>
          <w:rStyle w:val="FootnoteAnchor"/>
          <w:rtl w:val="true"/>
        </w:rPr>
        <w:footnoteReference w:id="740"/>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ولأنه لو كان الموضوع له طلب الفرد، لزم 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النقل، أو تعدد الوضع، أو المجاز، أو التقييد، أو التجريد</w:t>
      </w:r>
      <w:r>
        <w:rPr>
          <w:rStyle w:val="FootnoteAnchor"/>
          <w:rtl w:val="true"/>
        </w:rPr>
        <w:footnoteReference w:id="741"/>
      </w:r>
      <w:r>
        <w:rPr>
          <w:rFonts w:ascii="Amiri" w:hAnsi="Amiri" w:eastAsia="Amiri" w:cs="Amiri"/>
          <w:color w:val="111111"/>
          <w:sz w:val="28"/>
          <w:sz w:val="28"/>
          <w:szCs w:val="28"/>
          <w:rtl w:val="true"/>
          <w:lang w:bidi="ar-SA"/>
        </w:rPr>
        <w:t>، والكل منفي بالأصل، ولزوم التكرار أو النقض لو صرّح بإرادة كل الأفراد، أو بعضها،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دليل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الدال على الطلب هو الهيئة، وعلى الماهية هو</w:t>
      </w:r>
      <w:r>
        <w:rPr>
          <w:rStyle w:val="FootnoteAnchor"/>
          <w:rtl w:val="true"/>
        </w:rPr>
        <w:footnoteReference w:id="742"/>
      </w:r>
      <w:r>
        <w:rPr>
          <w:rFonts w:ascii="Amiri" w:hAnsi="Amiri" w:eastAsia="Amiri" w:cs="Amiri"/>
          <w:color w:val="111111"/>
          <w:sz w:val="28"/>
          <w:sz w:val="28"/>
          <w:szCs w:val="28"/>
          <w:rtl w:val="true"/>
          <w:lang w:bidi="ar-SA"/>
        </w:rPr>
        <w:t xml:space="preserve">المادة، فهنا دالان ومدلولان؛ للتبادر، ولاتفاق القائلين بالوضع للطبيعة، ولأن الدال على الطبيعة إن لم يكن هو المادة فهو إما الهيئة </w:t>
      </w:r>
      <w:r>
        <w:rPr>
          <w:rStyle w:val="FootnoteAnchor"/>
          <w:rtl w:val="true"/>
        </w:rPr>
        <w:footnoteReference w:id="743"/>
      </w:r>
      <w:r>
        <w:rPr>
          <w:rFonts w:ascii="Amiri" w:hAnsi="Amiri" w:eastAsia="Amiri" w:cs="Amiri"/>
          <w:color w:val="111111"/>
          <w:sz w:val="28"/>
          <w:sz w:val="28"/>
          <w:szCs w:val="28"/>
          <w:rtl w:val="true"/>
          <w:lang w:bidi="ar-SA"/>
        </w:rPr>
        <w:t>، أو المركب، وكلاهما منفيان بدليل الترديد، فمن يقول بتعلق الأحكام بالأفراد لا الطبائع، إن أراد وضع اللفظ لذلك، فقد عرفت فساده، أو إراد قيام قرينة عقلية على إرادة خلاف ما وضع له اللفظ</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فتلك القرينة العقلية إما أن الكلي الطبيعي ممتنع الوجود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يكلف بإيجاده؛ لأنه تكليف بما لا يطاق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وجوده في الخارج</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لوجوه سبعة بعضها دليل، وبعضها مؤيد</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سلّمنا انه لا دليل على وجوده، لكن لا دليل</w:t>
      </w:r>
      <w:r>
        <w:rPr>
          <w:rStyle w:val="FootnoteAnchor"/>
          <w:rtl w:val="true"/>
        </w:rPr>
        <w:footnoteReference w:id="746"/>
      </w:r>
      <w:r>
        <w:rPr>
          <w:rFonts w:ascii="Amiri" w:hAnsi="Amiri" w:eastAsia="Amiri" w:cs="Amiri"/>
          <w:color w:val="111111"/>
          <w:sz w:val="28"/>
          <w:sz w:val="28"/>
          <w:szCs w:val="28"/>
          <w:rtl w:val="true"/>
          <w:lang w:bidi="ar-SA"/>
        </w:rPr>
        <w:t>على امتناعه أيضاً، فيشك، فيؤخذ بظاهر الخطاب السليم عن المعارض</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سلّمنا امتناع وجوده، لكن يكفي في صحة تعلّق الحكم به اعتقاد العقلاء والمكلفين بوجوده، ولا يلزم قبح على الآمر ؛ لأنه يقبل </w:t>
      </w:r>
      <w:r>
        <w:rPr>
          <w:rStyle w:val="FootnoteAnchor"/>
          <w:rtl w:val="true"/>
        </w:rPr>
        <w:footnoteReference w:id="748"/>
      </w:r>
      <w:r>
        <w:rPr>
          <w:rFonts w:ascii="Amiri" w:hAnsi="Amiri" w:eastAsia="Amiri" w:cs="Amiri"/>
          <w:color w:val="111111"/>
          <w:sz w:val="28"/>
          <w:sz w:val="28"/>
          <w:szCs w:val="28"/>
          <w:rtl w:val="true"/>
          <w:lang w:bidi="ar-SA"/>
        </w:rPr>
        <w:t xml:space="preserve">الفرد من المكلف، فلا تكليف بالمحال حقيقة </w:t>
      </w:r>
      <w:r>
        <w:rPr>
          <w:rStyle w:val="FootnoteAnchor"/>
          <w:rtl w:val="true"/>
        </w:rPr>
        <w:footnoteReference w:id="749"/>
      </w:r>
      <w:r>
        <w:rPr>
          <w:rFonts w:ascii="Amiri" w:hAnsi="Amiri" w:eastAsia="Amiri" w:cs="Amiri"/>
          <w:color w:val="111111"/>
          <w:sz w:val="28"/>
          <w:sz w:val="28"/>
          <w:szCs w:val="28"/>
          <w:rtl w:val="true"/>
          <w:lang w:bidi="ar-SA"/>
        </w:rPr>
        <w:t>، ولا بأس بالإغراء الموقع في المقصود، ويكفي تحقق الصفة الكامنة في نفس متعلق الأمر، أو فيما هو المقصود بالذات من الأمر، نظير التوطيني</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ثم لو أراد من الفرد فرداً ما، ورد عليه انه أيضاً كلي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متعلق الحكم لا بد وأن يكون فعل المكلف بلا واسطة؛ اذ</w:t>
      </w:r>
      <w:r>
        <w:rPr>
          <w:rStyle w:val="FootnoteAnchor"/>
          <w:rtl w:val="true"/>
        </w:rPr>
        <w:footnoteReference w:id="751"/>
      </w:r>
      <w:r>
        <w:rPr>
          <w:rFonts w:ascii="Amiri" w:hAnsi="Amiri" w:eastAsia="Amiri" w:cs="Amiri"/>
          <w:color w:val="111111"/>
          <w:sz w:val="28"/>
          <w:sz w:val="28"/>
          <w:szCs w:val="28"/>
          <w:rtl w:val="true"/>
          <w:lang w:bidi="ar-SA"/>
        </w:rPr>
        <w:t>تعلّق الأمر بالمسبّب الذي هو الكلي دون سببه الذي هو الفرد مستلزم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للتكليف بالمحال</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أو لتحصيل الحاصل</w:t>
      </w:r>
      <w:r>
        <w:rPr>
          <w:rStyle w:val="FootnoteAnchor"/>
          <w:rtl w:val="true"/>
        </w:rPr>
        <w:footnoteReference w:id="753"/>
      </w:r>
      <w:r>
        <w:rPr>
          <w:rFonts w:ascii="Amiri" w:hAnsi="Amiri" w:eastAsia="Amiri" w:cs="Amiri"/>
          <w:color w:val="111111"/>
          <w:sz w:val="28"/>
          <w:sz w:val="28"/>
          <w:szCs w:val="28"/>
          <w:rtl w:val="true"/>
          <w:lang w:bidi="ar-SA"/>
        </w:rPr>
        <w:t>، أو لهما معاً، مضافاً إلى أن موضوع الفقه فعل المكلف، والحكم خطاب الله المتعلق بفعل المكلف، والمسبب كالكلي ليس فعلاً للمكلف، بل أثر فعله، فلا يمكن تعلق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 والفرد موجودان بوجود واحد</w:t>
      </w:r>
      <w:r>
        <w:rPr>
          <w:rStyle w:val="FootnoteAnchor"/>
          <w:rtl w:val="true"/>
        </w:rPr>
        <w:footnoteReference w:id="754"/>
      </w:r>
      <w:r>
        <w:rPr>
          <w:rFonts w:ascii="IRNazanin" w:hAnsi="IRNazanin" w:eastAsia="IRNazanin"/>
          <w:color w:val="111111"/>
          <w:sz w:val="28"/>
          <w:sz w:val="28"/>
          <w:szCs w:val="28"/>
          <w:rtl w:val="true"/>
          <w:lang w:bidi="fa-IR"/>
        </w:rPr>
        <w:t xml:space="preserve">، لا أحدهما سبب للآخر </w:t>
      </w:r>
      <w:r>
        <w:rPr>
          <w:rStyle w:val="FootnoteAnchor"/>
          <w:rtl w:val="true"/>
        </w:rPr>
        <w:footnoteReference w:id="755"/>
      </w:r>
      <w:r>
        <w:rPr>
          <w:rFonts w:ascii="Amiri" w:hAnsi="Amiri" w:eastAsia="Amiri" w:cs="Amiri"/>
          <w:color w:val="111111"/>
          <w:sz w:val="28"/>
          <w:sz w:val="28"/>
          <w:szCs w:val="28"/>
          <w:rtl w:val="true"/>
          <w:lang w:bidi="ar-SA"/>
        </w:rPr>
        <w:t>، فكلاهما من فعل المكلف بلا واسطة مع النقض بالواجبات المطلقة بالنسبة إلى شروطها الوجودية</w:t>
      </w:r>
      <w:r>
        <w:rPr>
          <w:rStyle w:val="FootnoteAnchor"/>
          <w:rtl w:val="true"/>
        </w:rPr>
        <w:footnoteReference w:id="756"/>
      </w:r>
      <w:r>
        <w:rPr>
          <w:rFonts w:ascii="Amiri" w:hAnsi="Amiri" w:eastAsia="Amiri" w:cs="Amiri"/>
          <w:color w:val="111111"/>
          <w:sz w:val="28"/>
          <w:sz w:val="28"/>
          <w:szCs w:val="28"/>
          <w:rtl w:val="true"/>
          <w:lang w:bidi="ar-SA"/>
        </w:rPr>
        <w:t xml:space="preserve">، فانه مستلزم اما للتكليف بالمحال، أو لانقلاب الواجب المطلق مشروطاً، أو لهما، مع أن الأمر بالمسبب حال عدم السبب لا بشرط </w:t>
      </w:r>
      <w:r>
        <w:rPr>
          <w:rStyle w:val="FootnoteAnchor"/>
          <w:rtl w:val="true"/>
        </w:rPr>
        <w:footnoteReference w:id="757"/>
      </w:r>
      <w:r>
        <w:rPr>
          <w:rFonts w:ascii="Amiri" w:hAnsi="Amiri" w:eastAsia="Amiri" w:cs="Amiri"/>
          <w:color w:val="111111"/>
          <w:sz w:val="28"/>
          <w:sz w:val="28"/>
          <w:szCs w:val="28"/>
          <w:rtl w:val="true"/>
          <w:lang w:bidi="ar-SA"/>
        </w:rPr>
        <w:t>عدمه، وإن المقدور بواسطة مقدور، وإن الأفعال التوليدية فعل الشخص حقيقة، وإن موضوع الفقه فعل المكلف ولوكان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الحسن والقبح بالوجوه والاعتبارات، ولازمه تعلق الحكم بالفرد أو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القول بالوجوه</w:t>
      </w:r>
      <w:r>
        <w:rPr>
          <w:rStyle w:val="FootnoteAnchor"/>
          <w:rtl w:val="true"/>
        </w:rPr>
        <w:footnoteReference w:id="758"/>
      </w:r>
      <w:r>
        <w:rPr>
          <w:rFonts w:ascii="Amiri" w:hAnsi="Amiri" w:eastAsia="Amiri" w:cs="Amiri"/>
          <w:color w:val="111111"/>
          <w:sz w:val="28"/>
          <w:sz w:val="28"/>
          <w:szCs w:val="28"/>
          <w:rtl w:val="true"/>
          <w:lang w:bidi="ar-SA"/>
        </w:rPr>
        <w:t>فاسد، كما ستعرف في الأدلة العقلية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أنه لا دليل على بطلانه ، لكن لا </w:t>
      </w:r>
      <w:r>
        <w:rPr>
          <w:rStyle w:val="FootnoteAnchor"/>
          <w:rtl w:val="true"/>
        </w:rPr>
        <w:footnoteReference w:id="759"/>
      </w:r>
      <w:r>
        <w:rPr>
          <w:rFonts w:ascii="Amiri" w:hAnsi="Amiri" w:eastAsia="Amiri" w:cs="Amiri"/>
          <w:color w:val="111111"/>
          <w:sz w:val="28"/>
          <w:sz w:val="28"/>
          <w:szCs w:val="28"/>
          <w:rtl w:val="true"/>
          <w:lang w:bidi="ar-SA"/>
        </w:rPr>
        <w:t>دليل على صحته أيضاً، فيؤخذ بظاهر اللفظ، نعم لو لم يكن لفظ في البين، فالمرجع في مقام الثمرات الأصول الفقاهتية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سلّمنا صحته، لكن من جملة الاعتبارات المحسّنة العلم والجهل، وقد عرفت أن اعتقاد العقلاء أن المطلوب هو الطبيعة،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لادليل على اشتراط كون الصفة في نفس المأمور به</w:t>
      </w:r>
      <w:r>
        <w:rPr>
          <w:rStyle w:val="FootnoteAnchor"/>
          <w:rtl w:val="true"/>
        </w:rPr>
        <w:footnoteReference w:id="760"/>
      </w:r>
      <w:r>
        <w:rPr>
          <w:rFonts w:ascii="Amiri" w:hAnsi="Amiri" w:eastAsia="Amiri" w:cs="Amiri"/>
          <w:color w:val="111111"/>
          <w:sz w:val="28"/>
          <w:sz w:val="28"/>
          <w:szCs w:val="28"/>
          <w:rtl w:val="true"/>
          <w:lang w:bidi="ar-SA"/>
        </w:rPr>
        <w:t>كما مر ، فتأمل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فرق فيما ذكر بين الأمر وسائر الأحكام، نعم في الإباحات والنواهي يفهم الاستغراق، ولا بين التكليفيات والوضعيّات، لكن يفهم في الأخير سريان الحكم في جميع الأفراد</w:t>
      </w:r>
      <w:r>
        <w:rPr>
          <w:rFonts w:eastAsia="Amiri" w:cs="Amiri" w:ascii="Amiri" w:hAnsi="Amiri"/>
          <w:color w:val="111111"/>
          <w:sz w:val="28"/>
          <w:szCs w:val="28"/>
          <w:rtl w:val="true"/>
          <w:lang w:bidi="ar-SA"/>
        </w:rPr>
        <w:t xml:space="preserve">. </w:t>
      </w:r>
      <w:bookmarkStart w:id="295" w:name="pg9015_97524"/>
    </w:p>
    <w:p>
      <w:pPr>
        <w:pStyle w:val="Heading2"/>
        <w:numPr>
          <w:ilvl w:val="1"/>
          <w:numId w:val="1"/>
        </w:numPr>
        <w:rPr/>
      </w:pPr>
      <w:bookmarkStart w:id="296" w:name="__RefHeading___Toc2001527_2870459653"/>
      <w:bookmarkStart w:id="297" w:name="_Toc113"/>
      <w:bookmarkEnd w:id="295"/>
      <w:bookmarkEnd w:id="296"/>
      <w:r>
        <w:rPr>
          <w:rtl w:val="true"/>
        </w:rPr>
        <w:t xml:space="preserve">أصل </w:t>
      </w:r>
      <w:r>
        <w:rPr>
          <w:rtl w:val="true"/>
        </w:rPr>
        <w:t>[</w:t>
      </w:r>
      <w:r>
        <w:rPr>
          <w:rtl w:val="true"/>
        </w:rPr>
        <w:t>في الإجزاء</w:t>
      </w:r>
      <w:r>
        <w:rPr>
          <w:rtl w:val="true"/>
        </w:rPr>
        <w:t>]</w:t>
      </w:r>
      <w:bookmarkEnd w:id="297"/>
    </w:p>
    <w:p>
      <w:pPr>
        <w:pStyle w:val="Heading3"/>
        <w:numPr>
          <w:ilvl w:val="2"/>
          <w:numId w:val="1"/>
        </w:numPr>
        <w:rPr/>
      </w:pPr>
      <w:bookmarkStart w:id="298" w:name="__RefHeading___Toc2001529_2870459653"/>
      <w:bookmarkStart w:id="299" w:name="_Toc114"/>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هل الأمر يقتضي الاجزاء أم لا؟، وجهان</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والإجزاء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Style w:val="FootnoteAnchor"/>
          <w:rtl w:val="true"/>
        </w:rPr>
        <w:footnoteReference w:id="762"/>
      </w:r>
      <w:r>
        <w:rPr>
          <w:rFonts w:ascii="Amiri" w:hAnsi="Amiri" w:eastAsia="Amiri" w:cs="Amiri"/>
          <w:color w:val="111111"/>
          <w:sz w:val="28"/>
          <w:sz w:val="28"/>
          <w:szCs w:val="28"/>
          <w:rtl w:val="true"/>
          <w:lang w:bidi="ar-SA"/>
        </w:rPr>
        <w:t xml:space="preserve">، واصطلاحاً قد يعرّف بأنه اسقاط القضاء </w:t>
      </w:r>
      <w:r>
        <w:rPr>
          <w:rStyle w:val="FootnoteAnchor"/>
          <w:rtl w:val="true"/>
        </w:rPr>
        <w:footnoteReference w:id="76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التدارك ولو شأناً، أو بأنه إسقاط التعبد بالمأمور به، أي في الجملة</w:t>
      </w:r>
      <w:r>
        <w:rPr>
          <w:rStyle w:val="FootnoteAnchor"/>
          <w:rtl w:val="true"/>
        </w:rPr>
        <w:footnoteReference w:id="764"/>
      </w:r>
      <w:r>
        <w:rPr>
          <w:rFonts w:ascii="IRNazanin" w:hAnsi="IRNazanin" w:eastAsia="IRNazanin"/>
          <w:color w:val="111111"/>
          <w:sz w:val="28"/>
          <w:sz w:val="28"/>
          <w:szCs w:val="28"/>
          <w:rtl w:val="true"/>
          <w:lang w:bidi="fa-IR"/>
        </w:rPr>
        <w:t>، بخلاف الأول، فإن المراد منه الإسقاط المطلق</w:t>
      </w:r>
      <w:r>
        <w:rPr>
          <w:rFonts w:eastAsia="IRNazanin" w:cs="IRNazanin"/>
          <w:color w:val="111111"/>
          <w:sz w:val="28"/>
          <w:szCs w:val="28"/>
          <w:rtl w:val="true"/>
          <w:lang w:bidi="fa-IR"/>
        </w:rPr>
        <w:t>.</w:t>
      </w:r>
    </w:p>
    <w:p>
      <w:pPr>
        <w:pStyle w:val="Heading3"/>
        <w:numPr>
          <w:ilvl w:val="2"/>
          <w:numId w:val="1"/>
        </w:numPr>
        <w:rPr/>
      </w:pPr>
      <w:bookmarkStart w:id="300" w:name="__RefHeading___Toc2001531_2870459653"/>
      <w:bookmarkStart w:id="301" w:name="_Toc115"/>
      <w:bookmarkEnd w:id="300"/>
      <w:r>
        <w:rPr>
          <w:rtl w:val="true"/>
        </w:rPr>
        <w:t>[</w:t>
      </w:r>
      <w:r>
        <w:rPr>
          <w:rtl w:val="true"/>
        </w:rPr>
        <w:t>تحرير محل النزاع</w:t>
      </w:r>
      <w:r>
        <w:rPr>
          <w:rtl w:val="true"/>
        </w:rPr>
        <w:t>]</w:t>
      </w:r>
      <w:bookmarkEnd w:id="301"/>
    </w:p>
    <w:p>
      <w:pPr>
        <w:pStyle w:val="BookText"/>
        <w:rPr/>
      </w:pPr>
      <w:r>
        <w:rPr>
          <w:rFonts w:ascii="Amiri" w:hAnsi="Amiri" w:eastAsia="Amiri" w:cs="Amiri"/>
          <w:color w:val="111111"/>
          <w:sz w:val="28"/>
          <w:sz w:val="28"/>
          <w:szCs w:val="28"/>
          <w:rtl w:val="true"/>
          <w:lang w:bidi="ar-SA"/>
        </w:rPr>
        <w:t xml:space="preserve">ثم المراد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الإجزاء هل هو إن الأمر يقتضي سقوط التعبد به ثانياً، فيكون عدم الاقتضاء أنه يدل على عدم سقوط التعبد به مطلقاً، أو في الجملة، أو لا يدل على السقوط</w:t>
      </w:r>
      <w:r>
        <w:rPr>
          <w:rFonts w:eastAsia="Amiri" w:cs="Amiri" w:ascii="Amiri" w:hAnsi="Amiri"/>
          <w:color w:val="111111"/>
          <w:sz w:val="28"/>
          <w:szCs w:val="28"/>
          <w:rtl w:val="true"/>
          <w:lang w:bidi="ar-SA"/>
        </w:rPr>
        <w:t>.</w:t>
      </w:r>
      <w:r>
        <w:rPr>
          <w:rStyle w:val="FootnoteAnchor"/>
          <w:rtl w:val="true"/>
        </w:rPr>
        <w:footnoteReference w:id="76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الأمر لا يقتضي الإتيان بالمأمور به ثانياً،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لزوم الإتيان به ثانياً، وعدم الاقتضاء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اقتضاؤه الإتيان بالفعل ثانياً مطلقاً، أو في الجملة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w:t>
      </w:r>
      <w:r>
        <w:rPr>
          <w:rStyle w:val="FootnoteAnchor"/>
          <w:rtl w:val="true"/>
        </w:rPr>
        <w:footnoteReference w:id="766"/>
      </w:r>
      <w:r>
        <w:rPr>
          <w:rFonts w:ascii="Amiri" w:hAnsi="Amiri" w:eastAsia="Amiri" w:cs="Amiri"/>
          <w:color w:val="111111"/>
          <w:sz w:val="28"/>
          <w:sz w:val="28"/>
          <w:szCs w:val="28"/>
          <w:rtl w:val="true"/>
          <w:lang w:bidi="ar-SA"/>
        </w:rPr>
        <w:t>ان الأمر يدل على عدم صحة الأمر به ثانياً، وعدم الاقتضاء حينئذ</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انه يدل على صحة الأمر به ثانياً، أو لا يدل على أحد الطرفين؟، وجوه، أظهرها الأول</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ومراد المنكر أنه يدل على عدم السقوط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واقعي اختياري كالصلاة بالطهارة المائية، أو واقعي اضطراري، كالصلاة متيماً، أو ظاهري شرعي، كما في العمل بالاستصحاب، أو ظاهري عقلي ، كتكليف الساهي في الصلاة بمعتقده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نزاع في اقتضاء الإجزاء في الأول مطلقاً اتفاقاً، ولا في سائر الأقسام قبل كشف الفساد أو التمكن من المبدل، بل فيها بعد أحدهما</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ثم في كون النزاع في الدلالة اللفظية أم العقلية، أم الأعم، وفي الأمر اللفظي، أو </w:t>
      </w:r>
      <w:r>
        <w:rPr>
          <w:rStyle w:val="FootnoteAnchor"/>
          <w:rtl w:val="true"/>
        </w:rPr>
        <w:footnoteReference w:id="770"/>
      </w:r>
      <w:r>
        <w:rPr>
          <w:rFonts w:ascii="Amiri" w:hAnsi="Amiri" w:eastAsia="Amiri" w:cs="Amiri"/>
          <w:color w:val="111111"/>
          <w:sz w:val="28"/>
          <w:sz w:val="28"/>
          <w:szCs w:val="28"/>
          <w:rtl w:val="true"/>
          <w:lang w:bidi="ar-SA"/>
        </w:rPr>
        <w:t>الأعمّ، وجوه، تظهر من طيّ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يجوز اجتماع كل من القول بالإجزاء وعدمه مع القول بالتكرار والمرة والطبيعة</w:t>
      </w:r>
      <w:r>
        <w:rPr>
          <w:rStyle w:val="FootnoteAnchor"/>
          <w:rtl w:val="true"/>
        </w:rPr>
        <w:footnoteReference w:id="771"/>
      </w:r>
      <w:r>
        <w:rPr>
          <w:rFonts w:ascii="Amiri" w:hAnsi="Amiri" w:eastAsia="Amiri" w:cs="Amiri"/>
          <w:color w:val="111111"/>
          <w:sz w:val="28"/>
          <w:sz w:val="28"/>
          <w:szCs w:val="28"/>
          <w:rtl w:val="true"/>
          <w:lang w:bidi="ar-SA"/>
        </w:rPr>
        <w:t>، كما هو واضح، بل القول بالتكرار يجري حتى في الواقعي الاختياري، بخلاف مسألة الإجزاء</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والنسبة بين هذا النزاع ونزاع تبعية القضاء للأداء عموم من وجه</w:t>
      </w:r>
      <w:r>
        <w:rPr>
          <w:rStyle w:val="FootnoteAnchor"/>
          <w:rtl w:val="true"/>
        </w:rPr>
        <w:footnoteReference w:id="772"/>
      </w:r>
      <w:r>
        <w:rPr>
          <w:rFonts w:ascii="Amiri" w:hAnsi="Amiri" w:eastAsia="Amiri" w:cs="Amiri"/>
          <w:color w:val="111111"/>
          <w:sz w:val="28"/>
          <w:sz w:val="28"/>
          <w:szCs w:val="28"/>
          <w:rtl w:val="true"/>
          <w:lang w:bidi="ar-SA"/>
        </w:rPr>
        <w:t xml:space="preserve">، وفي مادة </w:t>
      </w:r>
    </w:p>
    <w:p>
      <w:pPr>
        <w:pStyle w:val="BookText"/>
        <w:rPr/>
      </w:pPr>
      <w:r>
        <w:rPr>
          <w:rFonts w:ascii="Amiri" w:hAnsi="Amiri" w:eastAsia="Amiri" w:cs="Amiri"/>
          <w:color w:val="111111"/>
          <w:sz w:val="28"/>
          <w:sz w:val="28"/>
          <w:szCs w:val="28"/>
          <w:rtl w:val="true"/>
          <w:lang w:bidi="ar-SA"/>
        </w:rPr>
        <w:t>اجتماع النزاعين يكون النسبة بين القول بكل من الإجزاء وعدمه مع كل من قولي كون القضاء بالفرض الأول أو الجديد عموماً من وجه</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ثم الأصل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اللفظ </w:t>
      </w:r>
      <w:r>
        <w:rPr>
          <w:rStyle w:val="FootnoteAnchor"/>
          <w:rtl w:val="true"/>
        </w:rPr>
        <w:footnoteReference w:id="774"/>
      </w:r>
      <w:r>
        <w:rPr>
          <w:rFonts w:ascii="IRNazanin" w:hAnsi="IRNazanin" w:eastAsia="IRNazanin"/>
          <w:color w:val="111111"/>
          <w:sz w:val="28"/>
          <w:sz w:val="28"/>
          <w:szCs w:val="28"/>
          <w:rtl w:val="true"/>
          <w:lang w:bidi="fa-IR"/>
        </w:rPr>
        <w:t>و</w:t>
      </w:r>
      <w:r>
        <w:rPr>
          <w:rStyle w:val="FootnoteAnchor"/>
          <w:rtl w:val="true"/>
        </w:rPr>
        <w:footnoteReference w:id="775"/>
      </w:r>
      <w:r>
        <w:rPr>
          <w:rFonts w:ascii="IRNazanin" w:hAnsi="IRNazanin" w:eastAsia="IRNazanin"/>
          <w:color w:val="111111"/>
          <w:sz w:val="28"/>
          <w:sz w:val="28"/>
          <w:szCs w:val="28"/>
          <w:rtl w:val="true"/>
          <w:lang w:bidi="fa-IR"/>
        </w:rPr>
        <w:t>العمل</w:t>
      </w:r>
      <w:r>
        <w:rPr>
          <w:rStyle w:val="FootnoteAnchor"/>
          <w:rtl w:val="true"/>
        </w:rPr>
        <w:footnoteReference w:id="776"/>
      </w:r>
      <w:r>
        <w:rPr>
          <w:rFonts w:ascii="IRNazanin" w:hAnsi="IRNazanin" w:eastAsia="IRNazanin"/>
          <w:color w:val="111111"/>
          <w:sz w:val="28"/>
          <w:sz w:val="28"/>
          <w:szCs w:val="28"/>
          <w:rtl w:val="true"/>
          <w:lang w:bidi="fa-IR"/>
        </w:rPr>
        <w:t>واضح لمن تدبر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الحق في المسألة</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ففي الواقعي الاضطراري هو الإجزاء؛ للأصل، وبناء العقلاء، ء، وفهم العرف، وكذا الظاهري الشرعي للاخيرين، دون</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الظاهري العقلي للأصل، وبناء العقلاء</w:t>
      </w:r>
      <w:r>
        <w:rPr>
          <w:rFonts w:eastAsia="Amiri" w:cs="Amiri" w:ascii="Amiri" w:hAnsi="Amiri"/>
          <w:color w:val="111111"/>
          <w:sz w:val="28"/>
          <w:szCs w:val="28"/>
          <w:rtl w:val="true"/>
          <w:lang w:bidi="ar-SA"/>
        </w:rPr>
        <w:t xml:space="preserve">. </w:t>
      </w:r>
      <w:bookmarkStart w:id="302" w:name="pg9015_97527"/>
    </w:p>
    <w:p>
      <w:pPr>
        <w:pStyle w:val="Heading2"/>
        <w:numPr>
          <w:ilvl w:val="1"/>
          <w:numId w:val="1"/>
        </w:numPr>
        <w:rPr/>
      </w:pPr>
      <w:bookmarkStart w:id="303" w:name="__RefHeading___Toc2001533_2870459653"/>
      <w:bookmarkStart w:id="304" w:name="_Toc116"/>
      <w:bookmarkEnd w:id="302"/>
      <w:bookmarkEnd w:id="303"/>
      <w:r>
        <w:rPr>
          <w:rtl w:val="true"/>
        </w:rPr>
        <w:t>أصل</w:t>
      </w:r>
      <w:r>
        <w:rPr>
          <w:rtl w:val="true"/>
        </w:rPr>
        <w:t>[</w:t>
      </w:r>
      <w:r>
        <w:rPr>
          <w:rtl w:val="true"/>
        </w:rPr>
        <w:t>باب النواهي</w:t>
      </w:r>
      <w:r>
        <w:rPr>
          <w:rtl w:val="true"/>
        </w:rPr>
        <w:t>]</w:t>
      </w:r>
      <w:bookmarkEnd w:id="304"/>
    </w:p>
    <w:p>
      <w:pPr>
        <w:pStyle w:val="BookText"/>
        <w:rPr/>
      </w:pPr>
      <w:r>
        <w:rPr>
          <w:rFonts w:ascii="Amiri" w:hAnsi="Amiri" w:eastAsia="Amiri" w:cs="Amiri"/>
          <w:color w:val="111111"/>
          <w:sz w:val="28"/>
          <w:sz w:val="28"/>
          <w:szCs w:val="28"/>
          <w:rtl w:val="true"/>
          <w:lang w:bidi="ar-SA"/>
        </w:rPr>
        <w:t>لا ريب أن</w:t>
      </w:r>
      <w:r>
        <w:rPr>
          <w:rStyle w:val="FootnoteAnchor"/>
          <w:rtl w:val="true"/>
        </w:rPr>
        <w:footnoteReference w:id="779"/>
      </w:r>
      <w:r>
        <w:rPr>
          <w:rFonts w:ascii="Amiri" w:hAnsi="Amiri" w:eastAsia="Amiri" w:cs="Amiri"/>
          <w:color w:val="111111"/>
          <w:sz w:val="28"/>
          <w:sz w:val="28"/>
          <w:szCs w:val="28"/>
          <w:rtl w:val="true"/>
          <w:lang w:bidi="ar-SA"/>
        </w:rPr>
        <w:t>النهي حقيقة في الحرمة</w:t>
      </w:r>
      <w:r>
        <w:rPr>
          <w:rStyle w:val="FootnoteAnchor"/>
          <w:rtl w:val="true"/>
        </w:rPr>
        <w:footnoteReference w:id="780"/>
      </w:r>
      <w:r>
        <w:rPr>
          <w:rFonts w:ascii="Amiri" w:hAnsi="Amiri" w:eastAsia="Amiri" w:cs="Amiri"/>
          <w:color w:val="111111"/>
          <w:sz w:val="28"/>
          <w:sz w:val="28"/>
          <w:szCs w:val="28"/>
          <w:rtl w:val="true"/>
          <w:lang w:bidi="ar-SA"/>
        </w:rPr>
        <w:t>للتبادر ، كما أن الأمر حقيقة في الوجوب</w:t>
      </w:r>
      <w:r>
        <w:rPr>
          <w:rFonts w:eastAsia="Amiri" w:cs="Amiri" w:ascii="Amiri" w:hAnsi="Amiri"/>
          <w:color w:val="111111"/>
          <w:sz w:val="28"/>
          <w:szCs w:val="28"/>
          <w:rtl w:val="true"/>
          <w:lang w:bidi="ar-SA"/>
        </w:rPr>
        <w:t>.</w:t>
      </w:r>
      <w:r>
        <w:rPr>
          <w:rStyle w:val="FootnoteAnchor"/>
          <w:rtl w:val="true"/>
        </w:rPr>
        <w:footnoteReference w:id="781"/>
      </w:r>
    </w:p>
    <w:p>
      <w:pPr>
        <w:pStyle w:val="Heading2"/>
        <w:numPr>
          <w:ilvl w:val="1"/>
          <w:numId w:val="1"/>
        </w:numPr>
        <w:rPr/>
      </w:pPr>
      <w:bookmarkStart w:id="305" w:name="__RefHeading___Toc2001535_2870459653"/>
      <w:bookmarkStart w:id="306" w:name="_Toc117"/>
      <w:bookmarkEnd w:id="305"/>
      <w:r>
        <w:rPr>
          <w:rtl w:val="true"/>
        </w:rPr>
        <w:t>أصل</w:t>
      </w:r>
      <w:r>
        <w:rPr>
          <w:rtl w:val="true"/>
        </w:rPr>
        <w:t>[</w:t>
      </w:r>
      <w:r>
        <w:rPr>
          <w:rtl w:val="true"/>
        </w:rPr>
        <w:t>في اجتماع الأمر والنهي</w:t>
      </w:r>
      <w:r>
        <w:rPr>
          <w:rtl w:val="true"/>
        </w:rPr>
        <w:t>]</w:t>
      </w:r>
      <w:bookmarkEnd w:id="306"/>
    </w:p>
    <w:p>
      <w:pPr>
        <w:pStyle w:val="Heading3"/>
        <w:numPr>
          <w:ilvl w:val="2"/>
          <w:numId w:val="1"/>
        </w:numPr>
        <w:rPr/>
      </w:pPr>
      <w:bookmarkStart w:id="307" w:name="__RefHeading___Toc2001537_2870459653"/>
      <w:bookmarkStart w:id="308" w:name="_Toc118"/>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 xml:space="preserve">والمشهور عدم جواز اجتماعها </w:t>
      </w:r>
      <w:r>
        <w:rPr>
          <w:rStyle w:val="FootnoteAnchor"/>
          <w:rtl w:val="true"/>
        </w:rPr>
        <w:footnoteReference w:id="782"/>
      </w:r>
      <w:r>
        <w:rPr>
          <w:rFonts w:ascii="Amiri" w:hAnsi="Amiri" w:eastAsia="Amiri" w:cs="Amiri"/>
          <w:color w:val="111111"/>
          <w:sz w:val="28"/>
          <w:sz w:val="28"/>
          <w:szCs w:val="28"/>
          <w:rtl w:val="true"/>
          <w:lang w:bidi="ar-SA"/>
        </w:rPr>
        <w:t>، وقيل بالجواز</w:t>
      </w:r>
      <w:r>
        <w:rPr>
          <w:rFonts w:eastAsia="Amiri" w:cs="Amiri" w:ascii="Amiri" w:hAnsi="Amiri"/>
          <w:color w:val="111111"/>
          <w:sz w:val="28"/>
          <w:szCs w:val="28"/>
          <w:rtl w:val="true"/>
          <w:lang w:bidi="ar-SA"/>
        </w:rPr>
        <w:t>.</w:t>
      </w:r>
      <w:r>
        <w:rPr>
          <w:rStyle w:val="FootnoteAnchor"/>
          <w:rtl w:val="true"/>
        </w:rPr>
        <w:footnoteReference w:id="783"/>
      </w:r>
    </w:p>
    <w:p>
      <w:pPr>
        <w:pStyle w:val="Heading3"/>
        <w:numPr>
          <w:ilvl w:val="2"/>
          <w:numId w:val="1"/>
        </w:numPr>
        <w:rPr/>
      </w:pPr>
      <w:bookmarkStart w:id="309" w:name="__RefHeading___Toc2001539_2870459653"/>
      <w:bookmarkStart w:id="310" w:name="_Toc119"/>
      <w:bookmarkEnd w:id="309"/>
      <w:r>
        <w:rPr>
          <w:rtl w:val="true"/>
        </w:rPr>
        <w:t>[</w:t>
      </w:r>
      <w:r>
        <w:rPr>
          <w:rtl w:val="true"/>
        </w:rPr>
        <w:t>تحرير محل النزاع</w:t>
      </w:r>
      <w:r>
        <w:rPr>
          <w:rtl w:val="true"/>
        </w:rPr>
        <w:t>]</w:t>
      </w:r>
      <w:bookmarkEnd w:id="310"/>
    </w:p>
    <w:p>
      <w:pPr>
        <w:pStyle w:val="BookText"/>
        <w:rPr/>
      </w:pPr>
      <w:r>
        <w:rPr>
          <w:rFonts w:ascii="Amiri" w:hAnsi="Amiri" w:eastAsia="Amiri" w:cs="Amiri"/>
          <w:color w:val="111111"/>
          <w:sz w:val="28"/>
          <w:sz w:val="28"/>
          <w:szCs w:val="28"/>
          <w:rtl w:val="true"/>
          <w:lang w:bidi="ar-SA"/>
        </w:rPr>
        <w:t>وتنقيح البحث برسم مطالب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Style w:val="FootnoteAnchor"/>
          <w:rtl w:val="true"/>
        </w:rPr>
        <w:footnoteReference w:id="784"/>
      </w:r>
      <w:r>
        <w:rPr>
          <w:rFonts w:ascii="IRNazanin" w:hAnsi="IRNazanin" w:eastAsia="IRNazanin"/>
          <w:color w:val="111111"/>
          <w:sz w:val="28"/>
          <w:sz w:val="28"/>
          <w:szCs w:val="28"/>
          <w:rtl w:val="true"/>
          <w:lang w:bidi="fa-IR"/>
        </w:rPr>
        <w:t xml:space="preserve">الأمر </w:t>
      </w:r>
      <w:r>
        <w:rPr>
          <w:rStyle w:val="FootnoteAnchor"/>
          <w:rtl w:val="true"/>
        </w:rPr>
        <w:footnoteReference w:id="785"/>
      </w:r>
      <w:r>
        <w:rPr>
          <w:rFonts w:ascii="Amiri" w:hAnsi="Amiri" w:eastAsia="Amiri" w:cs="Amiri"/>
          <w:color w:val="111111"/>
          <w:sz w:val="28"/>
          <w:sz w:val="28"/>
          <w:szCs w:val="28"/>
          <w:rtl w:val="true"/>
          <w:lang w:bidi="ar-SA"/>
        </w:rPr>
        <w:t xml:space="preserve">والنهي إن اتحدا جنساً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أعم من النوع والصنف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اجتماعهما، وخلاف البعض لا عبرة به </w:t>
      </w:r>
      <w:r>
        <w:rPr>
          <w:rStyle w:val="FootnoteAnchor"/>
          <w:rtl w:val="true"/>
        </w:rPr>
        <w:footnoteReference w:id="786"/>
      </w:r>
      <w:r>
        <w:rPr>
          <w:rFonts w:ascii="Amiri" w:hAnsi="Amiri" w:eastAsia="Amiri" w:cs="Amiri"/>
          <w:color w:val="111111"/>
          <w:sz w:val="28"/>
          <w:sz w:val="28"/>
          <w:szCs w:val="28"/>
          <w:rtl w:val="true"/>
          <w:lang w:bidi="ar-SA"/>
        </w:rPr>
        <w:t xml:space="preserve">، أو شخصاً وجهة لم يجز اتفاقاً </w:t>
      </w:r>
      <w:r>
        <w:rPr>
          <w:rStyle w:val="FootnoteAnchor"/>
          <w:rtl w:val="true"/>
        </w:rPr>
        <w:footnoteReference w:id="787"/>
      </w:r>
      <w:r>
        <w:rPr>
          <w:rFonts w:ascii="Amiri" w:hAnsi="Amiri" w:eastAsia="Amiri" w:cs="Amiri"/>
          <w:color w:val="111111"/>
          <w:sz w:val="28"/>
          <w:sz w:val="28"/>
          <w:szCs w:val="28"/>
          <w:rtl w:val="true"/>
          <w:lang w:bidi="ar-SA"/>
        </w:rPr>
        <w:t xml:space="preserve">، ونقل الخلاف فيه مزيف </w:t>
      </w:r>
      <w:r>
        <w:rPr>
          <w:rStyle w:val="FootnoteAnchor"/>
          <w:rtl w:val="true"/>
        </w:rPr>
        <w:footnoteReference w:id="788"/>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شخصاً لا جهة فإن كانت الجهتان متساويتين لم يجز؛ لعدم إمكان الامتثال بالخطابين معاً </w:t>
      </w:r>
      <w:r>
        <w:rPr>
          <w:rStyle w:val="FootnoteAnchor"/>
          <w:rtl w:val="true"/>
        </w:rPr>
        <w:footnoteReference w:id="789"/>
      </w:r>
      <w:r>
        <w:rPr>
          <w:rFonts w:ascii="Amiri" w:hAnsi="Amiri" w:eastAsia="Amiri" w:cs="Amiri"/>
          <w:color w:val="111111"/>
          <w:sz w:val="28"/>
          <w:sz w:val="28"/>
          <w:szCs w:val="28"/>
          <w:rtl w:val="true"/>
          <w:lang w:bidi="ar-SA"/>
        </w:rPr>
        <w:t>، أو متباينتين تبايناً جزئياً فهو محل النزاع، أو متعلق الأمر أعمّ مطلقاً</w:t>
      </w:r>
      <w:r>
        <w:rPr>
          <w:rStyle w:val="FootnoteAnchor"/>
          <w:rtl w:val="true"/>
        </w:rPr>
        <w:footnoteReference w:id="790"/>
      </w:r>
      <w:r>
        <w:rPr>
          <w:rFonts w:ascii="Amiri" w:hAnsi="Amiri" w:eastAsia="Amiri" w:cs="Amiri"/>
          <w:color w:val="111111"/>
          <w:sz w:val="28"/>
          <w:sz w:val="28"/>
          <w:szCs w:val="28"/>
          <w:rtl w:val="true"/>
          <w:lang w:bidi="ar-SA"/>
        </w:rPr>
        <w:t>، فكذلك في احتمال سيجيء، أو العكس</w:t>
      </w:r>
      <w:r>
        <w:rPr>
          <w:rStyle w:val="FootnoteAnchor"/>
          <w:rtl w:val="true"/>
        </w:rPr>
        <w:footnoteReference w:id="791"/>
      </w:r>
      <w:r>
        <w:rPr>
          <w:rFonts w:ascii="Amiri" w:hAnsi="Amiri" w:eastAsia="Amiri" w:cs="Amiri"/>
          <w:color w:val="111111"/>
          <w:sz w:val="28"/>
          <w:sz w:val="28"/>
          <w:szCs w:val="28"/>
          <w:rtl w:val="true"/>
          <w:lang w:bidi="ar-SA"/>
        </w:rPr>
        <w:t>لم يجز؛ لرجوع النهي إلى الاستغراق الأفرادي، فيلزم التكليف بالمحال، فلا يجوز بالوفاق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المكلّف بين نفس الأمر والنهي</w:t>
      </w:r>
      <w:r>
        <w:rPr>
          <w:rStyle w:val="FootnoteAnchor"/>
          <w:rtl w:val="true"/>
        </w:rPr>
        <w:footnoteReference w:id="792"/>
      </w:r>
      <w:r>
        <w:rPr>
          <w:rFonts w:ascii="Amiri" w:hAnsi="Amiri" w:eastAsia="Amiri" w:cs="Amiri"/>
          <w:color w:val="111111"/>
          <w:sz w:val="28"/>
          <w:sz w:val="28"/>
          <w:szCs w:val="28"/>
          <w:rtl w:val="true"/>
          <w:lang w:bidi="ar-SA"/>
        </w:rPr>
        <w:t>بسوء اختياره، كما لو دخل المكان المغصوب، فكلف بالخروج وعدمه، فهو خارج عن هذا النزاع، مبتن على مسألة أن الامتناع بالاختيار ينافي الاختيار أم لا؟ وسيجيء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فمحل </w:t>
      </w:r>
      <w:r>
        <w:rPr>
          <w:rStyle w:val="FootnoteAnchor"/>
          <w:rtl w:val="true"/>
        </w:rPr>
        <w:footnoteReference w:id="793"/>
      </w:r>
      <w:r>
        <w:rPr>
          <w:rFonts w:ascii="Amiri" w:hAnsi="Amiri" w:eastAsia="Amiri" w:cs="Amiri"/>
          <w:color w:val="111111"/>
          <w:sz w:val="28"/>
          <w:sz w:val="28"/>
          <w:szCs w:val="28"/>
          <w:rtl w:val="true"/>
          <w:lang w:bidi="ar-SA"/>
        </w:rPr>
        <w:t>النزاع ما جمع المكلف فيه بين المأمور به والمنهي عنه، أو بين نفس الأمر والنهي، وكان سبب الجمع هو الآمر بنحو يتمكن المكلف</w:t>
      </w:r>
      <w:r>
        <w:rPr>
          <w:rStyle w:val="FootnoteAnchor"/>
          <w:rtl w:val="true"/>
        </w:rPr>
        <w:footnoteReference w:id="794"/>
      </w:r>
      <w:r>
        <w:rPr>
          <w:rFonts w:ascii="Amiri" w:hAnsi="Amiri" w:eastAsia="Amiri" w:cs="Amiri"/>
          <w:color w:val="111111"/>
          <w:sz w:val="28"/>
          <w:sz w:val="28"/>
          <w:szCs w:val="28"/>
          <w:rtl w:val="true"/>
          <w:lang w:bidi="ar-SA"/>
        </w:rPr>
        <w:t xml:space="preserve">من الامتثال بالخطابين لكن في </w:t>
      </w:r>
      <w:r>
        <w:rPr>
          <w:rStyle w:val="FootnoteAnchor"/>
          <w:rtl w:val="true"/>
        </w:rPr>
        <w:footnoteReference w:id="795"/>
      </w:r>
      <w:r>
        <w:rPr>
          <w:rFonts w:ascii="Amiri" w:hAnsi="Amiri" w:eastAsia="Amiri" w:cs="Amiri"/>
          <w:color w:val="111111"/>
          <w:sz w:val="28"/>
          <w:sz w:val="28"/>
          <w:szCs w:val="28"/>
          <w:rtl w:val="true"/>
          <w:lang w:bidi="ar-SA"/>
        </w:rPr>
        <w:t xml:space="preserve">كون النزاع صغروياً، أم كبروياً، أم </w:t>
      </w:r>
      <w:r>
        <w:rPr>
          <w:rStyle w:val="FootnoteAnchor"/>
          <w:rtl w:val="true"/>
        </w:rPr>
        <w:footnoteReference w:id="796"/>
      </w:r>
      <w:r>
        <w:rPr>
          <w:rFonts w:ascii="Amiri" w:hAnsi="Amiri" w:eastAsia="Amiri" w:cs="Amiri"/>
          <w:color w:val="111111"/>
          <w:sz w:val="28"/>
          <w:sz w:val="28"/>
          <w:szCs w:val="28"/>
          <w:rtl w:val="true"/>
          <w:lang w:bidi="ar-SA"/>
        </w:rPr>
        <w:t>فيهما وجوه</w:t>
      </w:r>
      <w:r>
        <w:rPr>
          <w:rFonts w:eastAsia="Amiri" w:cs="Amiri" w:ascii="Amiri" w:hAnsi="Amiri"/>
          <w:color w:val="111111"/>
          <w:sz w:val="28"/>
          <w:szCs w:val="28"/>
          <w:rtl w:val="true"/>
          <w:lang w:bidi="ar-SA"/>
        </w:rPr>
        <w:t>.</w:t>
      </w:r>
      <w:r>
        <w:rPr>
          <w:rStyle w:val="FootnoteAnchor"/>
          <w:rtl w:val="true"/>
        </w:rPr>
        <w:footnoteReference w:id="79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اما تعبدي، أو توصلي، أو فيه الجهتان مرتبطتان</w:t>
      </w:r>
      <w:r>
        <w:rPr>
          <w:rStyle w:val="FootnoteAnchor"/>
          <w:rtl w:val="true"/>
        </w:rPr>
        <w:footnoteReference w:id="798"/>
      </w:r>
      <w:r>
        <w:rPr>
          <w:rFonts w:ascii="IRNazanin" w:hAnsi="IRNazanin" w:eastAsia="IRNazanin"/>
          <w:color w:val="111111"/>
          <w:sz w:val="28"/>
          <w:sz w:val="28"/>
          <w:szCs w:val="28"/>
          <w:rtl w:val="true"/>
          <w:lang w:bidi="fa-IR"/>
        </w:rPr>
        <w:t xml:space="preserve">، أم مستقلتان </w:t>
      </w:r>
      <w:r>
        <w:rPr>
          <w:rStyle w:val="FootnoteAnchor"/>
          <w:rtl w:val="true"/>
        </w:rPr>
        <w:footnoteReference w:id="799"/>
      </w:r>
      <w:r>
        <w:rPr>
          <w:rFonts w:ascii="Amiri" w:hAnsi="Amiri" w:eastAsia="Amiri" w:cs="Amiri"/>
          <w:color w:val="111111"/>
          <w:sz w:val="28"/>
          <w:sz w:val="28"/>
          <w:szCs w:val="28"/>
          <w:rtl w:val="true"/>
          <w:lang w:bidi="ar-SA"/>
        </w:rPr>
        <w:t xml:space="preserve">، ومحل النزاع يعمّ الكل؛ إذ الكلام في جهة حصول الامتثال، لا سقوط </w:t>
      </w:r>
    </w:p>
    <w:p>
      <w:pPr>
        <w:pStyle w:val="BookText"/>
        <w:rPr/>
      </w:pPr>
      <w:r>
        <w:rPr>
          <w:rFonts w:ascii="Amiri" w:hAnsi="Amiri" w:eastAsia="Amiri" w:cs="Amiri"/>
          <w:color w:val="111111"/>
          <w:sz w:val="28"/>
          <w:sz w:val="28"/>
          <w:szCs w:val="28"/>
          <w:rtl w:val="true"/>
          <w:lang w:bidi="ar-SA"/>
        </w:rPr>
        <w:t xml:space="preserve">الأمر، ويشهد به تمثيلهم بالخياطة، وقول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يعد مطيعاً وعاصياً لجهتي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والنهي</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إمّا إيجابي أو ندبي، والنهي إما تحريمي أو تنزيهي، وكلّ من الأربعة إمّا عينيّ أو تخييري؛ ثم الأمر إمّا نفسي أو مقدمي شرعي أو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ثمانية وأربعون ، لا يدخل</w:t>
      </w:r>
      <w:r>
        <w:rPr>
          <w:rStyle w:val="FootnoteAnchor"/>
          <w:rtl w:val="true"/>
        </w:rPr>
        <w:footnoteReference w:id="801"/>
      </w:r>
      <w:r>
        <w:rPr>
          <w:rFonts w:ascii="Amiri" w:hAnsi="Amiri" w:eastAsia="Amiri" w:cs="Amiri"/>
          <w:color w:val="111111"/>
          <w:sz w:val="28"/>
          <w:sz w:val="28"/>
          <w:szCs w:val="28"/>
          <w:rtl w:val="true"/>
          <w:lang w:bidi="ar-SA"/>
        </w:rPr>
        <w:t>في محلّ هذا النزاع الاستة منها في الجملة، وهي مضروب الأمر النفسي والمقدّمي شرعياً و</w:t>
      </w:r>
      <w:r>
        <w:rPr>
          <w:rStyle w:val="FootnoteAnchor"/>
          <w:rtl w:val="true"/>
        </w:rPr>
        <w:footnoteReference w:id="802"/>
      </w:r>
      <w:r>
        <w:rPr>
          <w:rFonts w:ascii="Amiri" w:hAnsi="Amiri" w:eastAsia="Amiri" w:cs="Amiri"/>
          <w:color w:val="111111"/>
          <w:sz w:val="28"/>
          <w:sz w:val="28"/>
          <w:szCs w:val="28"/>
          <w:rtl w:val="true"/>
          <w:lang w:bidi="ar-SA"/>
        </w:rPr>
        <w:t>عقلياً في الإلزاميين العينيين</w:t>
      </w:r>
      <w:r>
        <w:rPr>
          <w:rStyle w:val="FootnoteAnchor"/>
          <w:rtl w:val="true"/>
        </w:rPr>
        <w:footnoteReference w:id="803"/>
      </w:r>
      <w:r>
        <w:rPr>
          <w:rFonts w:ascii="Amiri" w:hAnsi="Amiri" w:eastAsia="Amiri" w:cs="Amiri"/>
          <w:color w:val="111111"/>
          <w:sz w:val="28"/>
          <w:sz w:val="28"/>
          <w:szCs w:val="28"/>
          <w:rtl w:val="true"/>
          <w:lang w:bidi="ar-SA"/>
        </w:rPr>
        <w:t>، وكون الأمر تخييرياً والنهي عينيّاً</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إما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مقوّم </w:t>
      </w:r>
      <w:r>
        <w:rPr>
          <w:rStyle w:val="FootnoteAnchor"/>
          <w:rtl w:val="true"/>
        </w:rPr>
        <w:footnoteReference w:id="805"/>
      </w:r>
      <w:r>
        <w:rPr>
          <w:rFonts w:ascii="Amiri" w:hAnsi="Amiri" w:eastAsia="Amiri" w:cs="Amiri"/>
          <w:color w:val="111111"/>
          <w:sz w:val="28"/>
          <w:sz w:val="28"/>
          <w:szCs w:val="28"/>
          <w:rtl w:val="true"/>
          <w:lang w:bidi="ar-SA"/>
        </w:rPr>
        <w:t xml:space="preserve">للماهية، أو للشخص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مفارق</w:t>
      </w:r>
      <w:r>
        <w:rPr>
          <w:rStyle w:val="FootnoteAnchor"/>
          <w:rtl w:val="true"/>
        </w:rPr>
        <w:footnoteReference w:id="806"/>
      </w:r>
      <w:r>
        <w:rPr>
          <w:rFonts w:ascii="Amiri" w:hAnsi="Amiri" w:eastAsia="Amiri" w:cs="Amiri"/>
          <w:color w:val="111111"/>
          <w:sz w:val="28"/>
          <w:sz w:val="28"/>
          <w:szCs w:val="28"/>
          <w:rtl w:val="true"/>
          <w:lang w:bidi="ar-SA"/>
        </w:rPr>
        <w:t xml:space="preserve">، ودخول الأخير في محل النزاع معلوم من تمثيلهم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ولا تغصب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الأوّلين وجهان، أظهر هما عندي </w:t>
      </w:r>
      <w:r>
        <w:rPr>
          <w:rStyle w:val="FootnoteAnchor"/>
          <w:rtl w:val="true"/>
        </w:rPr>
        <w:footnoteReference w:id="807"/>
      </w:r>
      <w:r>
        <w:rPr>
          <w:rFonts w:ascii="Amiri" w:hAnsi="Amiri" w:eastAsia="Amiri" w:cs="Amiri"/>
          <w:color w:val="111111"/>
          <w:sz w:val="28"/>
          <w:sz w:val="28"/>
          <w:szCs w:val="28"/>
          <w:rtl w:val="true"/>
          <w:lang w:bidi="ar-SA"/>
        </w:rPr>
        <w:t>دخولهما في النزاع؛ لعموم العنوان، بل الدليل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النزاع هنا في الدلالة العقلية</w:t>
      </w:r>
      <w:r>
        <w:rPr>
          <w:rStyle w:val="FootnoteAnchor"/>
          <w:rtl w:val="true"/>
        </w:rPr>
        <w:footnoteReference w:id="808"/>
      </w:r>
      <w:r>
        <w:rPr>
          <w:rFonts w:ascii="Amiri" w:hAnsi="Amiri" w:eastAsia="Amiri" w:cs="Amiri"/>
          <w:color w:val="111111"/>
          <w:sz w:val="28"/>
          <w:sz w:val="28"/>
          <w:szCs w:val="28"/>
          <w:rtl w:val="true"/>
          <w:lang w:bidi="ar-SA"/>
        </w:rPr>
        <w:t>، وفي المسألة الآتية</w:t>
      </w:r>
      <w:r>
        <w:rPr>
          <w:rStyle w:val="FootnoteAnchor"/>
          <w:rtl w:val="true"/>
        </w:rPr>
        <w:footnoteReference w:id="809"/>
      </w:r>
      <w:r>
        <w:rPr>
          <w:rFonts w:ascii="Amiri" w:hAnsi="Amiri" w:eastAsia="Amiri" w:cs="Amiri"/>
          <w:color w:val="111111"/>
          <w:sz w:val="28"/>
          <w:sz w:val="28"/>
          <w:szCs w:val="28"/>
          <w:rtl w:val="true"/>
          <w:lang w:bidi="ar-SA"/>
        </w:rPr>
        <w:t>في الدلالة اللفظية، والمراد من الجواز نفي الامتناع الذاتي، أو</w:t>
      </w:r>
      <w:r>
        <w:rPr>
          <w:rStyle w:val="FootnoteAnchor"/>
          <w:rtl w:val="true"/>
        </w:rPr>
        <w:footnoteReference w:id="810"/>
      </w:r>
      <w:r>
        <w:rPr>
          <w:rFonts w:ascii="Amiri" w:hAnsi="Amiri" w:eastAsia="Amiri" w:cs="Amiri"/>
          <w:color w:val="111111"/>
          <w:sz w:val="28"/>
          <w:sz w:val="28"/>
          <w:szCs w:val="28"/>
          <w:rtl w:val="true"/>
          <w:lang w:bidi="ar-SA"/>
        </w:rPr>
        <w:t xml:space="preserve">القبح العقلي، لا الإطلاقات </w:t>
      </w:r>
    </w:p>
    <w:p>
      <w:pPr>
        <w:pStyle w:val="BookText"/>
        <w:rPr/>
      </w:pPr>
      <w:r>
        <w:rPr>
          <w:rFonts w:ascii="IRNazanin" w:hAnsi="IRNazanin" w:eastAsia="IRNazanin"/>
          <w:color w:val="111111"/>
          <w:sz w:val="28"/>
          <w:sz w:val="28"/>
          <w:szCs w:val="28"/>
          <w:rtl w:val="true"/>
          <w:lang w:bidi="fa-IR"/>
        </w:rPr>
        <w:t>الأخر</w:t>
      </w:r>
      <w:r>
        <w:rPr>
          <w:rStyle w:val="FootnoteAnchor"/>
          <w:rtl w:val="true"/>
        </w:rPr>
        <w:footnoteReference w:id="811"/>
      </w:r>
      <w:r>
        <w:rPr>
          <w:rFonts w:ascii="Amiri" w:hAnsi="Amiri" w:eastAsia="Amiri" w:cs="Amiri"/>
          <w:color w:val="111111"/>
          <w:sz w:val="28"/>
          <w:sz w:val="28"/>
          <w:szCs w:val="28"/>
          <w:rtl w:val="true"/>
          <w:lang w:bidi="ar-SA"/>
        </w:rPr>
        <w:t xml:space="preserve">، كما هو </w:t>
      </w:r>
      <w:r>
        <w:rPr>
          <w:rStyle w:val="FootnoteAnchor"/>
          <w:rtl w:val="true"/>
        </w:rPr>
        <w:footnoteReference w:id="812"/>
      </w:r>
      <w:r>
        <w:rPr>
          <w:rFonts w:ascii="IRNazanin" w:hAnsi="IRNazanin" w:eastAsia="IRNazanin"/>
          <w:color w:val="111111"/>
          <w:sz w:val="28"/>
          <w:sz w:val="28"/>
          <w:szCs w:val="28"/>
          <w:rtl w:val="true"/>
          <w:lang w:bidi="fa-IR"/>
        </w:rPr>
        <w:t>واضح لمن 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المجوّز عقلاً صحة العبادة في ضمن الفرد المحرّم مع الإثم ولازم المانع عقلا الفساد مع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القول بفهم</w:t>
      </w:r>
      <w:r>
        <w:rPr>
          <w:rStyle w:val="FootnoteAnchor"/>
          <w:rtl w:val="true"/>
        </w:rPr>
        <w:footnoteReference w:id="814"/>
      </w:r>
      <w:r>
        <w:rPr>
          <w:rFonts w:ascii="Amiri" w:hAnsi="Amiri" w:eastAsia="Amiri" w:cs="Amiri"/>
          <w:color w:val="111111"/>
          <w:sz w:val="28"/>
          <w:sz w:val="28"/>
          <w:szCs w:val="28"/>
          <w:rtl w:val="true"/>
          <w:lang w:bidi="ar-SA"/>
        </w:rPr>
        <w:t>العرف التخصيص</w:t>
      </w:r>
      <w:r>
        <w:rPr>
          <w:rStyle w:val="FootnoteAnchor"/>
          <w:rtl w:val="true"/>
        </w:rPr>
        <w:footnoteReference w:id="815"/>
      </w:r>
      <w:r>
        <w:rPr>
          <w:rFonts w:ascii="Amiri" w:hAnsi="Amiri" w:eastAsia="Amiri" w:cs="Amiri"/>
          <w:color w:val="111111"/>
          <w:sz w:val="28"/>
          <w:sz w:val="28"/>
          <w:szCs w:val="28"/>
          <w:rtl w:val="true"/>
          <w:lang w:bidi="ar-SA"/>
        </w:rPr>
        <w:t>، إلا أن يلاحظ الحيثية</w:t>
      </w:r>
      <w:r>
        <w:rPr>
          <w:rFonts w:eastAsia="Amiri" w:cs="Amiri" w:ascii="Amiri" w:hAnsi="Amiri"/>
          <w:color w:val="111111"/>
          <w:sz w:val="28"/>
          <w:szCs w:val="28"/>
          <w:rtl w:val="true"/>
          <w:lang w:bidi="ar-SA"/>
        </w:rPr>
        <w:t>.</w:t>
      </w:r>
      <w:r>
        <w:rPr>
          <w:rStyle w:val="FootnoteAnchor"/>
          <w:rtl w:val="true"/>
        </w:rPr>
        <w:footnoteReference w:id="81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يتم </w:t>
      </w:r>
      <w:r>
        <w:rPr>
          <w:rStyle w:val="FootnoteAnchor"/>
          <w:rtl w:val="true"/>
        </w:rPr>
        <w:footnoteReference w:id="817"/>
      </w:r>
      <w:r>
        <w:rPr>
          <w:rFonts w:ascii="Amiri" w:hAnsi="Amiri" w:eastAsia="Amiri" w:cs="Amiri"/>
          <w:color w:val="111111"/>
          <w:sz w:val="28"/>
          <w:sz w:val="28"/>
          <w:szCs w:val="28"/>
          <w:rtl w:val="true"/>
          <w:lang w:bidi="ar-SA"/>
        </w:rPr>
        <w:t xml:space="preserve">إذا كان الأمر ظنياً، والنهي قطعياً، وفي الظنيين يرجع إلى المرجحات، وهي قد تكون في جانب الأمر، فأين الفساد المطلق، الا أن يرجح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حينئذ بأصل </w:t>
      </w:r>
      <w:r>
        <w:rPr>
          <w:rStyle w:val="FootnoteAnchor"/>
          <w:rtl w:val="true"/>
        </w:rPr>
        <w:footnoteReference w:id="818"/>
      </w:r>
      <w:r>
        <w:rPr>
          <w:rFonts w:ascii="Amiri" w:hAnsi="Amiri" w:eastAsia="Amiri" w:cs="Amiri"/>
          <w:color w:val="111111"/>
          <w:sz w:val="28"/>
          <w:sz w:val="28"/>
          <w:szCs w:val="28"/>
          <w:rtl w:val="true"/>
          <w:lang w:bidi="ar-SA"/>
        </w:rPr>
        <w:t>الشغل، أو باتفاق المانعين على تقديم النهي</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xml:space="preserve">، أو بتقديم دفع المضرّة على جلب المنفعة، أو بالاستقراء ، أو بأن دلالة النهي أقوى من دلالة الأمر؛ إذ النهي </w:t>
      </w:r>
    </w:p>
    <w:p>
      <w:pPr>
        <w:pStyle w:val="BookText"/>
        <w:rPr/>
      </w:pPr>
      <w:r>
        <w:rPr>
          <w:rFonts w:ascii="IRNazanin" w:hAnsi="IRNazanin" w:eastAsia="IRNazanin"/>
          <w:color w:val="111111"/>
          <w:sz w:val="28"/>
          <w:sz w:val="28"/>
          <w:szCs w:val="28"/>
          <w:rtl w:val="true"/>
          <w:lang w:bidi="fa-IR"/>
        </w:rPr>
        <w:t xml:space="preserve">للاستغراق </w:t>
      </w:r>
      <w:r>
        <w:rPr>
          <w:rStyle w:val="FootnoteAnchor"/>
          <w:rtl w:val="true"/>
        </w:rPr>
        <w:footnoteReference w:id="820"/>
      </w:r>
      <w:r>
        <w:rPr>
          <w:rFonts w:ascii="Amiri" w:hAnsi="Amiri" w:eastAsia="Amiri" w:cs="Amiri"/>
          <w:color w:val="111111"/>
          <w:sz w:val="28"/>
          <w:sz w:val="28"/>
          <w:szCs w:val="28"/>
          <w:rtl w:val="true"/>
          <w:lang w:bidi="ar-SA"/>
        </w:rPr>
        <w:t>بدلالة لفظية، والأمر للطبيعة، وفي أكثر هذه الوجوه نظر</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وأما الثمرة بين القول بالجواز عقلاً لا لفظاً لفهم العرف التخصيص، فتظهر في إمكان فرض القطعتين على مذهبه، دون مذهب المانع عقلاً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منع الجواز عقلاً ولفظ</w:t>
      </w:r>
      <w:r>
        <w:rPr>
          <w:rStyle w:val="FootnoteAnchor"/>
          <w:rtl w:val="true"/>
        </w:rPr>
        <w:footnoteReference w:id="822"/>
      </w:r>
      <w:r>
        <w:rPr>
          <w:rFonts w:ascii="IRNazanin" w:hAnsi="IRNazanin" w:eastAsia="IRNazanin"/>
          <w:color w:val="111111"/>
          <w:sz w:val="28"/>
          <w:sz w:val="28"/>
          <w:szCs w:val="28"/>
          <w:rtl w:val="true"/>
          <w:lang w:bidi="fa-IR"/>
        </w:rPr>
        <w:t xml:space="preserve">، ومنهم من منع لفظاً </w:t>
      </w:r>
      <w:r>
        <w:rPr>
          <w:rStyle w:val="FootnoteAnchor"/>
          <w:rtl w:val="true"/>
        </w:rPr>
        <w:footnoteReference w:id="823"/>
      </w:r>
      <w:r>
        <w:rPr>
          <w:rFonts w:ascii="IRNazanin" w:hAnsi="IRNazanin" w:eastAsia="IRNazanin"/>
          <w:color w:val="111111"/>
          <w:sz w:val="28"/>
          <w:sz w:val="28"/>
          <w:szCs w:val="28"/>
          <w:rtl w:val="true"/>
          <w:lang w:bidi="fa-IR"/>
        </w:rPr>
        <w:t xml:space="preserve">، ومنهم من جوّز الاجتماع عقلاً ولفظ </w:t>
      </w:r>
      <w:r>
        <w:rPr>
          <w:rStyle w:val="FootnoteAnchor"/>
          <w:rtl w:val="true"/>
        </w:rPr>
        <w:footnoteReference w:id="824"/>
      </w:r>
      <w:r>
        <w:rPr>
          <w:rFonts w:ascii="Amiri" w:hAnsi="Amiri" w:eastAsia="Amiri" w:cs="Amiri"/>
          <w:color w:val="111111"/>
          <w:sz w:val="28"/>
          <w:sz w:val="28"/>
          <w:szCs w:val="28"/>
          <w:rtl w:val="true"/>
          <w:lang w:bidi="ar-SA"/>
        </w:rPr>
        <w:t>، والأصل مع المجوّز المطلق من حيث الإمكان العقلي ومن حيث اللفظ ؛ لأصالة عدم التقييد والتخصيص، لا من حيث العمل؛ لأن المانع إن اطّرح الأمر فقد عمل بالشغل، أو النهي فقد عمل بالبراءة، أو هما فقد عمل بهما،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التعارض</w:t>
      </w:r>
      <w:r>
        <w:rPr>
          <w:rStyle w:val="FootnoteAnchor"/>
          <w:rtl w:val="true"/>
        </w:rPr>
        <w:footnoteReference w:id="825"/>
      </w:r>
      <w:r>
        <w:rPr>
          <w:rFonts w:ascii="IRNazanin" w:hAnsi="IRNazanin" w:eastAsia="IRNazanin"/>
          <w:color w:val="111111"/>
          <w:sz w:val="28"/>
          <w:sz w:val="28"/>
          <w:szCs w:val="28"/>
          <w:rtl w:val="true"/>
          <w:lang w:bidi="fa-IR"/>
        </w:rPr>
        <w:t>فالعمل على الأصل</w:t>
      </w:r>
      <w:r>
        <w:rPr>
          <w:rStyle w:val="FootnoteAnchor"/>
          <w:rtl w:val="true"/>
        </w:rPr>
        <w:footnoteReference w:id="826"/>
      </w:r>
      <w:r>
        <w:rPr>
          <w:rFonts w:ascii="Amiri" w:hAnsi="Amiri" w:eastAsia="Amiri" w:cs="Amiri"/>
          <w:color w:val="111111"/>
          <w:sz w:val="28"/>
          <w:sz w:val="28"/>
          <w:szCs w:val="28"/>
          <w:rtl w:val="true"/>
          <w:lang w:bidi="ar-SA"/>
        </w:rPr>
        <w:t>اللفظي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 أنّ الحق الجواز عقلاً في اجتماع المأمور به مع المنهي عنه في العامين من وجه، في الإلزاميين مع متعلقاً بالوصف المفارق،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ولا تغصب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الواجب تعبدياً، أم توصليّاً، أم مركباً بقسميه</w:t>
      </w:r>
      <w:r>
        <w:rPr>
          <w:rStyle w:val="FootnoteAnchor"/>
          <w:rtl w:val="true"/>
        </w:rPr>
        <w:footnoteReference w:id="827"/>
      </w:r>
      <w:r>
        <w:rPr>
          <w:rFonts w:ascii="Amiri" w:hAnsi="Amiri" w:eastAsia="Amiri" w:cs="Amiri"/>
          <w:color w:val="111111"/>
          <w:sz w:val="28"/>
          <w:sz w:val="28"/>
          <w:szCs w:val="28"/>
          <w:rtl w:val="true"/>
          <w:lang w:bidi="ar-SA"/>
        </w:rPr>
        <w:t>لما مرَّ من الأصلين عقلاً ولفظاً، ولأنه لو لم يجز لم يقع نظيره، فإنّ المناط واحد، وقد وقع في الشرع كثيراً، منها مكروه العبادة كالصلاة في الحمام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قيل</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بالكراهة فيها ليس المرجوحية الحقيقية، بل كونها أقل ثواباً</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النهي على هذا المعنى خلاف الظاهر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إن أريد أنّ هذا الفرد أقل ثواباً من الغير مطلقاً من المماثل وغيره، ففيه لزوم عدم الانعكاس</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مضافاً إلى أن إرادة قلّة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النهى بتأويله على الأخبار</w:t>
      </w:r>
      <w:r>
        <w:rPr>
          <w:rStyle w:val="FootnoteAnchor"/>
          <w:rtl w:val="true"/>
        </w:rPr>
        <w:footnoteReference w:id="832"/>
      </w:r>
      <w:r>
        <w:rPr>
          <w:rFonts w:ascii="Amiri" w:hAnsi="Amiri" w:eastAsia="Amiri" w:cs="Amiri"/>
          <w:color w:val="111111"/>
          <w:sz w:val="28"/>
          <w:sz w:val="28"/>
          <w:szCs w:val="28"/>
          <w:rtl w:val="true"/>
          <w:lang w:bidi="ar-SA"/>
        </w:rPr>
        <w:t xml:space="preserve">، فعلى فرض صحة هذا المجاز لغة، هو </w:t>
      </w:r>
      <w:r>
        <w:rPr>
          <w:rStyle w:val="FootnoteAnchor"/>
          <w:rtl w:val="true"/>
        </w:rPr>
        <w:footnoteReference w:id="833"/>
      </w:r>
      <w:r>
        <w:rPr>
          <w:rFonts w:ascii="Amiri" w:hAnsi="Amiri" w:eastAsia="Amiri" w:cs="Amiri"/>
          <w:color w:val="111111"/>
          <w:sz w:val="28"/>
          <w:sz w:val="28"/>
          <w:szCs w:val="28"/>
          <w:rtl w:val="true"/>
          <w:lang w:bidi="ar-SA"/>
        </w:rPr>
        <w:t>مجاز بعيد لا قرينة عليه، وأقرب المجازات موجود، وهو الكراهة المصطلحة</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وإما أن النهي مستعمل في طلب الترك، لكن الداعي لطلب الترك قلة الثواب، فلا ريب أن مجرد قلة الثواب لا يصلح لكونه داعياً على طلب الترك</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5"/>
      </w:r>
      <w:r>
        <w:rPr>
          <w:rFonts w:ascii="Amiri" w:hAnsi="Amiri" w:eastAsia="Amiri" w:cs="Amiri"/>
          <w:color w:val="111111"/>
          <w:sz w:val="28"/>
          <w:sz w:val="28"/>
          <w:szCs w:val="28"/>
          <w:rtl w:val="true"/>
          <w:lang w:bidi="ar-SA"/>
        </w:rPr>
        <w:t>، فربّ شي هو قليل الثواب لم ينه الشارع عنه، بل سبب النهي وجود المفسدة في المنهي عنه ولو بحسبه، وإلى</w:t>
      </w:r>
      <w:r>
        <w:rPr>
          <w:rStyle w:val="FootnoteAnchor"/>
          <w:rtl w:val="true"/>
        </w:rPr>
        <w:footnoteReference w:id="836"/>
      </w:r>
      <w:r>
        <w:rPr>
          <w:rFonts w:ascii="Amiri" w:hAnsi="Amiri" w:eastAsia="Amiri" w:cs="Amiri"/>
          <w:color w:val="111111"/>
          <w:sz w:val="28"/>
          <w:sz w:val="28"/>
          <w:szCs w:val="28"/>
          <w:rtl w:val="true"/>
          <w:lang w:bidi="ar-SA"/>
        </w:rPr>
        <w:t>أن هذا لا يتم فيما لا بدل له مطلقاً، أو في خصوص العبادة 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أنه أقل ثواباً من الغير في الجملة</w:t>
      </w:r>
      <w:r>
        <w:rPr>
          <w:rStyle w:val="FootnoteAnchor"/>
          <w:rtl w:val="true"/>
        </w:rPr>
        <w:footnoteReference w:id="837"/>
      </w:r>
      <w:r>
        <w:rPr>
          <w:rFonts w:ascii="Amiri" w:hAnsi="Amiri" w:eastAsia="Amiri" w:cs="Amiri"/>
          <w:color w:val="111111"/>
          <w:sz w:val="28"/>
          <w:sz w:val="28"/>
          <w:szCs w:val="28"/>
          <w:rtl w:val="true"/>
          <w:lang w:bidi="ar-SA"/>
        </w:rPr>
        <w:t xml:space="preserve">، ففيه عدم الاطراد، مضافاً إلى </w:t>
      </w:r>
    </w:p>
    <w:p>
      <w:pPr>
        <w:pStyle w:val="BookText"/>
        <w:rPr/>
      </w:pPr>
      <w:r>
        <w:rPr>
          <w:rFonts w:ascii="Amiri" w:hAnsi="Amiri" w:eastAsia="Amiri" w:cs="Amiri"/>
          <w:color w:val="111111"/>
          <w:sz w:val="28"/>
          <w:sz w:val="28"/>
          <w:szCs w:val="28"/>
          <w:rtl w:val="true"/>
          <w:lang w:bidi="ar-SA"/>
        </w:rPr>
        <w:t>الوجهين الأخيرين في سابقه، أو من الغير المعين، وهو الطبيعة من حيث هي ،</w:t>
      </w:r>
      <w:r>
        <w:rPr>
          <w:rStyle w:val="FootnoteAnchor"/>
          <w:rtl w:val="true"/>
        </w:rPr>
        <w:footnoteReference w:id="838"/>
      </w:r>
      <w:r>
        <w:rPr>
          <w:rFonts w:ascii="Amiri" w:hAnsi="Amiri" w:eastAsia="Amiri" w:cs="Amiri"/>
          <w:color w:val="111111"/>
          <w:sz w:val="28"/>
          <w:sz w:val="28"/>
          <w:szCs w:val="28"/>
          <w:rtl w:val="true"/>
          <w:lang w:bidi="ar-SA"/>
        </w:rPr>
        <w:t>فهو لا يناسب القول بتعلق الحكم بالأفراد، وبأنّ الحسن و القبح بالاعتبارات، مضافاً إلى الوجهين الأخيرين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في التنزيهيات راجع إلى أمر خارج عن العبادة، كتعرّض الرشاش </w:t>
      </w:r>
      <w:r>
        <w:rPr>
          <w:rStyle w:val="FootnoteAnchor"/>
          <w:rtl w:val="true"/>
        </w:rPr>
        <w:footnoteReference w:id="839"/>
      </w:r>
      <w:r>
        <w:rPr>
          <w:rFonts w:ascii="Amiri" w:hAnsi="Amiri" w:eastAsia="Amiri" w:cs="Amiri"/>
          <w:color w:val="111111"/>
          <w:sz w:val="28"/>
          <w:sz w:val="28"/>
          <w:szCs w:val="28"/>
          <w:rtl w:val="true"/>
          <w:lang w:bidi="ar-SA"/>
        </w:rPr>
        <w:t>، بخلاف التحريمية، بحكم الاستقراء، فتعدد المتعلق وخرج عن محل النزاع</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لأجبنا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بما لا بدل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الاستقراء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2"/>
      </w:r>
      <w:r>
        <w:rPr>
          <w:rFonts w:ascii="Amiri" w:hAnsi="Amiri" w:eastAsia="Amiri" w:cs="Amiri"/>
          <w:color w:val="111111"/>
          <w:sz w:val="28"/>
          <w:sz w:val="28"/>
          <w:szCs w:val="28"/>
          <w:rtl w:val="true"/>
          <w:lang w:bidi="ar-SA"/>
        </w:rPr>
        <w:t>عكس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تعلّق النهي بشيء خارج عن العبادة، وتعلقه بالعبادة لأمر خارج عنها</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سلّمنا ذلك، لكن تكون النسبة حينئذ بين المأمور به والمنهي عنه تنزيها عموما من وجه ، ويكون مثل ما نحن فيه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النهي إذا كان عن تعرّض الرشاش لا عن الصلاة، فإما مطلق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لم يكن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مستلزم لكراهة التعرض وإن لم يكن مصلياً، ولعدم كراهة الصلاة إذا لم يكن في معرض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الرشاش، وإما مقيد بكونه في ضمن الصلاة، فهو مستلزم للمحذور الأخير من المحذورين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وما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يلزم اطراد العلل الشرعية </w:t>
      </w:r>
      <w:r>
        <w:rPr>
          <w:rStyle w:val="FootnoteAnchor"/>
          <w:rtl w:val="true"/>
        </w:rPr>
        <w:footnoteReference w:id="844"/>
      </w:r>
      <w:r>
        <w:rPr>
          <w:rFonts w:ascii="Amiri" w:hAnsi="Amiri" w:eastAsia="Amiri" w:cs="Amiri"/>
          <w:color w:val="111111"/>
          <w:sz w:val="28"/>
          <w:sz w:val="28"/>
          <w:szCs w:val="28"/>
          <w:rtl w:val="true"/>
          <w:lang w:bidi="ar-SA"/>
        </w:rPr>
        <w:t>، فهو مناف لتبعية الأحكام للصفات، فإن المفروض أن ما ذكره علة مستنبطة لا 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كراهة العبادة عبارة عن مرجوحيتها بالإضافة إلى غيرها</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لأجبنا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بما أجبنا</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به</w:t>
      </w:r>
      <w:r>
        <w:rPr>
          <w:rStyle w:val="FootnoteAnchor"/>
          <w:rtl w:val="true"/>
        </w:rPr>
        <w:footnoteReference w:id="847"/>
      </w:r>
      <w:r>
        <w:rPr>
          <w:rFonts w:ascii="IRNazanin" w:hAnsi="IRNazanin" w:eastAsia="IRNazanin"/>
          <w:color w:val="111111"/>
          <w:sz w:val="28"/>
          <w:sz w:val="28"/>
          <w:szCs w:val="28"/>
          <w:rtl w:val="true"/>
          <w:lang w:bidi="fa-IR"/>
        </w:rPr>
        <w:t>عن الاعتراض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لو أراد من المرجوحية حصول منقصة فيها لأجل كون فعلها موجباً لترك الأرجح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الأمر والنهي التنزيهي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الطبيعة، أو الفرد، أو</w:t>
      </w:r>
      <w:r>
        <w:rPr>
          <w:rStyle w:val="FootnoteAnchor"/>
          <w:rtl w:val="true"/>
        </w:rPr>
        <w:footnoteReference w:id="848"/>
      </w:r>
      <w:r>
        <w:rPr>
          <w:rFonts w:ascii="Amiri" w:hAnsi="Amiri" w:eastAsia="Amiri" w:cs="Amiri"/>
          <w:color w:val="111111"/>
          <w:sz w:val="28"/>
          <w:sz w:val="28"/>
          <w:szCs w:val="28"/>
          <w:rtl w:val="true"/>
          <w:lang w:bidi="ar-SA"/>
        </w:rPr>
        <w:t>متعلق الأمر الطبيعة ومتعلق النهي الفرد، أو العكس، ولا يتصوّر إلا الثالث، وهو المطلوب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مخالفة الغرض في ترخيص الشارع في إتيان الواجب في ضمن </w:t>
      </w:r>
      <w:r>
        <w:rPr>
          <w:rStyle w:val="FootnoteAnchor"/>
          <w:rtl w:val="true"/>
        </w:rPr>
        <w:footnoteReference w:id="849"/>
      </w:r>
      <w:r>
        <w:rPr>
          <w:rFonts w:ascii="Amiri" w:hAnsi="Amiri" w:eastAsia="Amiri" w:cs="Amiri"/>
          <w:color w:val="111111"/>
          <w:sz w:val="28"/>
          <w:sz w:val="28"/>
          <w:szCs w:val="28"/>
          <w:rtl w:val="true"/>
          <w:lang w:bidi="ar-SA"/>
        </w:rPr>
        <w:t xml:space="preserve">المحرّم، وهو قبيح ، ولا يلزم ذلك في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المكروهة</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كل شيء بحسبه، ومنها العبادات</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المباحة بالإباحة بالمعنى الأخص ، والواجبة المستحبة، بعد ضمّ 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أدلة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w:t>
      </w:r>
      <w:r>
        <w:rPr>
          <w:rStyle w:val="FootnoteAnchor"/>
          <w:rtl w:val="true"/>
        </w:rPr>
        <w:footnoteReference w:id="852"/>
      </w:r>
      <w:r>
        <w:rPr>
          <w:rFonts w:ascii="Amiri" w:hAnsi="Amiri" w:eastAsia="Amiri" w:cs="Amiri"/>
          <w:color w:val="111111"/>
          <w:sz w:val="28"/>
          <w:sz w:val="28"/>
          <w:szCs w:val="28"/>
          <w:rtl w:val="true"/>
          <w:lang w:bidi="ar-SA"/>
        </w:rPr>
        <w:t>في مثل مثال الخياطة، أو الخطوات، وانه لو</w:t>
      </w:r>
    </w:p>
    <w:p>
      <w:pPr>
        <w:pStyle w:val="BookText"/>
        <w:rPr/>
      </w:pPr>
      <w:r>
        <w:rPr>
          <w:rFonts w:ascii="Amiri" w:hAnsi="Amiri" w:eastAsia="Amiri" w:cs="Amiri"/>
          <w:color w:val="111111"/>
          <w:sz w:val="28"/>
          <w:sz w:val="28"/>
          <w:szCs w:val="28"/>
          <w:rtl w:val="true"/>
          <w:lang w:bidi="ar-SA"/>
        </w:rPr>
        <w:t>لم يجز الاجتماع لما جاز التصريح به مع لما جاز التصريح به، مع أنه جائز عقلاً</w:t>
      </w:r>
      <w:r>
        <w:rPr>
          <w:rStyle w:val="FootnoteAnchor"/>
          <w:rtl w:val="true"/>
        </w:rPr>
        <w:footnoteReference w:id="853"/>
      </w:r>
      <w:r>
        <w:rPr>
          <w:rFonts w:ascii="Amiri" w:hAnsi="Amiri" w:eastAsia="Amiri" w:cs="Amiri"/>
          <w:color w:val="111111"/>
          <w:sz w:val="28"/>
          <w:sz w:val="28"/>
          <w:szCs w:val="28"/>
          <w:rtl w:val="true"/>
          <w:lang w:bidi="ar-SA"/>
        </w:rPr>
        <w:t xml:space="preserve">، مضافاً إلى وجود المقتضي، وهو </w:t>
      </w:r>
      <w:r>
        <w:rPr>
          <w:rStyle w:val="FootnoteAnchor"/>
          <w:rtl w:val="true"/>
        </w:rPr>
        <w:footnoteReference w:id="854"/>
      </w:r>
      <w:r>
        <w:rPr>
          <w:rFonts w:ascii="Amiri" w:hAnsi="Amiri" w:eastAsia="Amiri" w:cs="Amiri"/>
          <w:color w:val="111111"/>
          <w:sz w:val="28"/>
          <w:sz w:val="28"/>
          <w:szCs w:val="28"/>
          <w:rtl w:val="true"/>
          <w:lang w:bidi="ar-SA"/>
        </w:rPr>
        <w:t xml:space="preserve">تعدد المتعلّق حقيقة، وانتفاء المانع ؛ اذ </w:t>
      </w:r>
      <w:r>
        <w:rPr>
          <w:rStyle w:val="FootnoteAnchor"/>
          <w:rtl w:val="true"/>
        </w:rPr>
        <w:footnoteReference w:id="855"/>
      </w:r>
      <w:r>
        <w:rPr>
          <w:rFonts w:ascii="Amiri" w:hAnsi="Amiri" w:eastAsia="Amiri" w:cs="Amiri"/>
          <w:color w:val="111111"/>
          <w:sz w:val="28"/>
          <w:sz w:val="28"/>
          <w:szCs w:val="28"/>
          <w:rtl w:val="true"/>
          <w:lang w:bidi="ar-SA"/>
        </w:rPr>
        <w:t xml:space="preserve">المانع إن كان اجتماع الحكمين المتضادين، أو اجتماع المحبوبية والمبغوضيّة في محلّ </w:t>
      </w:r>
      <w:r>
        <w:rPr>
          <w:rStyle w:val="FootnoteAnchor"/>
          <w:rtl w:val="true"/>
        </w:rPr>
        <w:footnoteReference w:id="856"/>
      </w:r>
      <w:r>
        <w:rPr>
          <w:rFonts w:ascii="Amiri" w:hAnsi="Amiri" w:eastAsia="Amiri" w:cs="Amiri"/>
          <w:color w:val="111111"/>
          <w:sz w:val="28"/>
          <w:sz w:val="28"/>
          <w:szCs w:val="28"/>
          <w:rtl w:val="true"/>
          <w:lang w:bidi="ar-SA"/>
        </w:rPr>
        <w:t xml:space="preserve">واحد، فقد عرفت تعدّد المحلّ، أو التكليف بالمحال، فقد عرفت أنّ </w:t>
      </w:r>
      <w:r>
        <w:rPr>
          <w:rStyle w:val="FootnoteAnchor"/>
          <w:rtl w:val="true"/>
        </w:rPr>
        <w:footnoteReference w:id="857"/>
      </w:r>
      <w:r>
        <w:rPr>
          <w:rFonts w:ascii="Amiri" w:hAnsi="Amiri" w:eastAsia="Amiri" w:cs="Amiri"/>
          <w:color w:val="111111"/>
          <w:sz w:val="28"/>
          <w:sz w:val="28"/>
          <w:szCs w:val="28"/>
          <w:rtl w:val="true"/>
          <w:lang w:bidi="ar-SA"/>
        </w:rPr>
        <w:t xml:space="preserve">محل النزاع ما تمكن المكلف فيه من الامتثال، أو منافاة ،الغرض، فقد ظهر عدم المنافاة؛ إذ الشارع لم يجوّز الإتيان بالفرد المحرم بمجرد حكمه بحصول الامتثال بالكلي الموجود في ضمنه مضافا إلى فهم العرف وإن قام الدليل على خلافه </w:t>
      </w:r>
      <w:r>
        <w:rPr>
          <w:rStyle w:val="FootnoteAnchor"/>
          <w:rtl w:val="true"/>
        </w:rPr>
        <w:footnoteReference w:id="858"/>
      </w:r>
      <w:r>
        <w:rPr>
          <w:rFonts w:ascii="Amiri" w:hAnsi="Amiri" w:eastAsia="Amiri" w:cs="Amiri"/>
          <w:color w:val="111111"/>
          <w:sz w:val="28"/>
          <w:sz w:val="28"/>
          <w:szCs w:val="28"/>
          <w:rtl w:val="true"/>
          <w:lang w:bidi="ar-SA"/>
        </w:rPr>
        <w:t>، كما مرَّ نظيره في مسألة تعلق الأحكام بالكليات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مقدمة الواجب واجبة، والفرد المحرم لا يصير واجباً، فانحصر الأمر المقدّمي في الفرد المباح ، فلا يجزئ الكلي الموجود في ضمن </w:t>
      </w:r>
      <w:r>
        <w:rPr>
          <w:rStyle w:val="FootnoteAnchor"/>
          <w:rtl w:val="true"/>
        </w:rPr>
        <w:footnoteReference w:id="859"/>
      </w:r>
      <w:r>
        <w:rPr>
          <w:rFonts w:ascii="Amiri" w:hAnsi="Amiri" w:eastAsia="Amiri" w:cs="Amiri"/>
          <w:color w:val="111111"/>
          <w:sz w:val="28"/>
          <w:sz w:val="28"/>
          <w:szCs w:val="28"/>
          <w:rtl w:val="true"/>
          <w:lang w:bidi="ar-SA"/>
        </w:rPr>
        <w:t xml:space="preserve">المحرم، فلا يجتمع </w:t>
      </w:r>
    </w:p>
    <w:p>
      <w:pPr>
        <w:pStyle w:val="BookText"/>
        <w:rPr/>
      </w:pPr>
      <w:r>
        <w:rPr>
          <w:rFonts w:ascii="Amiri" w:hAnsi="Amiri" w:eastAsia="Amiri" w:cs="Amiri"/>
          <w:color w:val="111111"/>
          <w:sz w:val="28"/>
          <w:sz w:val="28"/>
          <w:szCs w:val="28"/>
          <w:rtl w:val="true"/>
          <w:lang w:bidi="ar-SA"/>
        </w:rPr>
        <w:t>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الأمر المقدّمي بالمباح لا يوجب تخصيص الأمر الأصلي به</w:t>
      </w:r>
      <w:r>
        <w:rPr>
          <w:rStyle w:val="FootnoteAnchor"/>
          <w:rtl w:val="true"/>
        </w:rPr>
        <w:footnoteReference w:id="860"/>
      </w:r>
      <w:r>
        <w:rPr>
          <w:rFonts w:ascii="Amiri" w:hAnsi="Amiri" w:eastAsia="Amiri" w:cs="Amiri"/>
          <w:color w:val="111111"/>
          <w:sz w:val="28"/>
          <w:sz w:val="28"/>
          <w:szCs w:val="28"/>
          <w:rtl w:val="true"/>
          <w:lang w:bidi="ar-SA"/>
        </w:rPr>
        <w:t xml:space="preserve">، والمفروض تعلق الحكم بالطبيعة،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الاجتماع 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المباح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مقدّمي، مع أن</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رخصة العقل بإتيان الفرد</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إنما هي من جهة إيجاد الكلي في ضمنه</w:t>
      </w:r>
      <w:r>
        <w:rPr>
          <w:rStyle w:val="FootnoteAnchor"/>
          <w:rtl w:val="true"/>
        </w:rPr>
        <w:footnoteReference w:id="863"/>
      </w:r>
      <w:r>
        <w:rPr>
          <w:rFonts w:ascii="Amiri" w:hAnsi="Amiri" w:eastAsia="Amiri" w:cs="Amiri"/>
          <w:color w:val="111111"/>
          <w:sz w:val="28"/>
          <w:sz w:val="28"/>
          <w:szCs w:val="28"/>
          <w:rtl w:val="true"/>
          <w:lang w:bidi="ar-SA"/>
        </w:rPr>
        <w:t xml:space="preserve">، لا الرخصة المطلقة </w:t>
      </w:r>
      <w:r>
        <w:rPr>
          <w:rStyle w:val="FootnoteAnchor"/>
          <w:rtl w:val="true"/>
        </w:rPr>
        <w:footnoteReference w:id="864"/>
      </w:r>
      <w:r>
        <w:rPr>
          <w:rFonts w:ascii="Amiri" w:hAnsi="Amiri" w:eastAsia="Amiri" w:cs="Amiri"/>
          <w:color w:val="111111"/>
          <w:sz w:val="28"/>
          <w:sz w:val="28"/>
          <w:szCs w:val="28"/>
          <w:rtl w:val="true"/>
          <w:lang w:bidi="ar-SA"/>
        </w:rPr>
        <w:t>، حتى تنافي الحرمة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المجوّز انعقاد الصلاة في الدار المغصوبة صحيحة، وبعد انعقادها وجب الإتمام فيلزم التكليف بالمحال</w:t>
      </w:r>
      <w:r>
        <w:rPr>
          <w:rFonts w:eastAsia="Amiri" w:cs="Amiri" w:ascii="Amiri" w:hAnsi="Amiri"/>
          <w:color w:val="111111"/>
          <w:sz w:val="28"/>
          <w:szCs w:val="28"/>
          <w:rtl w:val="true"/>
          <w:lang w:bidi="ar-SA"/>
        </w:rPr>
        <w:t>.</w:t>
      </w:r>
      <w:r>
        <w:rPr>
          <w:rStyle w:val="FootnoteAnchor"/>
          <w:rtl w:val="true"/>
        </w:rPr>
        <w:footnoteReference w:id="86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لو تمّ لكان بالعرض </w:t>
      </w:r>
      <w:r>
        <w:rPr>
          <w:rStyle w:val="FootnoteAnchor"/>
          <w:rtl w:val="true"/>
        </w:rPr>
        <w:footnoteReference w:id="866"/>
      </w:r>
      <w:r>
        <w:rPr>
          <w:rFonts w:ascii="Amiri" w:hAnsi="Amiri" w:eastAsia="Amiri" w:cs="Amiri"/>
          <w:color w:val="111111"/>
          <w:sz w:val="28"/>
          <w:sz w:val="28"/>
          <w:szCs w:val="28"/>
          <w:rtl w:val="true"/>
          <w:lang w:bidi="ar-SA"/>
        </w:rPr>
        <w:t>، لا من جهة أصل المسألة من حيث هي بل هو خارج عن محل النزاع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يبقى الاعتراض بالتكليف بما لا يطاق فيما لا بدل له من العبادات مشتركاً بين المجوّزين والمانعين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إذا أحطت خبرا بما ذكرناه</w:t>
      </w:r>
      <w:r>
        <w:rPr>
          <w:rStyle w:val="FootnoteAnchor"/>
          <w:rtl w:val="true"/>
        </w:rPr>
        <w:footnoteReference w:id="867"/>
      </w:r>
      <w:r>
        <w:rPr>
          <w:rFonts w:ascii="Amiri" w:hAnsi="Amiri" w:eastAsia="Amiri" w:cs="Amiri"/>
          <w:color w:val="111111"/>
          <w:sz w:val="28"/>
          <w:sz w:val="28"/>
          <w:szCs w:val="28"/>
          <w:rtl w:val="true"/>
          <w:lang w:bidi="ar-SA"/>
        </w:rPr>
        <w:t>في الصورة المفروضة، قدرت على استخراج الحكم في الوصف اللازم، وفي الأعم والأخصّص المطلقين</w:t>
      </w:r>
      <w:r>
        <w:rPr>
          <w:rStyle w:val="FootnoteAnchor"/>
          <w:rtl w:val="true"/>
        </w:rPr>
        <w:footnoteReference w:id="868"/>
      </w:r>
      <w:r>
        <w:rPr>
          <w:rFonts w:ascii="Amiri" w:hAnsi="Amiri" w:eastAsia="Amiri" w:cs="Amiri"/>
          <w:color w:val="111111"/>
          <w:sz w:val="28"/>
          <w:sz w:val="28"/>
          <w:szCs w:val="28"/>
          <w:rtl w:val="true"/>
          <w:lang w:bidi="ar-SA"/>
        </w:rPr>
        <w:t xml:space="preserve">، وفي الجواز وعدمه من حيث اللفظ ، وإن شئت البسط والتفصيل </w:t>
      </w:r>
      <w:r>
        <w:rPr>
          <w:rStyle w:val="FootnoteAnchor"/>
          <w:rtl w:val="true"/>
        </w:rPr>
        <w:footnoteReference w:id="869"/>
      </w:r>
      <w:r>
        <w:rPr>
          <w:rFonts w:ascii="Amiri" w:hAnsi="Amiri" w:eastAsia="Amiri" w:cs="Amiri"/>
          <w:color w:val="111111"/>
          <w:sz w:val="28"/>
          <w:sz w:val="28"/>
          <w:szCs w:val="28"/>
          <w:rtl w:val="true"/>
          <w:lang w:bidi="ar-SA"/>
        </w:rPr>
        <w:t xml:space="preserve">، فلاحظ كتابنا الكبير </w:t>
      </w:r>
      <w:r>
        <w:rPr>
          <w:rStyle w:val="FootnoteAnchor"/>
          <w:rtl w:val="true"/>
        </w:rPr>
        <w:footnoteReference w:id="870"/>
      </w:r>
      <w:r>
        <w:rPr>
          <w:rFonts w:ascii="Amiri" w:hAnsi="Amiri" w:eastAsia="Amiri" w:cs="Amiri"/>
          <w:color w:val="111111"/>
          <w:sz w:val="28"/>
          <w:sz w:val="28"/>
          <w:szCs w:val="28"/>
          <w:rtl w:val="true"/>
          <w:lang w:bidi="ar-SA"/>
        </w:rPr>
        <w:t xml:space="preserve">، فإنّا قد استوفينا الكلام فيه أكمل </w:t>
      </w:r>
      <w:r>
        <w:rPr>
          <w:rStyle w:val="FootnoteAnchor"/>
          <w:rtl w:val="true"/>
        </w:rPr>
        <w:footnoteReference w:id="871"/>
      </w:r>
      <w:r>
        <w:rPr>
          <w:rFonts w:ascii="Amiri" w:hAnsi="Amiri" w:eastAsia="Amiri" w:cs="Amiri"/>
          <w:color w:val="111111"/>
          <w:sz w:val="28"/>
          <w:sz w:val="28"/>
          <w:szCs w:val="28"/>
          <w:rtl w:val="true"/>
          <w:lang w:bidi="ar-SA"/>
        </w:rPr>
        <w:t xml:space="preserve">الاستيفاء، وبلغنا فيه أقصى </w:t>
      </w:r>
      <w:r>
        <w:rPr>
          <w:rStyle w:val="FootnoteAnchor"/>
          <w:rtl w:val="true"/>
        </w:rPr>
        <w:footnoteReference w:id="872"/>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 xml:space="preserve">. </w:t>
      </w:r>
      <w:bookmarkStart w:id="311" w:name="pg9015_97538"/>
    </w:p>
    <w:p>
      <w:pPr>
        <w:pStyle w:val="Heading3"/>
        <w:numPr>
          <w:ilvl w:val="2"/>
          <w:numId w:val="1"/>
        </w:numPr>
        <w:rPr/>
      </w:pPr>
      <w:bookmarkStart w:id="312" w:name="__RefHeading___Toc2001541_2870459653"/>
      <w:bookmarkStart w:id="313" w:name="_Toc120"/>
      <w:bookmarkEnd w:id="311"/>
      <w:bookmarkEnd w:id="312"/>
      <w:r>
        <w:rPr>
          <w:rtl w:val="true"/>
        </w:rPr>
        <w:t xml:space="preserve">تذييل </w:t>
      </w:r>
      <w:r>
        <w:rPr>
          <w:rtl w:val="true"/>
        </w:rPr>
        <w:t>[</w:t>
      </w:r>
      <w:r>
        <w:rPr>
          <w:rtl w:val="true"/>
        </w:rPr>
        <w:t>في الامتناع بالاختيار</w:t>
      </w:r>
      <w:r>
        <w:rPr>
          <w:rtl w:val="true"/>
        </w:rPr>
        <w:t>]</w:t>
      </w:r>
      <w:bookmarkEnd w:id="313"/>
    </w:p>
    <w:p>
      <w:pPr>
        <w:pStyle w:val="BookText"/>
        <w:rPr/>
      </w:pPr>
      <w:r>
        <w:rPr>
          <w:rFonts w:ascii="Amiri" w:hAnsi="Amiri" w:eastAsia="Amiri" w:cs="Amiri"/>
          <w:color w:val="111111"/>
          <w:sz w:val="28"/>
          <w:sz w:val="28"/>
          <w:szCs w:val="28"/>
          <w:rtl w:val="true"/>
          <w:lang w:bidi="ar-SA"/>
        </w:rPr>
        <w:t>اذا تسبب المكلف لاجتماع الأمر والنهي بحيث لا يمكنه الامتثال بهما معاً، كما لو دخل المكان المغصوب، فهو مأمور بالخروج ومنهي عنه، ففي وجود التكليفين معاً حينئذ، أم يبقى الأهم ويرتفع الآخر؛ حذراً من التكليف بما لا يطاق، وجهان</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وعلى الأخير، فهل الأهم هو الأمر</w:t>
      </w:r>
      <w:r>
        <w:rPr>
          <w:rStyle w:val="FootnoteAnchor"/>
          <w:rtl w:val="true"/>
        </w:rPr>
        <w:footnoteReference w:id="874"/>
      </w:r>
      <w:r>
        <w:rPr>
          <w:rFonts w:ascii="Amiri" w:hAnsi="Amiri" w:eastAsia="Amiri" w:cs="Amiri"/>
          <w:color w:val="111111"/>
          <w:sz w:val="28"/>
          <w:sz w:val="28"/>
          <w:szCs w:val="28"/>
          <w:rtl w:val="true"/>
          <w:lang w:bidi="ar-SA"/>
        </w:rPr>
        <w:t xml:space="preserve">، أو النهي </w:t>
      </w:r>
      <w:r>
        <w:rPr>
          <w:rStyle w:val="FootnoteAnchor"/>
          <w:rtl w:val="true"/>
        </w:rPr>
        <w:footnoteReference w:id="875"/>
      </w:r>
      <w:r>
        <w:rPr>
          <w:rFonts w:ascii="IRNazanin" w:hAnsi="IRNazanin" w:eastAsia="IRNazanin"/>
          <w:color w:val="111111"/>
          <w:sz w:val="28"/>
          <w:sz w:val="28"/>
          <w:szCs w:val="28"/>
          <w:rtl w:val="true"/>
          <w:lang w:bidi="fa-IR"/>
        </w:rPr>
        <w:t>؟ احتمالان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والأصح أن الامتناع بالاختيار مع عدم بقاء الاختيار ينافي الاختيار خطاباً لا عقاباً</w:t>
      </w:r>
      <w:r>
        <w:rPr>
          <w:rStyle w:val="FootnoteAnchor"/>
          <w:rtl w:val="true"/>
        </w:rPr>
        <w:footnoteReference w:id="876"/>
      </w:r>
      <w:r>
        <w:rPr>
          <w:rStyle w:val="FootnoteAnchor"/>
          <w:rtl w:val="true"/>
        </w:rPr>
        <w:footnoteReference w:id="877"/>
      </w:r>
      <w:r>
        <w:rPr>
          <w:rFonts w:ascii="Amiri" w:hAnsi="Amiri" w:eastAsia="Amiri" w:cs="Amiri"/>
          <w:color w:val="111111"/>
          <w:sz w:val="28"/>
          <w:sz w:val="28"/>
          <w:szCs w:val="28"/>
          <w:rtl w:val="true"/>
          <w:lang w:bidi="ar-SA"/>
        </w:rPr>
        <w:t xml:space="preserve">لحكم العقل </w:t>
      </w:r>
      <w:r>
        <w:rPr>
          <w:rStyle w:val="FootnoteAnchor"/>
          <w:rtl w:val="true"/>
        </w:rPr>
        <w:footnoteReference w:id="878"/>
      </w:r>
      <w:r>
        <w:rPr>
          <w:rFonts w:ascii="Amiri" w:hAnsi="Amiri" w:eastAsia="Amiri" w:cs="Amiri"/>
          <w:color w:val="111111"/>
          <w:sz w:val="28"/>
          <w:sz w:val="28"/>
          <w:szCs w:val="28"/>
          <w:rtl w:val="true"/>
          <w:lang w:bidi="ar-SA"/>
        </w:rPr>
        <w:t>، ولازمه ارتفاع أحد الخطابين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حيث الوقوع وترتب الأثر ،وعدمه، فالمدار على انصراف الأدلة الشرعية وعدمه؛ إذ الامكان العقلي لا يلازم الوقوع الشرعي، وأما الأهم من الأمر والنهي فيختلف بحسب العرف والمقامات، فلاحظ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اذا</w:t>
      </w:r>
      <w:r>
        <w:rPr>
          <w:rStyle w:val="FootnoteAnchor"/>
          <w:rtl w:val="true"/>
        </w:rPr>
        <w:footnoteReference w:id="879"/>
      </w:r>
      <w:r>
        <w:rPr>
          <w:rFonts w:ascii="Amiri" w:hAnsi="Amiri" w:eastAsia="Amiri" w:cs="Amiri"/>
          <w:color w:val="111111"/>
          <w:sz w:val="28"/>
          <w:sz w:val="28"/>
          <w:szCs w:val="28"/>
          <w:rtl w:val="true"/>
          <w:lang w:bidi="ar-SA"/>
        </w:rPr>
        <w:t xml:space="preserve">أسلم بعد الوقت سقط عنه القضاء، وإن لم يسلم بقي الأمر بالقضاء، وهو غير قادر عليه، اسلم أم لم يسلم، فكيف تقول إن الامتناع بالاختيار ينا في الاختيار خطاباً؟ </w:t>
      </w:r>
      <w:bookmarkStart w:id="314" w:name="pg9015_97539"/>
    </w:p>
    <w:p>
      <w:pPr>
        <w:pStyle w:val="BookText"/>
        <w:rPr/>
      </w:pPr>
      <w:bookmarkEnd w:id="314"/>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لما</w:t>
      </w:r>
      <w:r>
        <w:rPr>
          <w:rStyle w:val="FootnoteAnchor"/>
          <w:rtl w:val="true"/>
        </w:rPr>
        <w:footnoteReference w:id="880"/>
      </w:r>
      <w:r>
        <w:rPr>
          <w:rFonts w:ascii="Amiri" w:hAnsi="Amiri" w:eastAsia="Amiri" w:cs="Amiri"/>
          <w:color w:val="111111"/>
          <w:sz w:val="28"/>
          <w:sz w:val="28"/>
          <w:szCs w:val="28"/>
          <w:rtl w:val="true"/>
          <w:lang w:bidi="ar-SA"/>
        </w:rPr>
        <w:t>بلغ تعلّق به الأحكام الكلية، ولما</w:t>
      </w:r>
      <w:r>
        <w:rPr>
          <w:rStyle w:val="FootnoteAnchor"/>
          <w:rtl w:val="true"/>
        </w:rPr>
        <w:footnoteReference w:id="881"/>
      </w:r>
      <w:r>
        <w:rPr>
          <w:rFonts w:ascii="Amiri" w:hAnsi="Amiri" w:eastAsia="Amiri" w:cs="Amiri"/>
          <w:color w:val="111111"/>
          <w:sz w:val="28"/>
          <w:sz w:val="28"/>
          <w:szCs w:val="28"/>
          <w:rtl w:val="true"/>
          <w:lang w:bidi="ar-SA"/>
        </w:rPr>
        <w:t>فوت الأداء فقد فوَّت التكليفين، فيستحق العقاب لذلك</w:t>
      </w:r>
      <w:r>
        <w:rPr>
          <w:rFonts w:eastAsia="Amiri" w:cs="Amiri" w:ascii="Amiri" w:hAnsi="Amiri"/>
          <w:color w:val="111111"/>
          <w:sz w:val="28"/>
          <w:szCs w:val="28"/>
          <w:rtl w:val="true"/>
          <w:lang w:bidi="ar-SA"/>
        </w:rPr>
        <w:t>.</w:t>
      </w:r>
    </w:p>
    <w:p>
      <w:pPr>
        <w:pStyle w:val="Heading2"/>
        <w:numPr>
          <w:ilvl w:val="1"/>
          <w:numId w:val="1"/>
        </w:numPr>
        <w:rPr/>
      </w:pPr>
      <w:bookmarkStart w:id="315" w:name="__RefHeading___Toc2001543_2870459653"/>
      <w:bookmarkStart w:id="316" w:name="_Toc121"/>
      <w:bookmarkEnd w:id="315"/>
      <w:r>
        <w:rPr>
          <w:rtl w:val="true"/>
        </w:rPr>
        <w:t xml:space="preserve">أصل </w:t>
      </w:r>
      <w:r>
        <w:rPr>
          <w:rtl w:val="true"/>
        </w:rPr>
        <w:t>[</w:t>
      </w:r>
      <w:r>
        <w:rPr>
          <w:rtl w:val="true"/>
        </w:rPr>
        <w:t>في دلالة النهي على الفساد</w:t>
      </w:r>
      <w:r>
        <w:rPr>
          <w:rtl w:val="true"/>
        </w:rPr>
        <w:t>]</w:t>
      </w:r>
      <w:bookmarkEnd w:id="316"/>
    </w:p>
    <w:p>
      <w:pPr>
        <w:pStyle w:val="Heading3"/>
        <w:numPr>
          <w:ilvl w:val="2"/>
          <w:numId w:val="1"/>
        </w:numPr>
        <w:rPr/>
      </w:pPr>
      <w:bookmarkStart w:id="317" w:name="__RefHeading___Toc2001545_2870459653"/>
      <w:bookmarkStart w:id="318" w:name="_Toc122"/>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هل النهي يدل على الفساد مطلقاً</w:t>
      </w:r>
      <w:r>
        <w:rPr>
          <w:rStyle w:val="FootnoteAnchor"/>
          <w:rtl w:val="true"/>
        </w:rPr>
        <w:footnoteReference w:id="882"/>
      </w:r>
      <w:r>
        <w:rPr>
          <w:rFonts w:ascii="IRNazanin" w:hAnsi="IRNazanin" w:eastAsia="IRNazanin"/>
          <w:color w:val="111111"/>
          <w:sz w:val="28"/>
          <w:sz w:val="28"/>
          <w:szCs w:val="28"/>
          <w:rtl w:val="true"/>
          <w:lang w:bidi="fa-IR"/>
        </w:rPr>
        <w:t>، أم لا مطلقاً</w:t>
      </w:r>
      <w:r>
        <w:rPr>
          <w:rStyle w:val="FootnoteAnchor"/>
          <w:rtl w:val="true"/>
        </w:rPr>
        <w:footnoteReference w:id="883"/>
      </w:r>
      <w:r>
        <w:rPr>
          <w:rFonts w:ascii="Amiri" w:hAnsi="Amiri" w:eastAsia="Amiri" w:cs="Amiri"/>
          <w:color w:val="111111"/>
          <w:sz w:val="28"/>
          <w:sz w:val="28"/>
          <w:szCs w:val="28"/>
          <w:rtl w:val="true"/>
          <w:lang w:bidi="ar-SA"/>
        </w:rPr>
        <w:t xml:space="preserve">، أم في العبادات دون المعاملات </w:t>
      </w:r>
      <w:r>
        <w:rPr>
          <w:rStyle w:val="FootnoteAnchor"/>
          <w:rtl w:val="true"/>
        </w:rPr>
        <w:footnoteReference w:id="884"/>
      </w:r>
      <w:r>
        <w:rPr>
          <w:rFonts w:ascii="Amiri" w:hAnsi="Amiri" w:eastAsia="Amiri" w:cs="Amiri"/>
          <w:color w:val="111111"/>
          <w:sz w:val="28"/>
          <w:sz w:val="28"/>
          <w:szCs w:val="28"/>
          <w:rtl w:val="true"/>
          <w:lang w:bidi="ar-SA"/>
        </w:rPr>
        <w:t xml:space="preserve">، أم فيهما شرعاً لا لغة </w:t>
      </w:r>
      <w:r>
        <w:rPr>
          <w:rStyle w:val="FootnoteAnchor"/>
          <w:rtl w:val="true"/>
        </w:rPr>
        <w:footnoteReference w:id="885"/>
      </w:r>
      <w:r>
        <w:rPr>
          <w:rFonts w:ascii="Amiri" w:hAnsi="Amiri" w:eastAsia="Amiri" w:cs="Amiri"/>
          <w:color w:val="111111"/>
          <w:sz w:val="28"/>
          <w:sz w:val="28"/>
          <w:szCs w:val="28"/>
          <w:rtl w:val="true"/>
          <w:lang w:bidi="ar-SA"/>
        </w:rPr>
        <w:t>، أم في العبادات شرعا دون المعاملات مطلقاً</w:t>
      </w:r>
      <w:r>
        <w:rPr>
          <w:rStyle w:val="FootnoteAnchor"/>
          <w:rtl w:val="true"/>
        </w:rPr>
        <w:footnoteReference w:id="886"/>
      </w:r>
      <w:r>
        <w:rPr>
          <w:rFonts w:ascii="Amiri" w:hAnsi="Amiri" w:eastAsia="Amiri" w:cs="Amiri"/>
          <w:color w:val="111111"/>
          <w:sz w:val="28"/>
          <w:sz w:val="28"/>
          <w:szCs w:val="28"/>
          <w:rtl w:val="true"/>
          <w:lang w:bidi="ar-SA"/>
        </w:rPr>
        <w:t>، أم يدل على الصحة</w:t>
      </w:r>
      <w:r>
        <w:rPr>
          <w:rStyle w:val="FootnoteAnchor"/>
          <w:rtl w:val="true"/>
        </w:rPr>
        <w:footnoteReference w:id="887"/>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Heading3"/>
        <w:numPr>
          <w:ilvl w:val="2"/>
          <w:numId w:val="1"/>
        </w:numPr>
        <w:rPr/>
      </w:pPr>
      <w:bookmarkStart w:id="319" w:name="__RefHeading___Toc2001547_2870459653"/>
      <w:bookmarkStart w:id="320" w:name="_Toc123"/>
      <w:bookmarkEnd w:id="319"/>
      <w:r>
        <w:rPr>
          <w:rtl w:val="true"/>
        </w:rPr>
        <w:t>[</w:t>
      </w:r>
      <w:r>
        <w:rPr>
          <w:rtl w:val="true"/>
        </w:rPr>
        <w:t>تحرير محل النزاع</w:t>
      </w:r>
      <w:r>
        <w:rPr>
          <w:rtl w:val="true"/>
        </w:rPr>
        <w:t>]</w:t>
      </w:r>
      <w:bookmarkEnd w:id="32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ومحل</w:t>
      </w:r>
      <w:r>
        <w:rPr>
          <w:rStyle w:val="FootnoteAnchor"/>
          <w:rtl w:val="true"/>
        </w:rPr>
        <w:footnoteReference w:id="888"/>
      </w:r>
      <w:r>
        <w:rPr>
          <w:rFonts w:ascii="Amiri" w:hAnsi="Amiri" w:eastAsia="Amiri" w:cs="Amiri"/>
          <w:color w:val="111111"/>
          <w:sz w:val="28"/>
          <w:sz w:val="28"/>
          <w:szCs w:val="28"/>
          <w:rtl w:val="true"/>
          <w:lang w:bidi="ar-SA"/>
        </w:rPr>
        <w:t xml:space="preserve">النزاع فيما إذا ورد للعبادة أو المعاملة جهة صحة، ثم ورد النهي النهي عن </w:t>
      </w:r>
    </w:p>
    <w:p>
      <w:pPr>
        <w:pStyle w:val="BookText"/>
        <w:rPr/>
      </w:pPr>
      <w:r>
        <w:rPr>
          <w:rFonts w:ascii="IRNazanin" w:hAnsi="IRNazanin" w:eastAsia="IRNazanin"/>
          <w:color w:val="111111"/>
          <w:sz w:val="28"/>
          <w:sz w:val="28"/>
          <w:szCs w:val="28"/>
          <w:rtl w:val="true"/>
          <w:lang w:bidi="fa-IR"/>
        </w:rPr>
        <w:t xml:space="preserve">بعض </w:t>
      </w:r>
      <w:r>
        <w:rPr>
          <w:rStyle w:val="FootnoteAnchor"/>
          <w:rtl w:val="true"/>
        </w:rPr>
        <w:footnoteReference w:id="889"/>
      </w:r>
      <w:r>
        <w:rPr>
          <w:rFonts w:ascii="IRNazanin" w:hAnsi="IRNazanin" w:eastAsia="IRNazanin"/>
          <w:color w:val="111111"/>
          <w:sz w:val="28"/>
          <w:sz w:val="28"/>
          <w:szCs w:val="28"/>
          <w:rtl w:val="true"/>
          <w:lang w:bidi="fa-IR"/>
        </w:rPr>
        <w:t>أفراد</w:t>
      </w:r>
      <w:r>
        <w:rPr>
          <w:rStyle w:val="FootnoteAnchor"/>
          <w:rtl w:val="true"/>
        </w:rPr>
        <w:footnoteReference w:id="890"/>
      </w:r>
      <w:r>
        <w:rPr>
          <w:rFonts w:ascii="Amiri" w:hAnsi="Amiri" w:eastAsia="Amiri" w:cs="Amiri"/>
          <w:color w:val="111111"/>
          <w:sz w:val="28"/>
          <w:sz w:val="28"/>
          <w:szCs w:val="28"/>
          <w:rtl w:val="true"/>
          <w:lang w:bidi="ar-SA"/>
        </w:rPr>
        <w:t xml:space="preserve">المكلف أو </w:t>
      </w:r>
      <w:r>
        <w:rPr>
          <w:rStyle w:val="FootnoteAnchor"/>
          <w:rtl w:val="true"/>
        </w:rPr>
        <w:footnoteReference w:id="891"/>
      </w:r>
      <w:r>
        <w:rPr>
          <w:rFonts w:ascii="Amiri" w:hAnsi="Amiri" w:eastAsia="Amiri" w:cs="Amiri"/>
          <w:color w:val="111111"/>
          <w:sz w:val="28"/>
          <w:sz w:val="28"/>
          <w:szCs w:val="28"/>
          <w:rtl w:val="true"/>
          <w:lang w:bidi="ar-SA"/>
        </w:rPr>
        <w:t>المكلف به</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والمراد من العبادة معناها الأعم، أي ما يشترط فيه نية القربة من تلك الجهة؛ العموم الأدلة، ومن المعاملة معناها الأخص </w:t>
      </w:r>
      <w:r>
        <w:rPr>
          <w:rStyle w:val="FootnoteAnchor"/>
          <w:rtl w:val="true"/>
        </w:rPr>
        <w:footnoteReference w:id="893"/>
      </w:r>
      <w:r>
        <w:rPr>
          <w:rFonts w:ascii="IRNazanin" w:hAnsi="IRNazanin" w:eastAsia="IRNazanin"/>
          <w:color w:val="111111"/>
          <w:sz w:val="28"/>
          <w:sz w:val="28"/>
          <w:szCs w:val="28"/>
          <w:rtl w:val="true"/>
          <w:lang w:bidi="fa-IR"/>
        </w:rPr>
        <w:t>، حذراً من التناقض</w:t>
      </w:r>
      <w:r>
        <w:rPr>
          <w:rStyle w:val="FootnoteAnchor"/>
          <w:rtl w:val="true"/>
        </w:rPr>
        <w:footnoteReference w:id="894"/>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الصحة ما هو المراد منها في بحث الصحيح والأعم، ومن الفساد الفساد الإنّي في وجه، والسنخي في آخر </w:t>
      </w:r>
      <w:r>
        <w:rPr>
          <w:rFonts w:eastAsia="Amiri" w:cs="Amiri" w:ascii="Amiri" w:hAnsi="Amiri"/>
          <w:color w:val="111111"/>
          <w:sz w:val="28"/>
          <w:szCs w:val="28"/>
          <w:rtl w:val="true"/>
          <w:lang w:bidi="ar-SA"/>
        </w:rPr>
        <w:t>.</w:t>
      </w:r>
      <w:r>
        <w:rPr>
          <w:rStyle w:val="FootnoteAnchor"/>
          <w:rtl w:val="true"/>
        </w:rPr>
        <w:footnoteReference w:id="89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كون النزاع هنا وفي المسألة السابقة في العامين من وجه، أو في المطلقين</w:t>
      </w:r>
      <w:r>
        <w:rPr>
          <w:rStyle w:val="FootnoteAnchor"/>
          <w:rtl w:val="true"/>
        </w:rPr>
        <w:footnoteReference w:id="896"/>
      </w:r>
      <w:r>
        <w:rPr>
          <w:rFonts w:ascii="Amiri" w:hAnsi="Amiri" w:eastAsia="Amiri" w:cs="Amiri"/>
          <w:color w:val="111111"/>
          <w:sz w:val="28"/>
          <w:sz w:val="28"/>
          <w:szCs w:val="28"/>
          <w:rtl w:val="true"/>
          <w:lang w:bidi="ar-SA"/>
        </w:rPr>
        <w:t xml:space="preserve">، أو فيهما وفي الدلالة اللفظية أو العقلية، أو فيهما، وجوه تبلغ مضروبها ستة وثلاثين، أوجهها كون النزاع في المسألة السابقة في العامين من وجه في </w:t>
      </w:r>
      <w:r>
        <w:rPr>
          <w:rStyle w:val="FootnoteAnchor"/>
          <w:rtl w:val="true"/>
        </w:rPr>
        <w:footnoteReference w:id="897"/>
      </w:r>
      <w:r>
        <w:rPr>
          <w:rFonts w:ascii="Amiri" w:hAnsi="Amiri" w:eastAsia="Amiri" w:cs="Amiri"/>
          <w:color w:val="111111"/>
          <w:sz w:val="28"/>
          <w:sz w:val="28"/>
          <w:szCs w:val="28"/>
          <w:rtl w:val="true"/>
          <w:lang w:bidi="ar-SA"/>
        </w:rPr>
        <w:t xml:space="preserve">الدلالة العقلية، وهنا </w:t>
      </w:r>
    </w:p>
    <w:p>
      <w:pPr>
        <w:pStyle w:val="BookText"/>
        <w:rPr/>
      </w:pPr>
      <w:r>
        <w:rPr>
          <w:rFonts w:ascii="Amiri" w:hAnsi="Amiri" w:eastAsia="Amiri" w:cs="Amiri"/>
          <w:color w:val="111111"/>
          <w:sz w:val="28"/>
          <w:sz w:val="28"/>
          <w:szCs w:val="28"/>
          <w:rtl w:val="true"/>
          <w:lang w:bidi="ar-SA"/>
        </w:rPr>
        <w:t xml:space="preserve">في العامّين من وجه، وفي المطلقين لكن في الدلالة اللفظية ، فتأمل </w:t>
      </w:r>
      <w:r>
        <w:rPr>
          <w:rFonts w:eastAsia="Amiri" w:cs="Amiri" w:ascii="Amiri" w:hAnsi="Amiri"/>
          <w:color w:val="111111"/>
          <w:sz w:val="28"/>
          <w:szCs w:val="28"/>
          <w:rtl w:val="true"/>
          <w:lang w:bidi="ar-SA"/>
        </w:rPr>
        <w:t>.</w:t>
      </w:r>
      <w:r>
        <w:rPr>
          <w:rStyle w:val="FootnoteAnchor"/>
          <w:rtl w:val="true"/>
        </w:rPr>
        <w:footnoteReference w:id="898"/>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ثم إنه بين اتفاقهم في بحث المطلق والمقيد على حمل الأول على الأخير مطلقاً، كما حكي</w:t>
      </w:r>
      <w:r>
        <w:rPr>
          <w:rStyle w:val="FootnoteAnchor"/>
          <w:rtl w:val="true"/>
        </w:rPr>
        <w:footnoteReference w:id="900"/>
      </w:r>
      <w:r>
        <w:rPr>
          <w:rFonts w:ascii="Amiri" w:hAnsi="Amiri" w:eastAsia="Amiri" w:cs="Amiri"/>
          <w:color w:val="111111"/>
          <w:sz w:val="28"/>
          <w:sz w:val="28"/>
          <w:szCs w:val="28"/>
          <w:rtl w:val="true"/>
          <w:lang w:bidi="ar-SA"/>
        </w:rPr>
        <w:t>، وخلافهم هنا على أقوال شتى تناقض بين</w:t>
      </w:r>
      <w:r>
        <w:rPr>
          <w:rStyle w:val="FootnoteAnchor"/>
          <w:rtl w:val="true"/>
        </w:rPr>
        <w:footnoteReference w:id="901"/>
      </w:r>
      <w:r>
        <w:rPr>
          <w:rFonts w:ascii="Amiri" w:hAnsi="Amiri" w:eastAsia="Amiri" w:cs="Amiri"/>
          <w:color w:val="111111"/>
          <w:sz w:val="28"/>
          <w:sz w:val="28"/>
          <w:szCs w:val="28"/>
          <w:rtl w:val="true"/>
          <w:lang w:bidi="ar-SA"/>
        </w:rPr>
        <w:t>، بل تكرار في العنوان أيضاً، وقد يتفصّى عنه بوجوه، ليس شيء منها</w:t>
      </w:r>
      <w:r>
        <w:rPr>
          <w:rStyle w:val="FootnoteAnchor"/>
          <w:rtl w:val="true"/>
        </w:rPr>
        <w:footnoteReference w:id="902"/>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النهي المتعلق بالعبادة أو</w:t>
      </w:r>
      <w:r>
        <w:rPr>
          <w:rStyle w:val="FootnoteAnchor"/>
          <w:rtl w:val="true"/>
        </w:rPr>
        <w:footnoteReference w:id="903"/>
      </w:r>
      <w:r>
        <w:rPr>
          <w:rFonts w:ascii="Amiri" w:hAnsi="Amiri" w:eastAsia="Amiri" w:cs="Amiri"/>
          <w:color w:val="111111"/>
          <w:sz w:val="28"/>
          <w:sz w:val="28"/>
          <w:szCs w:val="28"/>
          <w:rtl w:val="true"/>
          <w:lang w:bidi="ar-SA"/>
        </w:rPr>
        <w:t xml:space="preserve">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يتعلق بنفسها، أو بجزئها، أو بشرطها، أو بوصفها الداخل، أو الخارج، أو بشيء مفارق متحد معها في الوجود، أو غير متحد</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وما عدا الأول من تلك الأقسام السبعة يجري فيه تلك السبعة، فترتقي إلى ثلاثة وأربعين، فاستخرج أمثلتها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ويعم النزاع كل أقسام النهي من النفسي، والتوصلي، واللفظي، واللبي،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والأصلي دون التبعي، كما يظهر من الثمرة التي ذكروها في بحث اقتضاء الأمر النهي عن ضده</w:t>
      </w:r>
      <w:r>
        <w:rPr>
          <w:rFonts w:eastAsia="Amiri" w:cs="Amiri" w:ascii="Amiri" w:hAnsi="Amiri"/>
          <w:color w:val="111111"/>
          <w:sz w:val="28"/>
          <w:szCs w:val="28"/>
          <w:rtl w:val="true"/>
          <w:lang w:bidi="ar-SA"/>
        </w:rPr>
        <w:t>.</w:t>
      </w:r>
      <w:r>
        <w:rPr>
          <w:rStyle w:val="FootnoteAnchor"/>
          <w:rtl w:val="true"/>
        </w:rPr>
        <w:footnoteReference w:id="90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وثمرة هذا النزاع ظاهرة</w:t>
      </w:r>
      <w:r>
        <w:rPr>
          <w:rFonts w:eastAsia="Amiri" w:cs="Amiri" w:ascii="Amiri" w:hAnsi="Amiri"/>
          <w:color w:val="111111"/>
          <w:sz w:val="28"/>
          <w:szCs w:val="28"/>
          <w:rtl w:val="true"/>
          <w:lang w:bidi="ar-SA"/>
        </w:rPr>
        <w:t xml:space="preserve">. </w:t>
      </w:r>
      <w:bookmarkStart w:id="321" w:name="pg9015_97542"/>
    </w:p>
    <w:p>
      <w:pPr>
        <w:pStyle w:val="Heading3"/>
        <w:numPr>
          <w:ilvl w:val="2"/>
          <w:numId w:val="1"/>
        </w:numPr>
        <w:rPr/>
      </w:pPr>
      <w:bookmarkStart w:id="322" w:name="__RefHeading___Toc2001549_2870459653"/>
      <w:bookmarkStart w:id="323" w:name="_Toc124"/>
      <w:bookmarkEnd w:id="321"/>
      <w:bookmarkEnd w:id="322"/>
      <w:r>
        <w:rPr>
          <w:rtl w:val="true"/>
        </w:rPr>
        <w:t>[</w:t>
      </w:r>
      <w:r>
        <w:rPr>
          <w:rtl w:val="true"/>
        </w:rPr>
        <w:t>تأسيس الأصل</w:t>
      </w:r>
      <w:r>
        <w:rPr>
          <w:rtl w:val="true"/>
        </w:rPr>
        <w:t>]</w:t>
      </w:r>
      <w:bookmarkEnd w:id="323"/>
    </w:p>
    <w:p>
      <w:pPr>
        <w:pStyle w:val="BookText"/>
        <w:rPr/>
      </w:pPr>
      <w:r>
        <w:rPr>
          <w:rFonts w:ascii="Amiri" w:hAnsi="Amiri" w:eastAsia="Amiri" w:cs="Amiri"/>
          <w:color w:val="111111"/>
          <w:sz w:val="28"/>
          <w:sz w:val="28"/>
          <w:szCs w:val="28"/>
          <w:rtl w:val="true"/>
          <w:lang w:bidi="ar-SA"/>
        </w:rPr>
        <w:t>والأصل في المسألة عدم الدلالة على الفساد، ولا على الصحة؛ لأصالة التوقيفية</w:t>
      </w:r>
      <w:r>
        <w:rPr>
          <w:rStyle w:val="FootnoteAnchor"/>
          <w:rtl w:val="true"/>
        </w:rPr>
        <w:footnoteReference w:id="906"/>
      </w:r>
      <w:r>
        <w:rPr>
          <w:rFonts w:ascii="Amiri" w:hAnsi="Amiri" w:eastAsia="Amiri" w:cs="Amiri"/>
          <w:color w:val="111111"/>
          <w:sz w:val="28"/>
          <w:sz w:val="28"/>
          <w:szCs w:val="28"/>
          <w:rtl w:val="true"/>
          <w:lang w:bidi="ar-SA"/>
        </w:rPr>
        <w:t>، وأصالة عدم التخصيص والتقييد</w:t>
      </w:r>
      <w:r>
        <w:rPr>
          <w:rFonts w:eastAsia="Amiri" w:cs="Amiri" w:ascii="Amiri" w:hAnsi="Amiri"/>
          <w:color w:val="111111"/>
          <w:sz w:val="28"/>
          <w:szCs w:val="28"/>
          <w:rtl w:val="true"/>
          <w:lang w:bidi="ar-SA"/>
        </w:rPr>
        <w:t>.</w:t>
      </w:r>
      <w:r>
        <w:rPr>
          <w:rStyle w:val="FootnoteAnchor"/>
          <w:rtl w:val="true"/>
        </w:rPr>
        <w:footnoteReference w:id="907"/>
      </w:r>
    </w:p>
    <w:p>
      <w:pPr>
        <w:pStyle w:val="Heading3"/>
        <w:numPr>
          <w:ilvl w:val="2"/>
          <w:numId w:val="1"/>
        </w:numPr>
        <w:rPr/>
      </w:pPr>
      <w:bookmarkStart w:id="324" w:name="__RefHeading___Toc2001551_2870459653"/>
      <w:bookmarkStart w:id="325" w:name="_Toc125"/>
      <w:bookmarkEnd w:id="324"/>
      <w:r>
        <w:rPr>
          <w:rtl w:val="true"/>
        </w:rPr>
        <w:t>[</w:t>
      </w:r>
      <w:r>
        <w:rPr>
          <w:rtl w:val="true"/>
        </w:rPr>
        <w:t>المختار في المسألة</w:t>
      </w:r>
      <w:r>
        <w:rPr>
          <w:rtl w:val="true"/>
        </w:rPr>
        <w:t>]</w:t>
      </w:r>
      <w:bookmarkEnd w:id="325"/>
    </w:p>
    <w:p>
      <w:pPr>
        <w:pStyle w:val="BookText"/>
        <w:rPr/>
      </w:pPr>
      <w:r>
        <w:rPr>
          <w:rFonts w:ascii="Amiri" w:hAnsi="Amiri" w:eastAsia="Amiri" w:cs="Amiri"/>
          <w:color w:val="111111"/>
          <w:sz w:val="28"/>
          <w:sz w:val="28"/>
          <w:szCs w:val="28"/>
          <w:rtl w:val="true"/>
          <w:lang w:bidi="ar-SA"/>
        </w:rPr>
        <w:t>والحق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المنهي عنه لنفسه من العبادة يدل النهي على فساده</w:t>
      </w:r>
      <w:r>
        <w:rPr>
          <w:rStyle w:val="FootnoteAnchor"/>
          <w:rtl w:val="true"/>
        </w:rPr>
        <w:footnoteReference w:id="908"/>
      </w:r>
      <w:r>
        <w:rPr>
          <w:rFonts w:ascii="Amiri" w:hAnsi="Amiri" w:eastAsia="Amiri" w:cs="Amiri"/>
          <w:color w:val="111111"/>
          <w:sz w:val="28"/>
          <w:sz w:val="28"/>
          <w:szCs w:val="28"/>
          <w:rtl w:val="true"/>
          <w:lang w:bidi="ar-SA"/>
        </w:rPr>
        <w:t>اتفاقاً</w:t>
      </w:r>
      <w:r>
        <w:rPr>
          <w:rStyle w:val="FootnoteAnchor"/>
          <w:rtl w:val="true"/>
        </w:rPr>
        <w:footnoteReference w:id="909"/>
      </w:r>
      <w:r>
        <w:rPr>
          <w:rFonts w:ascii="Amiri" w:hAnsi="Amiri" w:eastAsia="Amiri" w:cs="Amiri"/>
          <w:color w:val="111111"/>
          <w:sz w:val="28"/>
          <w:sz w:val="28"/>
          <w:szCs w:val="28"/>
          <w:rtl w:val="true"/>
          <w:lang w:bidi="ar-SA"/>
        </w:rPr>
        <w:t>، عقلاً، بل</w:t>
      </w:r>
      <w:r>
        <w:rPr>
          <w:rStyle w:val="FootnoteAnchor"/>
          <w:rtl w:val="true"/>
        </w:rPr>
        <w:footnoteReference w:id="910"/>
      </w:r>
      <w:r>
        <w:rPr>
          <w:rFonts w:ascii="IRNazanin" w:hAnsi="IRNazanin" w:eastAsia="IRNazanin"/>
          <w:color w:val="111111"/>
          <w:sz w:val="28"/>
          <w:sz w:val="28"/>
          <w:szCs w:val="28"/>
          <w:rtl w:val="true"/>
          <w:lang w:bidi="fa-IR"/>
        </w:rPr>
        <w:t>ولفظاً؛ لفهم العرف</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والمنهي عنه لجزئه إن كان نهيه لفقد الجزء فسد اتفاقا، لا للنهي، بل للفقد فهو خارج عن النزاع، أو لفساد الجزء الموجود مع تعلق النهي بطريق التقييد،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مع قراءة العزيمة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بطريق تعلق النهي بالجزء مستقلاً، مع تعيين المحل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العزيمة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بدون تعيينه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فالكلام فيه من جهة العقل ما مضى في المسألة </w:t>
      </w:r>
      <w:r>
        <w:rPr>
          <w:rStyle w:val="FootnoteAnchor"/>
          <w:rtl w:val="true"/>
        </w:rPr>
        <w:footnoteReference w:id="911"/>
      </w:r>
      <w:r>
        <w:rPr>
          <w:rFonts w:ascii="Amiri" w:hAnsi="Amiri" w:eastAsia="Amiri" w:cs="Amiri"/>
          <w:color w:val="111111"/>
          <w:sz w:val="28"/>
          <w:sz w:val="28"/>
          <w:szCs w:val="28"/>
          <w:rtl w:val="true"/>
          <w:lang w:bidi="ar-SA"/>
        </w:rPr>
        <w:t>السابقة</w:t>
      </w:r>
      <w:r>
        <w:rPr>
          <w:rStyle w:val="FootnoteAnchor"/>
          <w:rtl w:val="true"/>
        </w:rPr>
        <w:footnoteReference w:id="912"/>
      </w:r>
      <w:r>
        <w:rPr>
          <w:rFonts w:ascii="Amiri" w:hAnsi="Amiri" w:eastAsia="Amiri" w:cs="Amiri"/>
          <w:color w:val="111111"/>
          <w:sz w:val="28"/>
          <w:sz w:val="28"/>
          <w:szCs w:val="28"/>
          <w:rtl w:val="true"/>
          <w:lang w:bidi="ar-SA"/>
        </w:rPr>
        <w:t>، ومن جهة اللفظ أن العرف يفهم الاشتراط</w:t>
      </w:r>
      <w:r>
        <w:rPr>
          <w:rStyle w:val="FootnoteAnchor"/>
          <w:rtl w:val="true"/>
        </w:rPr>
        <w:footnoteReference w:id="913"/>
      </w:r>
      <w:r>
        <w:rPr>
          <w:rFonts w:ascii="Amiri" w:hAnsi="Amiri" w:eastAsia="Amiri" w:cs="Amiri"/>
          <w:color w:val="111111"/>
          <w:sz w:val="28"/>
          <w:sz w:val="28"/>
          <w:szCs w:val="28"/>
          <w:rtl w:val="true"/>
          <w:lang w:bidi="ar-SA"/>
        </w:rPr>
        <w:t>، بل يفهم التقييد أيضاً في القسمين الأولين من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المنهي</w:t>
      </w:r>
      <w:r>
        <w:rPr>
          <w:rStyle w:val="FootnoteAnchor"/>
          <w:rtl w:val="true"/>
        </w:rPr>
        <w:footnoteReference w:id="914"/>
      </w:r>
      <w:r>
        <w:rPr>
          <w:rFonts w:ascii="Amiri" w:hAnsi="Amiri" w:eastAsia="Amiri" w:cs="Amiri"/>
          <w:color w:val="111111"/>
          <w:sz w:val="28"/>
          <w:sz w:val="28"/>
          <w:szCs w:val="28"/>
          <w:rtl w:val="true"/>
          <w:lang w:bidi="ar-SA"/>
        </w:rPr>
        <w:t>عنه لشرطه يتصوّر تلك الأقسام</w:t>
      </w:r>
      <w:r>
        <w:rPr>
          <w:rStyle w:val="FootnoteAnchor"/>
          <w:rtl w:val="true"/>
        </w:rPr>
        <w:footnoteReference w:id="915"/>
      </w:r>
      <w:r>
        <w:rPr>
          <w:rFonts w:ascii="Amiri" w:hAnsi="Amiri" w:eastAsia="Amiri" w:cs="Amiri"/>
          <w:color w:val="111111"/>
          <w:sz w:val="28"/>
          <w:sz w:val="28"/>
          <w:szCs w:val="28"/>
          <w:rtl w:val="true"/>
          <w:lang w:bidi="ar-SA"/>
        </w:rPr>
        <w:t xml:space="preserve">، وتجري فيه تلك الأحكام، الا في القسم الأخير، إذا كان نفس الشرط معاملة، فلا يفهم الفساد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والمنهي عنه</w:t>
      </w:r>
      <w:r>
        <w:rPr>
          <w:rStyle w:val="FootnoteAnchor"/>
          <w:rtl w:val="true"/>
        </w:rPr>
        <w:footnoteReference w:id="916"/>
      </w:r>
      <w:r>
        <w:rPr>
          <w:rFonts w:ascii="IRNazanin" w:hAnsi="IRNazanin" w:eastAsia="IRNazanin"/>
          <w:color w:val="111111"/>
          <w:sz w:val="28"/>
          <w:sz w:val="28"/>
          <w:szCs w:val="28"/>
          <w:rtl w:val="true"/>
          <w:lang w:bidi="fa-IR"/>
        </w:rPr>
        <w:t>لوصفه</w:t>
      </w:r>
      <w:r>
        <w:rPr>
          <w:rStyle w:val="FootnoteAnchor"/>
          <w:rtl w:val="true"/>
        </w:rPr>
        <w:footnoteReference w:id="917"/>
      </w:r>
      <w:r>
        <w:rPr>
          <w:rFonts w:ascii="Amiri" w:hAnsi="Amiri" w:eastAsia="Amiri" w:cs="Amiri"/>
          <w:color w:val="111111"/>
          <w:sz w:val="28"/>
          <w:sz w:val="28"/>
          <w:szCs w:val="28"/>
          <w:rtl w:val="true"/>
          <w:lang w:bidi="ar-SA"/>
        </w:rPr>
        <w:t>الداخل كالمنهي</w:t>
      </w:r>
      <w:r>
        <w:rPr>
          <w:rStyle w:val="FootnoteAnchor"/>
          <w:rtl w:val="true"/>
        </w:rPr>
        <w:footnoteReference w:id="918"/>
      </w:r>
      <w:r>
        <w:rPr>
          <w:rFonts w:ascii="Amiri" w:hAnsi="Amiri" w:eastAsia="Amiri" w:cs="Amiri"/>
          <w:color w:val="111111"/>
          <w:sz w:val="28"/>
          <w:sz w:val="28"/>
          <w:szCs w:val="28"/>
          <w:rtl w:val="true"/>
          <w:lang w:bidi="ar-SA"/>
        </w:rPr>
        <w:t>عنه الجزئه أقساماً وأحكاماً، عقلاً ولفظاً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المنهي عنه لوصفه الخارج وما بعده من القسمين، لا فساد عقلاً مطلقاً ولا لفظاً، إلّا إذا كان بطريق التقييد أو الاستقلال، مع تعيين المحل</w:t>
      </w:r>
      <w:r>
        <w:rPr>
          <w:rFonts w:eastAsia="Amiri" w:cs="Amiri" w:ascii="Amiri" w:hAnsi="Amiri"/>
          <w:color w:val="111111"/>
          <w:sz w:val="28"/>
          <w:szCs w:val="28"/>
          <w:rtl w:val="true"/>
          <w:lang w:bidi="ar-SA"/>
        </w:rPr>
        <w:t>.</w:t>
      </w:r>
      <w:r>
        <w:rPr>
          <w:rStyle w:val="FootnoteAnchor"/>
          <w:rtl w:val="true"/>
        </w:rPr>
        <w:footnoteReference w:id="91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w:t>
      </w:r>
      <w:r>
        <w:rPr>
          <w:rStyle w:val="FootnoteAnchor"/>
          <w:rtl w:val="true"/>
        </w:rPr>
        <w:footnoteReference w:id="920"/>
      </w:r>
      <w:r>
        <w:rPr>
          <w:rFonts w:ascii="Amiri" w:hAnsi="Amiri" w:eastAsia="Amiri" w:cs="Amiri"/>
          <w:color w:val="111111"/>
          <w:sz w:val="28"/>
          <w:sz w:val="28"/>
          <w:szCs w:val="28"/>
          <w:rtl w:val="true"/>
          <w:lang w:bidi="ar-SA"/>
        </w:rPr>
        <w:t>النهي التبعي</w:t>
      </w:r>
      <w:r>
        <w:rPr>
          <w:rStyle w:val="FootnoteAnchor"/>
          <w:rtl w:val="true"/>
        </w:rPr>
        <w:footnoteReference w:id="921"/>
      </w:r>
      <w:r>
        <w:rPr>
          <w:rFonts w:ascii="Amiri" w:hAnsi="Amiri" w:eastAsia="Amiri" w:cs="Amiri"/>
          <w:color w:val="111111"/>
          <w:sz w:val="28"/>
          <w:sz w:val="28"/>
          <w:szCs w:val="28"/>
          <w:rtl w:val="true"/>
          <w:lang w:bidi="ar-SA"/>
        </w:rPr>
        <w:t xml:space="preserve">والتوصلي لا يدلان على الفساد عرفاً، كما لا يدل النهي على الفساد في المعاملات </w:t>
      </w:r>
      <w:r>
        <w:rPr>
          <w:rStyle w:val="FootnoteAnchor"/>
          <w:rtl w:val="true"/>
        </w:rPr>
        <w:footnoteReference w:id="922"/>
      </w:r>
      <w:r>
        <w:rPr>
          <w:rFonts w:ascii="Amiri" w:hAnsi="Amiri" w:eastAsia="Amiri" w:cs="Amiri"/>
          <w:color w:val="111111"/>
          <w:sz w:val="28"/>
          <w:sz w:val="28"/>
          <w:szCs w:val="28"/>
          <w:rtl w:val="true"/>
          <w:lang w:bidi="ar-SA"/>
        </w:rPr>
        <w:t>مطلقاً</w:t>
      </w:r>
      <w:r>
        <w:rPr>
          <w:rStyle w:val="FootnoteAnchor"/>
          <w:rtl w:val="true"/>
        </w:rPr>
        <w:footnoteReference w:id="923"/>
      </w:r>
      <w:r>
        <w:rPr>
          <w:rFonts w:ascii="Amiri" w:hAnsi="Amiri" w:eastAsia="Amiri" w:cs="Amiri"/>
          <w:color w:val="111111"/>
          <w:sz w:val="28"/>
          <w:sz w:val="28"/>
          <w:szCs w:val="28"/>
          <w:rtl w:val="true"/>
          <w:lang w:bidi="ar-SA"/>
        </w:rPr>
        <w:t>، بحكم العرف، إلّا إذا كان المقتضي لصحة المعاملة منحصراً فيما يكون مضاداً للنهي فيفسد لا للنهي، بل لارتفاع المقتضي حينئذ</w:t>
      </w:r>
      <w:r>
        <w:rPr>
          <w:rFonts w:eastAsia="Amiri" w:cs="Amiri" w:ascii="Amiri" w:hAnsi="Amiri"/>
          <w:color w:val="111111"/>
          <w:sz w:val="28"/>
          <w:szCs w:val="28"/>
          <w:rtl w:val="true"/>
          <w:lang w:bidi="ar-SA"/>
        </w:rPr>
        <w:t>.</w:t>
      </w:r>
      <w:r>
        <w:rPr>
          <w:rStyle w:val="FootnoteAnchor"/>
          <w:rtl w:val="true"/>
        </w:rPr>
        <w:footnoteReference w:id="924"/>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نعم في المحرّمات الأصلية الغير التبعية والتوصلية من المعاملات، يحكم بالفساد بعد تعلق النهي؛ لدليل خارج وهو الاستقراء </w:t>
      </w:r>
      <w:r>
        <w:rPr>
          <w:rStyle w:val="FootnoteAnchor"/>
          <w:rtl w:val="true"/>
        </w:rPr>
        <w:footnoteReference w:id="926"/>
      </w:r>
      <w:r>
        <w:rPr>
          <w:rFonts w:ascii="Amiri" w:hAnsi="Amiri" w:eastAsia="Amiri" w:cs="Amiri"/>
          <w:color w:val="111111"/>
          <w:sz w:val="28"/>
          <w:sz w:val="28"/>
          <w:szCs w:val="28"/>
          <w:rtl w:val="true"/>
          <w:lang w:bidi="ar-SA"/>
        </w:rPr>
        <w:t>، وصحيحة زرارة</w:t>
      </w:r>
      <w:r>
        <w:rPr>
          <w:rStyle w:val="FootnoteAnchor"/>
          <w:rtl w:val="true"/>
        </w:rPr>
        <w:footnoteReference w:id="927"/>
      </w:r>
      <w:r>
        <w:rPr>
          <w:rFonts w:ascii="Amiri" w:hAnsi="Amiri" w:eastAsia="Amiri" w:cs="Amiri"/>
          <w:color w:val="111111"/>
          <w:sz w:val="28"/>
          <w:sz w:val="28"/>
          <w:szCs w:val="28"/>
          <w:rtl w:val="true"/>
          <w:lang w:bidi="ar-SA"/>
        </w:rPr>
        <w:t xml:space="preserve">، وليس لسائر الأقوال ما يعتمد عليه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شك في كون المأمور به عبادة أم معاملة، ففي إلحاق المشكوك بأيهما وجهان</w:t>
      </w:r>
      <w:r>
        <w:rPr>
          <w:rFonts w:eastAsia="Amiri" w:cs="Amiri" w:ascii="Amiri" w:hAnsi="Amiri"/>
          <w:color w:val="111111"/>
          <w:sz w:val="28"/>
          <w:szCs w:val="28"/>
          <w:rtl w:val="true"/>
          <w:lang w:bidi="ar-SA"/>
        </w:rPr>
        <w:t xml:space="preserve">. </w:t>
      </w:r>
      <w:bookmarkStart w:id="326" w:name="pg9015_97545"/>
    </w:p>
    <w:p>
      <w:pPr>
        <w:pStyle w:val="Heading2"/>
        <w:numPr>
          <w:ilvl w:val="1"/>
          <w:numId w:val="1"/>
        </w:numPr>
        <w:rPr/>
      </w:pPr>
      <w:bookmarkStart w:id="327" w:name="__RefHeading___Toc2001553_2870459653"/>
      <w:bookmarkStart w:id="328" w:name="_Toc126"/>
      <w:bookmarkEnd w:id="326"/>
      <w:bookmarkEnd w:id="327"/>
      <w:r>
        <w:rPr>
          <w:rtl w:val="true"/>
        </w:rPr>
        <w:t xml:space="preserve">أصل </w:t>
      </w:r>
      <w:r>
        <w:rPr>
          <w:rtl w:val="true"/>
        </w:rPr>
        <w:t>[</w:t>
      </w:r>
      <w:r>
        <w:rPr>
          <w:rtl w:val="true"/>
        </w:rPr>
        <w:t>في تعريف المنطوق والمفهوم</w:t>
      </w:r>
      <w:r>
        <w:rPr>
          <w:rtl w:val="true"/>
        </w:rPr>
        <w:t>]</w:t>
      </w:r>
      <w:bookmarkEnd w:id="328"/>
    </w:p>
    <w:p>
      <w:pPr>
        <w:pStyle w:val="BookText"/>
        <w:rPr/>
      </w:pPr>
      <w:r>
        <w:rPr>
          <w:rFonts w:ascii="Amiri" w:hAnsi="Amiri" w:eastAsia="Amiri" w:cs="Amiri"/>
          <w:color w:val="111111"/>
          <w:sz w:val="28"/>
          <w:sz w:val="28"/>
          <w:szCs w:val="28"/>
          <w:rtl w:val="true"/>
          <w:lang w:bidi="ar-SA"/>
        </w:rPr>
        <w:t>عرّفوا المنطوق والمفهوم بتعاريف، لا يسلم شيء منها من الخلل في عكس، أو طرد، أو لزوم واسطة</w:t>
      </w:r>
      <w:r>
        <w:rPr>
          <w:rStyle w:val="FootnoteAnchor"/>
          <w:rtl w:val="true"/>
        </w:rPr>
        <w:footnoteReference w:id="928"/>
      </w:r>
      <w:r>
        <w:rPr>
          <w:rFonts w:ascii="IRNazanin" w:hAnsi="IRNazanin" w:eastAsia="IRNazanin"/>
          <w:color w:val="111111"/>
          <w:sz w:val="28"/>
          <w:sz w:val="28"/>
          <w:szCs w:val="28"/>
          <w:rtl w:val="true"/>
          <w:lang w:bidi="fa-IR"/>
        </w:rPr>
        <w:t xml:space="preserve">، أحسنها أن المفهوم هو مدلول </w:t>
      </w:r>
      <w:r>
        <w:rPr>
          <w:rStyle w:val="FootnoteAnchor"/>
          <w:rtl w:val="true"/>
        </w:rPr>
        <w:footnoteReference w:id="929"/>
      </w:r>
      <w:r>
        <w:rPr>
          <w:rFonts w:ascii="Amiri" w:hAnsi="Amiri" w:eastAsia="Amiri" w:cs="Amiri"/>
          <w:color w:val="111111"/>
          <w:sz w:val="28"/>
          <w:sz w:val="28"/>
          <w:szCs w:val="28"/>
          <w:rtl w:val="true"/>
          <w:lang w:bidi="ar-SA"/>
        </w:rPr>
        <w:t>اللفظ ثانياً بطريق الأولوية، أو مدلول يكون مخالفاً لما استفيد من اللفظ أولا؛ والمنطوق 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دخول دلالة الأمر بالشيء على النهي عن ضدّه العام في المفهوم المخالف، و</w:t>
      </w:r>
      <w:r>
        <w:rPr>
          <w:rStyle w:val="FootnoteAnchor"/>
          <w:rtl w:val="true"/>
        </w:rPr>
        <w:footnoteReference w:id="930"/>
      </w:r>
      <w:r>
        <w:rPr>
          <w:rFonts w:ascii="Amiri" w:hAnsi="Amiri" w:eastAsia="Amiri" w:cs="Amiri"/>
          <w:color w:val="111111"/>
          <w:sz w:val="28"/>
          <w:sz w:val="28"/>
          <w:szCs w:val="28"/>
          <w:rtl w:val="true"/>
          <w:lang w:bidi="ar-SA"/>
        </w:rPr>
        <w:t>ليس مفهوماً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المعيار في المفهوم والمنطوق إمّا وجود الموضوع و</w:t>
      </w:r>
      <w:r>
        <w:rPr>
          <w:rStyle w:val="FootnoteAnchor"/>
          <w:rtl w:val="true"/>
        </w:rPr>
        <w:footnoteReference w:id="931"/>
      </w:r>
      <w:r>
        <w:rPr>
          <w:rFonts w:ascii="Amiri" w:hAnsi="Amiri" w:eastAsia="Amiri" w:cs="Amiri"/>
          <w:color w:val="111111"/>
          <w:sz w:val="28"/>
          <w:sz w:val="28"/>
          <w:szCs w:val="28"/>
          <w:rtl w:val="true"/>
          <w:lang w:bidi="ar-SA"/>
        </w:rPr>
        <w:t>عدمه، أو وجود الحكم و</w:t>
      </w:r>
      <w:r>
        <w:rPr>
          <w:rStyle w:val="FootnoteAnchor"/>
          <w:rtl w:val="true"/>
        </w:rPr>
        <w:footnoteReference w:id="932"/>
      </w:r>
      <w:r>
        <w:rPr>
          <w:rFonts w:ascii="Amiri" w:hAnsi="Amiri" w:eastAsia="Amiri" w:cs="Amiri"/>
          <w:color w:val="111111"/>
          <w:sz w:val="28"/>
          <w:sz w:val="28"/>
          <w:szCs w:val="28"/>
          <w:rtl w:val="true"/>
          <w:lang w:bidi="ar-SA"/>
        </w:rPr>
        <w:t>عدمه، أو وجودهما معاً في المنطوق وفقدهما معاً في المفهوم، أو وجودهما معاً</w:t>
      </w:r>
      <w:r>
        <w:rPr>
          <w:rStyle w:val="FootnoteAnchor"/>
          <w:rtl w:val="true"/>
        </w:rPr>
        <w:footnoteReference w:id="933"/>
      </w:r>
      <w:r>
        <w:rPr>
          <w:rFonts w:ascii="Amiri" w:hAnsi="Amiri" w:eastAsia="Amiri" w:cs="Amiri"/>
          <w:color w:val="111111"/>
          <w:sz w:val="28"/>
          <w:sz w:val="28"/>
          <w:szCs w:val="28"/>
          <w:rtl w:val="true"/>
          <w:lang w:bidi="ar-SA"/>
        </w:rPr>
        <w:t>في المنطوق وعدم وجودهما معاً</w:t>
      </w:r>
      <w:r>
        <w:rPr>
          <w:rStyle w:val="FootnoteAnchor"/>
          <w:rtl w:val="true"/>
        </w:rPr>
        <w:footnoteReference w:id="934"/>
      </w:r>
      <w:r>
        <w:rPr>
          <w:rFonts w:ascii="Amiri" w:hAnsi="Amiri" w:eastAsia="Amiri" w:cs="Amiri"/>
          <w:color w:val="111111"/>
          <w:sz w:val="28"/>
          <w:sz w:val="28"/>
          <w:szCs w:val="28"/>
          <w:rtl w:val="true"/>
          <w:lang w:bidi="ar-SA"/>
        </w:rPr>
        <w:t xml:space="preserve">في المفهوم، سواء وجد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w:t>
      </w:r>
      <w:r>
        <w:rPr>
          <w:rStyle w:val="FootnoteAnchor"/>
          <w:rtl w:val="true"/>
        </w:rPr>
        <w:footnoteReference w:id="935"/>
      </w:r>
      <w:r>
        <w:rPr>
          <w:rFonts w:ascii="Amiri" w:hAnsi="Amiri" w:eastAsia="Amiri" w:cs="Amiri"/>
          <w:color w:val="111111"/>
          <w:sz w:val="28"/>
          <w:sz w:val="28"/>
          <w:szCs w:val="28"/>
          <w:rtl w:val="true"/>
          <w:lang w:bidi="ar-SA"/>
        </w:rPr>
        <w:t>لم يوجد شيء منهما، أو وجود أحدهما</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في المنطوق وفقدهما جميعاً في المفهوم ولا يخلو شيء منها عن المحذور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صريح كما في الدلالة المطابقية، أو غير صريح كما في الالتزامية</w:t>
      </w:r>
      <w:r>
        <w:rPr>
          <w:rStyle w:val="FootnoteAnchor"/>
          <w:rtl w:val="true"/>
        </w:rPr>
        <w:footnoteReference w:id="93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التضمنية فليست من الدلالة اللفظية حتى تدخل في المنطوق أو المفهوم</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ثم المنطوق الغير الصريح على أقسام المدلول عليه بدلالة الاقتضاء، أو التنبيه والإيماء،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الإشارة؛ والأولى جعل دلالة الإشارة كالتضمنية؛ وفي</w:t>
      </w:r>
      <w:r>
        <w:rPr>
          <w:rStyle w:val="FootnoteAnchor"/>
          <w:rtl w:val="true"/>
        </w:rPr>
        <w:footnoteReference w:id="940"/>
      </w:r>
      <w:r>
        <w:rPr>
          <w:rFonts w:ascii="Amiri" w:hAnsi="Amiri" w:eastAsia="Amiri" w:cs="Amiri"/>
          <w:color w:val="111111"/>
          <w:sz w:val="28"/>
          <w:sz w:val="28"/>
          <w:szCs w:val="28"/>
          <w:rtl w:val="true"/>
          <w:lang w:bidi="ar-SA"/>
        </w:rPr>
        <w:t xml:space="preserve">جعل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المنطوق الصريح، أو من دلالة الاقتضاء،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المفهوم إما موافق، أو مخالف، والأخير على </w:t>
      </w:r>
      <w:r>
        <w:rPr>
          <w:rStyle w:val="FootnoteAnchor"/>
          <w:rtl w:val="true"/>
        </w:rPr>
        <w:footnoteReference w:id="941"/>
      </w:r>
      <w:r>
        <w:rPr>
          <w:rFonts w:ascii="Amiri" w:hAnsi="Amiri" w:eastAsia="Amiri" w:cs="Amiri"/>
          <w:color w:val="111111"/>
          <w:sz w:val="28"/>
          <w:sz w:val="28"/>
          <w:szCs w:val="28"/>
          <w:rtl w:val="true"/>
          <w:lang w:bidi="ar-SA"/>
        </w:rPr>
        <w:t>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الشرط،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المشتقات ومثل الوصف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القيد والحصر واللقب والزمان والعدد</w:t>
      </w:r>
      <w:r>
        <w:rPr>
          <w:rFonts w:eastAsia="Amiri" w:cs="Amiri" w:ascii="Amiri" w:hAnsi="Amiri"/>
          <w:color w:val="111111"/>
          <w:sz w:val="28"/>
          <w:szCs w:val="28"/>
          <w:rtl w:val="true"/>
          <w:lang w:bidi="ar-SA"/>
        </w:rPr>
        <w:t>.</w:t>
      </w:r>
      <w:r>
        <w:rPr>
          <w:rStyle w:val="FootnoteAnchor"/>
          <w:rtl w:val="true"/>
        </w:rPr>
        <w:footnoteReference w:id="94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يصح إرادة المفهوم المخالف بعد قيام القرينة على عدم إرادة المنطوق لا التزاما؛ لأنه محال بعد نفي المطابقة، ولا مطابقة مجازية؛ للاستنكار العرفي، وفي</w:t>
      </w:r>
      <w:r>
        <w:rPr>
          <w:rStyle w:val="FootnoteAnchor"/>
          <w:rtl w:val="true"/>
        </w:rPr>
        <w:footnoteReference w:id="943"/>
      </w:r>
      <w:r>
        <w:rPr>
          <w:rFonts w:ascii="IRNazanin" w:hAnsi="IRNazanin" w:eastAsia="IRNazanin"/>
          <w:color w:val="111111"/>
          <w:sz w:val="28"/>
          <w:sz w:val="28"/>
          <w:szCs w:val="28"/>
          <w:rtl w:val="true"/>
          <w:lang w:bidi="fa-IR"/>
        </w:rPr>
        <w:t>المفهوم الموافق وجهان</w:t>
      </w:r>
      <w:r>
        <w:rPr>
          <w:rFonts w:eastAsia="IRNazanin" w:cs="IRNazanin"/>
          <w:color w:val="111111"/>
          <w:sz w:val="28"/>
          <w:szCs w:val="28"/>
          <w:rtl w:val="true"/>
          <w:lang w:bidi="fa-IR"/>
        </w:rPr>
        <w:t>.</w:t>
      </w:r>
      <w:r>
        <w:rPr>
          <w:rStyle w:val="FootnoteAnchor"/>
          <w:rtl w:val="true"/>
        </w:rPr>
        <w:footnoteReference w:id="944"/>
      </w:r>
      <w:bookmarkStart w:id="329" w:name="pg9015_97547"/>
    </w:p>
    <w:p>
      <w:pPr>
        <w:pStyle w:val="Heading2"/>
        <w:numPr>
          <w:ilvl w:val="1"/>
          <w:numId w:val="1"/>
        </w:numPr>
        <w:rPr/>
      </w:pPr>
      <w:bookmarkStart w:id="330" w:name="__RefHeading___Toc2001555_2870459653"/>
      <w:bookmarkStart w:id="331" w:name="_Toc127"/>
      <w:bookmarkEnd w:id="329"/>
      <w:bookmarkEnd w:id="330"/>
      <w:r>
        <w:rPr>
          <w:rtl w:val="true"/>
        </w:rPr>
        <w:t xml:space="preserve">أصل </w:t>
      </w:r>
      <w:r>
        <w:rPr>
          <w:rtl w:val="true"/>
        </w:rPr>
        <w:t>[</w:t>
      </w:r>
      <w:r>
        <w:rPr>
          <w:rtl w:val="true"/>
        </w:rPr>
        <w:t>في حجية مفهوم الشرط</w:t>
      </w:r>
      <w:r>
        <w:rPr>
          <w:rtl w:val="true"/>
        </w:rPr>
        <w:t>]</w:t>
      </w:r>
      <w:bookmarkEnd w:id="331"/>
    </w:p>
    <w:p>
      <w:pPr>
        <w:pStyle w:val="Heading3"/>
        <w:numPr>
          <w:ilvl w:val="2"/>
          <w:numId w:val="1"/>
        </w:numPr>
        <w:rPr/>
      </w:pPr>
      <w:bookmarkStart w:id="332" w:name="__RefHeading___Toc2001557_2870459653"/>
      <w:bookmarkStart w:id="333" w:name="_Toc128"/>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في حجيَّة مفهوم الشرط مطلقاً</w:t>
      </w:r>
      <w:r>
        <w:rPr>
          <w:rStyle w:val="FootnoteAnchor"/>
          <w:rtl w:val="true"/>
        </w:rPr>
        <w:footnoteReference w:id="945"/>
      </w:r>
      <w:r>
        <w:rPr>
          <w:rFonts w:ascii="Amiri" w:hAnsi="Amiri" w:eastAsia="Amiri" w:cs="Amiri"/>
          <w:color w:val="111111"/>
          <w:sz w:val="28"/>
          <w:sz w:val="28"/>
          <w:szCs w:val="28"/>
          <w:rtl w:val="true"/>
          <w:lang w:bidi="ar-SA"/>
        </w:rPr>
        <w:t>، أو في</w:t>
      </w:r>
      <w:r>
        <w:rPr>
          <w:rStyle w:val="FootnoteAnchor"/>
          <w:rtl w:val="true"/>
        </w:rPr>
        <w:footnoteReference w:id="946"/>
      </w:r>
      <w:r>
        <w:rPr>
          <w:rFonts w:ascii="IRNazanin" w:hAnsi="IRNazanin" w:eastAsia="IRNazanin"/>
          <w:color w:val="111111"/>
          <w:sz w:val="28"/>
          <w:sz w:val="28"/>
          <w:szCs w:val="28"/>
          <w:rtl w:val="true"/>
          <w:lang w:bidi="fa-IR"/>
        </w:rPr>
        <w:t>خصوص الإنشاء</w:t>
      </w:r>
      <w:r>
        <w:rPr>
          <w:rStyle w:val="FootnoteAnchor"/>
          <w:rtl w:val="true"/>
        </w:rPr>
        <w:footnoteReference w:id="9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خصوص</w:t>
      </w:r>
      <w:r>
        <w:rPr>
          <w:rFonts w:eastAsia="Amiri" w:cs="Amiri" w:ascii="Amiri" w:hAnsi="Amiri"/>
          <w:color w:val="111111"/>
          <w:sz w:val="28"/>
          <w:szCs w:val="28"/>
          <w:rtl w:val="true"/>
          <w:lang w:bidi="ar-SA"/>
        </w:rPr>
        <w:t>)</w:t>
      </w:r>
      <w:r>
        <w:rPr>
          <w:rStyle w:val="FootnoteAnchor"/>
          <w:rtl w:val="true"/>
        </w:rPr>
        <w:footnoteReference w:id="948"/>
      </w:r>
      <w:r>
        <w:rPr>
          <w:rFonts w:ascii="IRNazanin" w:hAnsi="IRNazanin" w:eastAsia="IRNazanin"/>
          <w:color w:val="111111"/>
          <w:sz w:val="28"/>
          <w:sz w:val="28"/>
          <w:szCs w:val="28"/>
          <w:rtl w:val="true"/>
          <w:lang w:bidi="fa-IR"/>
        </w:rPr>
        <w:t>الشرع</w:t>
      </w:r>
      <w:r>
        <w:rPr>
          <w:rStyle w:val="FootnoteAnchor"/>
          <w:rtl w:val="true"/>
        </w:rPr>
        <w:footnoteReference w:id="949"/>
      </w:r>
      <w:r>
        <w:rPr>
          <w:rFonts w:ascii="IRNazanin" w:hAnsi="IRNazanin" w:eastAsia="IRNazanin"/>
          <w:color w:val="111111"/>
          <w:sz w:val="28"/>
          <w:sz w:val="28"/>
          <w:szCs w:val="28"/>
          <w:rtl w:val="true"/>
          <w:lang w:bidi="fa-IR"/>
        </w:rPr>
        <w:t>، أو عدمها مطلقاً</w:t>
      </w:r>
      <w:r>
        <w:rPr>
          <w:rStyle w:val="FootnoteAnchor"/>
          <w:rtl w:val="true"/>
        </w:rPr>
        <w:footnoteReference w:id="950"/>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أنّ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الحجام إذا شق الجلد بمبضعته ولم يدم وبالسكون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الإلزام و </w:t>
      </w:r>
      <w:r>
        <w:rPr>
          <w:rFonts w:eastAsia="Amiri" w:cs="Amiri" w:ascii="Amiri" w:hAnsi="Amiri"/>
          <w:color w:val="111111"/>
          <w:sz w:val="28"/>
          <w:szCs w:val="28"/>
          <w:rtl w:val="true"/>
          <w:lang w:bidi="ar-SA"/>
        </w:rPr>
        <w:t>)</w:t>
      </w:r>
      <w:r>
        <w:rPr>
          <w:rStyle w:val="FootnoteAnchor"/>
          <w:rtl w:val="true"/>
        </w:rPr>
        <w:footnoteReference w:id="951"/>
      </w:r>
      <w:r>
        <w:rPr>
          <w:rFonts w:ascii="IRNazanin" w:hAnsi="IRNazanin" w:eastAsia="IRNazanin"/>
          <w:color w:val="111111"/>
          <w:sz w:val="28"/>
          <w:sz w:val="28"/>
          <w:szCs w:val="28"/>
          <w:rtl w:val="true"/>
          <w:lang w:bidi="fa-IR"/>
        </w:rPr>
        <w:t>الالتزام</w:t>
      </w:r>
      <w:r>
        <w:rPr>
          <w:rFonts w:eastAsia="IRNazanin" w:cs="IRNazanin"/>
          <w:color w:val="111111"/>
          <w:sz w:val="28"/>
          <w:szCs w:val="28"/>
          <w:rtl w:val="true"/>
          <w:lang w:bidi="fa-IR"/>
        </w:rPr>
        <w:t>.</w:t>
      </w:r>
      <w:r>
        <w:rPr>
          <w:rStyle w:val="FootnoteAnchor"/>
          <w:rtl w:val="true"/>
        </w:rPr>
        <w:footnoteReference w:id="95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عرفنا ما يتوقف عليه وجود الشيء، ولا يلزم من وجوده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العرف العام يحتمل كونه حقيقة في السبب، أو في ملزوم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القدر المشترك بينهما، أو في الشرط المصطلح عندنا كما هو الأصل</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4"/>
      </w:r>
      <w:r>
        <w:rPr>
          <w:rFonts w:ascii="Amiri" w:hAnsi="Amiri" w:eastAsia="Amiri" w:cs="Amiri"/>
          <w:color w:val="111111"/>
          <w:sz w:val="28"/>
          <w:sz w:val="28"/>
          <w:szCs w:val="28"/>
          <w:rtl w:val="true"/>
          <w:lang w:bidi="ar-SA"/>
        </w:rPr>
        <w:t>، أو في القدر المشترك بينه وبين السبب، وهذا أظهر</w:t>
      </w:r>
      <w:r>
        <w:rPr>
          <w:rFonts w:eastAsia="Amiri" w:cs="Amiri" w:ascii="Amiri" w:hAnsi="Amiri"/>
          <w:color w:val="111111"/>
          <w:sz w:val="28"/>
          <w:szCs w:val="28"/>
          <w:rtl w:val="true"/>
          <w:lang w:bidi="ar-SA"/>
        </w:rPr>
        <w:t>.</w:t>
      </w:r>
      <w:r>
        <w:rPr>
          <w:rStyle w:val="FootnoteAnchor"/>
          <w:rtl w:val="true"/>
        </w:rPr>
        <w:footnoteReference w:id="955"/>
      </w:r>
      <w:bookmarkStart w:id="334" w:name="pg9015_97548"/>
    </w:p>
    <w:p>
      <w:pPr>
        <w:pStyle w:val="BookText"/>
        <w:rPr/>
      </w:pPr>
      <w:bookmarkEnd w:id="334"/>
      <w:r>
        <w:rPr>
          <w:rFonts w:ascii="Amiri" w:hAnsi="Amiri" w:eastAsia="Amiri" w:cs="Amiri"/>
          <w:color w:val="111111"/>
          <w:sz w:val="28"/>
          <w:sz w:val="28"/>
          <w:szCs w:val="28"/>
          <w:rtl w:val="true"/>
          <w:lang w:bidi="ar-SA"/>
        </w:rPr>
        <w:t>وفي عرف النحاة يطلق على ما تلا حرف الشرط في الجملة</w:t>
      </w:r>
      <w:r>
        <w:rPr>
          <w:rStyle w:val="FootnoteAnchor"/>
          <w:rtl w:val="true"/>
        </w:rPr>
        <w:footnoteReference w:id="956"/>
      </w:r>
      <w:r>
        <w:rPr>
          <w:rFonts w:ascii="Amiri" w:hAnsi="Amiri" w:eastAsia="Amiri" w:cs="Amiri"/>
          <w:color w:val="111111"/>
          <w:sz w:val="28"/>
          <w:sz w:val="28"/>
          <w:szCs w:val="28"/>
          <w:rtl w:val="true"/>
          <w:lang w:bidi="ar-SA"/>
        </w:rPr>
        <w:t xml:space="preserve">، لكن في مثل ما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 وفيما لم يكن سبباً، بل ملزوماً مثل إن كان هذا إنساناً كان حيواناً ، وجهان</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ثم إن الهيئة التركيبية المصدرة بأداة </w:t>
      </w:r>
      <w:r>
        <w:rPr>
          <w:rStyle w:val="FootnoteAnchor"/>
          <w:rtl w:val="true"/>
        </w:rPr>
        <w:footnoteReference w:id="958"/>
      </w:r>
      <w:r>
        <w:rPr>
          <w:rFonts w:ascii="Amiri" w:hAnsi="Amiri" w:eastAsia="Amiri" w:cs="Amiri"/>
          <w:color w:val="111111"/>
          <w:sz w:val="28"/>
          <w:sz w:val="28"/>
          <w:szCs w:val="28"/>
          <w:rtl w:val="true"/>
          <w:lang w:bidi="ar-SA"/>
        </w:rPr>
        <w:t>الشرط قد تطلق ويراد بها التعميم</w:t>
      </w:r>
      <w:r>
        <w:rPr>
          <w:rStyle w:val="FootnoteAnchor"/>
          <w:rtl w:val="true"/>
        </w:rPr>
        <w:footnoteReference w:id="959"/>
      </w:r>
      <w:r>
        <w:rPr>
          <w:rFonts w:ascii="Amiri" w:hAnsi="Amiri" w:eastAsia="Amiri" w:cs="Amiri"/>
          <w:color w:val="111111"/>
          <w:sz w:val="28"/>
          <w:sz w:val="28"/>
          <w:szCs w:val="28"/>
          <w:rtl w:val="true"/>
          <w:lang w:bidi="ar-SA"/>
        </w:rPr>
        <w:t xml:space="preserve">، أو السببية </w:t>
      </w:r>
      <w:r>
        <w:rPr>
          <w:rStyle w:val="FootnoteAnchor"/>
          <w:rtl w:val="true"/>
        </w:rPr>
        <w:footnoteReference w:id="960"/>
      </w:r>
      <w:r>
        <w:rPr>
          <w:rFonts w:ascii="Amiri" w:hAnsi="Amiri" w:eastAsia="Amiri" w:cs="Amiri"/>
          <w:color w:val="111111"/>
          <w:sz w:val="28"/>
          <w:sz w:val="28"/>
          <w:szCs w:val="28"/>
          <w:rtl w:val="true"/>
          <w:lang w:bidi="ar-SA"/>
        </w:rPr>
        <w:t>، أو استلزام وجود الأول لوجود الثاني</w:t>
      </w:r>
      <w:r>
        <w:rPr>
          <w:rStyle w:val="FootnoteAnchor"/>
          <w:rtl w:val="true"/>
        </w:rPr>
        <w:footnoteReference w:id="961"/>
      </w:r>
      <w:r>
        <w:rPr>
          <w:rFonts w:ascii="Amiri" w:hAnsi="Amiri" w:eastAsia="Amiri" w:cs="Amiri"/>
          <w:color w:val="111111"/>
          <w:sz w:val="28"/>
          <w:sz w:val="28"/>
          <w:szCs w:val="28"/>
          <w:rtl w:val="true"/>
          <w:lang w:bidi="ar-SA"/>
        </w:rPr>
        <w:t>، أو ذلك إرادة كشف مع انتفاء الثاني عن انتفاء الأول</w:t>
      </w:r>
      <w:r>
        <w:rPr>
          <w:rStyle w:val="FootnoteAnchor"/>
          <w:rtl w:val="true"/>
        </w:rPr>
        <w:footnoteReference w:id="962"/>
      </w:r>
      <w:r>
        <w:rPr>
          <w:rFonts w:ascii="Amiri" w:hAnsi="Amiri" w:eastAsia="Amiri" w:cs="Amiri"/>
          <w:color w:val="111111"/>
          <w:sz w:val="28"/>
          <w:sz w:val="28"/>
          <w:szCs w:val="28"/>
          <w:rtl w:val="true"/>
          <w:lang w:bidi="ar-SA"/>
        </w:rPr>
        <w:t>، أو يراد بها توقف الحكم بالجملة الثانية على وجود الأولى</w:t>
      </w:r>
      <w:r>
        <w:rPr>
          <w:rFonts w:eastAsia="Amiri" w:cs="Amiri" w:ascii="Amiri" w:hAnsi="Amiri"/>
          <w:color w:val="111111"/>
          <w:sz w:val="28"/>
          <w:szCs w:val="28"/>
          <w:rtl w:val="true"/>
          <w:lang w:bidi="ar-SA"/>
        </w:rPr>
        <w:t>.</w:t>
      </w:r>
      <w:r>
        <w:rPr>
          <w:rStyle w:val="FootnoteAnchor"/>
          <w:rtl w:val="true"/>
        </w:rPr>
        <w:footnoteReference w:id="963"/>
      </w:r>
      <w:r>
        <w:rPr>
          <w:rStyle w:val="FootnoteAnchor"/>
          <w:rtl w:val="true"/>
        </w:rPr>
        <w:footnoteReference w:id="964"/>
      </w:r>
    </w:p>
    <w:p>
      <w:pPr>
        <w:pStyle w:val="Heading3"/>
        <w:numPr>
          <w:ilvl w:val="2"/>
          <w:numId w:val="1"/>
        </w:numPr>
        <w:rPr/>
      </w:pPr>
      <w:bookmarkStart w:id="335" w:name="__RefHeading___Toc2001559_2870459653"/>
      <w:bookmarkStart w:id="336" w:name="_Toc129"/>
      <w:bookmarkEnd w:id="335"/>
      <w:r>
        <w:rPr>
          <w:rtl w:val="true"/>
        </w:rPr>
        <w:t>[</w:t>
      </w:r>
      <w:r>
        <w:rPr>
          <w:rtl w:val="true"/>
        </w:rPr>
        <w:t>تحرير محل النزاع</w:t>
      </w:r>
      <w:r>
        <w:rPr>
          <w:rtl w:val="true"/>
        </w:rPr>
        <w:t>]</w:t>
      </w:r>
      <w:bookmarkEnd w:id="33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ريب في عدم كون لفظ</w:t>
      </w:r>
      <w:r>
        <w:rPr>
          <w:rStyle w:val="FootnoteAnchor"/>
          <w:rtl w:val="true"/>
        </w:rPr>
        <w:footnoteReference w:id="965"/>
      </w:r>
      <w:r>
        <w:rPr>
          <w:rFonts w:ascii="Amiri" w:hAnsi="Amiri" w:eastAsia="Amiri" w:cs="Amiri"/>
          <w:color w:val="111111"/>
          <w:sz w:val="28"/>
          <w:sz w:val="28"/>
          <w:szCs w:val="28"/>
          <w:rtl w:val="true"/>
          <w:lang w:bidi="ar-SA"/>
        </w:rPr>
        <w:t xml:space="preserve">الشرط ولا الشرط الأصولي محلا للنزاع، بل محله الشرط النحوي في الدلالة اللفظية أصلها ، لا كيفيتها </w:t>
      </w:r>
      <w:r>
        <w:rPr>
          <w:rStyle w:val="FootnoteAnchor"/>
          <w:rtl w:val="true"/>
        </w:rPr>
        <w:footnoteReference w:id="966"/>
      </w:r>
      <w:r>
        <w:rPr>
          <w:rFonts w:ascii="Amiri" w:hAnsi="Amiri" w:eastAsia="Amiri" w:cs="Amiri"/>
          <w:color w:val="111111"/>
          <w:sz w:val="28"/>
          <w:sz w:val="28"/>
          <w:szCs w:val="28"/>
          <w:rtl w:val="true"/>
          <w:lang w:bidi="ar-SA"/>
        </w:rPr>
        <w:t xml:space="preserve">، ولا في الدلالة العقلية، أعمّ من الحروف والأسماء المتضمنة لمعانيها، وما </w:t>
      </w:r>
      <w:r>
        <w:rPr>
          <w:rStyle w:val="FootnoteAnchor"/>
          <w:rtl w:val="true"/>
        </w:rPr>
        <w:footnoteReference w:id="967"/>
      </w:r>
      <w:r>
        <w:rPr>
          <w:rFonts w:ascii="Amiri" w:hAnsi="Amiri" w:eastAsia="Amiri" w:cs="Amiri"/>
          <w:color w:val="111111"/>
          <w:sz w:val="28"/>
          <w:sz w:val="28"/>
          <w:szCs w:val="28"/>
          <w:rtl w:val="true"/>
          <w:lang w:bidi="ar-SA"/>
        </w:rPr>
        <w:t xml:space="preserve">إذا كان الجزاء إخباراً أم إنشاءً، وفي </w:t>
      </w:r>
      <w:bookmarkStart w:id="337" w:name="pg9015_97549"/>
    </w:p>
    <w:p>
      <w:pPr>
        <w:pStyle w:val="BookText"/>
        <w:rPr/>
      </w:pPr>
      <w:bookmarkEnd w:id="337"/>
      <w:r>
        <w:rPr>
          <w:rFonts w:ascii="Amiri" w:hAnsi="Amiri" w:eastAsia="Amiri" w:cs="Amiri"/>
          <w:color w:val="111111"/>
          <w:sz w:val="28"/>
          <w:sz w:val="28"/>
          <w:szCs w:val="28"/>
          <w:rtl w:val="true"/>
          <w:lang w:bidi="ar-SA"/>
        </w:rPr>
        <w:t>إفادة الهيئة التركيبية المفهوم ،وعدمها، لا في إفادة أداة</w:t>
      </w:r>
      <w:r>
        <w:rPr>
          <w:rStyle w:val="FootnoteAnchor"/>
          <w:rtl w:val="true"/>
        </w:rPr>
        <w:footnoteReference w:id="968"/>
      </w:r>
      <w:r>
        <w:rPr>
          <w:rFonts w:ascii="Amiri" w:hAnsi="Amiri" w:eastAsia="Amiri" w:cs="Amiri"/>
          <w:color w:val="111111"/>
          <w:sz w:val="28"/>
          <w:sz w:val="28"/>
          <w:szCs w:val="28"/>
          <w:rtl w:val="true"/>
          <w:lang w:bidi="ar-SA"/>
        </w:rPr>
        <w:t>الشرط ذلك</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2001561_2870459653"/>
      <w:bookmarkStart w:id="339" w:name="_Toc130"/>
      <w:bookmarkEnd w:id="338"/>
      <w:r>
        <w:rPr>
          <w:rtl w:val="true"/>
        </w:rPr>
        <w:t>[</w:t>
      </w:r>
      <w:r>
        <w:rPr>
          <w:rtl w:val="true"/>
        </w:rPr>
        <w:t>تأسيس الأصل</w:t>
      </w:r>
      <w:r>
        <w:rPr>
          <w:rtl w:val="true"/>
        </w:rPr>
        <w:t>]</w:t>
      </w:r>
      <w:bookmarkEnd w:id="339"/>
    </w:p>
    <w:p>
      <w:pPr>
        <w:pStyle w:val="BookText"/>
        <w:rPr/>
      </w:pPr>
      <w:r>
        <w:rPr>
          <w:rFonts w:ascii="Amiri" w:hAnsi="Amiri" w:eastAsia="Amiri" w:cs="Amiri"/>
          <w:color w:val="111111"/>
          <w:sz w:val="28"/>
          <w:sz w:val="28"/>
          <w:szCs w:val="28"/>
          <w:rtl w:val="true"/>
          <w:lang w:bidi="ar-SA"/>
        </w:rPr>
        <w:t>ثم مقتضى أصالة التوقف</w:t>
      </w:r>
      <w:r>
        <w:rPr>
          <w:rStyle w:val="FootnoteAnchor"/>
          <w:rtl w:val="true"/>
        </w:rPr>
        <w:footnoteReference w:id="969"/>
      </w:r>
      <w:r>
        <w:rPr>
          <w:rFonts w:ascii="IRNazanin" w:hAnsi="IRNazanin" w:eastAsia="IRNazanin"/>
          <w:color w:val="111111"/>
          <w:sz w:val="28"/>
          <w:sz w:val="28"/>
          <w:szCs w:val="28"/>
          <w:rtl w:val="true"/>
          <w:lang w:bidi="fa-IR"/>
        </w:rPr>
        <w:t xml:space="preserve">، وعدم الوضع للمفهوم </w:t>
      </w:r>
      <w:r>
        <w:rPr>
          <w:rStyle w:val="FootnoteAnchor"/>
          <w:rtl w:val="true"/>
        </w:rPr>
        <w:footnoteReference w:id="970"/>
      </w:r>
      <w:r>
        <w:rPr>
          <w:rFonts w:ascii="Amiri" w:hAnsi="Amiri" w:eastAsia="Amiri" w:cs="Amiri"/>
          <w:color w:val="111111"/>
          <w:sz w:val="28"/>
          <w:sz w:val="28"/>
          <w:szCs w:val="28"/>
          <w:rtl w:val="true"/>
          <w:lang w:bidi="ar-SA"/>
        </w:rPr>
        <w:t>إن اعتبرنا هذا الأصل، وأصالة البراءة فيما إذا كان المفهوم مخالفاً للأصل، وأصالة عدم التقييد والتخصيص</w:t>
      </w:r>
      <w:r>
        <w:rPr>
          <w:rStyle w:val="FootnoteAnchor"/>
          <w:rtl w:val="true"/>
        </w:rPr>
        <w:footnoteReference w:id="971"/>
      </w:r>
      <w:r>
        <w:rPr>
          <w:rFonts w:ascii="Amiri" w:hAnsi="Amiri" w:eastAsia="Amiri" w:cs="Amiri"/>
          <w:color w:val="111111"/>
          <w:sz w:val="28"/>
          <w:sz w:val="28"/>
          <w:szCs w:val="28"/>
          <w:rtl w:val="true"/>
          <w:lang w:bidi="ar-SA"/>
        </w:rPr>
        <w:t xml:space="preserve">فيما إذا كان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مخصصاً أو مقيداً لدليل معارض ، عدم دلالة اللفظ على المفهوم</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مضافاً إلى أصالة الاشتراك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الحق الحجية مطلقاً؛ للتبادر، والدلالة التزامية</w:t>
      </w:r>
      <w:r>
        <w:rPr>
          <w:rStyle w:val="FootnoteAnchor"/>
          <w:rtl w:val="true"/>
        </w:rPr>
        <w:footnoteReference w:id="973"/>
      </w:r>
      <w:r>
        <w:rPr>
          <w:rFonts w:ascii="Amiri" w:hAnsi="Amiri" w:eastAsia="Amiri" w:cs="Amiri"/>
          <w:color w:val="111111"/>
          <w:sz w:val="28"/>
          <w:sz w:val="28"/>
          <w:szCs w:val="28"/>
          <w:rtl w:val="true"/>
          <w:lang w:bidi="ar-SA"/>
        </w:rPr>
        <w:t>، والدالّ</w:t>
      </w:r>
      <w:r>
        <w:rPr>
          <w:rStyle w:val="FootnoteAnchor"/>
          <w:rtl w:val="true"/>
        </w:rPr>
        <w:footnoteReference w:id="974"/>
      </w:r>
      <w:r>
        <w:rPr>
          <w:rFonts w:ascii="Amiri" w:hAnsi="Amiri" w:eastAsia="Amiri" w:cs="Amiri"/>
          <w:color w:val="111111"/>
          <w:sz w:val="28"/>
          <w:sz w:val="28"/>
          <w:szCs w:val="28"/>
          <w:rtl w:val="true"/>
          <w:lang w:bidi="ar-SA"/>
        </w:rPr>
        <w:t xml:space="preserve">على السببية والتعليق هو أداة </w:t>
      </w:r>
      <w:r>
        <w:rPr>
          <w:rStyle w:val="FootnoteAnchor"/>
          <w:rtl w:val="true"/>
        </w:rPr>
        <w:footnoteReference w:id="975"/>
      </w:r>
      <w:r>
        <w:rPr>
          <w:rFonts w:ascii="Amiri" w:hAnsi="Amiri" w:eastAsia="Amiri" w:cs="Amiri"/>
          <w:color w:val="111111"/>
          <w:sz w:val="28"/>
          <w:sz w:val="28"/>
          <w:szCs w:val="28"/>
          <w:rtl w:val="true"/>
          <w:lang w:bidi="ar-SA"/>
        </w:rPr>
        <w:t>الشرط لا الهيئة ،التركيبية والدلالة العقلية مفقودة للأصول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وجود المفهوم المخالف عدم كون المخالف أولى بالحكم المذكور،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أهانك زيد فلا تهنه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مفهوم مخالف</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w:t>
      </w:r>
      <w:r>
        <w:rPr>
          <w:rStyle w:val="FootnoteAnchor"/>
          <w:rtl w:val="true"/>
        </w:rPr>
        <w:footnoteReference w:id="976"/>
      </w:r>
      <w:r>
        <w:rPr>
          <w:rFonts w:ascii="Amiri" w:hAnsi="Amiri" w:eastAsia="Amiri" w:cs="Amiri"/>
          <w:color w:val="111111"/>
          <w:sz w:val="28"/>
          <w:sz w:val="28"/>
          <w:szCs w:val="28"/>
          <w:rtl w:val="true"/>
          <w:lang w:bidi="ar-SA"/>
        </w:rPr>
        <w:t xml:space="preserve">المواد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جزاء الشرط، فمفهومها سلب الحكم المذكور عن غير المنطوق سنخاً عيناً وتخييراً </w:t>
      </w:r>
      <w:r>
        <w:rPr>
          <w:rStyle w:val="FootnoteAnchor"/>
          <w:rtl w:val="true"/>
        </w:rPr>
        <w:footnoteReference w:id="977"/>
      </w:r>
      <w:r>
        <w:rPr>
          <w:rFonts w:ascii="Amiri" w:hAnsi="Amiri" w:eastAsia="Amiri" w:cs="Amiri"/>
          <w:color w:val="111111"/>
          <w:sz w:val="28"/>
          <w:sz w:val="28"/>
          <w:szCs w:val="28"/>
          <w:rtl w:val="true"/>
          <w:lang w:bidi="ar-SA"/>
        </w:rPr>
        <w:t>للتبادر ، وكذا الهيئات</w:t>
      </w:r>
      <w:r>
        <w:rPr>
          <w:rFonts w:eastAsia="Amiri" w:cs="Amiri" w:ascii="Amiri" w:hAnsi="Amiri"/>
          <w:color w:val="111111"/>
          <w:sz w:val="28"/>
          <w:szCs w:val="28"/>
          <w:rtl w:val="true"/>
          <w:lang w:bidi="ar-SA"/>
        </w:rPr>
        <w:t xml:space="preserve">. </w:t>
      </w:r>
      <w:bookmarkStart w:id="340" w:name="pg9015_97550"/>
    </w:p>
    <w:p>
      <w:pPr>
        <w:pStyle w:val="BookText"/>
        <w:rPr/>
      </w:pPr>
      <w:bookmarkEnd w:id="340"/>
      <w:r>
        <w:rPr>
          <w:rFonts w:ascii="Amiri" w:hAnsi="Amiri" w:eastAsia="Amiri" w:cs="Amiri"/>
          <w:color w:val="111111"/>
          <w:sz w:val="28"/>
          <w:sz w:val="28"/>
          <w:szCs w:val="28"/>
          <w:rtl w:val="true"/>
          <w:lang w:bidi="ar-SA"/>
        </w:rPr>
        <w:t>ثم قد شرطوا في حجية مفهوم الشرط عدم وروده مورد الغالب، وقد علّله بعض من عاصرناه</w:t>
      </w:r>
      <w:r>
        <w:rPr>
          <w:rStyle w:val="FootnoteAnchor"/>
          <w:rtl w:val="true"/>
        </w:rPr>
        <w:footnoteReference w:id="978"/>
      </w:r>
      <w:r>
        <w:rPr>
          <w:rStyle w:val="FootnoteAnchor"/>
          <w:rtl w:val="true"/>
        </w:rPr>
        <w:footnoteReference w:id="979"/>
      </w:r>
      <w:r>
        <w:rPr>
          <w:rFonts w:ascii="IRNazanin" w:hAnsi="IRNazanin" w:eastAsia="IRNazanin"/>
          <w:color w:val="111111"/>
          <w:sz w:val="28"/>
          <w:sz w:val="28"/>
          <w:szCs w:val="28"/>
          <w:rtl w:val="true"/>
          <w:lang w:bidi="fa-IR"/>
        </w:rPr>
        <w:t>بأن النادر</w:t>
      </w:r>
      <w:r>
        <w:rPr>
          <w:rStyle w:val="FootnoteAnchor"/>
          <w:rtl w:val="true"/>
        </w:rPr>
        <w:footnoteReference w:id="980"/>
      </w:r>
      <w:r>
        <w:rPr>
          <w:rFonts w:ascii="Amiri" w:hAnsi="Amiri" w:eastAsia="Amiri" w:cs="Amiri"/>
          <w:color w:val="111111"/>
          <w:sz w:val="28"/>
          <w:sz w:val="28"/>
          <w:szCs w:val="28"/>
          <w:rtl w:val="true"/>
          <w:lang w:bidi="ar-SA"/>
        </w:rPr>
        <w:t>انما هو المحتاج حكمه إلى التنبيه، والأفراد الشائعة تحضر في الأذهان عند الإطلاق، فالنكتة في الذكر لا بد وأن يكون شيئاً آخر، لا تخصيص الحكم بالغالب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من وجوه خمسة</w:t>
      </w:r>
      <w:r>
        <w:rPr>
          <w:rStyle w:val="FootnoteAnchor"/>
          <w:rtl w:val="true"/>
        </w:rPr>
        <w:footnoteReference w:id="981"/>
      </w:r>
      <w:r>
        <w:rPr>
          <w:rFonts w:ascii="Amiri" w:hAnsi="Amiri" w:eastAsia="Amiri" w:cs="Amiri"/>
          <w:color w:val="111111"/>
          <w:sz w:val="28"/>
          <w:sz w:val="28"/>
          <w:szCs w:val="28"/>
          <w:rtl w:val="true"/>
          <w:lang w:bidi="ar-SA"/>
        </w:rPr>
        <w:t>، والأوجه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لعدم فهم العرف المفهوم حينئذ، كما لا يفهمون الوجوب من الأمر الوارد عقيب الحظر، مع كونه موضوعاً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العرف ينزلون النادر منزلة المعدوم، ويفهمون من تلك الجملة الواردة مورد الغالب الكلية في الوقوع فلا يبقى حينئذ انتفاء الشرط حتى يفهم انتفاء الجزاء، ونكتة التعليق حينئذ تختلف باختلاف المقامات، ولعل الغالب إرادة انتفاء الكلفة والمشقة في السعي</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2001563_2870459653"/>
      <w:bookmarkStart w:id="342" w:name="_Toc131"/>
      <w:bookmarkEnd w:id="341"/>
      <w:r>
        <w:rPr>
          <w:rtl w:val="true"/>
        </w:rPr>
        <w:t>[</w:t>
      </w:r>
      <w:r>
        <w:rPr>
          <w:rtl w:val="true"/>
        </w:rPr>
        <w:t>ثمرة المسألة</w:t>
      </w:r>
      <w:r>
        <w:rPr>
          <w:rtl w:val="true"/>
        </w:rPr>
        <w:t>]</w:t>
      </w:r>
      <w:bookmarkEnd w:id="34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ثمرة وجود المفهوم تظهر فيما كان مخالفاً للأصل</w:t>
      </w:r>
      <w:r>
        <w:rPr>
          <w:rStyle w:val="FootnoteAnchor"/>
          <w:rtl w:val="true"/>
        </w:rPr>
        <w:footnoteReference w:id="982"/>
      </w:r>
      <w:r>
        <w:rPr>
          <w:rFonts w:ascii="Amiri" w:hAnsi="Amiri" w:eastAsia="Amiri" w:cs="Amiri"/>
          <w:color w:val="111111"/>
          <w:sz w:val="28"/>
          <w:sz w:val="28"/>
          <w:szCs w:val="28"/>
          <w:rtl w:val="true"/>
          <w:lang w:bidi="ar-SA"/>
        </w:rPr>
        <w:t>، أو معارضاً مع دليل آخر</w:t>
      </w:r>
      <w:r>
        <w:rPr>
          <w:rStyle w:val="FootnoteAnchor"/>
          <w:rtl w:val="true"/>
        </w:rPr>
        <w:footnoteReference w:id="983"/>
      </w:r>
      <w:r>
        <w:rPr>
          <w:rFonts w:ascii="Amiri" w:hAnsi="Amiri" w:eastAsia="Amiri" w:cs="Amiri"/>
          <w:color w:val="111111"/>
          <w:sz w:val="28"/>
          <w:sz w:val="28"/>
          <w:szCs w:val="28"/>
          <w:rtl w:val="true"/>
          <w:lang w:bidi="ar-SA"/>
        </w:rPr>
        <w:t>، ولا يكون ذلك من باب المطلق والمقيد كما توهم</w:t>
      </w:r>
      <w:r>
        <w:rPr>
          <w:rStyle w:val="FootnoteAnchor"/>
          <w:rtl w:val="true"/>
        </w:rPr>
        <w:footnoteReference w:id="984"/>
      </w:r>
      <w:r>
        <w:rPr>
          <w:rFonts w:ascii="Amiri" w:hAnsi="Amiri" w:eastAsia="Amiri" w:cs="Amiri"/>
          <w:color w:val="111111"/>
          <w:sz w:val="28"/>
          <w:sz w:val="28"/>
          <w:szCs w:val="28"/>
          <w:rtl w:val="true"/>
          <w:lang w:bidi="ar-SA"/>
        </w:rPr>
        <w:t xml:space="preserve">، ولا ثمرة لنا من حيث </w:t>
      </w:r>
    </w:p>
    <w:p>
      <w:pPr>
        <w:pStyle w:val="BookText"/>
        <w:rPr/>
      </w:pPr>
      <w:r>
        <w:rPr>
          <w:rFonts w:ascii="IRNazanin" w:hAnsi="IRNazanin" w:eastAsia="IRNazanin"/>
          <w:color w:val="111111"/>
          <w:sz w:val="28"/>
          <w:sz w:val="28"/>
          <w:szCs w:val="28"/>
          <w:rtl w:val="true"/>
          <w:lang w:bidi="fa-IR"/>
        </w:rPr>
        <w:t>نالفحص وعدمه</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ثم لا خلاف في مخالفة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للمنطوق كيفاً، وأما كما ففيه وجهان</w:t>
      </w:r>
      <w:r>
        <w:rPr>
          <w:rFonts w:eastAsia="Amiri" w:cs="Amiri" w:ascii="Amiri" w:hAnsi="Amiri"/>
          <w:color w:val="111111"/>
          <w:sz w:val="28"/>
          <w:szCs w:val="28"/>
          <w:rtl w:val="true"/>
          <w:lang w:bidi="ar-SA"/>
        </w:rPr>
        <w:t>.</w:t>
      </w:r>
      <w:r>
        <w:rPr>
          <w:rStyle w:val="FootnoteAnchor"/>
          <w:rtl w:val="true"/>
        </w:rPr>
        <w:footnoteReference w:id="98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 أن المعيار نقل الألفاظ الموجودة في المنطوق بعين تلك المعاني المرادة من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إلى المفهوم</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مع تغيير الكيف، فما فهم من تلك الألفاظ</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حينئذ لو تكلم بها متكلم فهو المفهوم، وهذا يختلف بحسب الأمثلة والمقامات</w:t>
      </w:r>
      <w:r>
        <w:rPr>
          <w:rFonts w:eastAsia="Amiri" w:cs="Amiri" w:ascii="Amiri" w:hAnsi="Amiri"/>
          <w:color w:val="111111"/>
          <w:sz w:val="28"/>
          <w:szCs w:val="28"/>
          <w:rtl w:val="true"/>
          <w:lang w:bidi="ar-SA"/>
        </w:rPr>
        <w:t>.</w:t>
      </w:r>
      <w:r>
        <w:rPr>
          <w:rStyle w:val="FootnoteAnchor"/>
          <w:rtl w:val="true"/>
        </w:rPr>
        <w:footnoteReference w:id="989"/>
      </w:r>
      <w:bookmarkStart w:id="343" w:name="pg9015_97552"/>
    </w:p>
    <w:p>
      <w:pPr>
        <w:pStyle w:val="Heading2"/>
        <w:numPr>
          <w:ilvl w:val="1"/>
          <w:numId w:val="1"/>
        </w:numPr>
        <w:rPr/>
      </w:pPr>
      <w:bookmarkStart w:id="344" w:name="__RefHeading___Toc2001565_2870459653"/>
      <w:bookmarkStart w:id="345" w:name="_Toc132"/>
      <w:bookmarkEnd w:id="343"/>
      <w:bookmarkEnd w:id="344"/>
      <w:r>
        <w:rPr>
          <w:rtl w:val="true"/>
        </w:rPr>
        <w:t xml:space="preserve">أصل </w:t>
      </w:r>
      <w:r>
        <w:rPr>
          <w:rtl w:val="true"/>
        </w:rPr>
        <w:t>[</w:t>
      </w:r>
      <w:r>
        <w:rPr>
          <w:rtl w:val="true"/>
        </w:rPr>
        <w:t>في حجية مفهوم الوصف</w:t>
      </w:r>
      <w:r>
        <w:rPr>
          <w:rtl w:val="true"/>
        </w:rPr>
        <w:t>]</w:t>
      </w:r>
      <w:bookmarkEnd w:id="345"/>
    </w:p>
    <w:p>
      <w:pPr>
        <w:pStyle w:val="Heading3"/>
        <w:numPr>
          <w:ilvl w:val="2"/>
          <w:numId w:val="1"/>
        </w:numPr>
        <w:rPr/>
      </w:pPr>
      <w:bookmarkStart w:id="346" w:name="__RefHeading___Toc2001567_2870459653"/>
      <w:bookmarkStart w:id="347" w:name="_Toc133"/>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في حجية مفهوم الوصف مطلقاً</w:t>
      </w:r>
      <w:r>
        <w:rPr>
          <w:rStyle w:val="FootnoteAnchor"/>
          <w:rtl w:val="true"/>
        </w:rPr>
        <w:footnoteReference w:id="990"/>
      </w:r>
      <w:r>
        <w:rPr>
          <w:rFonts w:ascii="Amiri" w:hAnsi="Amiri" w:eastAsia="Amiri" w:cs="Amiri"/>
          <w:color w:val="111111"/>
          <w:sz w:val="28"/>
          <w:sz w:val="28"/>
          <w:szCs w:val="28"/>
          <w:rtl w:val="true"/>
          <w:lang w:bidi="ar-SA"/>
        </w:rPr>
        <w:t>، أو إذا استفيد من الكلام علية الصفة</w:t>
      </w:r>
      <w:r>
        <w:rPr>
          <w:rStyle w:val="FootnoteAnchor"/>
          <w:rtl w:val="true"/>
        </w:rPr>
        <w:footnoteReference w:id="991"/>
      </w:r>
      <w:r>
        <w:rPr>
          <w:rFonts w:ascii="IRNazanin" w:hAnsi="IRNazanin" w:eastAsia="IRNazanin"/>
          <w:color w:val="111111"/>
          <w:sz w:val="28"/>
          <w:sz w:val="28"/>
          <w:szCs w:val="28"/>
          <w:rtl w:val="true"/>
          <w:lang w:bidi="fa-IR"/>
        </w:rPr>
        <w:t xml:space="preserve">، أو </w:t>
      </w:r>
      <w:r>
        <w:rPr>
          <w:rStyle w:val="FootnoteAnchor"/>
          <w:rtl w:val="true"/>
        </w:rPr>
        <w:footnoteReference w:id="992"/>
      </w:r>
      <w:r>
        <w:rPr>
          <w:rFonts w:ascii="IRNazanin" w:hAnsi="IRNazanin" w:eastAsia="IRNazanin"/>
          <w:color w:val="111111"/>
          <w:sz w:val="28"/>
          <w:sz w:val="28"/>
          <w:szCs w:val="28"/>
          <w:rtl w:val="true"/>
          <w:lang w:bidi="fa-IR"/>
        </w:rPr>
        <w:t>عدمها مطلقاً</w:t>
      </w:r>
      <w:r>
        <w:rPr>
          <w:rStyle w:val="FootnoteAnchor"/>
          <w:rtl w:val="true"/>
        </w:rPr>
        <w:footnoteReference w:id="993"/>
      </w:r>
      <w:r>
        <w:rPr>
          <w:rFonts w:ascii="IRNazanin" w:hAnsi="IRNazanin" w:eastAsia="IRNazanin"/>
          <w:color w:val="111111"/>
          <w:sz w:val="28"/>
          <w:sz w:val="28"/>
          <w:szCs w:val="28"/>
          <w:rtl w:val="true"/>
          <w:lang w:bidi="fa-IR"/>
        </w:rPr>
        <w:t>، أو الوقف</w:t>
      </w:r>
      <w:r>
        <w:rPr>
          <w:rStyle w:val="FootnoteAnchor"/>
          <w:rtl w:val="true"/>
        </w:rPr>
        <w:footnoteReference w:id="994"/>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وتظهر الثمرة وتأسيس الأصل مماسبق في الشرط</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2001569_2870459653"/>
      <w:bookmarkStart w:id="349" w:name="_Toc134"/>
      <w:bookmarkEnd w:id="348"/>
      <w:r>
        <w:rPr>
          <w:rtl w:val="true"/>
        </w:rPr>
        <w:t>[</w:t>
      </w:r>
      <w:r>
        <w:rPr>
          <w:rtl w:val="true"/>
        </w:rPr>
        <w:t>تحرير محل النزاع</w:t>
      </w:r>
      <w:r>
        <w:rPr>
          <w:rtl w:val="true"/>
        </w:rPr>
        <w:t>]</w:t>
      </w:r>
      <w:bookmarkEnd w:id="34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محل النزاع فيحتمل أن يكون مطلق القيد حتى قيد الحكم</w:t>
      </w:r>
      <w:r>
        <w:rPr>
          <w:rStyle w:val="FootnoteAnchor"/>
          <w:rtl w:val="true"/>
        </w:rPr>
        <w:footnoteReference w:id="995"/>
      </w:r>
      <w:r>
        <w:rPr>
          <w:rFonts w:ascii="Amiri" w:hAnsi="Amiri" w:eastAsia="Amiri" w:cs="Amiri"/>
          <w:color w:val="111111"/>
          <w:sz w:val="28"/>
          <w:sz w:val="28"/>
          <w:szCs w:val="28"/>
          <w:rtl w:val="true"/>
          <w:lang w:bidi="ar-SA"/>
        </w:rPr>
        <w:t>، أو خصوص المشتق وإن لم يكن صفة</w:t>
      </w:r>
      <w:r>
        <w:rPr>
          <w:rStyle w:val="FootnoteAnchor"/>
          <w:rtl w:val="true"/>
        </w:rPr>
        <w:footnoteReference w:id="996"/>
      </w:r>
      <w:r>
        <w:rPr>
          <w:rFonts w:ascii="Amiri" w:hAnsi="Amiri" w:eastAsia="Amiri" w:cs="Amiri"/>
          <w:color w:val="111111"/>
          <w:sz w:val="28"/>
          <w:sz w:val="28"/>
          <w:szCs w:val="28"/>
          <w:rtl w:val="true"/>
          <w:lang w:bidi="ar-SA"/>
        </w:rPr>
        <w:t>، أو الصفة النحوية</w:t>
      </w:r>
      <w:r>
        <w:rPr>
          <w:rStyle w:val="FootnoteAnchor"/>
          <w:rtl w:val="true"/>
        </w:rPr>
        <w:footnoteReference w:id="9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قيد الموضوع وإن كان جملة، وهو الأظهر، فيدخل الصفة النحوية</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جملة ومفردة، ونحو في السائمة زكاة ، ويخرج الحال ونحوه مما هو قيد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علم إرادة المفهوم أو عدمها بقرينة خارجية، وإلّا فالوقف؛ لحكم العرف، نعم فيه </w:t>
      </w:r>
      <w:r>
        <w:rPr>
          <w:rStyle w:val="FootnoteAnchor"/>
          <w:rtl w:val="true"/>
        </w:rPr>
        <w:footnoteReference w:id="999"/>
      </w:r>
      <w:r>
        <w:rPr>
          <w:rFonts w:ascii="Amiri" w:hAnsi="Amiri" w:eastAsia="Amiri" w:cs="Amiri"/>
          <w:color w:val="111111"/>
          <w:sz w:val="28"/>
          <w:sz w:val="28"/>
          <w:szCs w:val="28"/>
          <w:rtl w:val="true"/>
          <w:lang w:bidi="ar-SA"/>
        </w:rPr>
        <w:t>إشعار بالعليّة، لكنه لا يبلغ رتبة الحجية وليس للخصم ما يعوّل عليه</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ثم إنهم في رفع التناقض المتوهم</w:t>
      </w:r>
      <w:r>
        <w:rPr>
          <w:rStyle w:val="FootnoteAnchor"/>
          <w:rtl w:val="true"/>
        </w:rPr>
        <w:footnoteReference w:id="1001"/>
      </w:r>
      <w:r>
        <w:rPr>
          <w:rFonts w:ascii="Amiri" w:hAnsi="Amiri" w:eastAsia="Amiri" w:cs="Amiri"/>
          <w:color w:val="111111"/>
          <w:sz w:val="28"/>
          <w:sz w:val="28"/>
          <w:szCs w:val="28"/>
          <w:rtl w:val="true"/>
          <w:lang w:bidi="ar-SA"/>
        </w:rPr>
        <w:t>بين قول المشهور بعدم</w:t>
      </w:r>
      <w:r>
        <w:rPr>
          <w:rStyle w:val="FootnoteAnchor"/>
          <w:rtl w:val="true"/>
        </w:rPr>
        <w:footnoteReference w:id="1002"/>
      </w:r>
      <w:r>
        <w:rPr>
          <w:rFonts w:ascii="Amiri" w:hAnsi="Amiri" w:eastAsia="Amiri" w:cs="Amiri"/>
          <w:color w:val="111111"/>
          <w:sz w:val="28"/>
          <w:sz w:val="28"/>
          <w:szCs w:val="28"/>
          <w:rtl w:val="true"/>
          <w:lang w:bidi="ar-SA"/>
        </w:rPr>
        <w:t>حجية الوصف وقولهم بوقوع الاتفاق على حمل</w:t>
      </w:r>
      <w:r>
        <w:rPr>
          <w:rStyle w:val="FootnoteAnchor"/>
          <w:rtl w:val="true"/>
        </w:rPr>
        <w:footnoteReference w:id="1003"/>
      </w:r>
      <w:r>
        <w:rPr>
          <w:rFonts w:ascii="Amiri" w:hAnsi="Amiri" w:eastAsia="Amiri" w:cs="Amiri"/>
          <w:color w:val="111111"/>
          <w:sz w:val="28"/>
          <w:sz w:val="28"/>
          <w:szCs w:val="28"/>
          <w:rtl w:val="true"/>
          <w:lang w:bidi="ar-SA"/>
        </w:rPr>
        <w:t>المطلق على المقيد في المثبتين ذكروا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النزاع هنا </w:t>
      </w:r>
      <w:r>
        <w:rPr>
          <w:rStyle w:val="FootnoteAnchor"/>
          <w:rtl w:val="true"/>
        </w:rPr>
        <w:footnoteReference w:id="1004"/>
      </w:r>
      <w:r>
        <w:rPr>
          <w:rFonts w:ascii="Amiri" w:hAnsi="Amiri" w:eastAsia="Amiri" w:cs="Amiri"/>
          <w:color w:val="111111"/>
          <w:sz w:val="28"/>
          <w:sz w:val="28"/>
          <w:szCs w:val="28"/>
          <w:rtl w:val="true"/>
          <w:lang w:bidi="ar-SA"/>
        </w:rPr>
        <w:t>فيما سوى المسبوق بالمطلق</w:t>
      </w:r>
      <w:r>
        <w:rPr>
          <w:rStyle w:val="FootnoteAnchor"/>
          <w:rtl w:val="true"/>
        </w:rPr>
        <w:footnoteReference w:id="1005"/>
      </w:r>
      <w:r>
        <w:rPr>
          <w:rFonts w:ascii="IRNazanin" w:hAnsi="IRNazanin" w:eastAsia="IRNazanin"/>
          <w:color w:val="111111"/>
          <w:sz w:val="28"/>
          <w:sz w:val="28"/>
          <w:szCs w:val="28"/>
          <w:rtl w:val="true"/>
          <w:lang w:bidi="fa-IR"/>
        </w:rPr>
        <w:t xml:space="preserve">، أو </w:t>
      </w:r>
      <w:r>
        <w:rPr>
          <w:rStyle w:val="FootnoteAnchor"/>
          <w:rtl w:val="true"/>
        </w:rPr>
        <w:footnoteReference w:id="1006"/>
      </w:r>
      <w:r>
        <w:rPr>
          <w:rFonts w:ascii="Amiri" w:hAnsi="Amiri" w:eastAsia="Amiri" w:cs="Amiri"/>
          <w:color w:val="111111"/>
          <w:sz w:val="28"/>
          <w:sz w:val="28"/>
          <w:szCs w:val="28"/>
          <w:rtl w:val="true"/>
          <w:lang w:bidi="ar-SA"/>
        </w:rPr>
        <w:t xml:space="preserve">إن الحمل لقاعدة الشغل، أو لتقديم النصّ على الظاهر عند التعارض </w:t>
      </w:r>
      <w:r>
        <w:rPr>
          <w:rStyle w:val="FootnoteAnchor"/>
          <w:rtl w:val="true"/>
        </w:rPr>
        <w:footnoteReference w:id="1007"/>
      </w:r>
      <w:r>
        <w:rPr>
          <w:rFonts w:ascii="Amiri" w:hAnsi="Amiri" w:eastAsia="Amiri" w:cs="Amiri"/>
          <w:color w:val="111111"/>
          <w:sz w:val="28"/>
          <w:sz w:val="28"/>
          <w:szCs w:val="28"/>
          <w:rtl w:val="true"/>
          <w:lang w:bidi="ar-SA"/>
        </w:rPr>
        <w:t>، وفي الكل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والأحسن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لفهم العرف</w:t>
      </w:r>
      <w:r>
        <w:rPr>
          <w:rFonts w:eastAsia="Amiri" w:cs="Amiri" w:ascii="Amiri" w:hAnsi="Amiri"/>
          <w:color w:val="111111"/>
          <w:sz w:val="28"/>
          <w:szCs w:val="28"/>
          <w:rtl w:val="true"/>
          <w:lang w:bidi="ar-SA"/>
        </w:rPr>
        <w:t>.</w:t>
      </w:r>
      <w:r>
        <w:rPr>
          <w:rStyle w:val="FootnoteAnchor"/>
          <w:rtl w:val="true"/>
        </w:rPr>
        <w:footnoteReference w:id="100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مفهوم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انتفاء الحكم عما اتصف بالوصف المقابل من أفراد ذلك الموضوع، أو انتفاؤه عن ذلك الموضوع عند انتفاء ذلك الوصف وإن لم يتصف بالوصف المقابل، أو انتفاؤه عن الفرد المتصف بالوصف المقابل وإن لم يكن من أفراد ذلك الموضوع، أو انتفاؤه عند انتفاء ذلك الوصف من هذا الموضوع أو غيره، أو انتفاؤه عما لم </w:t>
      </w:r>
      <w:r>
        <w:rPr>
          <w:rStyle w:val="FootnoteAnchor"/>
          <w:rtl w:val="true"/>
        </w:rPr>
        <w:footnoteReference w:id="1009"/>
      </w:r>
      <w:r>
        <w:rPr>
          <w:rFonts w:ascii="Amiri" w:hAnsi="Amiri" w:eastAsia="Amiri" w:cs="Amiri"/>
          <w:color w:val="111111"/>
          <w:sz w:val="28"/>
          <w:sz w:val="28"/>
          <w:szCs w:val="28"/>
          <w:rtl w:val="true"/>
          <w:lang w:bidi="ar-SA"/>
        </w:rPr>
        <w:t xml:space="preserve">يتصف بذلك الوصف من أفراد ذلك الموضوع، </w:t>
      </w:r>
    </w:p>
    <w:p>
      <w:pPr>
        <w:pStyle w:val="BookText"/>
        <w:rPr/>
      </w:pPr>
      <w:r>
        <w:rPr>
          <w:rFonts w:ascii="Amiri" w:hAnsi="Amiri" w:eastAsia="Amiri" w:cs="Amiri"/>
          <w:color w:val="111111"/>
          <w:sz w:val="28"/>
          <w:sz w:val="28"/>
          <w:szCs w:val="28"/>
          <w:rtl w:val="true"/>
          <w:lang w:bidi="ar-SA"/>
        </w:rPr>
        <w:t>اتصف بالوصف المقابل أم لا؟ ، وجوه، أوجهها الأخير؛ للتبادر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كان فاقد الوصف أولى بحكم المنطوق ، فلا مفهوم يخالفه مطلقاً</w:t>
      </w:r>
      <w:r>
        <w:rPr>
          <w:rStyle w:val="FootnoteAnchor"/>
          <w:rtl w:val="true"/>
        </w:rPr>
        <w:footnoteReference w:id="1010"/>
      </w:r>
      <w:r>
        <w:rPr>
          <w:rFonts w:ascii="IRNazanin" w:hAnsi="IRNazanin" w:eastAsia="IRNazanin"/>
          <w:color w:val="111111"/>
          <w:sz w:val="28"/>
          <w:sz w:val="28"/>
          <w:szCs w:val="28"/>
          <w:rtl w:val="true"/>
          <w:lang w:bidi="fa-IR"/>
        </w:rPr>
        <w:t xml:space="preserve">، واذا ورد الوصف مورد الغالب </w:t>
      </w:r>
      <w:r>
        <w:rPr>
          <w:rStyle w:val="FootnoteAnchor"/>
          <w:rtl w:val="true"/>
        </w:rPr>
        <w:footnoteReference w:id="1011"/>
      </w:r>
      <w:r>
        <w:rPr>
          <w:rFonts w:ascii="Amiri" w:hAnsi="Amiri" w:eastAsia="Amiri" w:cs="Amiri"/>
          <w:color w:val="111111"/>
          <w:sz w:val="28"/>
          <w:sz w:val="28"/>
          <w:szCs w:val="28"/>
          <w:rtl w:val="true"/>
          <w:lang w:bidi="ar-SA"/>
        </w:rPr>
        <w:t>ففي كونه كمفهوم الشرط وجهان، أظهرهما العدم؛ للعرف</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ثم في اشتراط المخالفة هنا بين المفهوم والمنطوق كما، أم</w:t>
      </w:r>
      <w:r>
        <w:rPr>
          <w:rStyle w:val="FootnoteAnchor"/>
          <w:rtl w:val="true"/>
        </w:rPr>
        <w:footnoteReference w:id="1013"/>
      </w:r>
      <w:r>
        <w:rPr>
          <w:rFonts w:ascii="Amiri" w:hAnsi="Amiri" w:eastAsia="Amiri" w:cs="Amiri"/>
          <w:color w:val="111111"/>
          <w:sz w:val="28"/>
          <w:sz w:val="28"/>
          <w:szCs w:val="28"/>
          <w:rtl w:val="true"/>
          <w:lang w:bidi="ar-SA"/>
        </w:rPr>
        <w:t>الموافقة، احتمالان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الرجوع إلى المعيار المتقدم في الشرط، ولازمه اختلاف المقامات</w:t>
      </w:r>
      <w:r>
        <w:rPr>
          <w:rFonts w:eastAsia="Amiri" w:cs="Amiri" w:ascii="Amiri" w:hAnsi="Amiri"/>
          <w:color w:val="111111"/>
          <w:sz w:val="28"/>
          <w:szCs w:val="28"/>
          <w:rtl w:val="true"/>
          <w:lang w:bidi="ar-SA"/>
        </w:rPr>
        <w:t xml:space="preserve">. </w:t>
      </w:r>
      <w:bookmarkStart w:id="350" w:name="pg9015_97555"/>
    </w:p>
    <w:p>
      <w:pPr>
        <w:pStyle w:val="Heading2"/>
        <w:numPr>
          <w:ilvl w:val="1"/>
          <w:numId w:val="1"/>
        </w:numPr>
        <w:rPr/>
      </w:pPr>
      <w:bookmarkStart w:id="351" w:name="__RefHeading___Toc2001571_2870459653"/>
      <w:bookmarkStart w:id="352" w:name="_Toc135"/>
      <w:bookmarkEnd w:id="350"/>
      <w:bookmarkEnd w:id="351"/>
      <w:r>
        <w:rPr>
          <w:rtl w:val="true"/>
        </w:rPr>
        <w:t xml:space="preserve">أصل </w:t>
      </w:r>
      <w:r>
        <w:rPr>
          <w:rtl w:val="true"/>
        </w:rPr>
        <w:t>[</w:t>
      </w:r>
      <w:r>
        <w:rPr>
          <w:rtl w:val="true"/>
        </w:rPr>
        <w:t>في حجية مفهوم الغاية</w:t>
      </w:r>
      <w:r>
        <w:rPr>
          <w:rtl w:val="true"/>
        </w:rPr>
        <w:t>]</w:t>
      </w:r>
      <w:bookmarkEnd w:id="352"/>
    </w:p>
    <w:p>
      <w:pPr>
        <w:pStyle w:val="Heading3"/>
        <w:numPr>
          <w:ilvl w:val="2"/>
          <w:numId w:val="1"/>
        </w:numPr>
        <w:rPr/>
      </w:pPr>
      <w:bookmarkStart w:id="353" w:name="__RefHeading___Toc2001573_2870459653"/>
      <w:bookmarkStart w:id="354" w:name="_Toc136"/>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في دلالة اللفظ على</w:t>
      </w:r>
      <w:r>
        <w:rPr>
          <w:rStyle w:val="FootnoteAnchor"/>
          <w:rtl w:val="true"/>
        </w:rPr>
        <w:footnoteReference w:id="1014"/>
      </w:r>
      <w:r>
        <w:rPr>
          <w:rFonts w:ascii="Amiri" w:hAnsi="Amiri" w:eastAsia="Amiri" w:cs="Amiri"/>
          <w:color w:val="111111"/>
          <w:sz w:val="28"/>
          <w:sz w:val="28"/>
          <w:szCs w:val="28"/>
          <w:rtl w:val="true"/>
          <w:lang w:bidi="ar-SA"/>
        </w:rPr>
        <w:t>دخول الغاية في المغيّى</w:t>
      </w:r>
      <w:r>
        <w:rPr>
          <w:rStyle w:val="FootnoteAnchor"/>
          <w:rtl w:val="true"/>
        </w:rPr>
        <w:footnoteReference w:id="1015"/>
      </w:r>
      <w:r>
        <w:rPr>
          <w:rFonts w:ascii="Amiri" w:hAnsi="Amiri" w:eastAsia="Amiri" w:cs="Amiri"/>
          <w:color w:val="111111"/>
          <w:sz w:val="28"/>
          <w:sz w:val="28"/>
          <w:szCs w:val="28"/>
          <w:rtl w:val="true"/>
          <w:lang w:bidi="ar-SA"/>
        </w:rPr>
        <w:t>، أو على عدم دخولها فيه</w:t>
      </w:r>
      <w:r>
        <w:rPr>
          <w:rStyle w:val="FootnoteAnchor"/>
          <w:rtl w:val="true"/>
        </w:rPr>
        <w:footnoteReference w:id="101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الأول مع وحدة الجنس و</w:t>
      </w:r>
      <w:r>
        <w:rPr>
          <w:rStyle w:val="FootnoteAnchor"/>
          <w:rtl w:val="true"/>
        </w:rPr>
        <w:footnoteReference w:id="1017"/>
      </w:r>
      <w:r>
        <w:rPr>
          <w:rFonts w:ascii="Amiri" w:hAnsi="Amiri" w:eastAsia="Amiri" w:cs="Amiri"/>
          <w:color w:val="111111"/>
          <w:sz w:val="28"/>
          <w:sz w:val="28"/>
          <w:szCs w:val="28"/>
          <w:rtl w:val="true"/>
          <w:lang w:bidi="ar-SA"/>
        </w:rPr>
        <w:t xml:space="preserve">الثاني مع عدمها </w:t>
      </w:r>
      <w:r>
        <w:rPr>
          <w:rStyle w:val="FootnoteAnchor"/>
          <w:rtl w:val="true"/>
        </w:rPr>
        <w:footnoteReference w:id="1018"/>
      </w:r>
      <w:r>
        <w:rPr>
          <w:rFonts w:ascii="IRNazanin" w:hAnsi="IRNazanin" w:eastAsia="IRNazanin"/>
          <w:color w:val="111111"/>
          <w:sz w:val="28"/>
          <w:sz w:val="28"/>
          <w:szCs w:val="28"/>
          <w:rtl w:val="true"/>
          <w:lang w:bidi="fa-IR"/>
        </w:rPr>
        <w:t>، أم الوقف</w:t>
      </w:r>
      <w:r>
        <w:rPr>
          <w:rStyle w:val="FootnoteAnchor"/>
          <w:rtl w:val="true"/>
        </w:rPr>
        <w:footnoteReference w:id="1019"/>
      </w:r>
      <w:r>
        <w:rPr>
          <w:rFonts w:ascii="Amiri" w:hAnsi="Amiri" w:eastAsia="Amiri" w:cs="Amiri"/>
          <w:color w:val="111111"/>
          <w:sz w:val="28"/>
          <w:sz w:val="28"/>
          <w:szCs w:val="28"/>
          <w:rtl w:val="true"/>
          <w:lang w:bidi="ar-SA"/>
        </w:rPr>
        <w:t>، أقوال، والأخير محتمل؛ للوقف في أصل الدلالة، أو في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حجية مفهوم الغاية وعدم حجيته قولان</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اعلم أن الغاية تطلق على الفائدة، وعلى المسافة، وعلى النهاية، والمراد هنا</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2001575_2870459653"/>
      <w:bookmarkStart w:id="356" w:name="_Toc137"/>
      <w:bookmarkEnd w:id="355"/>
      <w:r>
        <w:rPr>
          <w:rtl w:val="true"/>
        </w:rPr>
        <w:t>[</w:t>
      </w:r>
      <w:r>
        <w:rPr>
          <w:rtl w:val="true"/>
        </w:rPr>
        <w:t>ثمرة المسألة</w:t>
      </w:r>
      <w:r>
        <w:rPr>
          <w:rtl w:val="true"/>
        </w:rPr>
        <w:t>]</w:t>
      </w:r>
      <w:bookmarkEnd w:id="35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وثمرة النزاع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في مثل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وَأَيْدِيَكُمْ إِلَى الْمَرَافِق</w:t>
      </w:r>
      <w:r>
        <w:rPr>
          <w:rFonts w:eastAsia="Amiri" w:cs="Amiri" w:ascii="Amiri" w:hAnsi="Amiri"/>
          <w:color w:val="111111"/>
          <w:sz w:val="28"/>
          <w:szCs w:val="28"/>
          <w:rtl w:val="true"/>
          <w:lang w:bidi="ar-SA"/>
        </w:rPr>
        <w:t>»</w:t>
      </w:r>
      <w:r>
        <w:rPr>
          <w:rStyle w:val="FootnoteAnchor"/>
          <w:rtl w:val="true"/>
        </w:rPr>
        <w:footnoteReference w:id="1021"/>
      </w:r>
      <w:r>
        <w:rPr>
          <w:rFonts w:ascii="IRNazanin" w:hAnsi="IRNazanin" w:eastAsia="IRNazanin"/>
          <w:color w:val="111111"/>
          <w:sz w:val="28"/>
          <w:sz w:val="28"/>
          <w:szCs w:val="28"/>
          <w:rtl w:val="true"/>
          <w:lang w:bidi="fa-IR"/>
        </w:rPr>
        <w:t xml:space="preserve">، </w:t>
      </w:r>
      <w:bookmarkStart w:id="357" w:name="pg9015_97556"/>
    </w:p>
    <w:p>
      <w:pPr>
        <w:pStyle w:val="BookText"/>
        <w:rPr/>
      </w:pPr>
      <w:bookmarkEnd w:id="357"/>
      <w:r>
        <w:rPr>
          <w:rFonts w:ascii="Amiri" w:hAnsi="Amiri" w:eastAsia="Amiri" w:cs="Amiri"/>
          <w:color w:val="111111"/>
          <w:sz w:val="28"/>
          <w:sz w:val="28"/>
          <w:szCs w:val="28"/>
          <w:rtl w:val="true"/>
          <w:lang w:bidi="ar-SA"/>
        </w:rPr>
        <w:t>والثاني في مثل</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w:t>
      </w:r>
      <w:r>
        <w:rPr>
          <w:rStyle w:val="FootnoteAnchor"/>
          <w:rtl w:val="true"/>
        </w:rPr>
        <w:footnoteReference w:id="1023"/>
      </w:r>
    </w:p>
    <w:p>
      <w:pPr>
        <w:pStyle w:val="Heading3"/>
        <w:numPr>
          <w:ilvl w:val="2"/>
          <w:numId w:val="1"/>
        </w:numPr>
        <w:rPr/>
      </w:pPr>
      <w:bookmarkStart w:id="358" w:name="__RefHeading___Toc2001577_2870459653"/>
      <w:bookmarkStart w:id="359" w:name="_Toc138"/>
      <w:bookmarkEnd w:id="358"/>
      <w:r>
        <w:rPr>
          <w:rtl w:val="true"/>
        </w:rPr>
        <w:t>[</w:t>
      </w:r>
      <w:r>
        <w:rPr>
          <w:rtl w:val="true"/>
        </w:rPr>
        <w:t>تأسيس الأصل</w:t>
      </w:r>
      <w:r>
        <w:rPr>
          <w:rtl w:val="true"/>
        </w:rPr>
        <w:t>]</w:t>
      </w:r>
      <w:bookmarkEnd w:id="359"/>
    </w:p>
    <w:p>
      <w:pPr>
        <w:pStyle w:val="BookText"/>
        <w:rPr/>
      </w:pPr>
      <w:r>
        <w:rPr>
          <w:rFonts w:ascii="Amiri" w:hAnsi="Amiri" w:eastAsia="Amiri" w:cs="Amiri"/>
          <w:color w:val="111111"/>
          <w:sz w:val="28"/>
          <w:sz w:val="28"/>
          <w:szCs w:val="28"/>
          <w:rtl w:val="true"/>
          <w:lang w:bidi="ar-SA"/>
        </w:rPr>
        <w:t xml:space="preserve">ثم الأصل في الأول عدم الدلالة على الدخول ولا على الخروج؛ لتوقيفية الألفاظ، ولأصل </w:t>
      </w:r>
      <w:r>
        <w:rPr>
          <w:rStyle w:val="FootnoteAnchor"/>
          <w:rtl w:val="true"/>
        </w:rPr>
        <w:footnoteReference w:id="1024"/>
      </w:r>
      <w:r>
        <w:rPr>
          <w:rFonts w:ascii="Amiri" w:hAnsi="Amiri" w:eastAsia="Amiri" w:cs="Amiri"/>
          <w:color w:val="111111"/>
          <w:sz w:val="28"/>
          <w:sz w:val="28"/>
          <w:szCs w:val="28"/>
          <w:rtl w:val="true"/>
          <w:lang w:bidi="ar-SA"/>
        </w:rPr>
        <w:t xml:space="preserve">البراءة ولو في بعض الموارد، ولأصالة عدم التخصيص والتقييد وأصالة عدم الإرادة، وعدم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اعتبرناهما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الحق في النزاع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الوقف بالمعنى الأول؛ لأنا بعد الاستقراء وجدنا المقامات بحسب القرائن متفاوتة، ولم نجد موضعاً يفهم منه عند فقدها الدخول أو</w:t>
      </w:r>
      <w:r>
        <w:rPr>
          <w:rStyle w:val="FootnoteAnchor"/>
          <w:rtl w:val="true"/>
        </w:rPr>
        <w:footnoteReference w:id="1025"/>
      </w:r>
      <w:r>
        <w:rPr>
          <w:rFonts w:ascii="Amiri" w:hAnsi="Amiri" w:eastAsia="Amiri" w:cs="Amiri"/>
          <w:color w:val="111111"/>
          <w:sz w:val="28"/>
          <w:sz w:val="28"/>
          <w:szCs w:val="28"/>
          <w:rtl w:val="true"/>
          <w:lang w:bidi="ar-SA"/>
        </w:rPr>
        <w:t>الخروج أو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التجانس لا بد من الإدخال مقدمة </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 يثبت اللغة، بل هذا الدليل على خلاف مقصوده أدلّ</w:t>
      </w:r>
      <w:r>
        <w:rPr>
          <w:rStyle w:val="FootnoteAnchor"/>
          <w:rtl w:val="true"/>
        </w:rPr>
        <w:footnoteReference w:id="1027"/>
      </w:r>
      <w:r>
        <w:rPr>
          <w:rFonts w:ascii="Amiri" w:hAnsi="Amiri" w:eastAsia="Amiri" w:cs="Amiri"/>
          <w:color w:val="111111"/>
          <w:sz w:val="28"/>
          <w:sz w:val="28"/>
          <w:szCs w:val="28"/>
          <w:rtl w:val="true"/>
          <w:lang w:bidi="ar-SA"/>
        </w:rPr>
        <w:t>، بل عند فقد ذي المقدمة، بل المقدّمية قد تقتضي الخروج، بل قد يجري ذلك مع اختلاف الجنس أيضاً</w:t>
      </w:r>
      <w:r>
        <w:rPr>
          <w:rFonts w:eastAsia="Amiri" w:cs="Amiri" w:ascii="Amiri" w:hAnsi="Amiri"/>
          <w:color w:val="111111"/>
          <w:sz w:val="28"/>
          <w:szCs w:val="28"/>
          <w:rtl w:val="true"/>
          <w:lang w:bidi="ar-SA"/>
        </w:rPr>
        <w:t>.</w:t>
      </w:r>
      <w:r>
        <w:rPr>
          <w:rStyle w:val="FootnoteAnchor"/>
          <w:rtl w:val="true"/>
        </w:rPr>
        <w:footnoteReference w:id="102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أداة</w:t>
      </w:r>
      <w:r>
        <w:rPr>
          <w:rStyle w:val="FootnoteAnchor"/>
          <w:rtl w:val="true"/>
        </w:rPr>
        <w:footnoteReference w:id="1029"/>
      </w:r>
      <w:r>
        <w:rPr>
          <w:rFonts w:ascii="Amiri" w:hAnsi="Amiri" w:eastAsia="Amiri" w:cs="Amiri"/>
          <w:color w:val="111111"/>
          <w:sz w:val="28"/>
          <w:sz w:val="28"/>
          <w:szCs w:val="28"/>
          <w:rtl w:val="true"/>
          <w:lang w:bidi="ar-SA"/>
        </w:rPr>
        <w:t>الغاية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هل هي لبيان غاية الشيء كمّاً، أم كيفاً </w:t>
      </w:r>
    </w:p>
    <w:p>
      <w:pPr>
        <w:pStyle w:val="BookText"/>
        <w:rPr/>
      </w:pPr>
      <w:r>
        <w:rPr>
          <w:rFonts w:ascii="Amiri" w:hAnsi="Amiri" w:eastAsia="Amiri" w:cs="Amiri"/>
          <w:color w:val="111111"/>
          <w:sz w:val="28"/>
          <w:sz w:val="28"/>
          <w:szCs w:val="28"/>
          <w:rtl w:val="true"/>
          <w:lang w:bidi="ar-SA"/>
        </w:rPr>
        <w:t>أيضاً</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مطلقة، وان قلنا بالثاني ففيها دلالة على ذلك</w:t>
      </w:r>
    </w:p>
    <w:p>
      <w:pPr>
        <w:pStyle w:val="BookText"/>
        <w:rPr/>
      </w:pPr>
      <w:r>
        <w:rPr>
          <w:rFonts w:ascii="IRNazanin" w:hAnsi="IRNazanin" w:eastAsia="IRNazanin"/>
          <w:color w:val="111111"/>
          <w:sz w:val="28"/>
          <w:sz w:val="28"/>
          <w:szCs w:val="28"/>
          <w:rtl w:val="true"/>
          <w:lang w:bidi="fa-IR"/>
        </w:rPr>
        <w:t>،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اختلاف المقامات في ذلك، ففي مثل الأمر بالغسل لا يفهم إلا الأول، فلا دلالة في آية الوضوء على مقصود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 النزاع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w:t>
      </w:r>
      <w:r>
        <w:rPr>
          <w:rStyle w:val="FootnoteAnchor"/>
          <w:rtl w:val="true"/>
        </w:rPr>
        <w:footnoteReference w:id="1031"/>
      </w:r>
      <w:r>
        <w:rPr>
          <w:rFonts w:ascii="Amiri" w:hAnsi="Amiri" w:eastAsia="Amiri" w:cs="Amiri"/>
          <w:color w:val="111111"/>
          <w:sz w:val="28"/>
          <w:sz w:val="28"/>
          <w:szCs w:val="28"/>
          <w:rtl w:val="true"/>
          <w:lang w:bidi="ar-SA"/>
        </w:rPr>
        <w:t>كما عليه المعظم، بل نقل عليه الإجماع</w:t>
      </w:r>
      <w:r>
        <w:rPr>
          <w:rStyle w:val="FootnoteAnchor"/>
          <w:rtl w:val="true"/>
        </w:rPr>
        <w:footnoteReference w:id="1032"/>
      </w:r>
      <w:r>
        <w:rPr>
          <w:rFonts w:ascii="IRNazanin" w:hAnsi="IRNazanin" w:eastAsia="IRNazanin"/>
          <w:color w:val="111111"/>
          <w:sz w:val="28"/>
          <w:sz w:val="28"/>
          <w:szCs w:val="28"/>
          <w:rtl w:val="true"/>
          <w:lang w:bidi="fa-IR"/>
        </w:rPr>
        <w:t>للتبادر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الدال على وجود الحكم ما قبل الغاية وانتفائه ما</w:t>
      </w:r>
      <w:r>
        <w:rPr>
          <w:rStyle w:val="FootnoteAnchor"/>
          <w:rtl w:val="true"/>
        </w:rPr>
        <w:footnoteReference w:id="1033"/>
      </w:r>
      <w:r>
        <w:rPr>
          <w:rFonts w:ascii="Amiri" w:hAnsi="Amiri" w:eastAsia="Amiri" w:cs="Amiri"/>
          <w:color w:val="111111"/>
          <w:sz w:val="28"/>
          <w:sz w:val="28"/>
          <w:szCs w:val="28"/>
          <w:rtl w:val="true"/>
          <w:lang w:bidi="ar-SA"/>
        </w:rPr>
        <w:t xml:space="preserve">بعدها هو الأداة، أم الهيئة، أم الدال على النفي </w:t>
      </w:r>
      <w:r>
        <w:rPr>
          <w:rStyle w:val="FootnoteAnchor"/>
          <w:rtl w:val="true"/>
        </w:rPr>
        <w:footnoteReference w:id="1034"/>
      </w:r>
      <w:r>
        <w:rPr>
          <w:rFonts w:ascii="Amiri" w:hAnsi="Amiri" w:eastAsia="Amiri" w:cs="Amiri"/>
          <w:color w:val="111111"/>
          <w:sz w:val="28"/>
          <w:sz w:val="28"/>
          <w:szCs w:val="28"/>
          <w:rtl w:val="true"/>
          <w:lang w:bidi="ar-SA"/>
        </w:rPr>
        <w:t>الهيئة وعلى الإثبات الأداة، أم العكس؟، وجوه، اوجهها الأخير</w:t>
      </w:r>
      <w:r>
        <w:rPr>
          <w:rFonts w:eastAsia="Amiri" w:cs="Amiri" w:ascii="Amiri" w:hAnsi="Amiri"/>
          <w:color w:val="111111"/>
          <w:sz w:val="28"/>
          <w:szCs w:val="28"/>
          <w:rtl w:val="true"/>
          <w:lang w:bidi="ar-SA"/>
        </w:rPr>
        <w:t>.</w:t>
      </w:r>
      <w:r>
        <w:rPr>
          <w:rStyle w:val="FootnoteAnchor"/>
          <w:rtl w:val="true"/>
        </w:rPr>
        <w:footnoteReference w:id="1035"/>
      </w:r>
      <w:bookmarkStart w:id="360" w:name="pg9015_97558"/>
    </w:p>
    <w:p>
      <w:pPr>
        <w:pStyle w:val="Heading2"/>
        <w:numPr>
          <w:ilvl w:val="1"/>
          <w:numId w:val="1"/>
        </w:numPr>
        <w:rPr/>
      </w:pPr>
      <w:bookmarkStart w:id="361" w:name="__RefHeading___Toc2001579_2870459653"/>
      <w:bookmarkStart w:id="362" w:name="_Toc139"/>
      <w:bookmarkEnd w:id="360"/>
      <w:bookmarkEnd w:id="361"/>
      <w:r>
        <w:rPr>
          <w:rtl w:val="true"/>
        </w:rPr>
        <w:t xml:space="preserve">أصل </w:t>
      </w:r>
      <w:r>
        <w:rPr>
          <w:rtl w:val="true"/>
        </w:rPr>
        <w:t>[</w:t>
      </w:r>
      <w:r>
        <w:rPr>
          <w:rtl w:val="true"/>
        </w:rPr>
        <w:t>في مفهوم الحصر و غيره</w:t>
      </w:r>
      <w:r>
        <w:rPr>
          <w:rtl w:val="true"/>
        </w:rPr>
        <w:t>]</w:t>
      </w:r>
      <w:bookmarkEnd w:id="362"/>
    </w:p>
    <w:p>
      <w:pPr>
        <w:pStyle w:val="BookText"/>
        <w:rPr/>
      </w:pPr>
      <w:r>
        <w:rPr>
          <w:rFonts w:ascii="Amiri" w:hAnsi="Amiri" w:eastAsia="Amiri" w:cs="Amiri"/>
          <w:color w:val="111111"/>
          <w:sz w:val="28"/>
          <w:sz w:val="28"/>
          <w:szCs w:val="28"/>
          <w:rtl w:val="true"/>
          <w:lang w:bidi="ar-SA"/>
        </w:rPr>
        <w:t>مفهوم الحصر حجة</w:t>
      </w:r>
      <w:r>
        <w:rPr>
          <w:rStyle w:val="FootnoteAnchor"/>
          <w:rtl w:val="true"/>
        </w:rPr>
        <w:footnoteReference w:id="1036"/>
      </w:r>
      <w:r>
        <w:rPr>
          <w:rFonts w:ascii="IRNazanin" w:hAnsi="IRNazanin" w:eastAsia="IRNazanin"/>
          <w:color w:val="111111"/>
          <w:sz w:val="28"/>
          <w:sz w:val="28"/>
          <w:szCs w:val="28"/>
          <w:rtl w:val="true"/>
          <w:lang w:bidi="fa-IR"/>
        </w:rPr>
        <w:t xml:space="preserve">للتبادر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وأسبابه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 تقديم الموصوف كان من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الموصوف على الصفة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زيد قائم أو الصفة كان من قصر</w:t>
      </w:r>
      <w:r>
        <w:rPr>
          <w:rFonts w:eastAsia="Amiri" w:cs="Amiri" w:ascii="Amiri" w:hAnsi="Amiri"/>
          <w:color w:val="111111"/>
          <w:sz w:val="28"/>
          <w:szCs w:val="28"/>
          <w:rtl w:val="true"/>
          <w:lang w:bidi="ar-SA"/>
        </w:rPr>
        <w:t>)</w:t>
      </w:r>
      <w:r>
        <w:rPr>
          <w:rStyle w:val="FootnoteAnchor"/>
          <w:rtl w:val="true"/>
        </w:rPr>
        <w:footnoteReference w:id="1037"/>
      </w:r>
      <w:r>
        <w:rPr>
          <w:rFonts w:ascii="IRNazanin" w:hAnsi="IRNazanin" w:eastAsia="IRNazanin"/>
          <w:color w:val="111111"/>
          <w:sz w:val="28"/>
          <w:sz w:val="28"/>
          <w:szCs w:val="28"/>
          <w:rtl w:val="true"/>
          <w:lang w:bidi="fa-IR"/>
        </w:rPr>
        <w:t>الصفة على الموصوف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القائم زید</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الخبر، أو إدخال اللام عليه، أو تعقب</w:t>
      </w:r>
      <w:r>
        <w:rPr>
          <w:rStyle w:val="FootnoteAnchor"/>
          <w:rtl w:val="true"/>
        </w:rPr>
        <w:footnoteReference w:id="1039"/>
      </w:r>
      <w:r>
        <w:rPr>
          <w:rFonts w:ascii="Amiri" w:hAnsi="Amiri" w:eastAsia="Amiri" w:cs="Amiri"/>
          <w:color w:val="111111"/>
          <w:sz w:val="28"/>
          <w:sz w:val="28"/>
          <w:szCs w:val="28"/>
          <w:rtl w:val="true"/>
          <w:lang w:bidi="ar-SA"/>
        </w:rPr>
        <w:t>المبتدأ بضمير الفصل، أو إدخال اللام على المبتدأ، إلى غير ذلك</w:t>
      </w:r>
      <w:r>
        <w:rPr>
          <w:rFonts w:eastAsia="Amiri" w:cs="Amiri" w:ascii="Amiri" w:hAnsi="Amiri"/>
          <w:color w:val="111111"/>
          <w:sz w:val="28"/>
          <w:szCs w:val="28"/>
          <w:rtl w:val="true"/>
          <w:lang w:bidi="ar-SA"/>
        </w:rPr>
        <w:t>.</w:t>
      </w:r>
      <w:r>
        <w:rPr>
          <w:rStyle w:val="FootnoteAnchor"/>
          <w:rtl w:val="true"/>
        </w:rPr>
        <w:footnoteReference w:id="104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مرَّ يظهر الحال في مفهوم القيد واللقب والعدد، والزمان والمكان فالمعيار في الكل العرف العام</w:t>
      </w:r>
      <w:r>
        <w:rPr>
          <w:rFonts w:eastAsia="Amiri" w:cs="Amiri" w:ascii="Amiri" w:hAnsi="Amiri"/>
          <w:color w:val="111111"/>
          <w:sz w:val="28"/>
          <w:szCs w:val="28"/>
          <w:rtl w:val="true"/>
          <w:lang w:bidi="ar-SA"/>
        </w:rPr>
        <w:t>.</w:t>
      </w:r>
      <w:r>
        <w:rPr>
          <w:rStyle w:val="FootnoteAnchor"/>
          <w:rtl w:val="true"/>
        </w:rPr>
        <w:footnoteReference w:id="1041"/>
      </w:r>
      <w:bookmarkStart w:id="363" w:name="pg9015_97559"/>
    </w:p>
    <w:p>
      <w:pPr>
        <w:pStyle w:val="Heading2"/>
        <w:numPr>
          <w:ilvl w:val="1"/>
          <w:numId w:val="1"/>
        </w:numPr>
        <w:rPr/>
      </w:pPr>
      <w:bookmarkStart w:id="364" w:name="__RefHeading___Toc2001581_2870459653"/>
      <w:bookmarkStart w:id="365" w:name="_Toc140"/>
      <w:bookmarkEnd w:id="363"/>
      <w:bookmarkEnd w:id="364"/>
      <w:r>
        <w:rPr>
          <w:rtl w:val="true"/>
        </w:rPr>
        <w:t xml:space="preserve">أصل </w:t>
      </w:r>
      <w:r>
        <w:rPr>
          <w:rtl w:val="true"/>
        </w:rPr>
        <w:t>[</w:t>
      </w:r>
      <w:r>
        <w:rPr>
          <w:rtl w:val="true"/>
        </w:rPr>
        <w:t>في تعريف العام</w:t>
      </w:r>
      <w:r>
        <w:rPr>
          <w:rtl w:val="true"/>
        </w:rPr>
        <w:t>]</w:t>
      </w:r>
      <w:bookmarkEnd w:id="365"/>
    </w:p>
    <w:p>
      <w:pPr>
        <w:pStyle w:val="BookText"/>
        <w:rPr/>
      </w:pPr>
      <w:r>
        <w:rPr>
          <w:rFonts w:ascii="Amiri" w:hAnsi="Amiri" w:eastAsia="Amiri" w:cs="Amiri"/>
          <w:color w:val="111111"/>
          <w:sz w:val="28"/>
          <w:sz w:val="28"/>
          <w:szCs w:val="28"/>
          <w:rtl w:val="true"/>
          <w:lang w:bidi="ar-SA"/>
        </w:rPr>
        <w:t>اعلم أن العام يطلق على الكلي المنطقي، وعلى كلي يكون النسبة بينه وبين الشيء عموماً من وجه بحسب المورد لا المصداق، والعموم يطلق على العموم الاحتمالي وعلى الشمول، وعلى الاستغراق المستفاد من اللفظ، أو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عرفوا العام المصطلح بتعاريف</w:t>
      </w:r>
      <w:r>
        <w:rPr>
          <w:rStyle w:val="FootnoteAnchor"/>
          <w:rtl w:val="true"/>
        </w:rPr>
        <w:footnoteReference w:id="1042"/>
      </w:r>
      <w:r>
        <w:rPr>
          <w:rFonts w:ascii="Amiri" w:hAnsi="Amiri" w:eastAsia="Amiri" w:cs="Amiri"/>
          <w:color w:val="111111"/>
          <w:sz w:val="28"/>
          <w:sz w:val="28"/>
          <w:szCs w:val="28"/>
          <w:rtl w:val="true"/>
          <w:lang w:bidi="ar-SA"/>
        </w:rPr>
        <w:t>، والأصح أنه اللفظ الموضوع للدلالة على استغراق</w:t>
      </w:r>
      <w:r>
        <w:rPr>
          <w:rStyle w:val="FootnoteAnchor"/>
          <w:rtl w:val="true"/>
        </w:rPr>
        <w:footnoteReference w:id="1043"/>
      </w:r>
      <w:r>
        <w:rPr>
          <w:rFonts w:ascii="Amiri" w:hAnsi="Amiri" w:eastAsia="Amiri" w:cs="Amiri"/>
          <w:color w:val="111111"/>
          <w:sz w:val="28"/>
          <w:sz w:val="28"/>
          <w:szCs w:val="28"/>
          <w:rtl w:val="true"/>
          <w:lang w:bidi="ar-SA"/>
        </w:rPr>
        <w:t>أجزائه، أو جزئياته، أو أجزاء جزئياته</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وهو مشترك معنوي بين هذه لا لفظي؛ لأصالة عدم تعدد الوضع، وللتبادر وصحة السلب عن خصوص المجموعي، أو الأفرادي، والقدر المشترك مطلق الدال على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حقيقة في اللفظ الدال بالوضع على الاستغراق كما هو ظاهر التعريف، أو في اللفظ الدال عليه بالوضع أم بغيره، أو في الدال على الاستغراق باللفظ أم بغيره، ليدخل مثل ترك الاستفصال ؟ وجوه</w:t>
      </w:r>
      <w:r>
        <w:rPr>
          <w:rFonts w:eastAsia="Amiri" w:cs="Amiri" w:ascii="Amiri" w:hAnsi="Amiri"/>
          <w:color w:val="111111"/>
          <w:sz w:val="28"/>
          <w:szCs w:val="28"/>
          <w:rtl w:val="true"/>
          <w:lang w:bidi="ar-SA"/>
        </w:rPr>
        <w:t>.</w:t>
      </w:r>
      <w:r>
        <w:rPr>
          <w:rStyle w:val="FootnoteAnchor"/>
          <w:rtl w:val="true"/>
        </w:rPr>
        <w:footnoteReference w:id="104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كون دلالة العام على العموم مطابقة، أم تضمناً، أم التزاماً، احتمالات والحق أن المقامات مختلفة</w:t>
      </w:r>
      <w:r>
        <w:rPr>
          <w:rFonts w:eastAsia="Amiri" w:cs="Amiri" w:ascii="Amiri" w:hAnsi="Amiri"/>
          <w:color w:val="111111"/>
          <w:sz w:val="28"/>
          <w:szCs w:val="28"/>
          <w:rtl w:val="true"/>
          <w:lang w:bidi="ar-SA"/>
        </w:rPr>
        <w:t xml:space="preserve">. </w:t>
      </w:r>
      <w:bookmarkStart w:id="366" w:name="pg9015_97560"/>
    </w:p>
    <w:p>
      <w:pPr>
        <w:pStyle w:val="Heading2"/>
        <w:numPr>
          <w:ilvl w:val="1"/>
          <w:numId w:val="1"/>
        </w:numPr>
        <w:rPr/>
      </w:pPr>
      <w:bookmarkStart w:id="367" w:name="__RefHeading___Toc2001583_2870459653"/>
      <w:bookmarkStart w:id="368" w:name="_Toc141"/>
      <w:bookmarkEnd w:id="366"/>
      <w:bookmarkEnd w:id="367"/>
      <w:r>
        <w:rPr>
          <w:rtl w:val="true"/>
        </w:rPr>
        <w:t xml:space="preserve">أصل </w:t>
      </w:r>
      <w:r>
        <w:rPr>
          <w:rtl w:val="true"/>
        </w:rPr>
        <w:t>[</w:t>
      </w:r>
      <w:r>
        <w:rPr>
          <w:rtl w:val="true"/>
        </w:rPr>
        <w:t>في أن للعام صيغة تخصه</w:t>
      </w:r>
      <w:r>
        <w:rPr>
          <w:rtl w:val="true"/>
        </w:rPr>
        <w:t>]</w:t>
      </w:r>
      <w:bookmarkEnd w:id="368"/>
    </w:p>
    <w:p>
      <w:pPr>
        <w:pStyle w:val="BookText"/>
        <w:rPr/>
      </w:pPr>
      <w:r>
        <w:rPr>
          <w:rFonts w:ascii="Amiri" w:hAnsi="Amiri" w:eastAsia="Amiri" w:cs="Amiri"/>
          <w:color w:val="111111"/>
          <w:sz w:val="28"/>
          <w:sz w:val="28"/>
          <w:szCs w:val="28"/>
          <w:rtl w:val="true"/>
          <w:lang w:bidi="ar-SA"/>
        </w:rPr>
        <w:t xml:space="preserve">الأصحّ أن للعامّ صيغة تخصه بحيث لو استعملت في غيره كان مجازاً؛ لوجوه كثيرة ، أقواها التبادر ، ويعضده أو يؤيده قصة ابن الزبعرى </w:t>
      </w:r>
      <w:r>
        <w:rPr>
          <w:rStyle w:val="FootnoteAnchor"/>
          <w:rtl w:val="true"/>
        </w:rPr>
        <w:footnoteReference w:id="1046"/>
      </w:r>
      <w:r>
        <w:rPr>
          <w:rFonts w:ascii="Amiri" w:hAnsi="Amiri" w:eastAsia="Amiri" w:cs="Amiri"/>
          <w:color w:val="111111"/>
          <w:sz w:val="28"/>
          <w:sz w:val="28"/>
          <w:szCs w:val="28"/>
          <w:rtl w:val="true"/>
          <w:lang w:bidi="ar-SA"/>
        </w:rPr>
        <w:t>، وليس للمنكر ما يصغى إليه</w:t>
      </w:r>
      <w:r>
        <w:rPr>
          <w:rFonts w:eastAsia="Amiri" w:cs="Amiri" w:ascii="Amiri" w:hAnsi="Amiri"/>
          <w:color w:val="111111"/>
          <w:sz w:val="28"/>
          <w:szCs w:val="28"/>
          <w:rtl w:val="true"/>
          <w:lang w:bidi="ar-SA"/>
        </w:rPr>
        <w:t>.</w:t>
      </w:r>
      <w:r>
        <w:rPr>
          <w:rStyle w:val="FootnoteAnchor"/>
          <w:rtl w:val="true"/>
        </w:rPr>
        <w:footnoteReference w:id="1047"/>
      </w:r>
    </w:p>
    <w:p>
      <w:pPr>
        <w:pStyle w:val="Heading2"/>
        <w:numPr>
          <w:ilvl w:val="1"/>
          <w:numId w:val="1"/>
        </w:numPr>
        <w:rPr/>
      </w:pPr>
      <w:bookmarkStart w:id="369" w:name="__RefHeading___Toc2001585_2870459653"/>
      <w:bookmarkStart w:id="370" w:name="_Toc142"/>
      <w:bookmarkEnd w:id="369"/>
      <w:r>
        <w:rPr>
          <w:rtl w:val="true"/>
        </w:rPr>
        <w:t xml:space="preserve">أصل </w:t>
      </w:r>
      <w:r>
        <w:rPr>
          <w:rtl w:val="true"/>
        </w:rPr>
        <w:t>[</w:t>
      </w:r>
      <w:r>
        <w:rPr>
          <w:rtl w:val="true"/>
        </w:rPr>
        <w:t>في الجمع المحلّى باللام</w:t>
      </w:r>
      <w:r>
        <w:rPr>
          <w:rtl w:val="true"/>
        </w:rPr>
        <w:t>]</w:t>
      </w:r>
      <w:bookmarkEnd w:id="37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 المحلّى يطلق على العهد الخارجي</w:t>
      </w:r>
      <w:r>
        <w:rPr>
          <w:rStyle w:val="FootnoteAnchor"/>
          <w:rtl w:val="true"/>
        </w:rPr>
        <w:footnoteReference w:id="1048"/>
      </w:r>
      <w:r>
        <w:rPr>
          <w:rFonts w:ascii="Amiri" w:hAnsi="Amiri" w:eastAsia="Amiri" w:cs="Amiri"/>
          <w:color w:val="111111"/>
          <w:sz w:val="28"/>
          <w:sz w:val="28"/>
          <w:szCs w:val="28"/>
          <w:rtl w:val="true"/>
          <w:lang w:bidi="ar-SA"/>
        </w:rPr>
        <w:t>والذهني</w:t>
      </w:r>
      <w:r>
        <w:rPr>
          <w:rStyle w:val="FootnoteAnchor"/>
          <w:rtl w:val="true"/>
        </w:rPr>
        <w:footnoteReference w:id="1049"/>
      </w:r>
      <w:r>
        <w:rPr>
          <w:rFonts w:ascii="IRNazanin" w:hAnsi="IRNazanin" w:eastAsia="IRNazanin"/>
          <w:color w:val="111111"/>
          <w:sz w:val="28"/>
          <w:sz w:val="28"/>
          <w:szCs w:val="28"/>
          <w:rtl w:val="true"/>
          <w:lang w:bidi="fa-IR"/>
        </w:rPr>
        <w:t>، وجنس الجمع</w:t>
      </w:r>
      <w:r>
        <w:rPr>
          <w:rStyle w:val="FootnoteAnchor"/>
          <w:rtl w:val="true"/>
        </w:rPr>
        <w:footnoteReference w:id="1050"/>
      </w:r>
      <w:r>
        <w:rPr>
          <w:rFonts w:ascii="IRNazanin" w:hAnsi="IRNazanin" w:eastAsia="IRNazanin"/>
          <w:color w:val="111111"/>
          <w:sz w:val="28"/>
          <w:sz w:val="28"/>
          <w:szCs w:val="28"/>
          <w:rtl w:val="true"/>
          <w:lang w:bidi="fa-IR"/>
        </w:rPr>
        <w:t xml:space="preserve">، و جنس المفرد </w:t>
      </w:r>
      <w:r>
        <w:rPr>
          <w:rStyle w:val="FootnoteAnchor"/>
          <w:rtl w:val="true"/>
        </w:rPr>
        <w:footnoteReference w:id="1051"/>
      </w:r>
      <w:r>
        <w:rPr>
          <w:rFonts w:ascii="Amiri" w:hAnsi="Amiri" w:eastAsia="Amiri" w:cs="Amiri"/>
          <w:color w:val="111111"/>
          <w:sz w:val="28"/>
          <w:sz w:val="28"/>
          <w:szCs w:val="28"/>
          <w:rtl w:val="true"/>
          <w:lang w:bidi="ar-SA"/>
        </w:rPr>
        <w:t>، والاستغراق الجمعي أو المجموعي أو الأفرادي</w:t>
      </w:r>
      <w:r>
        <w:rPr>
          <w:rStyle w:val="FootnoteAnchor"/>
          <w:rtl w:val="true"/>
        </w:rPr>
        <w:footnoteReference w:id="1052"/>
      </w:r>
      <w:r>
        <w:rPr>
          <w:rFonts w:ascii="Amiri" w:hAnsi="Amiri" w:eastAsia="Amiri" w:cs="Amiri"/>
          <w:color w:val="111111"/>
          <w:sz w:val="28"/>
          <w:sz w:val="28"/>
          <w:szCs w:val="28"/>
          <w:rtl w:val="true"/>
          <w:lang w:bidi="ar-SA"/>
        </w:rPr>
        <w:t>، وهو مجاز فيما عدا العهد الخارجي والاستغراق</w:t>
      </w:r>
      <w:r>
        <w:rPr>
          <w:rStyle w:val="FootnoteAnchor"/>
          <w:rtl w:val="true"/>
        </w:rPr>
        <w:footnoteReference w:id="1053"/>
      </w:r>
      <w:r>
        <w:rPr>
          <w:rFonts w:ascii="Amiri" w:hAnsi="Amiri" w:eastAsia="Amiri" w:cs="Amiri"/>
          <w:color w:val="111111"/>
          <w:sz w:val="28"/>
          <w:sz w:val="28"/>
          <w:szCs w:val="28"/>
          <w:rtl w:val="true"/>
          <w:lang w:bidi="ar-SA"/>
        </w:rPr>
        <w:t xml:space="preserve">؛ لوجود علائم المجاز فيها ، و </w:t>
      </w:r>
      <w:r>
        <w:rPr>
          <w:rStyle w:val="FootnoteAnchor"/>
          <w:rtl w:val="true"/>
        </w:rPr>
        <w:footnoteReference w:id="1054"/>
      </w:r>
      <w:r>
        <w:rPr>
          <w:rFonts w:ascii="Amiri" w:hAnsi="Amiri" w:eastAsia="Amiri" w:cs="Amiri"/>
          <w:color w:val="111111"/>
          <w:sz w:val="28"/>
          <w:sz w:val="28"/>
          <w:szCs w:val="28"/>
          <w:rtl w:val="true"/>
          <w:lang w:bidi="ar-SA"/>
        </w:rPr>
        <w:t xml:space="preserve">حقيقة في </w:t>
      </w:r>
    </w:p>
    <w:p>
      <w:pPr>
        <w:pStyle w:val="BookText"/>
        <w:rPr/>
      </w:pPr>
      <w:r>
        <w:rPr>
          <w:rFonts w:ascii="IRNazanin" w:hAnsi="IRNazanin" w:eastAsia="IRNazanin"/>
          <w:color w:val="111111"/>
          <w:sz w:val="28"/>
          <w:sz w:val="28"/>
          <w:szCs w:val="28"/>
          <w:rtl w:val="true"/>
          <w:lang w:bidi="fa-IR"/>
        </w:rPr>
        <w:t>الاستغراق اتفاقاً</w:t>
      </w:r>
      <w:r>
        <w:rPr>
          <w:rStyle w:val="FootnoteAnchor"/>
          <w:rtl w:val="true"/>
        </w:rPr>
        <w:footnoteReference w:id="1055"/>
      </w:r>
      <w:r>
        <w:rPr>
          <w:rFonts w:ascii="Amiri" w:hAnsi="Amiri" w:eastAsia="Amiri" w:cs="Amiri"/>
          <w:color w:val="111111"/>
          <w:sz w:val="28"/>
          <w:sz w:val="28"/>
          <w:szCs w:val="28"/>
          <w:rtl w:val="true"/>
          <w:lang w:bidi="ar-SA"/>
        </w:rPr>
        <w:t>لوجود علائم الحقيقة فيه، وفي كونه حقيقة في العهد الخارجي أيضاً</w:t>
      </w:r>
      <w:r>
        <w:rPr>
          <w:rStyle w:val="FootnoteAnchor"/>
          <w:rtl w:val="true"/>
        </w:rPr>
        <w:footnoteReference w:id="1056"/>
      </w:r>
      <w:r>
        <w:rPr>
          <w:rFonts w:ascii="Amiri" w:hAnsi="Amiri" w:eastAsia="Amiri" w:cs="Amiri"/>
          <w:color w:val="111111"/>
          <w:sz w:val="28"/>
          <w:sz w:val="28"/>
          <w:szCs w:val="28"/>
          <w:rtl w:val="true"/>
          <w:lang w:bidi="ar-SA"/>
        </w:rPr>
        <w:t>، مشتركاً بينه وبين الاستغراق لفظاً، أم معنى، أم</w:t>
      </w:r>
      <w:r>
        <w:rPr>
          <w:rStyle w:val="FootnoteAnchor"/>
          <w:rtl w:val="true"/>
        </w:rPr>
        <w:footnoteReference w:id="1057"/>
      </w:r>
      <w:r>
        <w:rPr>
          <w:rFonts w:ascii="Amiri" w:hAnsi="Amiri" w:eastAsia="Amiri" w:cs="Amiri"/>
          <w:color w:val="111111"/>
          <w:sz w:val="28"/>
          <w:sz w:val="28"/>
          <w:szCs w:val="28"/>
          <w:rtl w:val="true"/>
          <w:lang w:bidi="ar-SA"/>
        </w:rPr>
        <w:t>مجازاً،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المتبادر منه في الإثبات الاستغراق المجموعي،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علي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النفي الأفرادي</w:t>
      </w:r>
      <w:r>
        <w:rPr>
          <w:rFonts w:eastAsia="Amiri" w:cs="Amiri" w:ascii="Amiri" w:hAnsi="Amiri"/>
          <w:color w:val="111111"/>
          <w:sz w:val="28"/>
          <w:szCs w:val="28"/>
          <w:rtl w:val="true"/>
          <w:lang w:bidi="ar-SA"/>
        </w:rPr>
        <w:t>.</w:t>
      </w:r>
      <w:r>
        <w:rPr>
          <w:rStyle w:val="FootnoteAnchor"/>
          <w:rtl w:val="true"/>
        </w:rPr>
        <w:footnoteReference w:id="105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الدال هو الهيئة التركيبية، لا إنه ذو دلالتين، والجمع المضاف</w:t>
      </w:r>
      <w:r>
        <w:rPr>
          <w:rStyle w:val="FootnoteAnchor"/>
          <w:rtl w:val="true"/>
        </w:rPr>
        <w:footnoteReference w:id="1059"/>
      </w:r>
      <w:r>
        <w:rPr>
          <w:rFonts w:ascii="Amiri" w:hAnsi="Amiri" w:eastAsia="Amiri" w:cs="Amiri"/>
          <w:color w:val="111111"/>
          <w:sz w:val="28"/>
          <w:sz w:val="28"/>
          <w:szCs w:val="28"/>
          <w:rtl w:val="true"/>
          <w:lang w:bidi="ar-SA"/>
        </w:rPr>
        <w:t>كالمحلى في الإطلاقات والمقامات</w:t>
      </w:r>
      <w:r>
        <w:rPr>
          <w:rFonts w:eastAsia="Amiri" w:cs="Amiri" w:ascii="Amiri" w:hAnsi="Amiri"/>
          <w:color w:val="111111"/>
          <w:sz w:val="28"/>
          <w:szCs w:val="28"/>
          <w:rtl w:val="true"/>
          <w:lang w:bidi="ar-SA"/>
        </w:rPr>
        <w:t xml:space="preserve">. </w:t>
      </w:r>
      <w:bookmarkStart w:id="371" w:name="pg9015_97562"/>
    </w:p>
    <w:p>
      <w:pPr>
        <w:pStyle w:val="Heading2"/>
        <w:numPr>
          <w:ilvl w:val="1"/>
          <w:numId w:val="1"/>
        </w:numPr>
        <w:rPr/>
      </w:pPr>
      <w:bookmarkStart w:id="372" w:name="__RefHeading___Toc2001587_2870459653"/>
      <w:bookmarkStart w:id="373" w:name="_Toc143"/>
      <w:bookmarkEnd w:id="371"/>
      <w:bookmarkEnd w:id="372"/>
      <w:r>
        <w:rPr>
          <w:rtl w:val="true"/>
        </w:rPr>
        <w:t xml:space="preserve">أصل </w:t>
      </w:r>
      <w:r>
        <w:rPr>
          <w:rtl w:val="true"/>
        </w:rPr>
        <w:t>[</w:t>
      </w:r>
      <w:r>
        <w:rPr>
          <w:rtl w:val="true"/>
        </w:rPr>
        <w:t>في المفرد المحلّى باللام</w:t>
      </w:r>
      <w:r>
        <w:rPr>
          <w:rtl w:val="true"/>
        </w:rPr>
        <w:t>]</w:t>
      </w:r>
      <w:bookmarkEnd w:id="373"/>
    </w:p>
    <w:p>
      <w:pPr>
        <w:pStyle w:val="BookText"/>
        <w:rPr/>
      </w:pPr>
      <w:r>
        <w:rPr>
          <w:rFonts w:ascii="Amiri" w:hAnsi="Amiri" w:eastAsia="Amiri" w:cs="Amiri"/>
          <w:color w:val="111111"/>
          <w:sz w:val="28"/>
          <w:sz w:val="28"/>
          <w:szCs w:val="28"/>
          <w:rtl w:val="true"/>
          <w:lang w:bidi="ar-SA"/>
        </w:rPr>
        <w:t>المفرد المحلّى يطلق على الجنس</w:t>
      </w:r>
      <w:r>
        <w:rPr>
          <w:rStyle w:val="FootnoteAnchor"/>
          <w:rtl w:val="true"/>
        </w:rPr>
        <w:footnoteReference w:id="1060"/>
      </w:r>
      <w:r>
        <w:rPr>
          <w:rFonts w:ascii="IRNazanin" w:hAnsi="IRNazanin" w:eastAsia="IRNazanin"/>
          <w:color w:val="111111"/>
          <w:sz w:val="28"/>
          <w:sz w:val="28"/>
          <w:szCs w:val="28"/>
          <w:rtl w:val="true"/>
          <w:lang w:bidi="fa-IR"/>
        </w:rPr>
        <w:t xml:space="preserve">، والاستغراق </w:t>
      </w:r>
      <w:r>
        <w:rPr>
          <w:rStyle w:val="FootnoteAnchor"/>
          <w:rtl w:val="true"/>
        </w:rPr>
        <w:footnoteReference w:id="1061"/>
      </w:r>
      <w:r>
        <w:rPr>
          <w:rFonts w:ascii="Amiri" w:hAnsi="Amiri" w:eastAsia="Amiri" w:cs="Amiri"/>
          <w:color w:val="111111"/>
          <w:sz w:val="28"/>
          <w:sz w:val="28"/>
          <w:szCs w:val="28"/>
          <w:rtl w:val="true"/>
          <w:lang w:bidi="ar-SA"/>
        </w:rPr>
        <w:t>، والعهد الخارجي</w:t>
      </w:r>
      <w:r>
        <w:rPr>
          <w:rStyle w:val="FootnoteAnchor"/>
          <w:rtl w:val="true"/>
        </w:rPr>
        <w:footnoteReference w:id="1062"/>
      </w:r>
      <w:r>
        <w:rPr>
          <w:rFonts w:ascii="Amiri" w:hAnsi="Amiri" w:eastAsia="Amiri" w:cs="Amiri"/>
          <w:color w:val="111111"/>
          <w:sz w:val="28"/>
          <w:sz w:val="28"/>
          <w:szCs w:val="28"/>
          <w:rtl w:val="true"/>
          <w:lang w:bidi="ar-SA"/>
        </w:rPr>
        <w:t>والذهني</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اعلم أن المادة المجردة عن اللواحق موضوعة على الأصح لا مهملة كما يظهر من بعض</w:t>
      </w:r>
      <w:r>
        <w:rPr>
          <w:rStyle w:val="FootnoteAnchor"/>
          <w:rtl w:val="true"/>
        </w:rPr>
        <w:footnoteReference w:id="1064"/>
      </w:r>
      <w:r>
        <w:rPr>
          <w:rFonts w:ascii="Amiri" w:hAnsi="Amiri" w:eastAsia="Amiri" w:cs="Amiri"/>
          <w:color w:val="111111"/>
          <w:sz w:val="28"/>
          <w:sz w:val="28"/>
          <w:szCs w:val="28"/>
          <w:rtl w:val="true"/>
          <w:lang w:bidi="ar-SA"/>
        </w:rPr>
        <w:t>، وذلك للأصل،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وللتبادر، ولأن المتبادر منها في ضمن اللواحق دلالتان ومدلولان، والموضوع له المادة هو الماهية اللابشرط ؛ لظهور الوفاق من القائلين بوضعها </w:t>
      </w:r>
      <w:r>
        <w:rPr>
          <w:rStyle w:val="FootnoteAnchor"/>
          <w:rtl w:val="true"/>
        </w:rPr>
        <w:footnoteReference w:id="1065"/>
      </w:r>
      <w:r>
        <w:rPr>
          <w:rFonts w:ascii="IRNazanin" w:hAnsi="IRNazanin" w:eastAsia="IRNazanin"/>
          <w:color w:val="111111"/>
          <w:sz w:val="28"/>
          <w:sz w:val="28"/>
          <w:szCs w:val="28"/>
          <w:rtl w:val="true"/>
          <w:lang w:bidi="fa-IR"/>
        </w:rPr>
        <w:t>، وللتبادر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أخذ الوحدة في تعريف اسم الجنس</w:t>
      </w:r>
      <w:r>
        <w:rPr>
          <w:rStyle w:val="FootnoteAnchor"/>
          <w:rtl w:val="true"/>
        </w:rPr>
        <w:footnoteReference w:id="1066"/>
      </w:r>
      <w:r>
        <w:rPr>
          <w:rFonts w:ascii="Amiri" w:hAnsi="Amiri" w:eastAsia="Amiri" w:cs="Amiri"/>
          <w:color w:val="111111"/>
          <w:sz w:val="28"/>
          <w:sz w:val="28"/>
          <w:szCs w:val="28"/>
          <w:rtl w:val="true"/>
          <w:lang w:bidi="ar-SA"/>
        </w:rPr>
        <w:t>ففاسد بجميع تقاديره المتصورة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الحق أنّ المفرد المحلّى حقيقة في الجنس؛ للتبادر ، ولأنه مقتضى الوضع الأفرادي في جزئي المركب، والوضع الجديد 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العهد الخارجي وجهان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في الاستغراق؛ للتنافر </w:t>
      </w:r>
      <w:r>
        <w:rPr>
          <w:rStyle w:val="FootnoteAnchor"/>
          <w:rtl w:val="true"/>
        </w:rPr>
        <w:footnoteReference w:id="1067"/>
      </w:r>
      <w:r>
        <w:rPr>
          <w:rFonts w:ascii="Amiri" w:hAnsi="Amiri" w:eastAsia="Amiri" w:cs="Amiri"/>
          <w:color w:val="111111"/>
          <w:sz w:val="28"/>
          <w:sz w:val="28"/>
          <w:szCs w:val="28"/>
          <w:rtl w:val="true"/>
          <w:lang w:bidi="ar-SA"/>
        </w:rPr>
        <w:t xml:space="preserve">، وعدم اطراد الاستثناء، ولأنه إن كان حقيقة خاصة فيه نفاه تبادر الغير ، أو مشتركاً لفظياً بينه وبين الجنس نفاه الأصل، أو معنوياً </w:t>
      </w:r>
    </w:p>
    <w:p>
      <w:pPr>
        <w:pStyle w:val="BookText"/>
        <w:rPr/>
      </w:pPr>
      <w:r>
        <w:rPr>
          <w:rFonts w:ascii="Amiri" w:hAnsi="Amiri" w:eastAsia="Amiri" w:cs="Amiri"/>
          <w:color w:val="111111"/>
          <w:sz w:val="28"/>
          <w:sz w:val="28"/>
          <w:szCs w:val="28"/>
          <w:rtl w:val="true"/>
          <w:lang w:bidi="ar-SA"/>
        </w:rPr>
        <w:t>نفاه الحصر العقلي، وبيانه موكول إلى المطولات</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ولا في العهد الذهني للتنافر، ونحو</w:t>
      </w:r>
      <w:r>
        <w:rPr>
          <w:rStyle w:val="FootnoteAnchor"/>
          <w:rtl w:val="true"/>
        </w:rPr>
        <w:footnoteReference w:id="1069"/>
      </w:r>
      <w:r>
        <w:rPr>
          <w:rFonts w:ascii="IRNazanin" w:hAnsi="IRNazanin" w:eastAsia="IRNazanin"/>
          <w:color w:val="111111"/>
          <w:sz w:val="28"/>
          <w:sz w:val="28"/>
          <w:szCs w:val="28"/>
          <w:rtl w:val="true"/>
          <w:lang w:bidi="fa-IR"/>
        </w:rPr>
        <w:t>الحصر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التمسك في إثبات عمومه في بعض الموارد بدليل الحكمة</w:t>
      </w:r>
      <w:r>
        <w:rPr>
          <w:rStyle w:val="FootnoteAnchor"/>
          <w:rtl w:val="true"/>
        </w:rPr>
        <w:footnoteReference w:id="1070"/>
      </w:r>
      <w:r>
        <w:rPr>
          <w:rFonts w:ascii="Amiri" w:hAnsi="Amiri" w:eastAsia="Amiri" w:cs="Amiri"/>
          <w:color w:val="111111"/>
          <w:sz w:val="28"/>
          <w:sz w:val="28"/>
          <w:szCs w:val="28"/>
          <w:rtl w:val="true"/>
          <w:lang w:bidi="ar-SA"/>
        </w:rPr>
        <w:t>، فواه جداً؛ إذ مع فهم العرف العموم لا حاجة إليه، ومع عدمه لا ينفع</w:t>
      </w:r>
      <w:r>
        <w:rPr>
          <w:rStyle w:val="FootnoteAnchor"/>
          <w:rtl w:val="true"/>
        </w:rPr>
        <w:footnoteReference w:id="1071"/>
      </w:r>
      <w:r>
        <w:rPr>
          <w:rFonts w:ascii="Amiri" w:hAnsi="Amiri" w:eastAsia="Amiri" w:cs="Amiri"/>
          <w:color w:val="111111"/>
          <w:sz w:val="28"/>
          <w:sz w:val="28"/>
          <w:szCs w:val="28"/>
          <w:rtl w:val="true"/>
          <w:lang w:bidi="ar-SA"/>
        </w:rPr>
        <w:t>، مضافاً إلى ما في تقريره من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ذو دلالة ومدلول</w:t>
      </w:r>
      <w:r>
        <w:rPr>
          <w:rStyle w:val="FootnoteAnchor"/>
          <w:rtl w:val="true"/>
        </w:rPr>
        <w:footnoteReference w:id="1072"/>
      </w:r>
      <w:r>
        <w:rPr>
          <w:rFonts w:ascii="Amiri" w:hAnsi="Amiri" w:eastAsia="Amiri" w:cs="Amiri"/>
          <w:color w:val="111111"/>
          <w:sz w:val="28"/>
          <w:sz w:val="28"/>
          <w:szCs w:val="28"/>
          <w:rtl w:val="true"/>
          <w:lang w:bidi="ar-SA"/>
        </w:rPr>
        <w:t>، أو ذو دلالتين ومدلولين؟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الدال على الطبيعة هو المادة، وعلى الزيادة هل هو اللام، أو الهيئة التركيبية؟ احتمالان</w:t>
      </w:r>
    </w:p>
    <w:p>
      <w:pPr>
        <w:pStyle w:val="BookText"/>
        <w:rPr/>
      </w:pPr>
      <w:r>
        <w:rPr>
          <w:rFonts w:ascii="Amiri" w:hAnsi="Amiri" w:eastAsia="Amiri" w:cs="Amiri"/>
          <w:color w:val="111111"/>
          <w:sz w:val="28"/>
          <w:sz w:val="28"/>
          <w:szCs w:val="28"/>
          <w:rtl w:val="true"/>
          <w:lang w:bidi="ar-SA"/>
        </w:rPr>
        <w:t>ثم اللام موضوعة لمطلق الإشارة كوضع المبهمات</w:t>
      </w:r>
      <w:r>
        <w:rPr>
          <w:rStyle w:val="FootnoteAnchor"/>
          <w:rtl w:val="true"/>
        </w:rPr>
        <w:footnoteReference w:id="1073"/>
      </w:r>
      <w:r>
        <w:rPr>
          <w:rFonts w:ascii="Amiri" w:hAnsi="Amiri" w:eastAsia="Amiri" w:cs="Amiri"/>
          <w:color w:val="111111"/>
          <w:sz w:val="28"/>
          <w:sz w:val="28"/>
          <w:szCs w:val="28"/>
          <w:rtl w:val="true"/>
          <w:lang w:bidi="ar-SA"/>
        </w:rPr>
        <w:t>، فهي حقيقة</w:t>
      </w:r>
      <w:r>
        <w:rPr>
          <w:rStyle w:val="FootnoteAnchor"/>
          <w:rtl w:val="true"/>
        </w:rPr>
        <w:footnoteReference w:id="1074"/>
      </w:r>
      <w:r>
        <w:rPr>
          <w:rFonts w:ascii="Amiri" w:hAnsi="Amiri" w:eastAsia="Amiri" w:cs="Amiri"/>
          <w:color w:val="111111"/>
          <w:sz w:val="28"/>
          <w:sz w:val="28"/>
          <w:szCs w:val="28"/>
          <w:rtl w:val="true"/>
          <w:lang w:bidi="ar-SA"/>
        </w:rPr>
        <w:t>، سواء أشير بها إلى الجنس أو الفرد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استعمل المحلى في الاستغراق أو العهد الذهني، فهل اللام حينئذ مستعملة في الإشارة أيضاً أم لا؟، وعلى الأخير هل </w:t>
      </w:r>
      <w:r>
        <w:rPr>
          <w:rStyle w:val="FootnoteAnchor"/>
          <w:rtl w:val="true"/>
        </w:rPr>
        <w:footnoteReference w:id="1075"/>
      </w:r>
      <w:r>
        <w:rPr>
          <w:rFonts w:ascii="Amiri" w:hAnsi="Amiri" w:eastAsia="Amiri" w:cs="Amiri"/>
          <w:color w:val="111111"/>
          <w:sz w:val="28"/>
          <w:sz w:val="28"/>
          <w:szCs w:val="28"/>
          <w:rtl w:val="true"/>
          <w:lang w:bidi="ar-SA"/>
        </w:rPr>
        <w:t>هي هي مهملة أم</w:t>
      </w:r>
      <w:r>
        <w:rPr>
          <w:rStyle w:val="FootnoteAnchor"/>
          <w:rtl w:val="true"/>
        </w:rPr>
        <w:footnoteReference w:id="1076"/>
      </w:r>
      <w:r>
        <w:rPr>
          <w:rFonts w:ascii="Amiri" w:hAnsi="Amiri" w:eastAsia="Amiri" w:cs="Amiri"/>
          <w:color w:val="111111"/>
          <w:sz w:val="28"/>
          <w:sz w:val="28"/>
          <w:szCs w:val="28"/>
          <w:rtl w:val="true"/>
          <w:lang w:bidi="ar-SA"/>
        </w:rPr>
        <w:t>مستعملة؟، وجوه</w:t>
      </w:r>
      <w:r>
        <w:rPr>
          <w:rFonts w:eastAsia="Amiri" w:cs="Amiri" w:ascii="Amiri" w:hAnsi="Amiri"/>
          <w:color w:val="111111"/>
          <w:sz w:val="28"/>
          <w:szCs w:val="28"/>
          <w:rtl w:val="true"/>
          <w:lang w:bidi="ar-SA"/>
        </w:rPr>
        <w:t>.</w:t>
      </w:r>
      <w:r>
        <w:rPr>
          <w:rStyle w:val="FootnoteAnchor"/>
          <w:rtl w:val="true"/>
        </w:rPr>
        <w:footnoteReference w:id="1077"/>
      </w:r>
      <w:bookmarkStart w:id="374" w:name="pg9015_97564"/>
    </w:p>
    <w:p>
      <w:pPr>
        <w:pStyle w:val="Heading2"/>
        <w:numPr>
          <w:ilvl w:val="1"/>
          <w:numId w:val="1"/>
        </w:numPr>
        <w:rPr/>
      </w:pPr>
      <w:bookmarkStart w:id="375" w:name="__RefHeading___Toc2001589_2870459653"/>
      <w:bookmarkStart w:id="376" w:name="_Toc144"/>
      <w:bookmarkEnd w:id="374"/>
      <w:bookmarkEnd w:id="375"/>
      <w:r>
        <w:rPr>
          <w:rtl w:val="true"/>
        </w:rPr>
        <w:t xml:space="preserve">أصل </w:t>
      </w:r>
      <w:r>
        <w:rPr>
          <w:rtl w:val="true"/>
        </w:rPr>
        <w:t>[</w:t>
      </w:r>
      <w:r>
        <w:rPr>
          <w:rtl w:val="true"/>
        </w:rPr>
        <w:t>في المفرد المضاف</w:t>
      </w:r>
      <w:r>
        <w:rPr>
          <w:rtl w:val="true"/>
        </w:rPr>
        <w:t>]</w:t>
      </w:r>
      <w:bookmarkEnd w:id="376"/>
    </w:p>
    <w:p>
      <w:pPr>
        <w:pStyle w:val="BookText"/>
        <w:rPr/>
      </w:pPr>
      <w:r>
        <w:rPr>
          <w:rFonts w:ascii="IRNazanin" w:hAnsi="IRNazanin" w:eastAsia="IRNazanin"/>
          <w:color w:val="111111"/>
          <w:sz w:val="28"/>
          <w:sz w:val="28"/>
          <w:szCs w:val="28"/>
          <w:rtl w:val="true"/>
          <w:lang w:bidi="fa-IR"/>
        </w:rPr>
        <w:t>المفرد المضاف</w:t>
      </w:r>
      <w:r>
        <w:rPr>
          <w:rStyle w:val="FootnoteAnchor"/>
          <w:rtl w:val="true"/>
        </w:rPr>
        <w:footnoteReference w:id="1078"/>
      </w:r>
      <w:r>
        <w:rPr>
          <w:rFonts w:ascii="Amiri" w:hAnsi="Amiri" w:eastAsia="Amiri" w:cs="Amiri"/>
          <w:color w:val="111111"/>
          <w:sz w:val="28"/>
          <w:sz w:val="28"/>
          <w:szCs w:val="28"/>
          <w:rtl w:val="true"/>
          <w:lang w:bidi="ar-SA"/>
        </w:rPr>
        <w:t xml:space="preserve">يستعمل في الأربعة </w:t>
      </w:r>
      <w:r>
        <w:rPr>
          <w:rStyle w:val="FootnoteAnchor"/>
          <w:rtl w:val="true"/>
        </w:rPr>
        <w:footnoteReference w:id="1079"/>
      </w:r>
      <w:r>
        <w:rPr>
          <w:rFonts w:ascii="Amiri" w:hAnsi="Amiri" w:eastAsia="Amiri" w:cs="Amiri"/>
          <w:color w:val="111111"/>
          <w:sz w:val="28"/>
          <w:sz w:val="28"/>
          <w:szCs w:val="28"/>
          <w:rtl w:val="true"/>
          <w:lang w:bidi="ar-SA"/>
        </w:rPr>
        <w:t xml:space="preserve">المتقدمة، وفي إفادته العموم مطلقا </w:t>
      </w:r>
      <w:r>
        <w:rPr>
          <w:rStyle w:val="FootnoteAnchor"/>
          <w:rtl w:val="true"/>
        </w:rPr>
        <w:footnoteReference w:id="1080"/>
      </w:r>
      <w:r>
        <w:rPr>
          <w:rFonts w:ascii="IRNazanin" w:hAnsi="IRNazanin" w:eastAsia="IRNazanin"/>
          <w:color w:val="111111"/>
          <w:sz w:val="28"/>
          <w:sz w:val="28"/>
          <w:szCs w:val="28"/>
          <w:rtl w:val="true"/>
          <w:lang w:bidi="fa-IR"/>
        </w:rPr>
        <w:t xml:space="preserve">، أو </w:t>
      </w:r>
      <w:r>
        <w:rPr>
          <w:rStyle w:val="FootnoteAnchor"/>
          <w:rtl w:val="true"/>
        </w:rPr>
        <w:footnoteReference w:id="1081"/>
      </w:r>
      <w:r>
        <w:rPr>
          <w:rFonts w:ascii="Amiri" w:hAnsi="Amiri" w:eastAsia="Amiri" w:cs="Amiri"/>
          <w:color w:val="111111"/>
          <w:sz w:val="28"/>
          <w:sz w:val="28"/>
          <w:szCs w:val="28"/>
          <w:rtl w:val="true"/>
          <w:lang w:bidi="ar-SA"/>
        </w:rPr>
        <w:t>إن كان مصدراً، أم لا مطلقاً</w:t>
      </w:r>
      <w:r>
        <w:rPr>
          <w:rStyle w:val="FootnoteAnchor"/>
          <w:rtl w:val="true"/>
        </w:rPr>
        <w:footnoteReference w:id="1082"/>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 أنه كالمفرد المحلى </w:t>
      </w:r>
      <w:r>
        <w:rPr>
          <w:rStyle w:val="FootnoteAnchor"/>
          <w:rtl w:val="true"/>
        </w:rPr>
        <w:footnoteReference w:id="1083"/>
      </w:r>
      <w:r>
        <w:rPr>
          <w:rFonts w:ascii="Amiri" w:hAnsi="Amiri" w:eastAsia="Amiri" w:cs="Amiri"/>
          <w:color w:val="111111"/>
          <w:sz w:val="28"/>
          <w:sz w:val="28"/>
          <w:szCs w:val="28"/>
          <w:rtl w:val="true"/>
          <w:lang w:bidi="ar-SA"/>
        </w:rPr>
        <w:t>، والدليل الدليل</w:t>
      </w:r>
      <w:r>
        <w:rPr>
          <w:rFonts w:eastAsia="Amiri" w:cs="Amiri" w:ascii="Amiri" w:hAnsi="Amiri"/>
          <w:color w:val="111111"/>
          <w:sz w:val="28"/>
          <w:szCs w:val="28"/>
          <w:rtl w:val="true"/>
          <w:lang w:bidi="ar-SA"/>
        </w:rPr>
        <w:t xml:space="preserve">. </w:t>
      </w:r>
      <w:bookmarkStart w:id="377" w:name="pg9015_97565"/>
    </w:p>
    <w:p>
      <w:pPr>
        <w:pStyle w:val="Heading2"/>
        <w:numPr>
          <w:ilvl w:val="1"/>
          <w:numId w:val="1"/>
        </w:numPr>
        <w:rPr/>
      </w:pPr>
      <w:bookmarkStart w:id="378" w:name="__RefHeading___Toc2001591_2870459653"/>
      <w:bookmarkStart w:id="379" w:name="_Toc145"/>
      <w:bookmarkEnd w:id="377"/>
      <w:bookmarkEnd w:id="378"/>
      <w:r>
        <w:rPr>
          <w:rtl w:val="true"/>
        </w:rPr>
        <w:t xml:space="preserve">أصل </w:t>
      </w:r>
      <w:r>
        <w:rPr>
          <w:rtl w:val="true"/>
        </w:rPr>
        <w:t>[</w:t>
      </w:r>
      <w:r>
        <w:rPr>
          <w:rtl w:val="true"/>
        </w:rPr>
        <w:t>في المفرد المنون</w:t>
      </w:r>
      <w:r>
        <w:rPr>
          <w:rtl w:val="true"/>
        </w:rPr>
        <w:t>]</w:t>
      </w:r>
      <w:bookmarkEnd w:id="379"/>
    </w:p>
    <w:p>
      <w:pPr>
        <w:pStyle w:val="BookText"/>
        <w:rPr/>
      </w:pPr>
      <w:r>
        <w:rPr>
          <w:rFonts w:ascii="Amiri" w:hAnsi="Amiri" w:eastAsia="Amiri" w:cs="Amiri"/>
          <w:color w:val="111111"/>
          <w:sz w:val="28"/>
          <w:sz w:val="28"/>
          <w:szCs w:val="28"/>
          <w:rtl w:val="true"/>
          <w:lang w:bidi="ar-SA"/>
        </w:rPr>
        <w:t>المفرد المنوّن يطلق على العموم</w:t>
      </w:r>
      <w:r>
        <w:rPr>
          <w:rStyle w:val="FootnoteAnchor"/>
          <w:rtl w:val="true"/>
        </w:rPr>
        <w:footnoteReference w:id="1084"/>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فرد معين</w:t>
      </w:r>
      <w:r>
        <w:rPr>
          <w:rStyle w:val="FootnoteAnchor"/>
          <w:rtl w:val="true"/>
        </w:rPr>
        <w:footnoteReference w:id="1085"/>
      </w:r>
      <w:r>
        <w:rPr>
          <w:rFonts w:ascii="IRNazanin" w:hAnsi="IRNazanin" w:eastAsia="IRNazanin"/>
          <w:color w:val="111111"/>
          <w:sz w:val="28"/>
          <w:sz w:val="28"/>
          <w:szCs w:val="28"/>
          <w:rtl w:val="true"/>
          <w:lang w:bidi="fa-IR"/>
        </w:rPr>
        <w:t xml:space="preserve">، أو منتشر </w:t>
      </w:r>
      <w:r>
        <w:rPr>
          <w:rStyle w:val="FootnoteAnchor"/>
          <w:rtl w:val="true"/>
        </w:rPr>
        <w:footnoteReference w:id="1086"/>
      </w:r>
      <w:r>
        <w:rPr>
          <w:rFonts w:ascii="IRNazanin" w:hAnsi="IRNazanin" w:eastAsia="IRNazanin"/>
          <w:color w:val="111111"/>
          <w:sz w:val="28"/>
          <w:sz w:val="28"/>
          <w:szCs w:val="28"/>
          <w:rtl w:val="true"/>
          <w:lang w:bidi="fa-IR"/>
        </w:rPr>
        <w:t>، وعلى الجنس</w:t>
      </w:r>
      <w:r>
        <w:rPr>
          <w:rStyle w:val="FootnoteAnchor"/>
          <w:rtl w:val="true"/>
        </w:rPr>
        <w:footnoteReference w:id="1087"/>
      </w:r>
      <w:r>
        <w:rPr>
          <w:rFonts w:ascii="Amiri" w:hAnsi="Amiri" w:eastAsia="Amiri" w:cs="Amiri"/>
          <w:color w:val="111111"/>
          <w:sz w:val="28"/>
          <w:sz w:val="28"/>
          <w:szCs w:val="28"/>
          <w:rtl w:val="true"/>
          <w:lang w:bidi="ar-SA"/>
        </w:rPr>
        <w:t>، وهو مجاز في الأولين اتفاقاً؛ لتبادر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088"/>
      </w:r>
      <w:r>
        <w:rPr>
          <w:rFonts w:ascii="Amiri" w:hAnsi="Amiri" w:eastAsia="Amiri" w:cs="Amiri"/>
          <w:color w:val="111111"/>
          <w:sz w:val="28"/>
          <w:sz w:val="28"/>
          <w:szCs w:val="28"/>
          <w:rtl w:val="true"/>
          <w:lang w:bidi="ar-SA"/>
        </w:rPr>
        <w:t>في كونه حقيقة في الأخيرين مشتركاً بينهما لفظاً، أم معنى أم حقيقة في أحدهما خاصة، وجوه</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لكن لا شك في كون التنوين للتمكن أينما وجد، حتى في النكرات وأسماء الأجناس، فهو علامة الجريان الإعراب وتمامية الاسم</w:t>
      </w:r>
      <w:r>
        <w:rPr>
          <w:rStyle w:val="FootnoteAnchor"/>
          <w:rtl w:val="true"/>
        </w:rPr>
        <w:footnoteReference w:id="1090"/>
      </w:r>
      <w:r>
        <w:rPr>
          <w:rFonts w:ascii="Amiri" w:hAnsi="Amiri" w:eastAsia="Amiri" w:cs="Amiri"/>
          <w:color w:val="111111"/>
          <w:sz w:val="28"/>
          <w:sz w:val="28"/>
          <w:szCs w:val="28"/>
          <w:rtl w:val="true"/>
          <w:lang w:bidi="ar-SA"/>
        </w:rPr>
        <w:t>، وأما عدّهم تنوين التمكن مقابلاً للتنكير، فمرادهم التمكن بشرط لا</w:t>
      </w:r>
      <w:r>
        <w:rPr>
          <w:rStyle w:val="FootnoteAnchor"/>
          <w:rtl w:val="true"/>
        </w:rPr>
        <w:footnoteReference w:id="1091"/>
      </w:r>
      <w:r>
        <w:rPr>
          <w:rFonts w:ascii="Amiri" w:hAnsi="Amiri" w:eastAsia="Amiri" w:cs="Amiri"/>
          <w:color w:val="111111"/>
          <w:sz w:val="28"/>
          <w:sz w:val="28"/>
          <w:szCs w:val="28"/>
          <w:rtl w:val="true"/>
          <w:lang w:bidi="ar-SA"/>
        </w:rPr>
        <w:t>، لا مطلق التمكن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المتبادر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 المنتشر</w:t>
      </w:r>
      <w:r>
        <w:rPr>
          <w:rStyle w:val="FootnoteAnchor"/>
          <w:rtl w:val="true"/>
        </w:rPr>
        <w:footnoteReference w:id="1092"/>
      </w:r>
      <w:r>
        <w:rPr>
          <w:rFonts w:ascii="IRNazanin" w:hAnsi="IRNazanin" w:eastAsia="IRNazanin"/>
          <w:color w:val="111111"/>
          <w:sz w:val="28"/>
          <w:sz w:val="28"/>
          <w:szCs w:val="28"/>
          <w:rtl w:val="true"/>
          <w:lang w:bidi="fa-IR"/>
        </w:rPr>
        <w:t>، و</w:t>
      </w:r>
      <w:r>
        <w:rPr>
          <w:rStyle w:val="FootnoteAnchor"/>
          <w:rtl w:val="true"/>
        </w:rPr>
        <w:footnoteReference w:id="1093"/>
      </w:r>
      <w:r>
        <w:rPr>
          <w:rFonts w:ascii="Amiri" w:hAnsi="Amiri" w:eastAsia="Amiri" w:cs="Amiri"/>
          <w:color w:val="111111"/>
          <w:sz w:val="28"/>
          <w:sz w:val="28"/>
          <w:szCs w:val="28"/>
          <w:rtl w:val="true"/>
          <w:lang w:bidi="ar-SA"/>
        </w:rPr>
        <w:t>في كون الدال عليه هو</w:t>
      </w:r>
      <w:r>
        <w:rPr>
          <w:rStyle w:val="FootnoteAnchor"/>
          <w:rtl w:val="true"/>
        </w:rPr>
        <w:footnoteReference w:id="1094"/>
      </w:r>
      <w:bookmarkStart w:id="380" w:name="pg9015_97566"/>
    </w:p>
    <w:p>
      <w:pPr>
        <w:pStyle w:val="BookText"/>
        <w:rPr/>
      </w:pPr>
      <w:bookmarkEnd w:id="380"/>
      <w:r>
        <w:rPr>
          <w:rFonts w:ascii="Amiri" w:hAnsi="Amiri" w:eastAsia="Amiri" w:cs="Amiri"/>
          <w:color w:val="111111"/>
          <w:sz w:val="28"/>
          <w:sz w:val="28"/>
          <w:szCs w:val="28"/>
          <w:rtl w:val="true"/>
          <w:lang w:bidi="ar-SA"/>
        </w:rPr>
        <w:t xml:space="preserve">التنوين أو المنون أي </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فيكون هنا دوال هي المادة، والتنوين، والهيئة؛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ومدلولات هي الطبيعة، والتمكن ، و </w:t>
      </w:r>
      <w:r>
        <w:rPr>
          <w:rStyle w:val="FootnoteAnchor"/>
          <w:rtl w:val="true"/>
        </w:rPr>
        <w:footnoteReference w:id="1096"/>
      </w:r>
      <w:r>
        <w:rPr>
          <w:rFonts w:ascii="IRNazanin" w:hAnsi="IRNazanin" w:eastAsia="IRNazanin"/>
          <w:color w:val="111111"/>
          <w:sz w:val="28"/>
          <w:sz w:val="28"/>
          <w:szCs w:val="28"/>
          <w:rtl w:val="true"/>
          <w:lang w:bidi="fa-IR"/>
        </w:rPr>
        <w:t>الفرد المنتشر، وجهان، أقواهما</w:t>
      </w:r>
      <w:r>
        <w:rPr>
          <w:rStyle w:val="FootnoteAnchor"/>
          <w:rtl w:val="true"/>
        </w:rPr>
        <w:footnoteReference w:id="1097"/>
      </w:r>
      <w:r>
        <w:rPr>
          <w:rFonts w:ascii="Amiri" w:hAnsi="Amiri" w:eastAsia="Amiri" w:cs="Amiri"/>
          <w:color w:val="111111"/>
          <w:sz w:val="28"/>
          <w:sz w:val="28"/>
          <w:szCs w:val="28"/>
          <w:rtl w:val="true"/>
          <w:lang w:bidi="ar-SA"/>
        </w:rPr>
        <w:t>الأخير؛ للتبادر</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ولو استعمل في الجنس فلا مجاز</w:t>
      </w:r>
      <w:r>
        <w:rPr>
          <w:rStyle w:val="FootnoteAnchor"/>
          <w:rtl w:val="true"/>
        </w:rPr>
        <w:footnoteReference w:id="1099"/>
      </w:r>
      <w:r>
        <w:rPr>
          <w:rFonts w:ascii="Amiri" w:hAnsi="Amiri" w:eastAsia="Amiri" w:cs="Amiri"/>
          <w:color w:val="111111"/>
          <w:sz w:val="28"/>
          <w:sz w:val="28"/>
          <w:szCs w:val="28"/>
          <w:rtl w:val="true"/>
          <w:lang w:bidi="ar-SA"/>
        </w:rPr>
        <w:t>، بل الهيئة حينئذ خلت عن الاستعمال</w:t>
      </w:r>
      <w:r>
        <w:rPr>
          <w:rFonts w:eastAsia="Amiri" w:cs="Amiri" w:ascii="Amiri" w:hAnsi="Amiri"/>
          <w:color w:val="111111"/>
          <w:sz w:val="28"/>
          <w:szCs w:val="28"/>
          <w:rtl w:val="true"/>
          <w:lang w:bidi="ar-SA"/>
        </w:rPr>
        <w:t>.</w:t>
      </w:r>
      <w:r>
        <w:rPr>
          <w:rStyle w:val="FootnoteAnchor"/>
          <w:rtl w:val="true"/>
        </w:rPr>
        <w:footnoteReference w:id="1100"/>
      </w:r>
    </w:p>
    <w:p>
      <w:pPr>
        <w:pStyle w:val="Heading2"/>
        <w:numPr>
          <w:ilvl w:val="1"/>
          <w:numId w:val="1"/>
        </w:numPr>
        <w:rPr/>
      </w:pPr>
      <w:bookmarkStart w:id="381" w:name="__RefHeading___Toc2001593_2870459653"/>
      <w:bookmarkStart w:id="382" w:name="_Toc146"/>
      <w:bookmarkEnd w:id="381"/>
      <w:r>
        <w:rPr>
          <w:rtl w:val="true"/>
        </w:rPr>
        <w:t xml:space="preserve">أصل </w:t>
      </w:r>
      <w:r>
        <w:rPr>
          <w:rtl w:val="true"/>
        </w:rPr>
        <w:t>[</w:t>
      </w:r>
      <w:r>
        <w:rPr>
          <w:rtl w:val="true"/>
        </w:rPr>
        <w:t>في الجمع المنكر</w:t>
      </w:r>
      <w:r>
        <w:rPr>
          <w:rtl w:val="true"/>
        </w:rPr>
        <w:t>]</w:t>
      </w:r>
      <w:bookmarkEnd w:id="382"/>
    </w:p>
    <w:p>
      <w:pPr>
        <w:pStyle w:val="Heading3"/>
        <w:numPr>
          <w:ilvl w:val="2"/>
          <w:numId w:val="1"/>
        </w:numPr>
        <w:rPr/>
      </w:pPr>
      <w:bookmarkStart w:id="383" w:name="__RefHeading___Toc2001595_2870459653"/>
      <w:bookmarkStart w:id="384" w:name="_Toc147"/>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الجمع المنون</w:t>
      </w:r>
      <w:r>
        <w:rPr>
          <w:rStyle w:val="FootnoteAnchor"/>
          <w:rtl w:val="true"/>
        </w:rPr>
        <w:footnoteReference w:id="1101"/>
      </w:r>
      <w:r>
        <w:rPr>
          <w:rFonts w:ascii="Amiri" w:hAnsi="Amiri" w:eastAsia="Amiri" w:cs="Amiri"/>
          <w:color w:val="111111"/>
          <w:sz w:val="28"/>
          <w:sz w:val="28"/>
          <w:szCs w:val="28"/>
          <w:rtl w:val="true"/>
          <w:lang w:bidi="ar-SA"/>
        </w:rPr>
        <w:t>كالمفرد المنون</w:t>
      </w:r>
      <w:r>
        <w:rPr>
          <w:rStyle w:val="FootnoteAnchor"/>
          <w:rtl w:val="true"/>
        </w:rPr>
        <w:footnoteReference w:id="1102"/>
      </w:r>
      <w:r>
        <w:rPr>
          <w:rFonts w:ascii="Amiri" w:hAnsi="Amiri" w:eastAsia="Amiri" w:cs="Amiri"/>
          <w:color w:val="111111"/>
          <w:sz w:val="28"/>
          <w:sz w:val="28"/>
          <w:szCs w:val="28"/>
          <w:rtl w:val="true"/>
          <w:lang w:bidi="ar-SA"/>
        </w:rPr>
        <w:t>، يستعمل في الاستغراق</w:t>
      </w:r>
      <w:r>
        <w:rPr>
          <w:rStyle w:val="FootnoteAnchor"/>
          <w:rtl w:val="true"/>
        </w:rPr>
        <w:footnoteReference w:id="1103"/>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جمع معين </w:t>
      </w:r>
      <w:r>
        <w:rPr>
          <w:rStyle w:val="FootnoteAnchor"/>
          <w:rtl w:val="true"/>
        </w:rPr>
        <w:footnoteReference w:id="1104"/>
      </w:r>
      <w:r>
        <w:rPr>
          <w:rFonts w:ascii="Amiri" w:hAnsi="Amiri" w:eastAsia="Amiri" w:cs="Amiri"/>
          <w:color w:val="111111"/>
          <w:sz w:val="28"/>
          <w:sz w:val="28"/>
          <w:szCs w:val="28"/>
          <w:rtl w:val="true"/>
          <w:lang w:bidi="ar-SA"/>
        </w:rPr>
        <w:t>، أو غير معين</w:t>
      </w:r>
      <w:r>
        <w:rPr>
          <w:rStyle w:val="FootnoteAnchor"/>
          <w:rtl w:val="true"/>
        </w:rPr>
        <w:footnoteReference w:id="1105"/>
      </w:r>
      <w:r>
        <w:rPr>
          <w:rFonts w:ascii="Amiri" w:hAnsi="Amiri" w:eastAsia="Amiri" w:cs="Amiri"/>
          <w:color w:val="111111"/>
          <w:sz w:val="28"/>
          <w:sz w:val="28"/>
          <w:szCs w:val="28"/>
          <w:rtl w:val="true"/>
          <w:lang w:bidi="ar-SA"/>
        </w:rPr>
        <w:t>، وفي جنس الجمع</w:t>
      </w:r>
      <w:r>
        <w:rPr>
          <w:rStyle w:val="FootnoteAnchor"/>
          <w:rtl w:val="true"/>
        </w:rPr>
        <w:footnoteReference w:id="1106"/>
      </w:r>
      <w:r>
        <w:rPr>
          <w:rFonts w:ascii="Amiri" w:hAnsi="Amiri" w:eastAsia="Amiri" w:cs="Amiri"/>
          <w:color w:val="111111"/>
          <w:sz w:val="28"/>
          <w:sz w:val="28"/>
          <w:szCs w:val="28"/>
          <w:rtl w:val="true"/>
          <w:lang w:bidi="ar-SA"/>
        </w:rPr>
        <w:t xml:space="preserve">، وهو مجاز في الاستغراق والجمع المعين اتفاقاً </w:t>
      </w:r>
      <w:r>
        <w:rPr>
          <w:rStyle w:val="FootnoteAnchor"/>
          <w:rtl w:val="true"/>
        </w:rPr>
        <w:footnoteReference w:id="1107"/>
      </w:r>
      <w:r>
        <w:rPr>
          <w:rFonts w:ascii="Amiri" w:hAnsi="Amiri" w:eastAsia="Amiri" w:cs="Amiri"/>
          <w:color w:val="111111"/>
          <w:sz w:val="28"/>
          <w:sz w:val="28"/>
          <w:szCs w:val="28"/>
          <w:rtl w:val="true"/>
          <w:lang w:bidi="ar-SA"/>
        </w:rPr>
        <w:t xml:space="preserve">، وفي كونه حقيقة في الأخيرين، مشتركاً بينهما لفظاً، أم معنى، </w:t>
      </w:r>
      <w:bookmarkStart w:id="385" w:name="pg9015_97567"/>
    </w:p>
    <w:p>
      <w:pPr>
        <w:pStyle w:val="BookText"/>
        <w:rPr/>
      </w:pPr>
      <w:bookmarkEnd w:id="385"/>
      <w:r>
        <w:rPr>
          <w:rFonts w:ascii="Amiri" w:hAnsi="Amiri" w:eastAsia="Amiri" w:cs="Amiri"/>
          <w:color w:val="111111"/>
          <w:sz w:val="28"/>
          <w:sz w:val="28"/>
          <w:szCs w:val="28"/>
          <w:rtl w:val="true"/>
          <w:lang w:bidi="ar-SA"/>
        </w:rPr>
        <w:t>أم في أحدهما خاصة، احتمالات</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2001597_2870459653"/>
      <w:bookmarkStart w:id="387" w:name="_Toc148"/>
      <w:bookmarkEnd w:id="386"/>
      <w:r>
        <w:rPr>
          <w:rtl w:val="true"/>
        </w:rPr>
        <w:t>[</w:t>
      </w:r>
      <w:r>
        <w:rPr>
          <w:rtl w:val="true"/>
        </w:rPr>
        <w:t>المختار في المسألة</w:t>
      </w:r>
      <w:r>
        <w:rPr>
          <w:rtl w:val="true"/>
        </w:rPr>
        <w:t>]</w:t>
      </w:r>
      <w:bookmarkEnd w:id="387"/>
    </w:p>
    <w:p>
      <w:pPr>
        <w:pStyle w:val="BookText"/>
        <w:rPr/>
      </w:pPr>
      <w:r>
        <w:rPr>
          <w:rFonts w:ascii="Amiri" w:hAnsi="Amiri" w:eastAsia="Amiri" w:cs="Amiri"/>
          <w:color w:val="111111"/>
          <w:sz w:val="28"/>
          <w:sz w:val="28"/>
          <w:szCs w:val="28"/>
          <w:rtl w:val="true"/>
          <w:lang w:bidi="ar-SA"/>
        </w:rPr>
        <w:t>والحق أنه حقيقة في الجمع المنكر، بنحو ما مرَّ في المفرد المنون مختاراً ودليلاً</w:t>
      </w:r>
      <w:r>
        <w:rPr>
          <w:rFonts w:eastAsia="Amiri" w:cs="Amiri" w:ascii="Amiri" w:hAnsi="Amiri"/>
          <w:color w:val="111111"/>
          <w:sz w:val="28"/>
          <w:szCs w:val="28"/>
          <w:rtl w:val="true"/>
          <w:lang w:bidi="ar-SA"/>
        </w:rPr>
        <w:t>.</w:t>
      </w:r>
      <w:r>
        <w:rPr>
          <w:rStyle w:val="FootnoteAnchor"/>
          <w:rtl w:val="true"/>
        </w:rPr>
        <w:footnoteReference w:id="1108"/>
      </w:r>
    </w:p>
    <w:p>
      <w:pPr>
        <w:pStyle w:val="Heading2"/>
        <w:numPr>
          <w:ilvl w:val="1"/>
          <w:numId w:val="1"/>
        </w:numPr>
        <w:rPr/>
      </w:pPr>
      <w:bookmarkStart w:id="388" w:name="__RefHeading___Toc2001599_2870459653"/>
      <w:bookmarkStart w:id="389" w:name="_Toc149"/>
      <w:bookmarkEnd w:id="388"/>
      <w:r>
        <w:rPr>
          <w:rtl w:val="true"/>
        </w:rPr>
        <w:t xml:space="preserve">أصل </w:t>
      </w:r>
      <w:r>
        <w:rPr>
          <w:rtl w:val="true"/>
        </w:rPr>
        <w:t>[</w:t>
      </w:r>
      <w:r>
        <w:rPr>
          <w:rtl w:val="true"/>
        </w:rPr>
        <w:t>في أقل ما يطلق عليه الجمع</w:t>
      </w:r>
      <w:r>
        <w:rPr>
          <w:rtl w:val="true"/>
        </w:rPr>
        <w:t>]</w:t>
      </w:r>
      <w:bookmarkEnd w:id="389"/>
    </w:p>
    <w:p>
      <w:pPr>
        <w:pStyle w:val="Heading3"/>
        <w:numPr>
          <w:ilvl w:val="2"/>
          <w:numId w:val="1"/>
        </w:numPr>
        <w:rPr/>
      </w:pPr>
      <w:bookmarkStart w:id="390" w:name="__RefHeading___Toc2001601_2870459653"/>
      <w:bookmarkStart w:id="391" w:name="_Toc150"/>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أقل ما يطلق عليه الجمع هل هو اثنان</w:t>
      </w:r>
      <w:r>
        <w:rPr>
          <w:rStyle w:val="FootnoteAnchor"/>
          <w:rtl w:val="true"/>
        </w:rPr>
        <w:footnoteReference w:id="1109"/>
      </w:r>
      <w:r>
        <w:rPr>
          <w:rFonts w:ascii="Amiri" w:hAnsi="Amiri" w:eastAsia="Amiri" w:cs="Amiri"/>
          <w:color w:val="111111"/>
          <w:sz w:val="28"/>
          <w:sz w:val="28"/>
          <w:szCs w:val="28"/>
          <w:rtl w:val="true"/>
          <w:lang w:bidi="ar-SA"/>
        </w:rPr>
        <w:t xml:space="preserve">، أو ثلاثة </w:t>
      </w:r>
      <w:r>
        <w:rPr>
          <w:rStyle w:val="FootnoteAnchor"/>
          <w:rtl w:val="true"/>
        </w:rPr>
        <w:footnoteReference w:id="1110"/>
      </w:r>
      <w:r>
        <w:rPr>
          <w:rStyle w:val="FootnoteAnchor"/>
          <w:rtl w:val="true"/>
        </w:rPr>
        <w:footnoteReference w:id="1111"/>
      </w:r>
      <w:r>
        <w:rPr>
          <w:rFonts w:ascii="Amiri" w:hAnsi="Amiri" w:eastAsia="Amiri" w:cs="Amiri"/>
          <w:color w:val="111111"/>
          <w:sz w:val="28"/>
          <w:sz w:val="28"/>
          <w:szCs w:val="28"/>
          <w:rtl w:val="true"/>
          <w:lang w:bidi="ar-SA"/>
        </w:rPr>
        <w:t>، أو غير ذلك</w:t>
      </w:r>
      <w:r>
        <w:rPr>
          <w:rStyle w:val="FootnoteAnchor"/>
          <w:rtl w:val="true"/>
        </w:rPr>
        <w:footnoteReference w:id="1112"/>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والنحاة جعلوا أقل جمع الكثرة أحد عشر ، وأكثره ما فوق ذلك، وأقل جمع القلة ثلاثة، وأكثره عشرة</w:t>
      </w:r>
      <w:r>
        <w:rPr>
          <w:rFonts w:eastAsia="Amiri" w:cs="Amiri" w:ascii="Amiri" w:hAnsi="Amiri"/>
          <w:color w:val="111111"/>
          <w:sz w:val="28"/>
          <w:szCs w:val="28"/>
          <w:rtl w:val="true"/>
          <w:lang w:bidi="ar-SA"/>
        </w:rPr>
        <w:t>.</w:t>
      </w:r>
      <w:r>
        <w:rPr>
          <w:rStyle w:val="FootnoteAnchor"/>
          <w:rtl w:val="true"/>
        </w:rPr>
        <w:footnoteReference w:id="1113"/>
      </w:r>
    </w:p>
    <w:p>
      <w:pPr>
        <w:pStyle w:val="Heading3"/>
        <w:numPr>
          <w:ilvl w:val="2"/>
          <w:numId w:val="1"/>
        </w:numPr>
        <w:rPr/>
      </w:pPr>
      <w:bookmarkStart w:id="392" w:name="__RefHeading___Toc2001603_2870459653"/>
      <w:bookmarkStart w:id="393" w:name="_Toc151"/>
      <w:bookmarkEnd w:id="392"/>
      <w:r>
        <w:rPr>
          <w:rtl w:val="true"/>
        </w:rPr>
        <w:t xml:space="preserve">[ </w:t>
      </w:r>
      <w:r>
        <w:rPr>
          <w:rtl w:val="true"/>
        </w:rPr>
        <w:t>تحرير محل النزاع</w:t>
      </w:r>
      <w:r>
        <w:rPr>
          <w:rtl w:val="true"/>
        </w:rPr>
        <w:t>]</w:t>
      </w:r>
      <w:bookmarkEnd w:id="39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ومحل الكلام مصداق الجمع لا لفظه، ولا الجمع بمعنى الجماعة</w:t>
      </w:r>
      <w:r>
        <w:rPr>
          <w:rFonts w:eastAsia="Amiri" w:cs="Amiri" w:ascii="Amiri" w:hAnsi="Amiri"/>
          <w:color w:val="111111"/>
          <w:sz w:val="28"/>
          <w:szCs w:val="28"/>
          <w:rtl w:val="true"/>
          <w:lang w:bidi="ar-SA"/>
        </w:rPr>
        <w:t>.</w:t>
      </w:r>
      <w:r>
        <w:rPr>
          <w:rStyle w:val="FootnoteAnchor"/>
          <w:rtl w:val="true"/>
        </w:rPr>
        <w:footnoteReference w:id="1114"/>
      </w:r>
      <w:bookmarkStart w:id="394" w:name="pg9015_97568"/>
    </w:p>
    <w:p>
      <w:pPr>
        <w:pStyle w:val="Heading3"/>
        <w:numPr>
          <w:ilvl w:val="2"/>
          <w:numId w:val="1"/>
        </w:numPr>
        <w:rPr/>
      </w:pPr>
      <w:bookmarkStart w:id="395" w:name="__RefHeading___Toc2001605_2870459653"/>
      <w:bookmarkStart w:id="396" w:name="_Toc152"/>
      <w:bookmarkEnd w:id="394"/>
      <w:bookmarkEnd w:id="395"/>
      <w:r>
        <w:rPr>
          <w:rtl w:val="true"/>
        </w:rPr>
        <w:t>[</w:t>
      </w:r>
      <w:r>
        <w:rPr>
          <w:rtl w:val="true"/>
        </w:rPr>
        <w:t>المختار في المسألة</w:t>
      </w:r>
      <w:r>
        <w:rPr>
          <w:rtl w:val="true"/>
        </w:rPr>
        <w:t>]</w:t>
      </w:r>
      <w:bookmarkEnd w:id="396"/>
    </w:p>
    <w:p>
      <w:pPr>
        <w:pStyle w:val="BookText"/>
        <w:rPr/>
      </w:pPr>
      <w:r>
        <w:rPr>
          <w:rFonts w:ascii="IRNazanin" w:hAnsi="IRNazanin" w:eastAsia="IRNazanin"/>
          <w:color w:val="111111"/>
          <w:sz w:val="28"/>
          <w:sz w:val="28"/>
          <w:szCs w:val="28"/>
          <w:rtl w:val="true"/>
          <w:lang w:bidi="fa-IR"/>
        </w:rPr>
        <w:t>والحق الأول</w:t>
      </w:r>
      <w:r>
        <w:rPr>
          <w:rStyle w:val="FootnoteAnchor"/>
          <w:rtl w:val="true"/>
        </w:rPr>
        <w:footnoteReference w:id="1115"/>
      </w:r>
      <w:r>
        <w:rPr>
          <w:rFonts w:ascii="Amiri" w:hAnsi="Amiri" w:eastAsia="Amiri" w:cs="Amiri"/>
          <w:color w:val="111111"/>
          <w:sz w:val="28"/>
          <w:sz w:val="28"/>
          <w:szCs w:val="28"/>
          <w:rtl w:val="true"/>
          <w:lang w:bidi="ar-SA"/>
        </w:rPr>
        <w:t>للتبادر وصحة السلب والتكذيب</w:t>
      </w:r>
      <w:r>
        <w:rPr>
          <w:rStyle w:val="FootnoteAnchor"/>
          <w:rtl w:val="true"/>
        </w:rPr>
        <w:footnoteReference w:id="1116"/>
      </w:r>
      <w:r>
        <w:rPr>
          <w:rFonts w:ascii="IRNazanin" w:hAnsi="IRNazanin" w:eastAsia="IRNazanin"/>
          <w:color w:val="111111"/>
          <w:sz w:val="28"/>
          <w:sz w:val="28"/>
          <w:szCs w:val="28"/>
          <w:rtl w:val="true"/>
          <w:lang w:bidi="fa-IR"/>
        </w:rPr>
        <w:t>، وذم العقلاء</w:t>
      </w:r>
      <w:r>
        <w:rPr>
          <w:rStyle w:val="FootnoteAnchor"/>
          <w:rtl w:val="true"/>
        </w:rPr>
        <w:footnoteReference w:id="1117"/>
      </w:r>
      <w:r>
        <w:rPr>
          <w:rFonts w:ascii="Amiri" w:hAnsi="Amiri" w:eastAsia="Amiri" w:cs="Amiri"/>
          <w:color w:val="111111"/>
          <w:sz w:val="28"/>
          <w:sz w:val="28"/>
          <w:szCs w:val="28"/>
          <w:rtl w:val="true"/>
          <w:lang w:bidi="ar-SA"/>
        </w:rPr>
        <w:t>، والأصل، وتفصيل النحاة يأباه العرف؛ للتبادر، وعدم صحة السلب</w:t>
      </w:r>
      <w:r>
        <w:rPr>
          <w:rFonts w:eastAsia="Amiri" w:cs="Amiri" w:ascii="Amiri" w:hAnsi="Amiri"/>
          <w:color w:val="111111"/>
          <w:sz w:val="28"/>
          <w:szCs w:val="28"/>
          <w:rtl w:val="true"/>
          <w:lang w:bidi="ar-SA"/>
        </w:rPr>
        <w:t>.</w:t>
      </w:r>
    </w:p>
    <w:p>
      <w:pPr>
        <w:pStyle w:val="Heading2"/>
        <w:numPr>
          <w:ilvl w:val="1"/>
          <w:numId w:val="1"/>
        </w:numPr>
        <w:rPr/>
      </w:pPr>
      <w:bookmarkStart w:id="397" w:name="__RefHeading___Toc2001607_2870459653"/>
      <w:bookmarkStart w:id="398" w:name="_Toc153"/>
      <w:bookmarkEnd w:id="397"/>
      <w:r>
        <w:rPr>
          <w:rtl w:val="true"/>
        </w:rPr>
        <w:t xml:space="preserve">أصل </w:t>
      </w:r>
      <w:r>
        <w:rPr>
          <w:rtl w:val="true"/>
        </w:rPr>
        <w:t>[</w:t>
      </w:r>
      <w:r>
        <w:rPr>
          <w:rtl w:val="true"/>
        </w:rPr>
        <w:t>في ترك الاستفصال</w:t>
      </w:r>
      <w:r>
        <w:rPr>
          <w:rtl w:val="true"/>
        </w:rPr>
        <w:t>]</w:t>
      </w:r>
      <w:bookmarkEnd w:id="398"/>
    </w:p>
    <w:p>
      <w:pPr>
        <w:pStyle w:val="BookText"/>
        <w:rPr/>
      </w:pPr>
      <w:r>
        <w:rPr>
          <w:rFonts w:ascii="Amiri" w:hAnsi="Amiri" w:eastAsia="Amiri" w:cs="Amiri"/>
          <w:color w:val="111111"/>
          <w:sz w:val="28"/>
          <w:sz w:val="28"/>
          <w:szCs w:val="28"/>
          <w:rtl w:val="true"/>
          <w:lang w:bidi="ar-SA"/>
        </w:rPr>
        <w:t>قال الشافعي ترك الاستفصال في مقام جواب السؤال مع قيام الاحتمال ينزل منزلة العموم في المقال</w:t>
      </w:r>
      <w:r>
        <w:rPr>
          <w:rStyle w:val="FootnoteAnchor"/>
          <w:rtl w:val="true"/>
        </w:rPr>
        <w:footnoteReference w:id="1118"/>
      </w:r>
      <w:r>
        <w:rPr>
          <w:rFonts w:ascii="IRNazanin" w:hAnsi="IRNazanin" w:eastAsia="IRNazanin"/>
          <w:color w:val="111111"/>
          <w:sz w:val="28"/>
          <w:sz w:val="28"/>
          <w:szCs w:val="28"/>
          <w:rtl w:val="true"/>
          <w:lang w:bidi="fa-IR"/>
        </w:rPr>
        <w:t xml:space="preserve">، وعنه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حكايات الأحوال إذا تطرق إليها الاحتمال، کساها ثوب الإجمال، وسقط بها الاستدلال</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والفرق بينهما كون الأول في المسبوق بالسؤال من حيث انه مسبوق بالسؤال، بخلاف الأخير</w:t>
      </w:r>
      <w:r>
        <w:rPr>
          <w:rFonts w:eastAsia="Amiri" w:cs="Amiri" w:ascii="Amiri" w:hAnsi="Amiri"/>
          <w:color w:val="111111"/>
          <w:sz w:val="28"/>
          <w:szCs w:val="28"/>
          <w:rtl w:val="true"/>
          <w:lang w:bidi="ar-SA"/>
        </w:rPr>
        <w:t>.</w:t>
      </w:r>
      <w:r>
        <w:rPr>
          <w:rStyle w:val="FootnoteAnchor"/>
          <w:rtl w:val="true"/>
        </w:rPr>
        <w:footnoteReference w:id="112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في الأول، فاعلم انه إذا كان السؤال عما وقع، وكان الإجمال في عارض </w:t>
      </w:r>
      <w:r>
        <w:rPr>
          <w:rStyle w:val="FootnoteAnchor"/>
          <w:rtl w:val="true"/>
        </w:rPr>
        <w:footnoteReference w:id="1121"/>
      </w:r>
      <w:r>
        <w:rPr>
          <w:rFonts w:ascii="IRNazanin" w:hAnsi="IRNazanin" w:eastAsia="IRNazanin"/>
          <w:color w:val="111111"/>
          <w:sz w:val="28"/>
          <w:sz w:val="28"/>
          <w:szCs w:val="28"/>
          <w:rtl w:val="true"/>
          <w:lang w:bidi="fa-IR"/>
        </w:rPr>
        <w:t>مراد السائل</w:t>
      </w:r>
      <w:r>
        <w:rPr>
          <w:rStyle w:val="FootnoteAnchor"/>
          <w:rtl w:val="true"/>
        </w:rPr>
        <w:footnoteReference w:id="1122"/>
      </w:r>
      <w:r>
        <w:rPr>
          <w:rFonts w:ascii="IRNazanin" w:hAnsi="IRNazanin" w:eastAsia="IRNazanin"/>
          <w:color w:val="111111"/>
          <w:sz w:val="28"/>
          <w:sz w:val="28"/>
          <w:szCs w:val="28"/>
          <w:rtl w:val="true"/>
          <w:lang w:bidi="fa-IR"/>
        </w:rPr>
        <w:t xml:space="preserve">وعلمنا بعدم علم المسؤول بالواقعة، فإن كان المطلق الواقع في كلام الإمام علیه السلام صريحاً أو تقديراً، كما هو محل الكلام متواطئاً أو مشككاً بالتشكيك البدوي، حمل على العموم بغير إشكال، أو مضراً إجمالياً، فكذلك؛ لإمكان </w:t>
      </w:r>
    </w:p>
    <w:p>
      <w:pPr>
        <w:pStyle w:val="BookText"/>
        <w:rPr/>
      </w:pPr>
      <w:r>
        <w:rPr>
          <w:rFonts w:ascii="Amiri" w:hAnsi="Amiri" w:eastAsia="Amiri" w:cs="Amiri"/>
          <w:color w:val="111111"/>
          <w:sz w:val="28"/>
          <w:sz w:val="28"/>
          <w:szCs w:val="28"/>
          <w:rtl w:val="true"/>
          <w:lang w:bidi="ar-SA"/>
        </w:rPr>
        <w:t>كون محل الحاجة ذلك الفرد المجمل ؛ لأن إرادته من المطلق من غير قرينة عليه جائزة عند العرف، فلو لم ينزل الجواب على العموم أمكن مخالفة الجواب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مبيّن ،العدم، لم يعمّ الجواب الفرد النادر ؛ لعدم صحة إرادته بلا قرينة، وإن شككنا في علمه نفيناه بالأصل فيلحق بما سبق فقاهة ، فتأمل</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وإن علمنا بعلمه فقد حكموا حينئذ بالإجمال، حتى في المتواطئ فإن الكلام حينئذ إنما هو من حيث العلم والجهل، لا التواطؤ والتشكيك، بخلاف ما سبق؛ إذ احتمال مخالفة الجواب للسؤال هنا مرتفع، لكن في إطلاقهم الإجمال نظر، نعم لا بأس به في صورة اجتماع علوم خمسة،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كلّ من الإمام والسائل بالواقعة،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كل بعلم الآخر بالواقعة، وعلم الإمام بعلم السائل بعلم الإمام بالواقعة</w:t>
      </w:r>
      <w:r>
        <w:rPr>
          <w:rFonts w:eastAsia="Amiri" w:cs="Amiri" w:ascii="Amiri" w:hAnsi="Amiri"/>
          <w:color w:val="111111"/>
          <w:sz w:val="28"/>
          <w:szCs w:val="28"/>
          <w:rtl w:val="true"/>
          <w:lang w:bidi="ar-SA"/>
        </w:rPr>
        <w:t>)</w:t>
      </w:r>
      <w:r>
        <w:rPr>
          <w:rStyle w:val="FootnoteAnchor"/>
          <w:rtl w:val="true"/>
        </w:rPr>
        <w:footnoteReference w:id="1124"/>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w:t>
      </w:r>
      <w:r>
        <w:rPr>
          <w:rStyle w:val="FootnoteAnchor"/>
          <w:rtl w:val="true"/>
        </w:rPr>
        <w:footnoteReference w:id="1125"/>
      </w:r>
      <w:r>
        <w:rPr>
          <w:rFonts w:ascii="Amiri" w:hAnsi="Amiri" w:eastAsia="Amiri" w:cs="Amiri"/>
          <w:color w:val="111111"/>
          <w:sz w:val="28"/>
          <w:sz w:val="28"/>
          <w:szCs w:val="28"/>
          <w:rtl w:val="true"/>
          <w:lang w:bidi="ar-SA"/>
        </w:rPr>
        <w:t xml:space="preserve">السؤال عما يقع، فمع التواطؤ والتشكيك البدوي العموم اتفاقاً ؛ لفهم العرف أو مبيّن العدم حمل على الشائع؛ لاحتمال مساواة الجواب للسؤال،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يحتمل غيره</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 أو مضراً إجمالياً ففي دخوله، أو عدمه، أو التفصيل، وجوه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الشك لا </w:t>
      </w:r>
      <w:r>
        <w:rPr>
          <w:rStyle w:val="FootnoteAnchor"/>
          <w:rtl w:val="true"/>
        </w:rPr>
        <w:footnoteReference w:id="1127"/>
      </w:r>
      <w:r>
        <w:rPr>
          <w:rFonts w:ascii="Amiri" w:hAnsi="Amiri" w:eastAsia="Amiri" w:cs="Amiri"/>
          <w:color w:val="111111"/>
          <w:sz w:val="28"/>
          <w:sz w:val="28"/>
          <w:szCs w:val="28"/>
          <w:rtl w:val="true"/>
          <w:lang w:bidi="ar-SA"/>
        </w:rPr>
        <w:t xml:space="preserve">في عارض مراد السائل، كما لو وقع لفظ مشترك في السؤال، فإن كان في البين أشهر وأقرب حمل عليه، والا فإن علم الإمام بما وقع من المعاني </w:t>
      </w:r>
      <w:r>
        <w:rPr>
          <w:rStyle w:val="FootnoteAnchor"/>
          <w:rtl w:val="true"/>
        </w:rPr>
        <w:footnoteReference w:id="1128"/>
      </w:r>
      <w:r>
        <w:rPr>
          <w:rFonts w:ascii="Amiri" w:hAnsi="Amiri" w:eastAsia="Amiri" w:cs="Amiri"/>
          <w:color w:val="111111"/>
          <w:sz w:val="28"/>
          <w:sz w:val="28"/>
          <w:szCs w:val="28"/>
          <w:rtl w:val="true"/>
          <w:lang w:bidi="ar-SA"/>
        </w:rPr>
        <w:t xml:space="preserve">، أو بمراد السائل فيما يقع من المعاني، حكم بالإجمال، وإلا فإن علمنا بأن استعمال السائل كان بلا قرينة معيّنة، واجاب المتكلم من دون علمه بالمراد، حكمنا بالعموم في المعاني، </w:t>
      </w:r>
    </w:p>
    <w:p>
      <w:pPr>
        <w:pStyle w:val="BookText"/>
        <w:rPr/>
      </w:pPr>
      <w:r>
        <w:rPr>
          <w:rFonts w:ascii="Amiri" w:hAnsi="Amiri" w:eastAsia="Amiri" w:cs="Amiri"/>
          <w:color w:val="111111"/>
          <w:sz w:val="28"/>
          <w:sz w:val="28"/>
          <w:szCs w:val="28"/>
          <w:rtl w:val="true"/>
          <w:lang w:bidi="ar-SA"/>
        </w:rPr>
        <w:t>لكن مع الشك في الاقتران بالقرينة المعينة يوم السؤال يحكم بالاقتران للغلبة المقدمة على الأصل، فيحكم بالإجمال</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وأما الكلام في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من جهة أن الفعل الصادر من المعصوم علیه السلام هل هو لازم الاتباع أم لا؟ ، فهذا داخل</w:t>
      </w:r>
      <w:r>
        <w:rPr>
          <w:rStyle w:val="FootnoteAnchor"/>
          <w:rtl w:val="true"/>
        </w:rPr>
        <w:footnoteReference w:id="1130"/>
      </w:r>
      <w:r>
        <w:rPr>
          <w:rFonts w:ascii="Amiri" w:hAnsi="Amiri" w:eastAsia="Amiri" w:cs="Amiri"/>
          <w:color w:val="111111"/>
          <w:sz w:val="28"/>
          <w:sz w:val="28"/>
          <w:szCs w:val="28"/>
          <w:rtl w:val="true"/>
          <w:lang w:bidi="ar-SA"/>
        </w:rPr>
        <w:t>في باب التأسي، خارج عما نحن فيه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من جهة جواز التعدي عن تلك الواقعة إلى غيرها، كما هي ما نحن فيه، فالحق عدم التعدي؛ لعدم الدليل</w:t>
      </w:r>
      <w:r>
        <w:rPr>
          <w:rFonts w:eastAsia="Amiri" w:cs="Amiri" w:ascii="Amiri" w:hAnsi="Amiri"/>
          <w:color w:val="111111"/>
          <w:sz w:val="28"/>
          <w:szCs w:val="28"/>
          <w:rtl w:val="true"/>
          <w:lang w:bidi="ar-SA"/>
        </w:rPr>
        <w:t>.</w:t>
      </w:r>
      <w:r>
        <w:rPr>
          <w:rStyle w:val="FootnoteAnchor"/>
          <w:rtl w:val="true"/>
        </w:rPr>
        <w:footnoteReference w:id="1131"/>
      </w:r>
      <w:bookmarkStart w:id="399" w:name="pg9015_97571"/>
    </w:p>
    <w:p>
      <w:pPr>
        <w:pStyle w:val="Heading2"/>
        <w:numPr>
          <w:ilvl w:val="1"/>
          <w:numId w:val="1"/>
        </w:numPr>
        <w:rPr/>
      </w:pPr>
      <w:bookmarkStart w:id="400" w:name="__RefHeading___Toc2001609_2870459653"/>
      <w:bookmarkStart w:id="401" w:name="_Toc154"/>
      <w:bookmarkEnd w:id="399"/>
      <w:bookmarkEnd w:id="400"/>
      <w:r>
        <w:rPr>
          <w:rtl w:val="true"/>
        </w:rPr>
        <w:t xml:space="preserve">أصل </w:t>
      </w:r>
      <w:r>
        <w:rPr>
          <w:rtl w:val="true"/>
        </w:rPr>
        <w:t>[</w:t>
      </w:r>
      <w:r>
        <w:rPr>
          <w:rtl w:val="true"/>
        </w:rPr>
        <w:t>في عموم التشبيه والمنزلة</w:t>
      </w:r>
      <w:r>
        <w:rPr>
          <w:rtl w:val="true"/>
        </w:rPr>
        <w:t>]</w:t>
      </w:r>
      <w:bookmarkEnd w:id="401"/>
    </w:p>
    <w:p>
      <w:pPr>
        <w:pStyle w:val="Heading3"/>
        <w:numPr>
          <w:ilvl w:val="2"/>
          <w:numId w:val="1"/>
        </w:numPr>
        <w:rPr/>
      </w:pPr>
      <w:bookmarkStart w:id="402" w:name="__RefHeading___Toc2001611_2870459653"/>
      <w:bookmarkStart w:id="403" w:name="_Toc155"/>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w:t>
      </w:r>
      <w:r>
        <w:rPr>
          <w:rStyle w:val="FootnoteAnchor"/>
          <w:rtl w:val="true"/>
        </w:rPr>
        <w:footnoteReference w:id="1132"/>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ففي إفادة التشبيه العموم مطلقاً</w:t>
      </w:r>
      <w:r>
        <w:rPr>
          <w:rStyle w:val="FootnoteAnchor"/>
          <w:rtl w:val="true"/>
        </w:rPr>
        <w:footnoteReference w:id="1134"/>
      </w:r>
      <w:r>
        <w:rPr>
          <w:rFonts w:ascii="IRNazanin" w:hAnsi="IRNazanin" w:eastAsia="IRNazanin"/>
          <w:color w:val="111111"/>
          <w:sz w:val="28"/>
          <w:sz w:val="28"/>
          <w:szCs w:val="28"/>
          <w:rtl w:val="true"/>
          <w:lang w:bidi="fa-IR"/>
        </w:rPr>
        <w:t>، أو</w:t>
      </w:r>
      <w:r>
        <w:rPr>
          <w:rStyle w:val="FootnoteAnchor"/>
          <w:rtl w:val="true"/>
        </w:rPr>
        <w:footnoteReference w:id="1135"/>
      </w:r>
      <w:r>
        <w:rPr>
          <w:rFonts w:ascii="Amiri" w:hAnsi="Amiri" w:eastAsia="Amiri" w:cs="Amiri"/>
          <w:color w:val="111111"/>
          <w:sz w:val="28"/>
          <w:sz w:val="28"/>
          <w:szCs w:val="28"/>
          <w:rtl w:val="true"/>
          <w:lang w:bidi="ar-SA"/>
        </w:rPr>
        <w:t>ان لم يكن في البين أظهر</w:t>
      </w:r>
      <w:r>
        <w:rPr>
          <w:rStyle w:val="FootnoteAnchor"/>
          <w:rtl w:val="true"/>
        </w:rPr>
        <w:footnoteReference w:id="1136"/>
      </w:r>
      <w:r>
        <w:rPr>
          <w:rFonts w:ascii="IRNazanin" w:hAnsi="IRNazanin" w:eastAsia="IRNazanin"/>
          <w:color w:val="111111"/>
          <w:sz w:val="28"/>
          <w:sz w:val="28"/>
          <w:szCs w:val="28"/>
          <w:rtl w:val="true"/>
          <w:lang w:bidi="fa-IR"/>
        </w:rPr>
        <w:t>، أو الإجمال مطلقاً</w:t>
      </w:r>
      <w:r>
        <w:rPr>
          <w:rStyle w:val="FootnoteAnchor"/>
          <w:rtl w:val="true"/>
        </w:rPr>
        <w:footnoteReference w:id="1137"/>
      </w:r>
      <w:r>
        <w:rPr>
          <w:rFonts w:ascii="IRNazanin" w:hAnsi="IRNazanin" w:eastAsia="IRNazanin"/>
          <w:color w:val="111111"/>
          <w:sz w:val="28"/>
          <w:sz w:val="28"/>
          <w:szCs w:val="28"/>
          <w:rtl w:val="true"/>
          <w:lang w:bidi="fa-IR"/>
        </w:rPr>
        <w:t xml:space="preserve">، أو </w:t>
      </w:r>
      <w:r>
        <w:rPr>
          <w:rStyle w:val="FootnoteAnchor"/>
          <w:rtl w:val="true"/>
        </w:rPr>
        <w:footnoteReference w:id="1138"/>
      </w:r>
      <w:r>
        <w:rPr>
          <w:rFonts w:ascii="Amiri" w:hAnsi="Amiri" w:eastAsia="Amiri" w:cs="Amiri"/>
          <w:color w:val="111111"/>
          <w:sz w:val="28"/>
          <w:sz w:val="28"/>
          <w:szCs w:val="28"/>
          <w:rtl w:val="true"/>
          <w:lang w:bidi="ar-SA"/>
        </w:rPr>
        <w:t>ان لم يكن أظهر</w:t>
      </w:r>
      <w:r>
        <w:rPr>
          <w:rStyle w:val="FootnoteAnchor"/>
          <w:rtl w:val="true"/>
        </w:rPr>
        <w:footnoteReference w:id="1139"/>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وقد يستدل على الأول بدليل</w:t>
      </w:r>
      <w:r>
        <w:rPr>
          <w:rStyle w:val="FootnoteAnchor"/>
          <w:rtl w:val="true"/>
        </w:rPr>
        <w:footnoteReference w:id="1141"/>
      </w:r>
      <w:r>
        <w:rPr>
          <w:rFonts w:ascii="Amiri" w:hAnsi="Amiri" w:eastAsia="Amiri" w:cs="Amiri"/>
          <w:color w:val="111111"/>
          <w:sz w:val="28"/>
          <w:sz w:val="28"/>
          <w:szCs w:val="28"/>
          <w:rtl w:val="true"/>
          <w:lang w:bidi="ar-SA"/>
        </w:rPr>
        <w:t>الحكمة، وهو قاصر</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2001613_2870459653"/>
      <w:bookmarkStart w:id="405" w:name="_Toc156"/>
      <w:bookmarkEnd w:id="404"/>
      <w:r>
        <w:rPr>
          <w:rtl w:val="true"/>
        </w:rPr>
        <w:t>[</w:t>
      </w:r>
      <w:r>
        <w:rPr>
          <w:rtl w:val="true"/>
        </w:rPr>
        <w:t>المختار في المسألة</w:t>
      </w:r>
      <w:r>
        <w:rPr>
          <w:rtl w:val="true"/>
        </w:rPr>
        <w:t>]</w:t>
      </w:r>
      <w:bookmarkEnd w:id="40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انه إن كان أظهر حمل عليه، وإلا فعلى العموم إن كان المقام مقام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 فالإجمال</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 وإن شك في كون المقام مقام البيان أو الإجمال، فالأول مع غلبة البيان والا فالإجمال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مرَّ يظهر الحال في عموم المنزلة، والبدلية، وحذف المتعلق، والامتنان</w:t>
      </w:r>
      <w:r>
        <w:rPr>
          <w:rFonts w:eastAsia="Amiri" w:cs="Amiri" w:ascii="Amiri" w:hAnsi="Amiri"/>
          <w:color w:val="111111"/>
          <w:sz w:val="28"/>
          <w:szCs w:val="28"/>
          <w:rtl w:val="true"/>
          <w:lang w:bidi="ar-SA"/>
        </w:rPr>
        <w:t>.</w:t>
      </w:r>
      <w:r>
        <w:rPr>
          <w:rStyle w:val="FootnoteAnchor"/>
          <w:rtl w:val="true"/>
        </w:rPr>
        <w:footnoteReference w:id="1143"/>
      </w:r>
      <w:bookmarkStart w:id="406" w:name="pg9015_97572"/>
    </w:p>
    <w:p>
      <w:pPr>
        <w:pStyle w:val="Heading2"/>
        <w:numPr>
          <w:ilvl w:val="1"/>
          <w:numId w:val="1"/>
        </w:numPr>
        <w:rPr/>
      </w:pPr>
      <w:bookmarkStart w:id="407" w:name="__RefHeading___Toc2001615_2870459653"/>
      <w:bookmarkStart w:id="408" w:name="_Toc157"/>
      <w:bookmarkEnd w:id="406"/>
      <w:bookmarkEnd w:id="407"/>
      <w:r>
        <w:rPr>
          <w:rtl w:val="true"/>
        </w:rPr>
        <w:t xml:space="preserve">أصل </w:t>
      </w:r>
      <w:r>
        <w:rPr>
          <w:rtl w:val="true"/>
        </w:rPr>
        <w:t>[</w:t>
      </w:r>
      <w:r>
        <w:rPr>
          <w:rtl w:val="true"/>
        </w:rPr>
        <w:t>في الخطاب الشفاهي</w:t>
      </w:r>
      <w:r>
        <w:rPr>
          <w:rtl w:val="true"/>
        </w:rPr>
        <w:t>]</w:t>
      </w:r>
      <w:bookmarkEnd w:id="408"/>
    </w:p>
    <w:p>
      <w:pPr>
        <w:pStyle w:val="Heading3"/>
        <w:numPr>
          <w:ilvl w:val="2"/>
          <w:numId w:val="1"/>
        </w:numPr>
        <w:rPr/>
      </w:pPr>
      <w:bookmarkStart w:id="409" w:name="__RefHeading___Toc2001617_2870459653"/>
      <w:bookmarkStart w:id="410" w:name="_Toc158"/>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هل الخطاب الشفاهي يختص بالحاضرين</w:t>
      </w:r>
      <w:r>
        <w:rPr>
          <w:rStyle w:val="FootnoteAnchor"/>
          <w:rtl w:val="true"/>
        </w:rPr>
        <w:footnoteReference w:id="1144"/>
      </w:r>
      <w:r>
        <w:rPr>
          <w:rFonts w:ascii="Amiri" w:hAnsi="Amiri" w:eastAsia="Amiri" w:cs="Amiri"/>
          <w:color w:val="111111"/>
          <w:sz w:val="28"/>
          <w:sz w:val="28"/>
          <w:szCs w:val="28"/>
          <w:rtl w:val="true"/>
          <w:lang w:bidi="ar-SA"/>
        </w:rPr>
        <w:t xml:space="preserve">، أم يعمّهم والغائبين </w:t>
      </w:r>
      <w:r>
        <w:rPr>
          <w:rStyle w:val="FootnoteAnchor"/>
          <w:rtl w:val="true"/>
        </w:rPr>
        <w:footnoteReference w:id="1145"/>
      </w:r>
      <w:r>
        <w:rPr>
          <w:rFonts w:ascii="Amiri" w:hAnsi="Amiri" w:eastAsia="Amiri" w:cs="Amiri"/>
          <w:color w:val="111111"/>
          <w:sz w:val="28"/>
          <w:sz w:val="28"/>
          <w:szCs w:val="28"/>
          <w:rtl w:val="true"/>
          <w:lang w:bidi="ar-SA"/>
        </w:rPr>
        <w:t>، أم يعمهما والمعدومين</w:t>
      </w:r>
      <w:r>
        <w:rPr>
          <w:rStyle w:val="FootnoteAnchor"/>
          <w:rtl w:val="true"/>
        </w:rPr>
        <w:footnoteReference w:id="1146"/>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أنه إذا ثبت حكم للمشافه </w:t>
      </w:r>
      <w:r>
        <w:rPr>
          <w:rStyle w:val="FootnoteAnchor"/>
          <w:rtl w:val="true"/>
        </w:rPr>
        <w:footnoteReference w:id="1147"/>
      </w:r>
      <w:r>
        <w:rPr>
          <w:rFonts w:ascii="Amiri" w:hAnsi="Amiri" w:eastAsia="Amiri" w:cs="Amiri"/>
          <w:color w:val="111111"/>
          <w:sz w:val="28"/>
          <w:sz w:val="28"/>
          <w:szCs w:val="28"/>
          <w:rtl w:val="true"/>
          <w:lang w:bidi="ar-SA"/>
        </w:rPr>
        <w:t xml:space="preserve">، فالأصل اشتراك الغائب والمعدوم معه ، بالإجماع محققاً ومنقولاً </w:t>
      </w:r>
      <w:r>
        <w:rPr>
          <w:rStyle w:val="FootnoteAnchor"/>
          <w:rtl w:val="true"/>
        </w:rPr>
        <w:footnoteReference w:id="1148"/>
      </w:r>
      <w:r>
        <w:rPr>
          <w:rFonts w:ascii="IRNazanin" w:hAnsi="IRNazanin" w:eastAsia="IRNazanin"/>
          <w:color w:val="111111"/>
          <w:sz w:val="28"/>
          <w:sz w:val="28"/>
          <w:szCs w:val="28"/>
          <w:rtl w:val="true"/>
          <w:lang w:bidi="fa-IR"/>
        </w:rPr>
        <w:t>، والنصوص</w:t>
      </w:r>
      <w:r>
        <w:rPr>
          <w:rStyle w:val="FootnoteAnchor"/>
          <w:rtl w:val="true"/>
        </w:rPr>
        <w:footnoteReference w:id="1149"/>
      </w:r>
      <w:r>
        <w:rPr>
          <w:rFonts w:ascii="IRNazanin" w:hAnsi="IRNazanin" w:eastAsia="IRNazanin"/>
          <w:color w:val="111111"/>
          <w:sz w:val="28"/>
          <w:sz w:val="28"/>
          <w:szCs w:val="28"/>
          <w:rtl w:val="true"/>
          <w:lang w:bidi="fa-IR"/>
        </w:rPr>
        <w:t>، وبناء العقلاء، والاستقراء</w:t>
      </w:r>
      <w:r>
        <w:rPr>
          <w:rStyle w:val="FootnoteAnchor"/>
          <w:rtl w:val="true"/>
        </w:rPr>
        <w:footnoteReference w:id="1150"/>
      </w:r>
      <w:r>
        <w:rPr>
          <w:rFonts w:ascii="Amiri" w:hAnsi="Amiri" w:eastAsia="Amiri" w:cs="Amiri"/>
          <w:color w:val="111111"/>
          <w:sz w:val="28"/>
          <w:sz w:val="28"/>
          <w:szCs w:val="28"/>
          <w:rtl w:val="true"/>
          <w:lang w:bidi="ar-SA"/>
        </w:rPr>
        <w:t>، وبذلك اندفع الأصل الأصيل المقتضي لعدم الاشتراك في بعض الصور</w:t>
      </w:r>
      <w:r>
        <w:rPr>
          <w:rFonts w:eastAsia="Amiri" w:cs="Amiri" w:ascii="Amiri" w:hAnsi="Amiri"/>
          <w:color w:val="111111"/>
          <w:sz w:val="28"/>
          <w:szCs w:val="28"/>
          <w:rtl w:val="true"/>
          <w:lang w:bidi="ar-SA"/>
        </w:rPr>
        <w:t>.</w:t>
      </w:r>
      <w:r>
        <w:rPr>
          <w:rStyle w:val="FootnoteAnchor"/>
          <w:rtl w:val="true"/>
        </w:rPr>
        <w:footnoteReference w:id="115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ثبت حكم للنبي</w:t>
      </w:r>
      <w:r>
        <w:rPr>
          <w:rStyle w:val="FootnoteAnchor"/>
          <w:rtl w:val="true"/>
        </w:rPr>
        <w:footnoteReference w:id="1152"/>
      </w:r>
      <w:r>
        <w:rPr>
          <w:rFonts w:ascii="IRNazanin" w:hAnsi="IRNazanin" w:eastAsia="IRNazanin"/>
          <w:color w:val="111111"/>
          <w:sz w:val="28"/>
          <w:sz w:val="28"/>
          <w:szCs w:val="28"/>
          <w:rtl w:val="true"/>
          <w:lang w:bidi="fa-IR"/>
        </w:rPr>
        <w:t xml:space="preserve">صلی الله علیه و آله وسلم فالأصل شركة الأمة معه؛ للأدلة الأخيرة، مضافاً </w:t>
      </w:r>
      <w:bookmarkStart w:id="411" w:name="pg9015_97573"/>
    </w:p>
    <w:p>
      <w:pPr>
        <w:pStyle w:val="BookText"/>
        <w:rPr/>
      </w:pPr>
      <w:bookmarkEnd w:id="411"/>
      <w:r>
        <w:rPr>
          <w:rFonts w:ascii="Amiri" w:hAnsi="Amiri" w:eastAsia="Amiri" w:cs="Amiri"/>
          <w:color w:val="111111"/>
          <w:sz w:val="28"/>
          <w:sz w:val="28"/>
          <w:szCs w:val="28"/>
          <w:rtl w:val="true"/>
          <w:lang w:bidi="ar-SA"/>
        </w:rPr>
        <w:t>إلى أن السنة دليل شرعي</w:t>
      </w:r>
      <w:r>
        <w:rPr>
          <w:rStyle w:val="FootnoteAnchor"/>
          <w:rtl w:val="true"/>
        </w:rPr>
        <w:footnoteReference w:id="1153"/>
      </w:r>
      <w:r>
        <w:rPr>
          <w:rFonts w:ascii="Amiri" w:hAnsi="Amiri" w:eastAsia="Amiri" w:cs="Amiri"/>
          <w:color w:val="111111"/>
          <w:sz w:val="28"/>
          <w:sz w:val="28"/>
          <w:szCs w:val="28"/>
          <w:rtl w:val="true"/>
          <w:lang w:bidi="ar-SA"/>
        </w:rPr>
        <w:t>، وإلى التأسي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ثبت حكم للأئمة علیهم السلام ، فكذلك، أو ثبت للرجال عمَّ</w:t>
      </w:r>
      <w:r>
        <w:rPr>
          <w:rStyle w:val="FootnoteAnchor"/>
          <w:rtl w:val="true"/>
        </w:rPr>
        <w:footnoteReference w:id="1154"/>
      </w:r>
      <w:r>
        <w:rPr>
          <w:rFonts w:ascii="Amiri" w:hAnsi="Amiri" w:eastAsia="Amiri" w:cs="Amiri"/>
          <w:color w:val="111111"/>
          <w:sz w:val="28"/>
          <w:sz w:val="28"/>
          <w:szCs w:val="28"/>
          <w:rtl w:val="true"/>
          <w:lang w:bidi="ar-SA"/>
        </w:rPr>
        <w:t>النساء، وبالعكس</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للأحرار عم العبيد ، وبالعكس </w:t>
      </w:r>
      <w:r>
        <w:rPr>
          <w:rStyle w:val="FootnoteAnchor"/>
          <w:rtl w:val="true"/>
        </w:rPr>
        <w:footnoteReference w:id="1156"/>
      </w:r>
      <w:r>
        <w:rPr>
          <w:rFonts w:ascii="Amiri" w:hAnsi="Amiri" w:eastAsia="Amiri" w:cs="Amiri"/>
          <w:color w:val="111111"/>
          <w:sz w:val="28"/>
          <w:sz w:val="28"/>
          <w:szCs w:val="28"/>
          <w:rtl w:val="true"/>
          <w:lang w:bidi="ar-SA"/>
        </w:rPr>
        <w:t>، كل ذلك لبناء العقلاء، والاستقراء، وظهور الإجماع</w:t>
      </w:r>
      <w:r>
        <w:rPr>
          <w:rFonts w:eastAsia="Amiri" w:cs="Amiri" w:ascii="Amiri" w:hAnsi="Amiri"/>
          <w:color w:val="111111"/>
          <w:sz w:val="28"/>
          <w:szCs w:val="28"/>
          <w:rtl w:val="true"/>
          <w:lang w:bidi="ar-SA"/>
        </w:rPr>
        <w:t>.</w:t>
      </w:r>
      <w:r>
        <w:rPr>
          <w:rStyle w:val="FootnoteAnchor"/>
          <w:rtl w:val="true"/>
        </w:rPr>
        <w:footnoteReference w:id="1157"/>
      </w:r>
    </w:p>
    <w:p>
      <w:pPr>
        <w:pStyle w:val="Heading3"/>
        <w:numPr>
          <w:ilvl w:val="2"/>
          <w:numId w:val="1"/>
        </w:numPr>
        <w:rPr/>
      </w:pPr>
      <w:bookmarkStart w:id="412" w:name="__RefHeading___Toc2001619_2870459653"/>
      <w:bookmarkStart w:id="413" w:name="_Toc159"/>
      <w:bookmarkEnd w:id="412"/>
      <w:r>
        <w:rPr>
          <w:rtl w:val="true"/>
        </w:rPr>
        <w:t>[</w:t>
      </w:r>
      <w:r>
        <w:rPr>
          <w:rtl w:val="true"/>
        </w:rPr>
        <w:t>تحرير محل النزاع</w:t>
      </w:r>
      <w:r>
        <w:rPr>
          <w:rtl w:val="true"/>
        </w:rPr>
        <w:t>]</w:t>
      </w:r>
      <w:bookmarkEnd w:id="41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محلّ النزاع في المراد من الخطاب الشفاهي، لا فيما وضع له الخطاب الشفاهي</w:t>
      </w:r>
      <w:r>
        <w:rPr>
          <w:rStyle w:val="FootnoteAnchor"/>
          <w:rtl w:val="true"/>
        </w:rPr>
        <w:footnoteReference w:id="1158"/>
      </w:r>
      <w:r>
        <w:rPr>
          <w:rFonts w:ascii="Amiri" w:hAnsi="Amiri" w:eastAsia="Amiri" w:cs="Amiri"/>
          <w:color w:val="111111"/>
          <w:sz w:val="28"/>
          <w:sz w:val="28"/>
          <w:szCs w:val="28"/>
          <w:rtl w:val="true"/>
          <w:lang w:bidi="ar-SA"/>
        </w:rPr>
        <w:t>، وفيما كان الخطاب جمعاً لا مفرداً</w:t>
      </w:r>
      <w:r>
        <w:rPr>
          <w:rStyle w:val="FootnoteAnchor"/>
          <w:rtl w:val="true"/>
        </w:rPr>
        <w:footnoteReference w:id="1159"/>
      </w:r>
      <w:r>
        <w:rPr>
          <w:rFonts w:ascii="Amiri" w:hAnsi="Amiri" w:eastAsia="Amiri" w:cs="Amiri"/>
          <w:color w:val="111111"/>
          <w:sz w:val="28"/>
          <w:sz w:val="28"/>
          <w:szCs w:val="28"/>
          <w:rtl w:val="true"/>
          <w:lang w:bidi="ar-SA"/>
        </w:rPr>
        <w:t>، وفي خطابات الكتاب لا السنة</w:t>
      </w:r>
      <w:r>
        <w:rPr>
          <w:rStyle w:val="FootnoteAnchor"/>
          <w:rtl w:val="true"/>
        </w:rPr>
        <w:footnoteReference w:id="1160"/>
      </w:r>
      <w:r>
        <w:rPr>
          <w:rFonts w:ascii="Amiri" w:hAnsi="Amiri" w:eastAsia="Amiri" w:cs="Amiri"/>
          <w:color w:val="111111"/>
          <w:sz w:val="28"/>
          <w:sz w:val="28"/>
          <w:szCs w:val="28"/>
          <w:rtl w:val="true"/>
          <w:lang w:bidi="ar-SA"/>
        </w:rPr>
        <w:t>، ولا مثل الحديث القدسي</w:t>
      </w:r>
      <w:r>
        <w:rPr>
          <w:rStyle w:val="FootnoteAnchor"/>
          <w:rtl w:val="true"/>
        </w:rPr>
        <w:footnoteReference w:id="1161"/>
      </w:r>
      <w:r>
        <w:rPr>
          <w:rFonts w:ascii="Amiri" w:hAnsi="Amiri" w:eastAsia="Amiri" w:cs="Amiri"/>
          <w:color w:val="111111"/>
          <w:sz w:val="28"/>
          <w:sz w:val="28"/>
          <w:szCs w:val="28"/>
          <w:rtl w:val="true"/>
          <w:lang w:bidi="ar-SA"/>
        </w:rPr>
        <w:t>، وفيما اشتمل على آلة الخطاب</w:t>
      </w:r>
      <w:r>
        <w:rPr>
          <w:rStyle w:val="FootnoteAnchor"/>
          <w:rtl w:val="true"/>
        </w:rPr>
        <w:footnoteReference w:id="1162"/>
      </w:r>
      <w:r>
        <w:rPr>
          <w:rFonts w:ascii="Amiri" w:hAnsi="Amiri" w:eastAsia="Amiri" w:cs="Amiri"/>
          <w:color w:val="111111"/>
          <w:sz w:val="28"/>
          <w:sz w:val="28"/>
          <w:szCs w:val="28"/>
          <w:rtl w:val="true"/>
          <w:lang w:bidi="ar-SA"/>
        </w:rPr>
        <w:t xml:space="preserve">، وفيما كان المخاطب </w:t>
      </w:r>
    </w:p>
    <w:p>
      <w:pPr>
        <w:pStyle w:val="BookText"/>
        <w:rPr/>
      </w:pPr>
      <w:r>
        <w:rPr>
          <w:rFonts w:ascii="IRNazanin" w:hAnsi="IRNazanin" w:eastAsia="IRNazanin"/>
          <w:color w:val="111111"/>
          <w:sz w:val="28"/>
          <w:sz w:val="28"/>
          <w:szCs w:val="28"/>
          <w:rtl w:val="true"/>
          <w:lang w:bidi="fa-IR"/>
        </w:rPr>
        <w:t>ملفقاً من الموجود والمعدوم، لا المعدوم الصرف</w:t>
      </w:r>
      <w:r>
        <w:rPr>
          <w:rStyle w:val="FootnoteAnchor"/>
          <w:rtl w:val="true"/>
        </w:rPr>
        <w:footnoteReference w:id="1163"/>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ثم اعلم أن الخطاب لغة إلقاء الكلام نحو الغير </w:t>
      </w:r>
      <w:r>
        <w:rPr>
          <w:rStyle w:val="FootnoteAnchor"/>
          <w:rtl w:val="true"/>
        </w:rPr>
        <w:footnoteReference w:id="1165"/>
      </w:r>
      <w:r>
        <w:rPr>
          <w:rFonts w:ascii="Amiri" w:hAnsi="Amiri" w:eastAsia="Amiri" w:cs="Amiri"/>
          <w:color w:val="111111"/>
          <w:sz w:val="28"/>
          <w:sz w:val="28"/>
          <w:szCs w:val="28"/>
          <w:rtl w:val="true"/>
          <w:lang w:bidi="ar-SA"/>
        </w:rPr>
        <w:t>، وقد يطلق اصطلاحاً على الكلام الموجه إلى الغير ، ولا ريب أنه حقيقة لغةً في الجملة في إلقاء الكلام إلى الغير</w:t>
      </w:r>
      <w:r>
        <w:rPr>
          <w:rStyle w:val="FootnoteAnchor"/>
          <w:rtl w:val="true"/>
        </w:rPr>
        <w:footnoteReference w:id="1166"/>
      </w:r>
      <w:r>
        <w:rPr>
          <w:rFonts w:ascii="Amiri" w:hAnsi="Amiri" w:eastAsia="Amiri" w:cs="Amiri"/>
          <w:color w:val="111111"/>
          <w:sz w:val="28"/>
          <w:sz w:val="28"/>
          <w:szCs w:val="28"/>
          <w:rtl w:val="true"/>
          <w:lang w:bidi="ar-SA"/>
        </w:rPr>
        <w:t>الخارجي الحاضر السامع الفاهم للخطاب، وفي كونه حقيقة مع فقد بعض تلك القيود، وجهان</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كما أن في اشتراط كون الإلقاء باللفظ أم بحيث يشمل مثل</w:t>
      </w:r>
      <w:r>
        <w:rPr>
          <w:rStyle w:val="FootnoteAnchor"/>
          <w:rtl w:val="true"/>
        </w:rPr>
        <w:footnoteReference w:id="1168"/>
      </w:r>
      <w:r>
        <w:rPr>
          <w:rFonts w:ascii="Amiri" w:hAnsi="Amiri" w:eastAsia="Amiri" w:cs="Amiri"/>
          <w:color w:val="111111"/>
          <w:sz w:val="28"/>
          <w:sz w:val="28"/>
          <w:szCs w:val="28"/>
          <w:rtl w:val="true"/>
          <w:lang w:bidi="ar-SA"/>
        </w:rPr>
        <w:t>الإشارة، احتمالان</w:t>
      </w:r>
      <w:r>
        <w:rPr>
          <w:rStyle w:val="FootnoteAnchor"/>
          <w:rtl w:val="true"/>
        </w:rPr>
        <w:footnoteReference w:id="1169"/>
      </w:r>
      <w:r>
        <w:rPr>
          <w:rFonts w:ascii="Amiri" w:hAnsi="Amiri" w:eastAsia="Amiri" w:cs="Amiri"/>
          <w:color w:val="111111"/>
          <w:sz w:val="28"/>
          <w:sz w:val="28"/>
          <w:szCs w:val="28"/>
          <w:rtl w:val="true"/>
          <w:lang w:bidi="ar-SA"/>
        </w:rPr>
        <w:t>، نعم هو حقيقة في الخطاب إلى الشخص ألغير المعين، كقول المصنفين اعلم وافهم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صحة السلب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آلة الخطاب كالضمائر ،ويا، وأيا، فيجري فيها أكثر ما جرى</w:t>
      </w:r>
      <w:r>
        <w:rPr>
          <w:rStyle w:val="FootnoteAnchor"/>
          <w:rtl w:val="true"/>
        </w:rPr>
        <w:footnoteReference w:id="1170"/>
      </w:r>
      <w:r>
        <w:rPr>
          <w:rFonts w:ascii="Amiri" w:hAnsi="Amiri" w:eastAsia="Amiri" w:cs="Amiri"/>
          <w:color w:val="111111"/>
          <w:sz w:val="28"/>
          <w:sz w:val="28"/>
          <w:szCs w:val="28"/>
          <w:rtl w:val="true"/>
          <w:lang w:bidi="ar-SA"/>
        </w:rPr>
        <w:t>في المادة، وإن لم يكن بين المادة والآلة</w:t>
      </w:r>
      <w:r>
        <w:rPr>
          <w:rStyle w:val="FootnoteAnchor"/>
          <w:rtl w:val="true"/>
        </w:rPr>
        <w:footnoteReference w:id="1171"/>
      </w:r>
      <w:r>
        <w:rPr>
          <w:rFonts w:ascii="Amiri" w:hAnsi="Amiri" w:eastAsia="Amiri" w:cs="Amiri"/>
          <w:color w:val="111111"/>
          <w:sz w:val="28"/>
          <w:sz w:val="28"/>
          <w:szCs w:val="28"/>
          <w:rtl w:val="true"/>
          <w:lang w:bidi="ar-SA"/>
        </w:rPr>
        <w:t xml:space="preserve">ملازمة في الحقيقة والمجاز </w:t>
      </w:r>
      <w:r>
        <w:rPr>
          <w:rFonts w:eastAsia="Amiri" w:cs="Amiri" w:ascii="Amiri" w:hAnsi="Amiri"/>
          <w:color w:val="111111"/>
          <w:sz w:val="28"/>
          <w:szCs w:val="28"/>
          <w:rtl w:val="true"/>
          <w:lang w:bidi="ar-SA"/>
        </w:rPr>
        <w:t>.</w:t>
      </w:r>
      <w:r>
        <w:rPr>
          <w:rStyle w:val="FootnoteAnchor"/>
          <w:rtl w:val="true"/>
        </w:rPr>
        <w:footnoteReference w:id="1172"/>
      </w:r>
      <w:bookmarkStart w:id="414" w:name="pg9015_97575"/>
    </w:p>
    <w:p>
      <w:pPr>
        <w:pStyle w:val="BookText"/>
        <w:rPr/>
      </w:pPr>
      <w:bookmarkEnd w:id="414"/>
      <w:r>
        <w:rPr>
          <w:rFonts w:ascii="Amiri" w:hAnsi="Amiri" w:eastAsia="Amiri" w:cs="Amiri"/>
          <w:color w:val="111111"/>
          <w:sz w:val="28"/>
          <w:sz w:val="28"/>
          <w:szCs w:val="28"/>
          <w:rtl w:val="true"/>
          <w:lang w:bidi="ar-SA"/>
        </w:rPr>
        <w:t xml:space="preserve">ثم هذه المسألة أصولية </w:t>
      </w:r>
      <w:r>
        <w:rPr>
          <w:rStyle w:val="FootnoteAnchor"/>
          <w:rtl w:val="true"/>
        </w:rPr>
        <w:footnoteReference w:id="1173"/>
      </w:r>
      <w:r>
        <w:rPr>
          <w:rFonts w:ascii="Amiri" w:hAnsi="Amiri" w:eastAsia="Amiri" w:cs="Amiri"/>
          <w:color w:val="111111"/>
          <w:sz w:val="28"/>
          <w:sz w:val="28"/>
          <w:szCs w:val="28"/>
          <w:rtl w:val="true"/>
          <w:lang w:bidi="ar-SA"/>
        </w:rPr>
        <w:t>لا يعتبر فيها الأدلة الظنية، الا مع استلزام الظن بالحكم الفرعي</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2001621_2870459653"/>
      <w:bookmarkStart w:id="416" w:name="_Toc160"/>
      <w:bookmarkEnd w:id="415"/>
      <w:r>
        <w:rPr>
          <w:rtl w:val="true"/>
        </w:rPr>
        <w:t>[</w:t>
      </w:r>
      <w:r>
        <w:rPr>
          <w:rtl w:val="true"/>
        </w:rPr>
        <w:t>تأسيس الأصل</w:t>
      </w:r>
      <w:r>
        <w:rPr>
          <w:rtl w:val="true"/>
        </w:rPr>
        <w:t>]</w:t>
      </w:r>
      <w:bookmarkEnd w:id="416"/>
    </w:p>
    <w:p>
      <w:pPr>
        <w:pStyle w:val="BookText"/>
        <w:rPr/>
      </w:pPr>
      <w:r>
        <w:rPr>
          <w:rFonts w:ascii="Amiri" w:hAnsi="Amiri" w:eastAsia="Amiri" w:cs="Amiri"/>
          <w:color w:val="111111"/>
          <w:sz w:val="28"/>
          <w:sz w:val="28"/>
          <w:szCs w:val="28"/>
          <w:rtl w:val="true"/>
          <w:lang w:bidi="ar-SA"/>
        </w:rPr>
        <w:t>وأما الأصل فيها فهو اختصاص</w:t>
      </w:r>
      <w:r>
        <w:rPr>
          <w:rStyle w:val="FootnoteAnchor"/>
          <w:rtl w:val="true"/>
        </w:rPr>
        <w:footnoteReference w:id="1174"/>
      </w:r>
      <w:r>
        <w:rPr>
          <w:rFonts w:ascii="Amiri" w:hAnsi="Amiri" w:eastAsia="Amiri" w:cs="Amiri"/>
          <w:color w:val="111111"/>
          <w:sz w:val="28"/>
          <w:sz w:val="28"/>
          <w:szCs w:val="28"/>
          <w:rtl w:val="true"/>
          <w:lang w:bidi="ar-SA"/>
        </w:rPr>
        <w:t>الخطاب بالحاضر مدلولا، فقاهة</w:t>
      </w:r>
      <w:r>
        <w:rPr>
          <w:rStyle w:val="FootnoteAnchor"/>
          <w:rtl w:val="true"/>
        </w:rPr>
        <w:footnoteReference w:id="1175"/>
      </w:r>
      <w:r>
        <w:rPr>
          <w:rFonts w:ascii="IRNazanin" w:hAnsi="IRNazanin" w:eastAsia="IRNazanin"/>
          <w:color w:val="111111"/>
          <w:sz w:val="28"/>
          <w:sz w:val="28"/>
          <w:szCs w:val="28"/>
          <w:rtl w:val="true"/>
          <w:lang w:bidi="fa-IR"/>
        </w:rPr>
        <w:t xml:space="preserve">واجتهادا </w:t>
      </w:r>
      <w:r>
        <w:rPr>
          <w:rStyle w:val="FootnoteAnchor"/>
          <w:rtl w:val="true"/>
        </w:rPr>
        <w:footnoteReference w:id="1176"/>
      </w:r>
      <w:r>
        <w:rPr>
          <w:rFonts w:ascii="IRNazanin" w:hAnsi="IRNazanin" w:eastAsia="IRNazanin"/>
          <w:color w:val="111111"/>
          <w:sz w:val="28"/>
          <w:sz w:val="28"/>
          <w:szCs w:val="28"/>
          <w:rtl w:val="true"/>
          <w:lang w:bidi="fa-IR"/>
        </w:rPr>
        <w:t>للتوقف، والظهور</w:t>
      </w:r>
      <w:r>
        <w:rPr>
          <w:rFonts w:eastAsia="IRNazanin" w:cs="IRNazanin"/>
          <w:color w:val="111111"/>
          <w:sz w:val="28"/>
          <w:szCs w:val="28"/>
          <w:rtl w:val="true"/>
          <w:lang w:bidi="fa-IR"/>
        </w:rPr>
        <w:t>.</w:t>
      </w:r>
    </w:p>
    <w:p>
      <w:pPr>
        <w:pStyle w:val="Heading3"/>
        <w:numPr>
          <w:ilvl w:val="2"/>
          <w:numId w:val="1"/>
        </w:numPr>
        <w:rPr/>
      </w:pPr>
      <w:bookmarkStart w:id="417" w:name="__RefHeading___Toc2001623_2870459653"/>
      <w:bookmarkStart w:id="418" w:name="_Toc161"/>
      <w:bookmarkEnd w:id="417"/>
      <w:r>
        <w:rPr>
          <w:rtl w:val="true"/>
        </w:rPr>
        <w:t>[</w:t>
      </w:r>
      <w:r>
        <w:rPr>
          <w:rtl w:val="true"/>
        </w:rPr>
        <w:t>ثمرة المسألة</w:t>
      </w:r>
      <w:r>
        <w:rPr>
          <w:rtl w:val="true"/>
        </w:rPr>
        <w:t>]</w:t>
      </w:r>
      <w:bookmarkEnd w:id="41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ثمرة النزاع فقد فرضوها في حصول البيان</w:t>
      </w:r>
      <w:r>
        <w:rPr>
          <w:rStyle w:val="FootnoteAnchor"/>
          <w:rtl w:val="true"/>
        </w:rPr>
        <w:footnoteReference w:id="1177"/>
      </w:r>
      <w:r>
        <w:rPr>
          <w:rFonts w:ascii="Amiri" w:hAnsi="Amiri" w:eastAsia="Amiri" w:cs="Amiri"/>
          <w:color w:val="111111"/>
          <w:sz w:val="28"/>
          <w:sz w:val="28"/>
          <w:szCs w:val="28"/>
          <w:rtl w:val="true"/>
          <w:lang w:bidi="ar-SA"/>
        </w:rPr>
        <w:t>عند المعمم، والإجمال عند التخصيص</w:t>
      </w:r>
      <w:r>
        <w:rPr>
          <w:rStyle w:val="FootnoteAnchor"/>
          <w:rtl w:val="true"/>
        </w:rPr>
        <w:footnoteReference w:id="1178"/>
      </w:r>
      <w:r>
        <w:rPr>
          <w:rFonts w:ascii="Amiri" w:hAnsi="Amiri" w:eastAsia="Amiri" w:cs="Amiri"/>
          <w:color w:val="111111"/>
          <w:sz w:val="28"/>
          <w:sz w:val="28"/>
          <w:szCs w:val="28"/>
          <w:rtl w:val="true"/>
          <w:lang w:bidi="ar-SA"/>
        </w:rPr>
        <w:t>بالحاضر، وفي عدم لزوم الفحص عن فهم الحاضر على الأول، ولزومه على الثاني</w:t>
      </w:r>
      <w:r>
        <w:rPr>
          <w:rStyle w:val="FootnoteAnchor"/>
          <w:rtl w:val="true"/>
        </w:rPr>
        <w:footnoteReference w:id="1179"/>
      </w:r>
      <w:r>
        <w:rPr>
          <w:rFonts w:ascii="Amiri" w:hAnsi="Amiri" w:eastAsia="Amiri" w:cs="Amiri"/>
          <w:color w:val="111111"/>
          <w:sz w:val="28"/>
          <w:sz w:val="28"/>
          <w:szCs w:val="28"/>
          <w:rtl w:val="true"/>
          <w:lang w:bidi="ar-SA"/>
        </w:rPr>
        <w:t xml:space="preserve">، وفي وجوب صلاة الجمعة على الأول دون الأخير </w:t>
      </w:r>
      <w:r>
        <w:rPr>
          <w:rStyle w:val="FootnoteAnchor"/>
          <w:rtl w:val="true"/>
        </w:rPr>
        <w:footnoteReference w:id="1180"/>
      </w:r>
      <w:r>
        <w:rPr>
          <w:rFonts w:ascii="Amiri" w:hAnsi="Amiri" w:eastAsia="Amiri" w:cs="Amiri"/>
          <w:color w:val="111111"/>
          <w:sz w:val="28"/>
          <w:sz w:val="28"/>
          <w:szCs w:val="28"/>
          <w:rtl w:val="true"/>
          <w:lang w:bidi="ar-SA"/>
        </w:rPr>
        <w:t>، وفي الكل 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ظهر ذلك، فالحق عدم شمول الخطاب للمعدوم؛ للأصلين السليمين عن المعارض، وقول المعمم فاسد، خال عن الدليل، سواء جعل ذلك من باب تعدد الخطاب والنداء المستمر</w:t>
      </w:r>
      <w:r>
        <w:rPr>
          <w:rStyle w:val="FootnoteAnchor"/>
          <w:rtl w:val="true"/>
        </w:rPr>
        <w:footnoteReference w:id="1181"/>
      </w:r>
      <w:r>
        <w:rPr>
          <w:rFonts w:ascii="Amiri" w:hAnsi="Amiri" w:eastAsia="Amiri" w:cs="Amiri"/>
          <w:color w:val="111111"/>
          <w:sz w:val="28"/>
          <w:sz w:val="28"/>
          <w:szCs w:val="28"/>
          <w:rtl w:val="true"/>
          <w:lang w:bidi="ar-SA"/>
        </w:rPr>
        <w:t>، أو من باب الكلام النفسي</w:t>
      </w:r>
      <w:r>
        <w:rPr>
          <w:rStyle w:val="FootnoteAnchor"/>
          <w:rtl w:val="true"/>
        </w:rPr>
        <w:footnoteReference w:id="1182"/>
      </w:r>
      <w:r>
        <w:rPr>
          <w:rFonts w:ascii="Amiri" w:hAnsi="Amiri" w:eastAsia="Amiri" w:cs="Amiri"/>
          <w:color w:val="111111"/>
          <w:sz w:val="28"/>
          <w:sz w:val="28"/>
          <w:szCs w:val="28"/>
          <w:rtl w:val="true"/>
          <w:lang w:bidi="ar-SA"/>
        </w:rPr>
        <w:t>، أو من باب المكاتيب والمراسيل، أو من باب تأليف المؤلفين، أو من باب شمول الخطاب اللفظي للمعدومين إلقاء ومدلولاً ، أو مدلولاً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جعله من باب الشركة في الحكم رجع النزاع لفظياً، وفي شمول الخطاب للغائبين احتمال قريب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يتمسك للخصم </w:t>
      </w:r>
      <w:r>
        <w:rPr>
          <w:rStyle w:val="FootnoteAnchor"/>
          <w:rtl w:val="true"/>
        </w:rPr>
        <w:footnoteReference w:id="1183"/>
      </w:r>
      <w:r>
        <w:rPr>
          <w:rFonts w:ascii="Amiri" w:hAnsi="Amiri" w:eastAsia="Amiri" w:cs="Amiri"/>
          <w:color w:val="111111"/>
          <w:sz w:val="28"/>
          <w:sz w:val="28"/>
          <w:szCs w:val="28"/>
          <w:rtl w:val="true"/>
          <w:lang w:bidi="ar-SA"/>
        </w:rPr>
        <w:t>بوجوه كلها مدخولة</w:t>
      </w:r>
      <w:r>
        <w:rPr>
          <w:rStyle w:val="FootnoteAnchor"/>
          <w:rtl w:val="true"/>
        </w:rPr>
        <w:footnoteReference w:id="1184"/>
      </w:r>
      <w:r>
        <w:rPr>
          <w:rFonts w:ascii="Amiri" w:hAnsi="Amiri" w:eastAsia="Amiri" w:cs="Amiri"/>
          <w:color w:val="111111"/>
          <w:sz w:val="28"/>
          <w:sz w:val="28"/>
          <w:szCs w:val="28"/>
          <w:rtl w:val="true"/>
          <w:lang w:bidi="ar-SA"/>
        </w:rPr>
        <w:t xml:space="preserve">مثل استدلال العلماء بتلك الخطابات في الأعصار والأمصار ، وانه لو اختصّ بالحاضر لزم على الشارع إعلام المعدوم بذلك، والتالي مفقود، وإن رسول المعدوم والحاضر واحد </w:t>
      </w:r>
      <w:r>
        <w:rPr>
          <w:rStyle w:val="FootnoteAnchor"/>
          <w:rtl w:val="true"/>
        </w:rPr>
        <w:footnoteReference w:id="1185"/>
      </w:r>
      <w:r>
        <w:rPr>
          <w:rFonts w:ascii="Amiri" w:hAnsi="Amiri" w:eastAsia="Amiri" w:cs="Amiri"/>
          <w:color w:val="111111"/>
          <w:sz w:val="28"/>
          <w:sz w:val="28"/>
          <w:szCs w:val="28"/>
          <w:rtl w:val="true"/>
          <w:lang w:bidi="ar-SA"/>
        </w:rPr>
        <w:t xml:space="preserve">، وإن 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 xml:space="preserve">، واستحباب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بشيء من آلائك ربّ أكذب</w:t>
      </w:r>
      <w:r>
        <w:rPr>
          <w:rFonts w:eastAsia="Amiri" w:cs="Amiri" w:ascii="Amiri" w:hAnsi="Amiri"/>
          <w:color w:val="111111"/>
          <w:sz w:val="28"/>
          <w:szCs w:val="28"/>
          <w:rtl w:val="true"/>
          <w:lang w:bidi="ar-SA"/>
        </w:rPr>
        <w:t>»</w:t>
      </w:r>
      <w:r>
        <w:rPr>
          <w:rStyle w:val="FootnoteAnchor"/>
          <w:rtl w:val="true"/>
        </w:rPr>
        <w:footnoteReference w:id="118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 xml:space="preserve">شاهدان، مضافاً إلى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لأَنْذِرَكُمْ بِهِ وَمَنْ بَلَغَ</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w:t>
      </w:r>
      <w:r>
        <w:rPr>
          <w:rStyle w:val="FootnoteAnchor"/>
          <w:rtl w:val="true"/>
        </w:rPr>
        <w:footnoteReference w:id="1191"/>
      </w:r>
      <w:r>
        <w:rPr>
          <w:rFonts w:ascii="IRNazanin" w:hAnsi="IRNazanin" w:eastAsia="IRNazanin"/>
          <w:color w:val="111111"/>
          <w:sz w:val="28"/>
          <w:sz w:val="28"/>
          <w:szCs w:val="28"/>
          <w:rtl w:val="true"/>
          <w:lang w:bidi="fa-IR"/>
        </w:rPr>
        <w:t>وقوله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فليبلغ الشاهد الغائب</w:t>
      </w:r>
      <w:r>
        <w:rPr>
          <w:rFonts w:eastAsia="IRNazanin" w:cs="IRNazanin"/>
          <w:color w:val="111111"/>
          <w:sz w:val="28"/>
          <w:szCs w:val="28"/>
          <w:rtl w:val="true"/>
          <w:lang w:bidi="fa-IR"/>
        </w:rPr>
        <w:t>»</w:t>
      </w:r>
      <w:r>
        <w:rPr>
          <w:rStyle w:val="FootnoteAnchor"/>
          <w:rtl w:val="true"/>
        </w:rPr>
        <w:footnoteReference w:id="1192"/>
      </w:r>
      <w:r>
        <w:rPr>
          <w:rFonts w:ascii="Amiri" w:hAnsi="Amiri" w:eastAsia="Amiri" w:cs="Amiri"/>
          <w:color w:val="111111"/>
          <w:sz w:val="28"/>
          <w:sz w:val="28"/>
          <w:szCs w:val="28"/>
          <w:rtl w:val="true"/>
          <w:lang w:bidi="ar-SA"/>
        </w:rPr>
        <w:t>، وخصوص النصوص الدالة على نزول بعض الآيات في شأن المعدوم</w:t>
      </w:r>
      <w:r>
        <w:rPr>
          <w:rStyle w:val="FootnoteAnchor"/>
          <w:rtl w:val="true"/>
        </w:rPr>
        <w:footnoteReference w:id="1193"/>
      </w:r>
      <w:r>
        <w:rPr>
          <w:rFonts w:ascii="Amiri" w:hAnsi="Amiri" w:eastAsia="Amiri" w:cs="Amiri"/>
          <w:color w:val="111111"/>
          <w:sz w:val="28"/>
          <w:sz w:val="28"/>
          <w:szCs w:val="28"/>
          <w:rtl w:val="true"/>
          <w:lang w:bidi="ar-SA"/>
        </w:rPr>
        <w:t>، والنصوص الدالة على عموم خطابات الكتاب</w:t>
      </w:r>
      <w:r>
        <w:rPr>
          <w:rFonts w:eastAsia="Amiri" w:cs="Amiri" w:ascii="Amiri" w:hAnsi="Amiri"/>
          <w:color w:val="111111"/>
          <w:sz w:val="28"/>
          <w:szCs w:val="28"/>
          <w:rtl w:val="true"/>
          <w:lang w:bidi="ar-SA"/>
        </w:rPr>
        <w:t>.</w:t>
      </w:r>
      <w:r>
        <w:rPr>
          <w:rStyle w:val="FootnoteAnchor"/>
          <w:rtl w:val="true"/>
        </w:rPr>
        <w:footnoteReference w:id="1194"/>
      </w:r>
      <w:bookmarkStart w:id="419" w:name="pg9015_97578"/>
    </w:p>
    <w:p>
      <w:pPr>
        <w:pStyle w:val="Heading2"/>
        <w:numPr>
          <w:ilvl w:val="1"/>
          <w:numId w:val="1"/>
        </w:numPr>
        <w:rPr/>
      </w:pPr>
      <w:bookmarkStart w:id="420" w:name="__RefHeading___Toc2001625_2870459653"/>
      <w:bookmarkStart w:id="421" w:name="_Toc162"/>
      <w:bookmarkEnd w:id="419"/>
      <w:bookmarkEnd w:id="420"/>
      <w:r>
        <w:rPr>
          <w:rtl w:val="true"/>
        </w:rPr>
        <w:t xml:space="preserve">أصل </w:t>
      </w:r>
      <w:r>
        <w:rPr>
          <w:rtl w:val="true"/>
        </w:rPr>
        <w:t>[</w:t>
      </w:r>
      <w:r>
        <w:rPr>
          <w:rtl w:val="true"/>
        </w:rPr>
        <w:t>في تعريف التخصيص والخاص</w:t>
      </w:r>
      <w:r>
        <w:rPr>
          <w:rtl w:val="true"/>
        </w:rPr>
        <w:t>]</w:t>
      </w:r>
      <w:bookmarkEnd w:id="421"/>
    </w:p>
    <w:p>
      <w:pPr>
        <w:pStyle w:val="BookText"/>
        <w:rPr/>
      </w:pPr>
      <w:r>
        <w:rPr>
          <w:rFonts w:ascii="Amiri" w:hAnsi="Amiri" w:eastAsia="Amiri" w:cs="Amiri"/>
          <w:color w:val="111111"/>
          <w:sz w:val="28"/>
          <w:sz w:val="28"/>
          <w:szCs w:val="28"/>
          <w:rtl w:val="true"/>
          <w:lang w:bidi="ar-SA"/>
        </w:rPr>
        <w:t>التخصيص لغةً مطلق القصر</w:t>
      </w:r>
      <w:r>
        <w:rPr>
          <w:rStyle w:val="FootnoteAnchor"/>
          <w:rtl w:val="true"/>
        </w:rPr>
        <w:footnoteReference w:id="1195"/>
      </w:r>
      <w:r>
        <w:rPr>
          <w:rFonts w:ascii="Amiri" w:hAnsi="Amiri" w:eastAsia="Amiri" w:cs="Amiri"/>
          <w:color w:val="111111"/>
          <w:sz w:val="28"/>
          <w:sz w:val="28"/>
          <w:szCs w:val="28"/>
          <w:rtl w:val="true"/>
          <w:lang w:bidi="ar-SA"/>
        </w:rPr>
        <w:t>، واصطلاحاً قد يعرف بأنه قصر العام على بعض ما يتناوله</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وينتقض عكساً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الدرهم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به صنف خاص من الدرهم وبمثل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الا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Style w:val="FootnoteAnchor"/>
          <w:rtl w:val="true"/>
        </w:rPr>
        <w:footnoteReference w:id="1197"/>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جعلنا الإسناد</w:t>
      </w:r>
      <w:r>
        <w:rPr>
          <w:rStyle w:val="FootnoteAnchor"/>
          <w:rtl w:val="true"/>
        </w:rPr>
        <w:footnoteReference w:id="1198"/>
      </w:r>
      <w:r>
        <w:rPr>
          <w:rFonts w:ascii="Amiri" w:hAnsi="Amiri" w:eastAsia="Amiri" w:cs="Amiri"/>
          <w:color w:val="111111"/>
          <w:sz w:val="28"/>
          <w:sz w:val="28"/>
          <w:szCs w:val="28"/>
          <w:rtl w:val="true"/>
          <w:lang w:bidi="ar-SA"/>
        </w:rPr>
        <w:t xml:space="preserve">بعد الإخراج، وبمثل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الجارية إلا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وبمثل هؤلاء الرجال إذا خرج منه البعض على</w:t>
      </w:r>
    </w:p>
    <w:p>
      <w:pPr>
        <w:pStyle w:val="BookText"/>
        <w:rPr/>
      </w:pPr>
      <w:r>
        <w:rPr>
          <w:rFonts w:ascii="IRNazanin" w:hAnsi="IRNazanin" w:eastAsia="IRNazanin"/>
          <w:color w:val="111111"/>
          <w:sz w:val="28"/>
          <w:sz w:val="28"/>
          <w:szCs w:val="28"/>
          <w:rtl w:val="true"/>
          <w:lang w:bidi="fa-IR"/>
        </w:rPr>
        <w:t>بعض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يعرَّف بأنه قصر اللفظ الدال على العموم الاستغراقي مطابقة، أي</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سَرَيانياً على بعض ما يتناوله قصراً لفظاً </w:t>
      </w:r>
      <w:r>
        <w:rPr>
          <w:rStyle w:val="FootnoteAnchor"/>
          <w:rtl w:val="true"/>
        </w:rPr>
        <w:footnoteReference w:id="1200"/>
      </w:r>
      <w:r>
        <w:rPr>
          <w:rFonts w:ascii="Amiri" w:hAnsi="Amiri" w:eastAsia="Amiri" w:cs="Amiri"/>
          <w:color w:val="111111"/>
          <w:sz w:val="28"/>
          <w:sz w:val="28"/>
          <w:szCs w:val="28"/>
          <w:rtl w:val="true"/>
          <w:lang w:bidi="ar-SA"/>
        </w:rPr>
        <w:t>، أو حكمياً، دلالة حقيقية</w:t>
      </w:r>
      <w:r>
        <w:rPr>
          <w:rStyle w:val="FootnoteAnchor"/>
          <w:rtl w:val="true"/>
        </w:rPr>
        <w:footnoteReference w:id="1201"/>
      </w:r>
      <w:r>
        <w:rPr>
          <w:rFonts w:ascii="Amiri" w:hAnsi="Amiri" w:eastAsia="Amiri" w:cs="Amiri"/>
          <w:color w:val="111111"/>
          <w:sz w:val="28"/>
          <w:sz w:val="28"/>
          <w:szCs w:val="28"/>
          <w:rtl w:val="true"/>
          <w:lang w:bidi="ar-SA"/>
        </w:rPr>
        <w:t>أم مجازية</w:t>
      </w:r>
      <w:r>
        <w:rPr>
          <w:rFonts w:eastAsia="Amiri" w:cs="Amiri" w:ascii="Amiri" w:hAnsi="Amiri"/>
          <w:color w:val="111111"/>
          <w:sz w:val="28"/>
          <w:szCs w:val="28"/>
          <w:rtl w:val="true"/>
          <w:lang w:bidi="ar-SA"/>
        </w:rPr>
        <w:t>.</w:t>
      </w:r>
      <w:r>
        <w:rPr>
          <w:rStyle w:val="FootnoteAnchor"/>
          <w:rtl w:val="true"/>
        </w:rPr>
        <w:footnoteReference w:id="120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نقله إلى المصطلح تعيّني لا تعييني؛ لأصالة تأخر الحادث، والنقل في مادة </w:t>
      </w:r>
      <w:bookmarkStart w:id="422" w:name="pg9015_97579"/>
    </w:p>
    <w:p>
      <w:pPr>
        <w:pStyle w:val="BookText"/>
        <w:rPr/>
      </w:pPr>
      <w:bookmarkEnd w:id="422"/>
      <w:r>
        <w:rPr>
          <w:rFonts w:ascii="Amiri" w:hAnsi="Amiri" w:eastAsia="Amiri" w:cs="Amiri"/>
          <w:color w:val="111111"/>
          <w:sz w:val="28"/>
          <w:sz w:val="28"/>
          <w:szCs w:val="28"/>
          <w:rtl w:val="true"/>
          <w:lang w:bidi="ar-SA"/>
        </w:rPr>
        <w:t>التخصيص لا في الهيئات إلا لفظ المخصص في احتمال</w:t>
      </w:r>
    </w:p>
    <w:p>
      <w:pPr>
        <w:pStyle w:val="BookText"/>
        <w:rPr/>
      </w:pPr>
      <w:r>
        <w:rPr>
          <w:rFonts w:ascii="Amiri" w:hAnsi="Amiri" w:eastAsia="Amiri" w:cs="Amiri"/>
          <w:color w:val="111111"/>
          <w:sz w:val="28"/>
          <w:sz w:val="28"/>
          <w:szCs w:val="28"/>
          <w:rtl w:val="true"/>
          <w:lang w:bidi="ar-SA"/>
        </w:rPr>
        <w:t>ثم المخصص إن لم يستقل في الدلالة على القصر فمتصل ، وإلا فمنفصل</w:t>
      </w:r>
      <w:r>
        <w:rPr>
          <w:rFonts w:eastAsia="Amiri" w:cs="Amiri" w:ascii="Amiri" w:hAnsi="Amiri"/>
          <w:color w:val="111111"/>
          <w:sz w:val="28"/>
          <w:szCs w:val="28"/>
          <w:rtl w:val="true"/>
          <w:lang w:bidi="ar-SA"/>
        </w:rPr>
        <w:t>.</w:t>
      </w:r>
      <w:r>
        <w:rPr>
          <w:rStyle w:val="FootnoteAnchor"/>
          <w:rtl w:val="true"/>
        </w:rPr>
        <w:footnoteReference w:id="1203"/>
      </w:r>
    </w:p>
    <w:p>
      <w:pPr>
        <w:pStyle w:val="Heading2"/>
        <w:numPr>
          <w:ilvl w:val="1"/>
          <w:numId w:val="1"/>
        </w:numPr>
        <w:rPr/>
      </w:pPr>
      <w:bookmarkStart w:id="423" w:name="__RefHeading___Toc2001627_2870459653"/>
      <w:bookmarkStart w:id="424" w:name="_Toc163"/>
      <w:bookmarkEnd w:id="423"/>
      <w:r>
        <w:rPr>
          <w:rtl w:val="true"/>
        </w:rPr>
        <w:t xml:space="preserve">أصل </w:t>
      </w:r>
      <w:r>
        <w:rPr>
          <w:rtl w:val="true"/>
        </w:rPr>
        <w:t>[</w:t>
      </w:r>
      <w:r>
        <w:rPr>
          <w:rtl w:val="true"/>
        </w:rPr>
        <w:t>في منتهى التخصيص</w:t>
      </w:r>
      <w:r>
        <w:rPr>
          <w:rtl w:val="true"/>
        </w:rPr>
        <w:t>]</w:t>
      </w:r>
      <w:bookmarkEnd w:id="424"/>
    </w:p>
    <w:p>
      <w:pPr>
        <w:pStyle w:val="Heading3"/>
        <w:numPr>
          <w:ilvl w:val="2"/>
          <w:numId w:val="1"/>
        </w:numPr>
        <w:rPr/>
      </w:pPr>
      <w:bookmarkStart w:id="425" w:name="__RefHeading___Toc2001629_2870459653"/>
      <w:bookmarkStart w:id="426" w:name="_Toc164"/>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في منتهى</w:t>
      </w:r>
      <w:r>
        <w:rPr>
          <w:rStyle w:val="FootnoteAnchor"/>
          <w:rtl w:val="true"/>
        </w:rPr>
        <w:footnoteReference w:id="1204"/>
      </w:r>
      <w:r>
        <w:rPr>
          <w:rFonts w:ascii="Amiri" w:hAnsi="Amiri" w:eastAsia="Amiri" w:cs="Amiri"/>
          <w:color w:val="111111"/>
          <w:sz w:val="28"/>
          <w:sz w:val="28"/>
          <w:szCs w:val="28"/>
          <w:rtl w:val="true"/>
          <w:lang w:bidi="ar-SA"/>
        </w:rPr>
        <w:t>التخصيص أقوال، والأصح جوازه إلى الواحد</w:t>
      </w:r>
      <w:r>
        <w:rPr>
          <w:rStyle w:val="FootnoteAnchor"/>
          <w:rtl w:val="true"/>
        </w:rPr>
        <w:footnoteReference w:id="1205"/>
      </w:r>
      <w:r>
        <w:rPr>
          <w:rFonts w:ascii="Amiri" w:hAnsi="Amiri" w:eastAsia="Amiri" w:cs="Amiri"/>
          <w:color w:val="111111"/>
          <w:sz w:val="28"/>
          <w:sz w:val="28"/>
          <w:szCs w:val="28"/>
          <w:rtl w:val="true"/>
          <w:lang w:bidi="ar-SA"/>
        </w:rPr>
        <w:t>، وعن الأكثر</w:t>
      </w:r>
      <w:r>
        <w:rPr>
          <w:rStyle w:val="FootnoteAnchor"/>
          <w:rtl w:val="true"/>
        </w:rPr>
        <w:footnoteReference w:id="1206"/>
      </w:r>
      <w:r>
        <w:rPr>
          <w:rFonts w:ascii="Amiri" w:hAnsi="Amiri" w:eastAsia="Amiri" w:cs="Amiri"/>
          <w:color w:val="111111"/>
          <w:sz w:val="28"/>
          <w:sz w:val="28"/>
          <w:szCs w:val="28"/>
          <w:rtl w:val="true"/>
          <w:lang w:bidi="ar-SA"/>
        </w:rPr>
        <w:t xml:space="preserve">لزوم بقاء الأكثر </w:t>
      </w:r>
      <w:r>
        <w:rPr>
          <w:rStyle w:val="FootnoteAnchor"/>
          <w:rtl w:val="true"/>
        </w:rPr>
        <w:footnoteReference w:id="1207"/>
      </w:r>
      <w:r>
        <w:rPr>
          <w:rFonts w:ascii="Amiri" w:hAnsi="Amiri" w:eastAsia="Amiri" w:cs="Amiri"/>
          <w:color w:val="111111"/>
          <w:sz w:val="28"/>
          <w:sz w:val="28"/>
          <w:szCs w:val="28"/>
          <w:rtl w:val="true"/>
          <w:lang w:bidi="ar-SA"/>
        </w:rPr>
        <w:t xml:space="preserve">، وعنهم أيضاً جواز استثناء الأكثر </w:t>
      </w:r>
      <w:r>
        <w:rPr>
          <w:rStyle w:val="FootnoteAnchor"/>
          <w:rtl w:val="true"/>
        </w:rPr>
        <w:footnoteReference w:id="1208"/>
      </w:r>
      <w:r>
        <w:rPr>
          <w:rFonts w:ascii="Amiri" w:hAnsi="Amiri" w:eastAsia="Amiri" w:cs="Amiri"/>
          <w:color w:val="111111"/>
          <w:sz w:val="28"/>
          <w:sz w:val="28"/>
          <w:szCs w:val="28"/>
          <w:rtl w:val="true"/>
          <w:lang w:bidi="ar-SA"/>
        </w:rPr>
        <w:t xml:space="preserve">فيلزمهم التناقض </w:t>
      </w:r>
      <w:r>
        <w:rPr>
          <w:rStyle w:val="FootnoteAnchor"/>
          <w:rtl w:val="true"/>
        </w:rPr>
        <w:footnoteReference w:id="1209"/>
      </w:r>
      <w:r>
        <w:rPr>
          <w:rFonts w:ascii="Amiri" w:hAnsi="Amiri" w:eastAsia="Amiri" w:cs="Amiri"/>
          <w:color w:val="111111"/>
          <w:sz w:val="28"/>
          <w:sz w:val="28"/>
          <w:szCs w:val="28"/>
          <w:rtl w:val="true"/>
          <w:lang w:bidi="ar-SA"/>
        </w:rPr>
        <w:t xml:space="preserve">، وقد يذبّ عنه بوجوه </w:t>
      </w:r>
      <w:r>
        <w:rPr>
          <w:rStyle w:val="FootnoteAnchor"/>
          <w:rtl w:val="true"/>
        </w:rPr>
        <w:footnoteReference w:id="1210"/>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r>
        <w:rPr>
          <w:rStyle w:val="FootnoteAnchor"/>
          <w:rtl w:val="true"/>
        </w:rPr>
        <w:footnoteReference w:id="1211"/>
      </w:r>
    </w:p>
    <w:p>
      <w:pPr>
        <w:pStyle w:val="Heading3"/>
        <w:numPr>
          <w:ilvl w:val="2"/>
          <w:numId w:val="1"/>
        </w:numPr>
        <w:rPr/>
      </w:pPr>
      <w:bookmarkStart w:id="427" w:name="__RefHeading___Toc2001631_2870459653"/>
      <w:bookmarkStart w:id="428" w:name="_Toc165"/>
      <w:bookmarkEnd w:id="427"/>
      <w:r>
        <w:rPr>
          <w:rtl w:val="true"/>
        </w:rPr>
        <w:t>[</w:t>
      </w:r>
      <w:r>
        <w:rPr>
          <w:rtl w:val="true"/>
        </w:rPr>
        <w:t>تحرير محل النزاع</w:t>
      </w:r>
      <w:r>
        <w:rPr>
          <w:rtl w:val="true"/>
        </w:rPr>
        <w:t>]</w:t>
      </w:r>
      <w:bookmarkEnd w:id="42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محل النزاع الجواز اللغوي</w:t>
      </w:r>
      <w:r>
        <w:rPr>
          <w:rStyle w:val="FootnoteAnchor"/>
          <w:rtl w:val="true"/>
        </w:rPr>
        <w:footnoteReference w:id="1212"/>
      </w:r>
      <w:r>
        <w:rPr>
          <w:rFonts w:ascii="Amiri" w:hAnsi="Amiri" w:eastAsia="Amiri" w:cs="Amiri"/>
          <w:color w:val="111111"/>
          <w:sz w:val="28"/>
          <w:sz w:val="28"/>
          <w:szCs w:val="28"/>
          <w:rtl w:val="true"/>
          <w:lang w:bidi="ar-SA"/>
        </w:rPr>
        <w:t xml:space="preserve">، وفي دخول الاستثناء التخصيصي، والعمومات المجازية، ومثل الجمع المعهود المخصص، والنسخ الذي هو تخصيص في الأزمان، </w:t>
      </w:r>
      <w:bookmarkStart w:id="429" w:name="pg9015_97580"/>
    </w:p>
    <w:p>
      <w:pPr>
        <w:pStyle w:val="BookText"/>
        <w:rPr/>
      </w:pPr>
      <w:bookmarkEnd w:id="429"/>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المجازات، وضمائر الجمع ونحوها، ومطلق ألفاظ العموم إذا قلنا بوضعها للخصوص في محل النزاع ، وجهان</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نعم، إطلاق العام على الواحد تعظيماً ليس من</w:t>
      </w:r>
      <w:r>
        <w:rPr>
          <w:rStyle w:val="FootnoteAnchor"/>
          <w:rtl w:val="true"/>
        </w:rPr>
        <w:footnoteReference w:id="1215"/>
      </w:r>
      <w:r>
        <w:rPr>
          <w:rFonts w:ascii="IRNazanin" w:hAnsi="IRNazanin" w:eastAsia="IRNazanin"/>
          <w:color w:val="111111"/>
          <w:sz w:val="28"/>
          <w:sz w:val="28"/>
          <w:szCs w:val="28"/>
          <w:rtl w:val="true"/>
          <w:lang w:bidi="fa-IR"/>
        </w:rPr>
        <w:t xml:space="preserve">محل النزاع </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وفي كفاية بقاء الأكثر تقديراً عند القائلين باشتراط بقاء الأكثر احتمالان، وكذا في اشتراط العلم ببقاء الأكثر أم كفاية عدم العلم بأن الباقي أقل</w:t>
      </w:r>
      <w:r>
        <w:rPr>
          <w:rFonts w:eastAsia="Amiri" w:cs="Amiri" w:ascii="Amiri" w:hAnsi="Amiri"/>
          <w:color w:val="111111"/>
          <w:sz w:val="28"/>
          <w:szCs w:val="28"/>
          <w:rtl w:val="true"/>
          <w:lang w:bidi="ar-SA"/>
        </w:rPr>
        <w:t>.</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ثم يمكن أن يكون مرادهم بقاء أكثر</w:t>
      </w:r>
      <w:r>
        <w:rPr>
          <w:rStyle w:val="FootnoteAnchor"/>
          <w:rtl w:val="true"/>
        </w:rPr>
        <w:footnoteReference w:id="1218"/>
      </w:r>
      <w:r>
        <w:rPr>
          <w:rFonts w:ascii="Amiri" w:hAnsi="Amiri" w:eastAsia="Amiri" w:cs="Amiri"/>
          <w:color w:val="111111"/>
          <w:sz w:val="28"/>
          <w:sz w:val="28"/>
          <w:szCs w:val="28"/>
          <w:rtl w:val="true"/>
          <w:lang w:bidi="ar-SA"/>
        </w:rPr>
        <w:t>الأصناف أم الأفراد، أم ،هما، أم ملاحظة العام في ذلك</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2001633_2870459653"/>
      <w:bookmarkStart w:id="431" w:name="_Toc166"/>
      <w:bookmarkEnd w:id="430"/>
      <w:r>
        <w:rPr>
          <w:rtl w:val="true"/>
        </w:rPr>
        <w:t>[</w:t>
      </w:r>
      <w:r>
        <w:rPr>
          <w:rtl w:val="true"/>
        </w:rPr>
        <w:t>ثمرة المسألة</w:t>
      </w:r>
      <w:r>
        <w:rPr>
          <w:rtl w:val="true"/>
        </w:rPr>
        <w:t>]</w:t>
      </w:r>
      <w:bookmarkEnd w:id="43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ثمرة النزاع فتظهر فيما إذا ورد خبر واحد مخصص بالأكثر</w:t>
      </w:r>
      <w:r>
        <w:rPr>
          <w:rStyle w:val="FootnoteAnchor"/>
          <w:rtl w:val="true"/>
        </w:rPr>
        <w:footnoteReference w:id="1219"/>
      </w:r>
      <w:r>
        <w:rPr>
          <w:rFonts w:ascii="Amiri" w:hAnsi="Amiri" w:eastAsia="Amiri" w:cs="Amiri"/>
          <w:color w:val="111111"/>
          <w:sz w:val="28"/>
          <w:sz w:val="28"/>
          <w:szCs w:val="28"/>
          <w:rtl w:val="true"/>
          <w:lang w:bidi="ar-SA"/>
        </w:rPr>
        <w:t>، وفيما إذا دار الأمر بين ارتكاب تخصيص الأكثر وسائر المجازات</w:t>
      </w:r>
      <w:r>
        <w:rPr>
          <w:rFonts w:eastAsia="Amiri" w:cs="Amiri" w:ascii="Amiri" w:hAnsi="Amiri"/>
          <w:color w:val="111111"/>
          <w:sz w:val="28"/>
          <w:szCs w:val="28"/>
          <w:rtl w:val="true"/>
          <w:lang w:bidi="ar-SA"/>
        </w:rPr>
        <w:t>.</w:t>
      </w:r>
      <w:r>
        <w:rPr>
          <w:rStyle w:val="FootnoteAnchor"/>
          <w:rtl w:val="true"/>
        </w:rPr>
        <w:footnoteReference w:id="1220"/>
      </w:r>
      <w:bookmarkStart w:id="432" w:name="pg9015_97581"/>
    </w:p>
    <w:p>
      <w:pPr>
        <w:pStyle w:val="Heading3"/>
        <w:numPr>
          <w:ilvl w:val="2"/>
          <w:numId w:val="1"/>
        </w:numPr>
        <w:rPr/>
      </w:pPr>
      <w:bookmarkStart w:id="433" w:name="__RefHeading___Toc2001635_2870459653"/>
      <w:bookmarkStart w:id="434" w:name="_Toc167"/>
      <w:bookmarkEnd w:id="432"/>
      <w:bookmarkEnd w:id="433"/>
      <w:r>
        <w:rPr>
          <w:rtl w:val="true"/>
        </w:rPr>
        <w:t>[</w:t>
      </w:r>
      <w:r>
        <w:rPr>
          <w:rtl w:val="true"/>
        </w:rPr>
        <w:t>تأسيس الأصل</w:t>
      </w:r>
      <w:r>
        <w:rPr>
          <w:rtl w:val="true"/>
        </w:rPr>
        <w:t>]</w:t>
      </w:r>
      <w:bookmarkEnd w:id="434"/>
    </w:p>
    <w:p>
      <w:pPr>
        <w:pStyle w:val="BookText"/>
        <w:rPr/>
      </w:pPr>
      <w:r>
        <w:rPr>
          <w:rFonts w:ascii="Amiri" w:hAnsi="Amiri" w:eastAsia="Amiri" w:cs="Amiri"/>
          <w:color w:val="111111"/>
          <w:sz w:val="28"/>
          <w:sz w:val="28"/>
          <w:szCs w:val="28"/>
          <w:rtl w:val="true"/>
          <w:lang w:bidi="ar-SA"/>
        </w:rPr>
        <w:t>وأما الأصل الأصيل فعدم جواز</w:t>
      </w:r>
      <w:r>
        <w:rPr>
          <w:rStyle w:val="FootnoteAnchor"/>
          <w:rtl w:val="true"/>
        </w:rPr>
        <w:footnoteReference w:id="1221"/>
      </w:r>
      <w:r>
        <w:rPr>
          <w:rFonts w:ascii="Amiri" w:hAnsi="Amiri" w:eastAsia="Amiri" w:cs="Amiri"/>
          <w:color w:val="111111"/>
          <w:sz w:val="28"/>
          <w:sz w:val="28"/>
          <w:szCs w:val="28"/>
          <w:rtl w:val="true"/>
          <w:lang w:bidi="ar-SA"/>
        </w:rPr>
        <w:t>تخصيص الأكثر؛ إذ العلائق المتصورة هنا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المشابهة، والعموم والخصوص، والكل والجزء بناء على كون دلالة العام على افراده تضمنية، وشيء منها لا يثبت جواز إخراج الأكثر على فرض الشك، وأما علاقة الكلي والجزئي فلا تتصور هنا؛ إذ العام الأصولي ليس كلياً لأفراده</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إذا ظهر ذلك فاعلم أنّ الدليل على الجواز الوقوع عند العرف في بعض المقامات، وفي صورة عدم العلم بقدر المستثنى منه ، وان استنكار العرف في مقام القبح عقلي لا لفظي، مع أن العرف يصححه إذا كان الباقي جماعة غير محصورين عادة، فتأمل</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ثم إنه على فرض جوازه مرجوح عندي في مقام التعارض غالباً، بل لا يكاد يوجد ثمرة بيننا وبين المانعين في الأحكام الشرعية بالنسبة إلى التخصيص إلى الواحد</w:t>
      </w:r>
      <w:r>
        <w:rPr>
          <w:rFonts w:eastAsia="Amiri" w:cs="Amiri" w:ascii="Amiri" w:hAnsi="Amiri"/>
          <w:color w:val="111111"/>
          <w:sz w:val="28"/>
          <w:szCs w:val="28"/>
          <w:rtl w:val="true"/>
          <w:lang w:bidi="ar-SA"/>
        </w:rPr>
        <w:t>.</w:t>
      </w:r>
    </w:p>
    <w:p>
      <w:pPr>
        <w:pStyle w:val="Heading2"/>
        <w:numPr>
          <w:ilvl w:val="1"/>
          <w:numId w:val="1"/>
        </w:numPr>
        <w:rPr/>
      </w:pPr>
      <w:bookmarkStart w:id="435" w:name="__RefHeading___Toc2001637_2870459653"/>
      <w:bookmarkStart w:id="436" w:name="_Toc168"/>
      <w:bookmarkEnd w:id="435"/>
      <w:r>
        <w:rPr>
          <w:rtl w:val="true"/>
        </w:rPr>
        <w:t xml:space="preserve">أصل </w:t>
      </w:r>
      <w:r>
        <w:rPr>
          <w:rtl w:val="true"/>
        </w:rPr>
        <w:t>[</w:t>
      </w:r>
      <w:r>
        <w:rPr>
          <w:rtl w:val="true"/>
        </w:rPr>
        <w:t>في استثناء النصف والأكثر</w:t>
      </w:r>
      <w:r>
        <w:rPr>
          <w:rtl w:val="true"/>
        </w:rPr>
        <w:t>]</w:t>
      </w:r>
      <w:bookmarkEnd w:id="436"/>
    </w:p>
    <w:p>
      <w:pPr>
        <w:pStyle w:val="Heading3"/>
        <w:numPr>
          <w:ilvl w:val="2"/>
          <w:numId w:val="1"/>
        </w:numPr>
        <w:rPr/>
      </w:pPr>
      <w:bookmarkStart w:id="437" w:name="__RefHeading___Toc2001639_2870459653"/>
      <w:bookmarkStart w:id="438" w:name="_Toc169"/>
      <w:bookmarkEnd w:id="437"/>
      <w:r>
        <w:rPr>
          <w:rtl w:val="true"/>
        </w:rPr>
        <w:t>اشارة</w:t>
      </w:r>
      <w:bookmarkEnd w:id="43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الاستثناء الأعم من التخصيصي والتقييدي، فاعلم أن المستثنى إن ساوى المستثنى منه أو زاد عليه، فالاستثناء مستغرق، وإلا فغير مستغرق،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المستغرق لغو اتفاقاً</w:t>
      </w:r>
      <w:r>
        <w:rPr>
          <w:rStyle w:val="FootnoteAnchor"/>
          <w:rtl w:val="true"/>
        </w:rPr>
        <w:footnoteReference w:id="1224"/>
      </w:r>
      <w:r>
        <w:rPr>
          <w:rFonts w:ascii="Amiri" w:hAnsi="Amiri" w:eastAsia="Amiri" w:cs="Amiri"/>
          <w:color w:val="111111"/>
          <w:sz w:val="28"/>
          <w:sz w:val="28"/>
          <w:szCs w:val="28"/>
          <w:rtl w:val="true"/>
          <w:lang w:bidi="ar-SA"/>
        </w:rPr>
        <w:t xml:space="preserve">، وهذا يحتمل عدم الجواز عقلاً، أو عدم الصحة لغة، أو الأمرين معاً؛ </w:t>
      </w:r>
      <w:bookmarkStart w:id="439" w:name="pg9015_97582"/>
    </w:p>
    <w:p>
      <w:pPr>
        <w:pStyle w:val="BookText"/>
        <w:rPr/>
      </w:pPr>
      <w:bookmarkEnd w:id="439"/>
      <w:r>
        <w:rPr>
          <w:rFonts w:ascii="Amiri" w:hAnsi="Amiri" w:eastAsia="Amiri" w:cs="Amiri"/>
          <w:color w:val="111111"/>
          <w:sz w:val="28"/>
          <w:sz w:val="28"/>
          <w:szCs w:val="28"/>
          <w:rtl w:val="true"/>
          <w:lang w:bidi="ar-SA"/>
        </w:rPr>
        <w:t>وأما غيره، فاستثناء الأقل من النصف صحيح اتفاقاً</w:t>
      </w:r>
      <w:r>
        <w:rPr>
          <w:rStyle w:val="FootnoteAnchor"/>
          <w:rtl w:val="true"/>
        </w:rPr>
        <w:footnoteReference w:id="1225"/>
      </w:r>
      <w:r>
        <w:rPr>
          <w:rFonts w:ascii="Amiri" w:hAnsi="Amiri" w:eastAsia="Amiri" w:cs="Amiri"/>
          <w:color w:val="111111"/>
          <w:sz w:val="28"/>
          <w:sz w:val="28"/>
          <w:szCs w:val="28"/>
          <w:rtl w:val="true"/>
          <w:lang w:bidi="ar-SA"/>
        </w:rPr>
        <w:t>وفيما عداه خلاف وأقوال</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والثمرة والأصل ما مرَّ في المسألة السابقة</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2001641_2870459653"/>
      <w:bookmarkStart w:id="441" w:name="_Toc170"/>
      <w:bookmarkEnd w:id="440"/>
      <w:r>
        <w:rPr>
          <w:rtl w:val="true"/>
        </w:rPr>
        <w:t>[</w:t>
      </w:r>
      <w:r>
        <w:rPr>
          <w:rtl w:val="true"/>
        </w:rPr>
        <w:t>تحرير محل النزاع</w:t>
      </w:r>
      <w:r>
        <w:rPr>
          <w:rtl w:val="true"/>
        </w:rPr>
        <w:t>]</w:t>
      </w:r>
      <w:bookmarkEnd w:id="441"/>
    </w:p>
    <w:p>
      <w:pPr>
        <w:pStyle w:val="BookText"/>
        <w:rPr/>
      </w:pPr>
      <w:r>
        <w:rPr>
          <w:rFonts w:ascii="Amiri" w:hAnsi="Amiri" w:eastAsia="Amiri" w:cs="Amiri"/>
          <w:color w:val="111111"/>
          <w:sz w:val="28"/>
          <w:sz w:val="28"/>
          <w:szCs w:val="28"/>
          <w:rtl w:val="true"/>
          <w:lang w:bidi="ar-SA"/>
        </w:rPr>
        <w:t>ومحل النزاع الجواز اللفظي، لكن في كون النزاع في صحة الكلام، أو خصوص جهة الاستثناء،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الحق جواز استثناء الأكثر؛ لما مرَّ آنفاً</w:t>
      </w:r>
      <w:r>
        <w:rPr>
          <w:rStyle w:val="FootnoteAnchor"/>
          <w:rtl w:val="true"/>
        </w:rPr>
        <w:footnoteReference w:id="1227"/>
      </w:r>
      <w:r>
        <w:rPr>
          <w:rFonts w:ascii="Amiri" w:hAnsi="Amiri" w:eastAsia="Amiri" w:cs="Amiri"/>
          <w:color w:val="111111"/>
          <w:sz w:val="28"/>
          <w:sz w:val="28"/>
          <w:szCs w:val="28"/>
          <w:rtl w:val="true"/>
          <w:lang w:bidi="ar-SA"/>
        </w:rPr>
        <w:t>، مضافاً إلى وقوعه في الكتاب الكريم</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ثم في كون أداة الاستثناء حينئذ حقيقة أم مجازاً، احتمالان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رفع التناقض الوارد هنا</w:t>
      </w:r>
      <w:r>
        <w:rPr>
          <w:rStyle w:val="FootnoteAnchor"/>
          <w:rtl w:val="true"/>
        </w:rPr>
        <w:footnoteReference w:id="1229"/>
      </w:r>
      <w:r>
        <w:rPr>
          <w:rFonts w:ascii="Amiri" w:hAnsi="Amiri" w:eastAsia="Amiri" w:cs="Amiri"/>
          <w:color w:val="111111"/>
          <w:sz w:val="28"/>
          <w:sz w:val="28"/>
          <w:szCs w:val="28"/>
          <w:rtl w:val="true"/>
          <w:lang w:bidi="ar-SA"/>
        </w:rPr>
        <w:t>وجوه أربعة أوجهها ارتكاب إسنادين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ظاهري وواقعي</w:t>
      </w:r>
      <w:r>
        <w:rPr>
          <w:rStyle w:val="FootnoteAnchor"/>
          <w:rtl w:val="true"/>
        </w:rPr>
        <w:footnoteReference w:id="1230"/>
      </w:r>
      <w:r>
        <w:rPr>
          <w:rFonts w:ascii="Amiri" w:hAnsi="Amiri" w:eastAsia="Amiri" w:cs="Amiri"/>
          <w:color w:val="111111"/>
          <w:sz w:val="28"/>
          <w:sz w:val="28"/>
          <w:szCs w:val="28"/>
          <w:rtl w:val="true"/>
          <w:lang w:bidi="ar-SA"/>
        </w:rPr>
        <w:t>، ومنه يظهر رفعه عن سائر أقسام التخصيص</w:t>
      </w:r>
      <w:r>
        <w:rPr>
          <w:rFonts w:eastAsia="Amiri" w:cs="Amiri" w:ascii="Amiri" w:hAnsi="Amiri"/>
          <w:color w:val="111111"/>
          <w:sz w:val="28"/>
          <w:szCs w:val="28"/>
          <w:rtl w:val="true"/>
          <w:lang w:bidi="ar-SA"/>
        </w:rPr>
        <w:t xml:space="preserve">. </w:t>
      </w:r>
      <w:bookmarkStart w:id="442" w:name="pg9015_97583"/>
    </w:p>
    <w:p>
      <w:pPr>
        <w:pStyle w:val="Heading2"/>
        <w:numPr>
          <w:ilvl w:val="1"/>
          <w:numId w:val="1"/>
        </w:numPr>
        <w:rPr/>
      </w:pPr>
      <w:bookmarkStart w:id="443" w:name="__RefHeading___Toc2001643_2870459653"/>
      <w:bookmarkStart w:id="444" w:name="_Toc171"/>
      <w:bookmarkEnd w:id="442"/>
      <w:bookmarkEnd w:id="443"/>
      <w:r>
        <w:rPr>
          <w:rtl w:val="true"/>
        </w:rPr>
        <w:t xml:space="preserve">أصل </w:t>
      </w:r>
      <w:r>
        <w:rPr>
          <w:rtl w:val="true"/>
        </w:rPr>
        <w:t>[</w:t>
      </w:r>
      <w:r>
        <w:rPr>
          <w:rtl w:val="true"/>
        </w:rPr>
        <w:t>في العام المخصص وأنه حقيقة أم مجاز</w:t>
      </w:r>
      <w:r>
        <w:rPr>
          <w:rtl w:val="true"/>
        </w:rPr>
        <w:t>]</w:t>
      </w:r>
      <w:bookmarkEnd w:id="444"/>
    </w:p>
    <w:p>
      <w:pPr>
        <w:pStyle w:val="Heading3"/>
        <w:numPr>
          <w:ilvl w:val="2"/>
          <w:numId w:val="1"/>
        </w:numPr>
        <w:rPr/>
      </w:pPr>
      <w:bookmarkStart w:id="445" w:name="__RefHeading___Toc2001645_2870459653"/>
      <w:bookmarkStart w:id="446" w:name="_Toc172"/>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في كون العام المخصص حقيقة مطلقاً</w:t>
      </w:r>
      <w:r>
        <w:rPr>
          <w:rStyle w:val="FootnoteAnchor"/>
          <w:rtl w:val="true"/>
        </w:rPr>
        <w:footnoteReference w:id="1231"/>
      </w:r>
      <w:r>
        <w:rPr>
          <w:rFonts w:ascii="Amiri" w:hAnsi="Amiri" w:eastAsia="Amiri" w:cs="Amiri"/>
          <w:color w:val="111111"/>
          <w:sz w:val="28"/>
          <w:sz w:val="28"/>
          <w:szCs w:val="28"/>
          <w:rtl w:val="true"/>
          <w:lang w:bidi="ar-SA"/>
        </w:rPr>
        <w:t>، أم في جهة شموله خاصة</w:t>
      </w:r>
      <w:r>
        <w:rPr>
          <w:rStyle w:val="FootnoteAnchor"/>
          <w:rtl w:val="true"/>
        </w:rPr>
        <w:footnoteReference w:id="1232"/>
      </w:r>
      <w:r>
        <w:rPr>
          <w:rFonts w:ascii="Amiri" w:hAnsi="Amiri" w:eastAsia="Amiri" w:cs="Amiri"/>
          <w:color w:val="111111"/>
          <w:sz w:val="28"/>
          <w:sz w:val="28"/>
          <w:szCs w:val="28"/>
          <w:rtl w:val="true"/>
          <w:lang w:bidi="ar-SA"/>
        </w:rPr>
        <w:t>، أم في المخصص الغير المستقل خاصة</w:t>
      </w:r>
      <w:r>
        <w:rPr>
          <w:rStyle w:val="FootnoteAnchor"/>
          <w:rtl w:val="true"/>
        </w:rPr>
        <w:footnoteReference w:id="1233"/>
      </w:r>
      <w:r>
        <w:rPr>
          <w:rStyle w:val="FootnoteAnchor"/>
          <w:rtl w:val="true"/>
        </w:rPr>
        <w:footnoteReference w:id="1234"/>
      </w:r>
      <w:r>
        <w:rPr>
          <w:rFonts w:ascii="Amiri" w:hAnsi="Amiri" w:eastAsia="Amiri" w:cs="Amiri"/>
          <w:color w:val="111111"/>
          <w:sz w:val="28"/>
          <w:sz w:val="28"/>
          <w:szCs w:val="28"/>
          <w:rtl w:val="true"/>
          <w:lang w:bidi="ar-SA"/>
        </w:rPr>
        <w:t>، أم في اللفظي خاصة</w:t>
      </w:r>
      <w:r>
        <w:rPr>
          <w:rStyle w:val="FootnoteAnchor"/>
          <w:rtl w:val="true"/>
        </w:rPr>
        <w:footnoteReference w:id="1235"/>
      </w:r>
      <w:r>
        <w:rPr>
          <w:rFonts w:ascii="IRNazanin" w:hAnsi="IRNazanin" w:eastAsia="IRNazanin"/>
          <w:color w:val="111111"/>
          <w:sz w:val="28"/>
          <w:sz w:val="28"/>
          <w:szCs w:val="28"/>
          <w:rtl w:val="true"/>
          <w:lang w:bidi="fa-IR"/>
        </w:rPr>
        <w:t>، أم ان خص بشرط أو استثناء</w:t>
      </w:r>
      <w:r>
        <w:rPr>
          <w:rStyle w:val="FootnoteAnchor"/>
          <w:rtl w:val="true"/>
        </w:rPr>
        <w:footnoteReference w:id="1236"/>
      </w:r>
      <w:r>
        <w:rPr>
          <w:rFonts w:ascii="Amiri" w:hAnsi="Amiri" w:eastAsia="Amiri" w:cs="Amiri"/>
          <w:color w:val="111111"/>
          <w:sz w:val="28"/>
          <w:sz w:val="28"/>
          <w:szCs w:val="28"/>
          <w:rtl w:val="true"/>
          <w:lang w:bidi="ar-SA"/>
        </w:rPr>
        <w:t>، أم إذا كان الباقي</w:t>
      </w:r>
      <w:r>
        <w:rPr>
          <w:rStyle w:val="FootnoteAnchor"/>
          <w:rtl w:val="true"/>
        </w:rPr>
        <w:footnoteReference w:id="1237"/>
      </w:r>
      <w:r>
        <w:rPr>
          <w:rFonts w:ascii="Amiri" w:hAnsi="Amiri" w:eastAsia="Amiri" w:cs="Amiri"/>
          <w:color w:val="111111"/>
          <w:sz w:val="28"/>
          <w:sz w:val="28"/>
          <w:szCs w:val="28"/>
          <w:rtl w:val="true"/>
          <w:lang w:bidi="ar-SA"/>
        </w:rPr>
        <w:t xml:space="preserve">غير محصور </w:t>
      </w:r>
      <w:r>
        <w:rPr>
          <w:rStyle w:val="FootnoteAnchor"/>
          <w:rtl w:val="true"/>
        </w:rPr>
        <w:footnoteReference w:id="1238"/>
      </w:r>
      <w:r>
        <w:rPr>
          <w:rFonts w:ascii="Amiri" w:hAnsi="Amiri" w:eastAsia="Amiri" w:cs="Amiri"/>
          <w:color w:val="111111"/>
          <w:sz w:val="28"/>
          <w:sz w:val="28"/>
          <w:szCs w:val="28"/>
          <w:rtl w:val="true"/>
          <w:lang w:bidi="ar-SA"/>
        </w:rPr>
        <w:t>، أم مجازاً مطلقاً</w:t>
      </w:r>
      <w:r>
        <w:rPr>
          <w:rStyle w:val="FootnoteAnchor"/>
          <w:rtl w:val="true"/>
        </w:rPr>
        <w:footnoteReference w:id="1239"/>
      </w: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pStyle w:val="Heading3"/>
        <w:numPr>
          <w:ilvl w:val="2"/>
          <w:numId w:val="1"/>
        </w:numPr>
        <w:rPr/>
      </w:pPr>
      <w:bookmarkStart w:id="447" w:name="__RefHeading___Toc2001647_2870459653"/>
      <w:bookmarkStart w:id="448" w:name="_Toc173"/>
      <w:bookmarkEnd w:id="447"/>
      <w:r>
        <w:rPr>
          <w:rtl w:val="true"/>
        </w:rPr>
        <w:t>[</w:t>
      </w:r>
      <w:r>
        <w:rPr>
          <w:rtl w:val="true"/>
        </w:rPr>
        <w:t>تحرير محل النزاع</w:t>
      </w:r>
      <w:r>
        <w:rPr>
          <w:rtl w:val="true"/>
        </w:rPr>
        <w:t>]</w:t>
      </w:r>
      <w:bookmarkEnd w:id="44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كون النزاع مختصاً بالقائلين بوضع الألفاظ للعموم فقط، أم</w:t>
      </w:r>
      <w:r>
        <w:rPr>
          <w:rStyle w:val="FootnoteAnchor"/>
          <w:rtl w:val="true"/>
        </w:rPr>
        <w:footnoteReference w:id="1240"/>
      </w:r>
      <w:r>
        <w:rPr>
          <w:rFonts w:ascii="Amiri" w:hAnsi="Amiri" w:eastAsia="Amiri" w:cs="Amiri"/>
          <w:color w:val="111111"/>
          <w:sz w:val="28"/>
          <w:sz w:val="28"/>
          <w:szCs w:val="28"/>
          <w:rtl w:val="true"/>
          <w:lang w:bidi="ar-SA"/>
        </w:rPr>
        <w:t xml:space="preserve">يعمّهم والقائلين بالاشتراك، أو الوضع للخصوص وجوه، كاحتمال كون النزاع صغروياً، أم كبروياً، أم فيهما، وكونه فيما عدا الاستثناء، أو </w:t>
      </w:r>
      <w:r>
        <w:rPr>
          <w:rStyle w:val="FootnoteAnchor"/>
          <w:rtl w:val="true"/>
        </w:rPr>
        <w:footnoteReference w:id="1241"/>
      </w:r>
      <w:r>
        <w:rPr>
          <w:rFonts w:ascii="Amiri" w:hAnsi="Amiri" w:eastAsia="Amiri" w:cs="Amiri"/>
          <w:color w:val="111111"/>
          <w:sz w:val="28"/>
          <w:sz w:val="28"/>
          <w:szCs w:val="28"/>
          <w:rtl w:val="true"/>
          <w:lang w:bidi="ar-SA"/>
        </w:rPr>
        <w:t xml:space="preserve">في الأعم منه وفي لفظ العام، أو في </w:t>
      </w:r>
      <w:bookmarkStart w:id="449" w:name="pg9015_97584"/>
    </w:p>
    <w:p>
      <w:pPr>
        <w:pStyle w:val="BookText"/>
        <w:rPr/>
      </w:pPr>
      <w:bookmarkEnd w:id="449"/>
      <w:r>
        <w:rPr>
          <w:rFonts w:ascii="Amiri" w:hAnsi="Amiri" w:eastAsia="Amiri" w:cs="Amiri"/>
          <w:color w:val="111111"/>
          <w:sz w:val="28"/>
          <w:sz w:val="28"/>
          <w:szCs w:val="28"/>
          <w:rtl w:val="true"/>
          <w:lang w:bidi="ar-SA"/>
        </w:rPr>
        <w:t>الهيئة التركيبة</w:t>
      </w:r>
      <w:r>
        <w:rPr>
          <w:rFonts w:eastAsia="Amiri" w:cs="Amiri" w:ascii="Amiri" w:hAnsi="Amiri"/>
          <w:color w:val="111111"/>
          <w:sz w:val="28"/>
          <w:szCs w:val="28"/>
          <w:rtl w:val="true"/>
          <w:lang w:bidi="ar-SA"/>
        </w:rPr>
        <w:t>.</w:t>
      </w:r>
      <w:r>
        <w:rPr>
          <w:rStyle w:val="FootnoteAnchor"/>
          <w:rtl w:val="true"/>
        </w:rPr>
        <w:footnoteReference w:id="1242"/>
      </w:r>
    </w:p>
    <w:p>
      <w:pPr>
        <w:pStyle w:val="Heading3"/>
        <w:numPr>
          <w:ilvl w:val="2"/>
          <w:numId w:val="1"/>
        </w:numPr>
        <w:rPr/>
      </w:pPr>
      <w:bookmarkStart w:id="450" w:name="__RefHeading___Toc2001649_2870459653"/>
      <w:bookmarkStart w:id="451" w:name="_Toc174"/>
      <w:bookmarkEnd w:id="450"/>
      <w:r>
        <w:rPr>
          <w:rtl w:val="true"/>
        </w:rPr>
        <w:t>[</w:t>
      </w:r>
      <w:r>
        <w:rPr>
          <w:rtl w:val="true"/>
        </w:rPr>
        <w:t>ثمرة المسألة</w:t>
      </w:r>
      <w:r>
        <w:rPr>
          <w:rtl w:val="true"/>
        </w:rPr>
        <w:t>]</w:t>
      </w:r>
      <w:bookmarkEnd w:id="451"/>
    </w:p>
    <w:p>
      <w:pPr>
        <w:pStyle w:val="BookText"/>
        <w:rPr/>
      </w:pPr>
      <w:r>
        <w:rPr>
          <w:rFonts w:ascii="Amiri" w:hAnsi="Amiri" w:eastAsia="Amiri" w:cs="Amiri"/>
          <w:color w:val="111111"/>
          <w:sz w:val="28"/>
          <w:sz w:val="28"/>
          <w:szCs w:val="28"/>
          <w:rtl w:val="true"/>
          <w:lang w:bidi="ar-SA"/>
        </w:rPr>
        <w:t xml:space="preserve">وتظهر الثمرة في جوازه إلى الواحد على الحقيقة </w:t>
      </w:r>
      <w:r>
        <w:rPr>
          <w:rStyle w:val="FootnoteAnchor"/>
          <w:rtl w:val="true"/>
        </w:rPr>
        <w:footnoteReference w:id="1243"/>
      </w:r>
      <w:r>
        <w:rPr>
          <w:rFonts w:ascii="Amiri" w:hAnsi="Amiri" w:eastAsia="Amiri" w:cs="Amiri"/>
          <w:color w:val="111111"/>
          <w:sz w:val="28"/>
          <w:sz w:val="28"/>
          <w:szCs w:val="28"/>
          <w:rtl w:val="true"/>
          <w:lang w:bidi="ar-SA"/>
        </w:rPr>
        <w:t>، وفي حجية العام المخصص حينئذ</w:t>
      </w:r>
      <w:r>
        <w:rPr>
          <w:rStyle w:val="FootnoteAnchor"/>
          <w:rtl w:val="true"/>
        </w:rPr>
        <w:footnoteReference w:id="1244"/>
      </w:r>
      <w:r>
        <w:rPr>
          <w:rFonts w:ascii="Amiri" w:hAnsi="Amiri" w:eastAsia="Amiri" w:cs="Amiri"/>
          <w:color w:val="111111"/>
          <w:sz w:val="28"/>
          <w:sz w:val="28"/>
          <w:szCs w:val="28"/>
          <w:rtl w:val="true"/>
          <w:lang w:bidi="ar-SA"/>
        </w:rPr>
        <w:t>، وفي</w:t>
      </w:r>
      <w:r>
        <w:rPr>
          <w:rStyle w:val="FootnoteAnchor"/>
          <w:rtl w:val="true"/>
        </w:rPr>
        <w:footnoteReference w:id="1245"/>
      </w:r>
      <w:r>
        <w:rPr>
          <w:rFonts w:ascii="Amiri" w:hAnsi="Amiri" w:eastAsia="Amiri" w:cs="Amiri"/>
          <w:color w:val="111111"/>
          <w:sz w:val="28"/>
          <w:sz w:val="28"/>
          <w:szCs w:val="28"/>
          <w:rtl w:val="true"/>
          <w:lang w:bidi="ar-SA"/>
        </w:rPr>
        <w:t>صورة المعارضة</w:t>
      </w:r>
      <w:r>
        <w:rPr>
          <w:rStyle w:val="FootnoteAnchor"/>
          <w:rtl w:val="true"/>
        </w:rPr>
        <w:footnoteReference w:id="1246"/>
      </w:r>
      <w:r>
        <w:rPr>
          <w:rFonts w:ascii="Amiri" w:hAnsi="Amiri" w:eastAsia="Amiri" w:cs="Amiri"/>
          <w:color w:val="111111"/>
          <w:sz w:val="28"/>
          <w:sz w:val="28"/>
          <w:szCs w:val="28"/>
          <w:rtl w:val="true"/>
          <w:lang w:bidi="ar-SA"/>
        </w:rPr>
        <w:t>، وفي الكل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يختلف باختلاف محل النزاع</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في نفس المسألة الرجوع إلى العرف، ويختلف فيه المقامات</w:t>
      </w:r>
      <w:r>
        <w:rPr>
          <w:rFonts w:eastAsia="Amiri" w:cs="Amiri" w:ascii="Amiri" w:hAnsi="Amiri"/>
          <w:color w:val="111111"/>
          <w:sz w:val="28"/>
          <w:szCs w:val="28"/>
          <w:rtl w:val="true"/>
          <w:lang w:bidi="ar-SA"/>
        </w:rPr>
        <w:t xml:space="preserve">. </w:t>
      </w:r>
      <w:bookmarkStart w:id="452" w:name="pg9015_97585"/>
    </w:p>
    <w:p>
      <w:pPr>
        <w:pStyle w:val="Heading2"/>
        <w:numPr>
          <w:ilvl w:val="1"/>
          <w:numId w:val="1"/>
        </w:numPr>
        <w:rPr/>
      </w:pPr>
      <w:bookmarkStart w:id="453" w:name="__RefHeading___Toc2001651_2870459653"/>
      <w:bookmarkStart w:id="454" w:name="_Toc175"/>
      <w:bookmarkEnd w:id="452"/>
      <w:bookmarkEnd w:id="453"/>
      <w:r>
        <w:rPr>
          <w:rtl w:val="true"/>
        </w:rPr>
        <w:t xml:space="preserve">أصل </w:t>
      </w:r>
      <w:r>
        <w:rPr>
          <w:rtl w:val="true"/>
        </w:rPr>
        <w:t>[</w:t>
      </w:r>
      <w:r>
        <w:rPr>
          <w:rtl w:val="true"/>
        </w:rPr>
        <w:t>في عدم حجية المخصّص بالمجمل</w:t>
      </w:r>
      <w:r>
        <w:rPr>
          <w:rtl w:val="true"/>
        </w:rPr>
        <w:t>]</w:t>
      </w:r>
      <w:bookmarkEnd w:id="454"/>
    </w:p>
    <w:p>
      <w:pPr>
        <w:pStyle w:val="BookText"/>
        <w:rPr/>
      </w:pPr>
      <w:r>
        <w:rPr>
          <w:rFonts w:ascii="IRNazanin" w:hAnsi="IRNazanin" w:eastAsia="IRNazanin"/>
          <w:color w:val="111111"/>
          <w:sz w:val="28"/>
          <w:sz w:val="28"/>
          <w:szCs w:val="28"/>
          <w:rtl w:val="true"/>
          <w:lang w:bidi="fa-IR"/>
        </w:rPr>
        <w:t>المخصّص بالمجمل</w:t>
      </w:r>
      <w:r>
        <w:rPr>
          <w:rStyle w:val="FootnoteAnchor"/>
          <w:rtl w:val="true"/>
        </w:rPr>
        <w:footnoteReference w:id="1248"/>
      </w:r>
      <w:r>
        <w:rPr>
          <w:rFonts w:ascii="Amiri" w:hAnsi="Amiri" w:eastAsia="Amiri" w:cs="Amiri"/>
          <w:color w:val="111111"/>
          <w:sz w:val="28"/>
          <w:sz w:val="28"/>
          <w:szCs w:val="28"/>
          <w:rtl w:val="true"/>
          <w:lang w:bidi="ar-SA"/>
        </w:rPr>
        <w:t>لا حجية فيه في جهة إجماله</w:t>
      </w:r>
      <w:r>
        <w:rPr>
          <w:rStyle w:val="FootnoteAnchor"/>
          <w:rtl w:val="true"/>
        </w:rPr>
        <w:footnoteReference w:id="1249"/>
      </w:r>
      <w:r>
        <w:rPr>
          <w:rFonts w:ascii="Amiri" w:hAnsi="Amiri" w:eastAsia="Amiri" w:cs="Amiri"/>
          <w:color w:val="111111"/>
          <w:sz w:val="28"/>
          <w:sz w:val="28"/>
          <w:szCs w:val="28"/>
          <w:rtl w:val="true"/>
          <w:lang w:bidi="ar-SA"/>
        </w:rPr>
        <w:t>، وبالمبين حجة عند مشهور الإمامية، بل باتفاقهم كما حكي</w:t>
      </w:r>
      <w:r>
        <w:rPr>
          <w:rStyle w:val="FootnoteAnchor"/>
          <w:rtl w:val="true"/>
        </w:rPr>
        <w:footnoteReference w:id="1250"/>
      </w:r>
      <w:r>
        <w:rPr>
          <w:rFonts w:ascii="Amiri" w:hAnsi="Amiri" w:eastAsia="Amiri" w:cs="Amiri"/>
          <w:color w:val="111111"/>
          <w:sz w:val="28"/>
          <w:sz w:val="28"/>
          <w:szCs w:val="28"/>
          <w:rtl w:val="true"/>
          <w:lang w:bidi="ar-SA"/>
        </w:rPr>
        <w:t>، خلافاً لبعض العامة، فالتفصيل</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حجة في الباقي، وإليه ذهب الجمهور، واختاره الآمدي، وابن الحاجب، وغيرهما من محققي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بحجة فيما بقي وإليه ذهب عيسى بن أبان وأبو ثور وحكاه القفال الشاشي عن أهل العراق، وحكاه الغزالي عن القدرية، وهو مذهب كثير من الفقهاء الشافعية، والمالكية، والحنفية، والجبائي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ويدفعه الأصل، والتبادر، وعمل العلماء</w:t>
      </w:r>
      <w:r>
        <w:rPr>
          <w:rFonts w:eastAsia="Amiri" w:cs="Amiri" w:ascii="Amiri" w:hAnsi="Amiri"/>
          <w:color w:val="111111"/>
          <w:sz w:val="28"/>
          <w:szCs w:val="28"/>
          <w:rtl w:val="true"/>
          <w:lang w:bidi="ar-SA"/>
        </w:rPr>
        <w:t>.</w:t>
      </w:r>
      <w:bookmarkStart w:id="455" w:name="pg9015_97586"/>
    </w:p>
    <w:p>
      <w:pPr>
        <w:pStyle w:val="Heading2"/>
        <w:numPr>
          <w:ilvl w:val="1"/>
          <w:numId w:val="1"/>
        </w:numPr>
        <w:rPr/>
      </w:pPr>
      <w:bookmarkStart w:id="456" w:name="__RefHeading___Toc2001653_2870459653"/>
      <w:bookmarkStart w:id="457" w:name="_Toc176"/>
      <w:bookmarkEnd w:id="455"/>
      <w:bookmarkEnd w:id="456"/>
      <w:r>
        <w:rPr>
          <w:rtl w:val="true"/>
        </w:rPr>
        <w:t xml:space="preserve">أصل </w:t>
      </w:r>
      <w:r>
        <w:rPr>
          <w:rtl w:val="true"/>
        </w:rPr>
        <w:t>[</w:t>
      </w:r>
      <w:r>
        <w:rPr>
          <w:rtl w:val="true"/>
        </w:rPr>
        <w:t>في عدم جواز العمل بالعام قبل الفحص</w:t>
      </w:r>
      <w:r>
        <w:rPr>
          <w:rtl w:val="true"/>
        </w:rPr>
        <w:t>]</w:t>
      </w:r>
      <w:bookmarkEnd w:id="457"/>
    </w:p>
    <w:p>
      <w:pPr>
        <w:pStyle w:val="BookText"/>
        <w:rPr/>
      </w:pPr>
      <w:r>
        <w:rPr>
          <w:rFonts w:ascii="Amiri" w:hAnsi="Amiri" w:eastAsia="Amiri" w:cs="Amiri"/>
          <w:color w:val="111111"/>
          <w:sz w:val="28"/>
          <w:sz w:val="28"/>
          <w:szCs w:val="28"/>
          <w:rtl w:val="true"/>
          <w:lang w:bidi="ar-SA"/>
        </w:rPr>
        <w:t>لا يجوز العمل به</w:t>
      </w:r>
      <w:r>
        <w:rPr>
          <w:rStyle w:val="FootnoteAnchor"/>
          <w:rtl w:val="true"/>
        </w:rPr>
        <w:footnoteReference w:id="1252"/>
      </w:r>
      <w:r>
        <w:rPr>
          <w:rFonts w:ascii="IRNazanin" w:hAnsi="IRNazanin" w:eastAsia="IRNazanin"/>
          <w:color w:val="111111"/>
          <w:sz w:val="28"/>
          <w:sz w:val="28"/>
          <w:szCs w:val="28"/>
          <w:rtl w:val="true"/>
          <w:lang w:bidi="fa-IR"/>
        </w:rPr>
        <w:t>قبل الفحص عن المخصص عند المشهور</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التخصيص إن لم يمنع استفادة الحكم بالاسم وتعلقه بظاهره جاز التعلق به، وإن كان يمنع من تعلق الحكم بالاسم العام، ويوجب تعلقه بشرط لا ينبئ عنه الظاهر لم يجز التعلق به، وإليه ذهب أبو عبد الله البصري تلميذ 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يتوقف على البيان قبل التخصيص، ولا يحتاج إليه فهو حجة؛ وإن كان يتوقف على البيان ويحتاج إليه قبل التخصيص فليس بحجة، وإليه ذهب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التمسك به في أقل الجمع ؛ لأنه المتعين، ولا يجوز فيما زاد عليه، هكذا حكى هذا المذهب القاضي أبو بكر ، والغزالي وابن القشيري، وقال الصفي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قول من لا يجوز التخصيص ألبتة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يتمسك به في واحد فقط، حكاه في المنخول عن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فلا يعمل به إلا بدليل، حكاه أبو الحسين بن القطان، وجعله مغايراً لقول عيسى بن أبان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الوافية للتوني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القوانين المحكمة للقمي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الفصول الغروية للأصفهاني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للعلم الإجمالي بوجوده المعتضد بقاعدة الشغل، وأصالة حرمة العمل بما وراء العلم، وظهور اتفاق الإمامية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عدا شاذ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ويكفي حصول الظن بعدمه بتتبع مظانه، حذراً من التكليف بالمحال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458" w:name="pg9015_97587"/>
    </w:p>
    <w:p>
      <w:pPr>
        <w:pStyle w:val="Heading2"/>
        <w:numPr>
          <w:ilvl w:val="1"/>
          <w:numId w:val="1"/>
        </w:numPr>
        <w:rPr/>
      </w:pPr>
      <w:bookmarkStart w:id="459" w:name="__RefHeading___Toc2001655_2870459653"/>
      <w:bookmarkStart w:id="460" w:name="_Toc177"/>
      <w:bookmarkEnd w:id="458"/>
      <w:bookmarkEnd w:id="459"/>
      <w:r>
        <w:rPr>
          <w:rtl w:val="true"/>
        </w:rPr>
        <w:t xml:space="preserve">أصل </w:t>
      </w:r>
      <w:r>
        <w:rPr>
          <w:rtl w:val="true"/>
        </w:rPr>
        <w:t>[</w:t>
      </w:r>
      <w:r>
        <w:rPr>
          <w:rtl w:val="true"/>
        </w:rPr>
        <w:t>في تعقب الخاص للعمومات المتعددة</w:t>
      </w:r>
      <w:r>
        <w:rPr>
          <w:rtl w:val="true"/>
        </w:rPr>
        <w:t>]</w:t>
      </w:r>
      <w:bookmarkEnd w:id="460"/>
    </w:p>
    <w:p>
      <w:pPr>
        <w:pStyle w:val="BookText"/>
        <w:rPr/>
      </w:pPr>
      <w:r>
        <w:rPr>
          <w:rFonts w:ascii="Amiri" w:hAnsi="Amiri" w:eastAsia="Amiri" w:cs="Amiri"/>
          <w:color w:val="111111"/>
          <w:sz w:val="28"/>
          <w:sz w:val="28"/>
          <w:szCs w:val="28"/>
          <w:rtl w:val="true"/>
          <w:lang w:bidi="ar-SA"/>
        </w:rPr>
        <w:t xml:space="preserve">اذا تعقب المخصص عمومات، وكان استثناءً والمستثنى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من المستثنى</w:t>
      </w:r>
      <w:r>
        <w:rPr>
          <w:rFonts w:eastAsia="Amiri" w:cs="Amiri" w:ascii="Amiri" w:hAnsi="Amiri"/>
          <w:color w:val="111111"/>
          <w:sz w:val="28"/>
          <w:szCs w:val="28"/>
          <w:rtl w:val="true"/>
          <w:lang w:bidi="ar-SA"/>
        </w:rPr>
        <w:t>)</w:t>
      </w:r>
      <w:r>
        <w:rPr>
          <w:rStyle w:val="FootnoteAnchor"/>
          <w:rtl w:val="true"/>
        </w:rPr>
        <w:footnoteReference w:id="1254"/>
      </w:r>
      <w:r>
        <w:rPr>
          <w:rFonts w:ascii="Amiri" w:hAnsi="Amiri" w:eastAsia="Amiri" w:cs="Amiri"/>
          <w:color w:val="111111"/>
          <w:sz w:val="28"/>
          <w:sz w:val="28"/>
          <w:szCs w:val="28"/>
          <w:rtl w:val="true"/>
          <w:lang w:bidi="ar-SA"/>
        </w:rPr>
        <w:t xml:space="preserve">منه، والعمومات أحكاماً مختلفة متحدة بالنوع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جهة الإخبار والإنشاء،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واخلعهم، وأضفهم،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مختلفة بالنوع</w:t>
      </w:r>
      <w:r>
        <w:rPr>
          <w:rStyle w:val="FootnoteAnchor"/>
          <w:rtl w:val="true"/>
        </w:rPr>
        <w:footnoteReference w:id="1255"/>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واخلعهم، وكلّهم كاتبون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يكن فرداً منه فكالفرد في هذا التفصيل،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أكرم العلماء، واخلعهم، وأضفهم الا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وأضفهم، وجعلتهم مخلعين الا يوم</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فالمدار في تلك الأربعة اتحاد الأحكام نوعاً، واختلافها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العمومات مفردة، بأن يكون التعدد في العمومات أنفسها، فإن كان المستثنى فرداً رجع إلى الأخير، اتحد الحكم أو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 فرد</w:t>
      </w:r>
      <w:r>
        <w:rPr>
          <w:rStyle w:val="FootnoteAnchor"/>
          <w:rtl w:val="true"/>
        </w:rPr>
        <w:footnoteReference w:id="1256"/>
      </w:r>
      <w:r>
        <w:rPr>
          <w:rFonts w:ascii="Amiri" w:hAnsi="Amiri" w:eastAsia="Amiri" w:cs="Amiri"/>
          <w:color w:val="111111"/>
          <w:sz w:val="28"/>
          <w:sz w:val="28"/>
          <w:szCs w:val="28"/>
          <w:rtl w:val="true"/>
          <w:lang w:bidi="ar-SA"/>
        </w:rPr>
        <w:t>، فكذلك إن اختلف الحكم، والا فإلى الجميع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صفة، أو بدل بعض، فإلى الأخير، أو شرطاً أو غاية مع اتحاد الأحكام</w:t>
      </w:r>
      <w:r>
        <w:rPr>
          <w:rStyle w:val="FootnoteAnchor"/>
          <w:rtl w:val="true"/>
        </w:rPr>
        <w:footnoteReference w:id="1257"/>
      </w:r>
      <w:r>
        <w:rPr>
          <w:rFonts w:ascii="Amiri" w:hAnsi="Amiri" w:eastAsia="Amiri" w:cs="Amiri"/>
          <w:color w:val="111111"/>
          <w:sz w:val="28"/>
          <w:sz w:val="28"/>
          <w:szCs w:val="28"/>
          <w:rtl w:val="true"/>
          <w:lang w:bidi="ar-SA"/>
        </w:rPr>
        <w:t>نوعاً فإلى الجميع، والا فإلى الأخير، والدليل في الكل العرف، فخذ هذا ودع ما سواه، فإنه فضول</w:t>
      </w:r>
      <w:r>
        <w:rPr>
          <w:rFonts w:eastAsia="Amiri" w:cs="Amiri" w:ascii="Amiri" w:hAnsi="Amiri"/>
          <w:color w:val="111111"/>
          <w:sz w:val="28"/>
          <w:szCs w:val="28"/>
          <w:rtl w:val="true"/>
          <w:lang w:bidi="ar-SA"/>
        </w:rPr>
        <w:t>.</w:t>
      </w:r>
      <w:r>
        <w:rPr>
          <w:rStyle w:val="FootnoteAnchor"/>
          <w:rtl w:val="true"/>
        </w:rPr>
        <w:footnoteReference w:id="1258"/>
      </w:r>
      <w:bookmarkStart w:id="461" w:name="pg9015_97588"/>
    </w:p>
    <w:p>
      <w:pPr>
        <w:pStyle w:val="Heading2"/>
        <w:numPr>
          <w:ilvl w:val="1"/>
          <w:numId w:val="1"/>
        </w:numPr>
        <w:rPr/>
      </w:pPr>
      <w:bookmarkStart w:id="462" w:name="__RefHeading___Toc2001657_2870459653"/>
      <w:bookmarkStart w:id="463" w:name="_Toc178"/>
      <w:bookmarkEnd w:id="461"/>
      <w:bookmarkEnd w:id="462"/>
      <w:r>
        <w:rPr>
          <w:rtl w:val="true"/>
        </w:rPr>
        <w:t xml:space="preserve">أصل </w:t>
      </w:r>
      <w:r>
        <w:rPr>
          <w:rtl w:val="true"/>
        </w:rPr>
        <w:t>[</w:t>
      </w:r>
      <w:r>
        <w:rPr>
          <w:rtl w:val="true"/>
        </w:rPr>
        <w:t>في الضمير الراجع إلى بعض أفراد العام</w:t>
      </w:r>
      <w:r>
        <w:rPr>
          <w:rtl w:val="true"/>
        </w:rPr>
        <w:t>]</w:t>
      </w:r>
      <w:bookmarkEnd w:id="46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رجع الضمير إلى بعض أفراد</w:t>
      </w:r>
      <w:r>
        <w:rPr>
          <w:rStyle w:val="FootnoteAnchor"/>
          <w:rtl w:val="true"/>
        </w:rPr>
        <w:footnoteReference w:id="1259"/>
      </w:r>
      <w:r>
        <w:rPr>
          <w:rFonts w:ascii="IRNazanin" w:hAnsi="IRNazanin" w:eastAsia="IRNazanin"/>
          <w:color w:val="111111"/>
          <w:sz w:val="28"/>
          <w:sz w:val="28"/>
          <w:szCs w:val="28"/>
          <w:rtl w:val="true"/>
          <w:lang w:bidi="fa-IR"/>
        </w:rPr>
        <w:t>العام، خصصه على أصح الأقوال</w:t>
      </w:r>
      <w:r>
        <w:rPr>
          <w:rStyle w:val="FootnoteAnchor"/>
          <w:rtl w:val="true"/>
        </w:rPr>
        <w:footnoteReference w:id="1260"/>
      </w:r>
      <w:r>
        <w:rPr>
          <w:rFonts w:ascii="Amiri" w:hAnsi="Amiri" w:eastAsia="Amiri" w:cs="Amiri"/>
          <w:color w:val="111111"/>
          <w:sz w:val="28"/>
          <w:sz w:val="28"/>
          <w:szCs w:val="28"/>
          <w:rtl w:val="true"/>
          <w:lang w:bidi="ar-SA"/>
        </w:rPr>
        <w:t>إذ العرف متى فهم من الضمير معنى حكم بأنه المراد من المرجع، سواء كان المرجع</w:t>
      </w:r>
      <w:r>
        <w:rPr>
          <w:rStyle w:val="FootnoteAnchor"/>
          <w:rtl w:val="true"/>
        </w:rPr>
        <w:footnoteReference w:id="1261"/>
      </w:r>
      <w:r>
        <w:rPr>
          <w:rFonts w:ascii="Amiri" w:hAnsi="Amiri" w:eastAsia="Amiri" w:cs="Amiri"/>
          <w:color w:val="111111"/>
          <w:sz w:val="28"/>
          <w:sz w:val="28"/>
          <w:szCs w:val="28"/>
          <w:rtl w:val="true"/>
          <w:lang w:bidi="ar-SA"/>
        </w:rPr>
        <w:t>حقيقة فيه</w:t>
      </w:r>
      <w:r>
        <w:rPr>
          <w:rStyle w:val="FootnoteAnchor"/>
          <w:rtl w:val="true"/>
        </w:rPr>
        <w:footnoteReference w:id="1262"/>
      </w:r>
      <w:r>
        <w:rPr>
          <w:rFonts w:ascii="Amiri" w:hAnsi="Amiri" w:eastAsia="Amiri" w:cs="Amiri"/>
          <w:color w:val="111111"/>
          <w:sz w:val="28"/>
          <w:sz w:val="28"/>
          <w:szCs w:val="28"/>
          <w:rtl w:val="true"/>
          <w:lang w:bidi="ar-SA"/>
        </w:rPr>
        <w:t>أم مجازاً، فلا حاجة إلى بيان أن الضمير حقيقة فيما كان المرجع حقيقة فيه مطلقاً، أو إذا كان ظاهراً فيه، أو إذا كان مراداً منه، أو فيما كان المرجع ظاهراً فيه مطلقاً، أو</w:t>
      </w:r>
      <w:r>
        <w:rPr>
          <w:rStyle w:val="FootnoteAnchor"/>
          <w:rtl w:val="true"/>
        </w:rPr>
        <w:footnoteReference w:id="1263"/>
      </w:r>
      <w:r>
        <w:rPr>
          <w:rFonts w:ascii="Amiri" w:hAnsi="Amiri" w:eastAsia="Amiri" w:cs="Amiri"/>
          <w:color w:val="111111"/>
          <w:sz w:val="28"/>
          <w:sz w:val="28"/>
          <w:szCs w:val="28"/>
          <w:rtl w:val="true"/>
          <w:lang w:bidi="ar-SA"/>
        </w:rPr>
        <w:t>بشرط كونه مراداً، أو فيما كان مراداً من المرجع</w:t>
      </w:r>
      <w:r>
        <w:rPr>
          <w:rFonts w:eastAsia="Amiri" w:cs="Amiri" w:ascii="Amiri" w:hAnsi="Amiri"/>
          <w:color w:val="111111"/>
          <w:sz w:val="28"/>
          <w:szCs w:val="28"/>
          <w:rtl w:val="true"/>
          <w:lang w:bidi="ar-SA"/>
        </w:rPr>
        <w:t>.</w:t>
      </w:r>
      <w:r>
        <w:rPr>
          <w:rStyle w:val="FootnoteAnchor"/>
          <w:rtl w:val="true"/>
        </w:rPr>
        <w:footnoteReference w:id="1264"/>
      </w:r>
      <w:bookmarkStart w:id="464" w:name="pg9015_97589"/>
    </w:p>
    <w:p>
      <w:pPr>
        <w:pStyle w:val="Heading2"/>
        <w:numPr>
          <w:ilvl w:val="1"/>
          <w:numId w:val="1"/>
        </w:numPr>
        <w:rPr/>
      </w:pPr>
      <w:bookmarkStart w:id="465" w:name="__RefHeading___Toc2001659_2870459653"/>
      <w:bookmarkStart w:id="466" w:name="_Toc179"/>
      <w:bookmarkEnd w:id="464"/>
      <w:bookmarkEnd w:id="465"/>
      <w:r>
        <w:rPr>
          <w:rtl w:val="true"/>
        </w:rPr>
        <w:t>أصل</w:t>
      </w:r>
      <w:r>
        <w:rPr>
          <w:rtl w:val="true"/>
        </w:rPr>
        <w:t>[</w:t>
      </w:r>
      <w:r>
        <w:rPr>
          <w:rtl w:val="true"/>
        </w:rPr>
        <w:t>في أن العبرة بعموم اللفظ</w:t>
      </w:r>
      <w:r>
        <w:rPr>
          <w:rtl w:val="true"/>
        </w:rPr>
        <w:t>]</w:t>
      </w:r>
      <w:bookmarkEnd w:id="466"/>
    </w:p>
    <w:p>
      <w:pPr>
        <w:pStyle w:val="Heading3"/>
        <w:numPr>
          <w:ilvl w:val="2"/>
          <w:numId w:val="1"/>
        </w:numPr>
        <w:rPr/>
      </w:pPr>
      <w:bookmarkStart w:id="467" w:name="__RefHeading___Toc2001661_2870459653"/>
      <w:bookmarkStart w:id="468" w:name="_Toc180"/>
      <w:bookmarkEnd w:id="467"/>
      <w:r>
        <w:rPr>
          <w:rtl w:val="true"/>
        </w:rPr>
        <w:t>اشارة</w:t>
      </w:r>
      <w:bookmarkEnd w:id="468"/>
    </w:p>
    <w:p>
      <w:pPr>
        <w:pStyle w:val="BookText"/>
        <w:rPr/>
      </w:pPr>
      <w:r>
        <w:rPr>
          <w:rFonts w:ascii="IRNazanin" w:hAnsi="IRNazanin" w:eastAsia="IRNazanin"/>
          <w:color w:val="111111"/>
          <w:sz w:val="28"/>
          <w:sz w:val="28"/>
          <w:szCs w:val="28"/>
          <w:rtl w:val="true"/>
          <w:lang w:bidi="fa-IR"/>
        </w:rPr>
        <w:t>أصل</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الداعي على صدور الخطاب إما وقوع حادثة، أو سبق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 يستقلّ في الدّلالة لغة، أو عرفاً، أو يستقل مع تساوي الجواب والسؤال، أو كون الجواب أخص أو أعم من محل السؤال وغيره، أو من محل السؤال فقط، كما في الجواب عن بئر</w:t>
      </w:r>
      <w:r>
        <w:rPr>
          <w:rStyle w:val="FootnoteAnchor"/>
          <w:rtl w:val="true"/>
        </w:rPr>
        <w:footnoteReference w:id="1266"/>
      </w:r>
      <w:r>
        <w:rPr>
          <w:rFonts w:ascii="Amiri" w:hAnsi="Amiri" w:eastAsia="Amiri" w:cs="Amiri"/>
          <w:color w:val="111111"/>
          <w:sz w:val="28"/>
          <w:sz w:val="28"/>
          <w:szCs w:val="28"/>
          <w:rtl w:val="true"/>
          <w:lang w:bidi="ar-SA"/>
        </w:rPr>
        <w:t>بضاعة</w:t>
      </w:r>
      <w:r>
        <w:rPr>
          <w:rFonts w:eastAsia="Amiri" w:cs="Amiri" w:ascii="Amiri" w:hAnsi="Amiri"/>
          <w:color w:val="111111"/>
          <w:sz w:val="28"/>
          <w:szCs w:val="28"/>
          <w:rtl w:val="true"/>
          <w:lang w:bidi="ar-SA"/>
        </w:rPr>
        <w:t>.</w:t>
      </w:r>
      <w:r>
        <w:rPr>
          <w:rStyle w:val="FootnoteAnchor"/>
          <w:rtl w:val="true"/>
        </w:rPr>
        <w:footnoteReference w:id="1267"/>
      </w:r>
    </w:p>
    <w:p>
      <w:pPr>
        <w:pStyle w:val="Heading3"/>
        <w:numPr>
          <w:ilvl w:val="2"/>
          <w:numId w:val="1"/>
        </w:numPr>
        <w:rPr/>
      </w:pPr>
      <w:bookmarkStart w:id="469" w:name="__RefHeading___Toc2001663_2870459653"/>
      <w:bookmarkStart w:id="470" w:name="_Toc181"/>
      <w:bookmarkEnd w:id="469"/>
      <w:r>
        <w:rPr>
          <w:rtl w:val="true"/>
        </w:rPr>
        <w:t>[</w:t>
      </w:r>
      <w:r>
        <w:rPr>
          <w:rtl w:val="true"/>
        </w:rPr>
        <w:t>المختار في المسألة</w:t>
      </w:r>
      <w:r>
        <w:rPr>
          <w:rtl w:val="true"/>
        </w:rPr>
        <w:t>]</w:t>
      </w:r>
      <w:bookmarkEnd w:id="47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w:t>
      </w:r>
      <w:r>
        <w:rPr>
          <w:rStyle w:val="FootnoteAnchor"/>
          <w:rtl w:val="true"/>
        </w:rPr>
        <w:footnoteReference w:id="1268"/>
      </w:r>
      <w:r>
        <w:rPr>
          <w:rFonts w:ascii="Amiri" w:hAnsi="Amiri" w:eastAsia="Amiri" w:cs="Amiri"/>
          <w:color w:val="111111"/>
          <w:sz w:val="28"/>
          <w:sz w:val="28"/>
          <w:szCs w:val="28"/>
          <w:rtl w:val="true"/>
          <w:lang w:bidi="ar-SA"/>
        </w:rPr>
        <w:t xml:space="preserve">في القسم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العبرة بعموم اللفظ لا خصوص السبب السبب</w:t>
      </w:r>
      <w:r>
        <w:rPr>
          <w:rStyle w:val="FootnoteAnchor"/>
          <w:rtl w:val="true"/>
        </w:rPr>
        <w:footnoteReference w:id="1269"/>
      </w:r>
      <w:r>
        <w:rPr>
          <w:rFonts w:ascii="Amiri" w:hAnsi="Amiri" w:eastAsia="Amiri" w:cs="Amiri"/>
          <w:color w:val="111111"/>
          <w:sz w:val="28"/>
          <w:sz w:val="28"/>
          <w:szCs w:val="28"/>
          <w:rtl w:val="true"/>
          <w:lang w:bidi="ar-SA"/>
        </w:rPr>
        <w:t>للعرف، إلّا أن يكون للمقام خصوصية خارجة عن</w:t>
      </w:r>
      <w:r>
        <w:rPr>
          <w:rStyle w:val="FootnoteAnchor"/>
          <w:rtl w:val="true"/>
        </w:rPr>
        <w:footnoteReference w:id="1270"/>
      </w:r>
      <w:r>
        <w:rPr>
          <w:rFonts w:ascii="IRNazanin" w:hAnsi="IRNazanin" w:eastAsia="IRNazanin"/>
          <w:color w:val="111111"/>
          <w:sz w:val="28"/>
          <w:sz w:val="28"/>
          <w:szCs w:val="28"/>
          <w:rtl w:val="true"/>
          <w:lang w:bidi="fa-IR"/>
        </w:rPr>
        <w:t>هذه الجهة ، كما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بين اصحابك</w:t>
      </w:r>
      <w:r>
        <w:rPr>
          <w:rFonts w:eastAsia="IRNazanin" w:cs="IRNazanin"/>
          <w:color w:val="111111"/>
          <w:sz w:val="28"/>
          <w:szCs w:val="28"/>
          <w:rtl w:val="true"/>
          <w:lang w:bidi="fa-IR"/>
        </w:rPr>
        <w:t>».</w:t>
      </w:r>
      <w:r>
        <w:rPr>
          <w:rStyle w:val="FootnoteAnchor"/>
          <w:rtl w:val="true"/>
        </w:rPr>
        <w:footnoteReference w:id="1271"/>
      </w:r>
      <w:bookmarkStart w:id="471" w:name="pg9015_97590"/>
    </w:p>
    <w:p>
      <w:pPr>
        <w:pStyle w:val="Heading2"/>
        <w:numPr>
          <w:ilvl w:val="1"/>
          <w:numId w:val="1"/>
        </w:numPr>
        <w:rPr/>
      </w:pPr>
      <w:bookmarkStart w:id="472" w:name="__RefHeading___Toc2001665_2870459653"/>
      <w:bookmarkStart w:id="473" w:name="_Toc182"/>
      <w:bookmarkEnd w:id="471"/>
      <w:bookmarkEnd w:id="472"/>
      <w:r>
        <w:rPr>
          <w:rtl w:val="true"/>
        </w:rPr>
        <w:t xml:space="preserve">أصل </w:t>
      </w:r>
      <w:r>
        <w:rPr>
          <w:rtl w:val="true"/>
        </w:rPr>
        <w:t>[</w:t>
      </w:r>
      <w:r>
        <w:rPr>
          <w:rtl w:val="true"/>
        </w:rPr>
        <w:t>في تخصيص العام بمفهوم المخالفة</w:t>
      </w:r>
      <w:r>
        <w:rPr>
          <w:rtl w:val="true"/>
        </w:rPr>
        <w:t>]</w:t>
      </w:r>
      <w:bookmarkEnd w:id="473"/>
    </w:p>
    <w:p>
      <w:pPr>
        <w:pStyle w:val="BookText"/>
        <w:rPr/>
      </w:pPr>
      <w:r>
        <w:rPr>
          <w:rFonts w:ascii="Amiri" w:hAnsi="Amiri" w:eastAsia="Amiri" w:cs="Amiri"/>
          <w:color w:val="111111"/>
          <w:sz w:val="28"/>
          <w:sz w:val="28"/>
          <w:szCs w:val="28"/>
          <w:rtl w:val="true"/>
          <w:lang w:bidi="ar-SA"/>
        </w:rPr>
        <w:t xml:space="preserve">اتفقوا على جواز تخصيص العام بمفهوم الموافقة </w:t>
      </w:r>
      <w:r>
        <w:rPr>
          <w:rStyle w:val="FootnoteAnchor"/>
          <w:rtl w:val="true"/>
        </w:rPr>
        <w:footnoteReference w:id="1272"/>
      </w:r>
      <w:r>
        <w:rPr>
          <w:rFonts w:ascii="Amiri" w:hAnsi="Amiri" w:eastAsia="Amiri" w:cs="Amiri"/>
          <w:color w:val="111111"/>
          <w:sz w:val="28"/>
          <w:sz w:val="28"/>
          <w:szCs w:val="28"/>
          <w:rtl w:val="true"/>
          <w:lang w:bidi="ar-SA"/>
        </w:rPr>
        <w:t>، وفي جوازه بمفهوم المخالفة وجهان ، أوجهها</w:t>
      </w:r>
      <w:r>
        <w:rPr>
          <w:rStyle w:val="FootnoteAnchor"/>
          <w:rtl w:val="true"/>
        </w:rPr>
        <w:footnoteReference w:id="1273"/>
      </w:r>
      <w:r>
        <w:rPr>
          <w:rFonts w:ascii="Amiri" w:hAnsi="Amiri" w:eastAsia="Amiri" w:cs="Amiri"/>
          <w:color w:val="111111"/>
          <w:sz w:val="28"/>
          <w:sz w:val="28"/>
          <w:szCs w:val="28"/>
          <w:rtl w:val="true"/>
          <w:lang w:bidi="ar-SA"/>
        </w:rPr>
        <w:t>ذلك</w:t>
      </w:r>
      <w:r>
        <w:rPr>
          <w:rStyle w:val="FootnoteAnchor"/>
          <w:rtl w:val="true"/>
        </w:rPr>
        <w:footnoteReference w:id="1274"/>
      </w:r>
      <w:r>
        <w:rPr>
          <w:rFonts w:ascii="IRNazanin" w:hAnsi="IRNazanin" w:eastAsia="IRNazanin"/>
          <w:color w:val="111111"/>
          <w:sz w:val="28"/>
          <w:sz w:val="28"/>
          <w:szCs w:val="28"/>
          <w:rtl w:val="true"/>
          <w:lang w:bidi="fa-IR"/>
        </w:rPr>
        <w:t xml:space="preserve">للعرف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العرف يخصص المنطوق الأعمّ بالمنطوق الأخص، والمفهوم الأعمّ بالأخص منطوقاً ومفهوماً</w:t>
      </w:r>
      <w:r>
        <w:rPr>
          <w:rFonts w:eastAsia="Amiri" w:cs="Amiri" w:ascii="Amiri" w:hAnsi="Amiri"/>
          <w:color w:val="111111"/>
          <w:sz w:val="28"/>
          <w:szCs w:val="28"/>
          <w:rtl w:val="true"/>
          <w:lang w:bidi="ar-SA"/>
        </w:rPr>
        <w:t>.</w:t>
      </w:r>
      <w:r>
        <w:rPr>
          <w:rStyle w:val="FootnoteAnchor"/>
          <w:rtl w:val="true"/>
        </w:rPr>
        <w:footnoteReference w:id="1275"/>
      </w:r>
      <w:bookmarkStart w:id="474" w:name="pg9015_97591"/>
    </w:p>
    <w:p>
      <w:pPr>
        <w:pStyle w:val="Heading2"/>
        <w:numPr>
          <w:ilvl w:val="1"/>
          <w:numId w:val="1"/>
        </w:numPr>
        <w:rPr/>
      </w:pPr>
      <w:bookmarkStart w:id="475" w:name="__RefHeading___Toc2001667_2870459653"/>
      <w:bookmarkStart w:id="476" w:name="_Toc183"/>
      <w:bookmarkEnd w:id="474"/>
      <w:bookmarkEnd w:id="475"/>
      <w:r>
        <w:rPr>
          <w:rtl w:val="true"/>
        </w:rPr>
        <w:t xml:space="preserve">أصل </w:t>
      </w:r>
      <w:r>
        <w:rPr>
          <w:rtl w:val="true"/>
        </w:rPr>
        <w:t>[</w:t>
      </w:r>
      <w:r>
        <w:rPr>
          <w:rtl w:val="true"/>
        </w:rPr>
        <w:t>في جواز تخصيص الكتاب</w:t>
      </w:r>
      <w:r>
        <w:rPr>
          <w:rtl w:val="true"/>
        </w:rPr>
        <w:t>]</w:t>
      </w:r>
      <w:bookmarkEnd w:id="476"/>
    </w:p>
    <w:p>
      <w:pPr>
        <w:pStyle w:val="BookText"/>
        <w:rPr/>
      </w:pPr>
      <w:r>
        <w:rPr>
          <w:rFonts w:ascii="Amiri" w:hAnsi="Amiri" w:eastAsia="Amiri" w:cs="Amiri"/>
          <w:color w:val="111111"/>
          <w:sz w:val="28"/>
          <w:sz w:val="28"/>
          <w:szCs w:val="28"/>
          <w:rtl w:val="true"/>
          <w:lang w:bidi="ar-SA"/>
        </w:rPr>
        <w:t>لا ريب في جواز تخصيص الكتاب به</w:t>
      </w:r>
      <w:r>
        <w:rPr>
          <w:rStyle w:val="FootnoteAnchor"/>
          <w:rtl w:val="true"/>
        </w:rPr>
        <w:footnoteReference w:id="1276"/>
      </w:r>
      <w:r>
        <w:rPr>
          <w:rFonts w:ascii="IRNazanin" w:hAnsi="IRNazanin" w:eastAsia="IRNazanin"/>
          <w:color w:val="111111"/>
          <w:sz w:val="28"/>
          <w:sz w:val="28"/>
          <w:szCs w:val="28"/>
          <w:rtl w:val="true"/>
          <w:lang w:bidi="fa-IR"/>
        </w:rPr>
        <w:t xml:space="preserve">، وبالإجماع </w:t>
      </w:r>
      <w:r>
        <w:rPr>
          <w:rStyle w:val="FootnoteAnchor"/>
          <w:rtl w:val="true"/>
        </w:rPr>
        <w:footnoteReference w:id="1277"/>
      </w:r>
      <w:r>
        <w:rPr>
          <w:rFonts w:ascii="IRNazanin" w:hAnsi="IRNazanin" w:eastAsia="IRNazanin"/>
          <w:color w:val="111111"/>
          <w:sz w:val="28"/>
          <w:sz w:val="28"/>
          <w:szCs w:val="28"/>
          <w:rtl w:val="true"/>
          <w:lang w:bidi="fa-IR"/>
        </w:rPr>
        <w:t>، والخبر المتواتر لفظاً أو معنى</w:t>
      </w:r>
      <w:r>
        <w:rPr>
          <w:rStyle w:val="FootnoteAnchor"/>
          <w:rtl w:val="true"/>
        </w:rPr>
        <w:footnoteReference w:id="1278"/>
      </w:r>
      <w:r>
        <w:rPr>
          <w:rFonts w:ascii="IRNazanin" w:hAnsi="IRNazanin" w:eastAsia="IRNazanin"/>
          <w:color w:val="111111"/>
          <w:sz w:val="28"/>
          <w:sz w:val="28"/>
          <w:szCs w:val="28"/>
          <w:rtl w:val="true"/>
          <w:lang w:bidi="fa-IR"/>
        </w:rPr>
        <w:t>، وأصح الأقوال</w:t>
      </w:r>
      <w:r>
        <w:rPr>
          <w:rStyle w:val="FootnoteAnchor"/>
          <w:rtl w:val="true"/>
        </w:rPr>
        <w:footnoteReference w:id="1279"/>
      </w:r>
      <w:r>
        <w:rPr>
          <w:rFonts w:ascii="Amiri" w:hAnsi="Amiri" w:eastAsia="Amiri" w:cs="Amiri"/>
          <w:color w:val="111111"/>
          <w:sz w:val="28"/>
          <w:sz w:val="28"/>
          <w:szCs w:val="28"/>
          <w:rtl w:val="true"/>
          <w:lang w:bidi="ar-SA"/>
        </w:rPr>
        <w:t>الخمسة</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إن كان العام قد خص من قبل بقاطع متصلاً كان أو منفصلاً، وعدمه إن لم يخص من قبل مطلقاً، أو خص بدليل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إن كان قد خصص من قبل بدليل منفصل، قطعياً كان أو ظنّيّاً، وعدمه إن لم يخصص به خصص بغيره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اختاره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جوازه بالواحد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حذراً من لزوم المخالفة القطعية لولاه ، ولطريقة العرف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ولكون ذهاب الأكثر إلى ذلك مرجحا بعد الدوران بين العلمين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سيأتي في حجية الظن</w:t>
      </w:r>
      <w:r>
        <w:rPr>
          <w:rFonts w:eastAsia="Amiri" w:cs="Amiri" w:ascii="Amiri" w:hAnsi="Amiri"/>
          <w:color w:val="111111"/>
          <w:sz w:val="28"/>
          <w:szCs w:val="28"/>
          <w:rtl w:val="true"/>
          <w:lang w:bidi="ar-SA"/>
        </w:rPr>
        <w:t xml:space="preserve">. </w:t>
      </w:r>
      <w:bookmarkStart w:id="477" w:name="pg9015_97592"/>
    </w:p>
    <w:p>
      <w:pPr>
        <w:pStyle w:val="Heading2"/>
        <w:numPr>
          <w:ilvl w:val="1"/>
          <w:numId w:val="1"/>
        </w:numPr>
        <w:rPr/>
      </w:pPr>
      <w:bookmarkStart w:id="478" w:name="__RefHeading___Toc2001669_2870459653"/>
      <w:bookmarkStart w:id="479" w:name="_Toc184"/>
      <w:bookmarkEnd w:id="477"/>
      <w:bookmarkEnd w:id="478"/>
      <w:r>
        <w:rPr>
          <w:rtl w:val="true"/>
        </w:rPr>
        <w:t xml:space="preserve">أصل </w:t>
      </w:r>
      <w:r>
        <w:rPr>
          <w:rtl w:val="true"/>
        </w:rPr>
        <w:t>[</w:t>
      </w:r>
      <w:r>
        <w:rPr>
          <w:rtl w:val="true"/>
        </w:rPr>
        <w:t>في تعريف المطلق والمقيد</w:t>
      </w:r>
      <w:r>
        <w:rPr>
          <w:rtl w:val="true"/>
        </w:rPr>
        <w:t>]</w:t>
      </w:r>
      <w:bookmarkEnd w:id="479"/>
    </w:p>
    <w:p>
      <w:pPr>
        <w:pStyle w:val="BookText"/>
        <w:rPr/>
      </w:pPr>
      <w:r>
        <w:rPr>
          <w:rFonts w:ascii="Amiri" w:hAnsi="Amiri" w:eastAsia="Amiri" w:cs="Amiri"/>
          <w:color w:val="111111"/>
          <w:sz w:val="28"/>
          <w:sz w:val="28"/>
          <w:szCs w:val="28"/>
          <w:rtl w:val="true"/>
          <w:lang w:bidi="ar-SA"/>
        </w:rPr>
        <w:t>قد يعرّف المطلق بأنه ما دلّ على ماهيّة من حيث هي، لا بقيد وحدة ولا كثرة</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دلّ على شائع في جنسه</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وعرّفوا المقيد بأنه ما يدل لا على شائع في جنسه</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وعرّف أيضاً بما أخرج عن شياع</w:t>
      </w:r>
      <w:r>
        <w:rPr>
          <w:rFonts w:eastAsia="Amiri" w:cs="Amiri" w:ascii="Amiri" w:hAnsi="Amiri"/>
          <w:color w:val="111111"/>
          <w:sz w:val="28"/>
          <w:szCs w:val="28"/>
          <w:rtl w:val="true"/>
          <w:lang w:bidi="ar-SA"/>
        </w:rPr>
        <w:t>.</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والنسبة بين تعريفي المقيد عموم من وجه</w:t>
      </w:r>
      <w:r>
        <w:rPr>
          <w:rStyle w:val="FootnoteAnchor"/>
          <w:rtl w:val="true"/>
        </w:rPr>
        <w:footnoteReference w:id="1285"/>
      </w:r>
      <w:r>
        <w:rPr>
          <w:rFonts w:ascii="Amiri" w:hAnsi="Amiri" w:eastAsia="Amiri" w:cs="Amiri"/>
          <w:color w:val="111111"/>
          <w:sz w:val="28"/>
          <w:sz w:val="28"/>
          <w:szCs w:val="28"/>
          <w:rtl w:val="true"/>
          <w:lang w:bidi="ar-SA"/>
        </w:rPr>
        <w:t>، وكذا بين المطلق بالمعنى الأخير والمقيد بالمعنى الثاني</w:t>
      </w:r>
      <w:r>
        <w:rPr>
          <w:rFonts w:eastAsia="Amiri" w:cs="Amiri" w:ascii="Amiri" w:hAnsi="Amiri"/>
          <w:color w:val="111111"/>
          <w:sz w:val="28"/>
          <w:szCs w:val="28"/>
          <w:rtl w:val="true"/>
          <w:lang w:bidi="ar-SA"/>
        </w:rPr>
        <w:t>.</w:t>
      </w:r>
      <w:r>
        <w:rPr>
          <w:rStyle w:val="FootnoteAnchor"/>
          <w:rtl w:val="true"/>
        </w:rPr>
        <w:footnoteReference w:id="128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عرّف المطلق بأنه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الدال على الماهية، أو على الشائع في جنسه، لكان أقرب</w:t>
      </w:r>
      <w:r>
        <w:rPr>
          <w:rFonts w:eastAsia="Amiri" w:cs="Amiri" w:ascii="Amiri" w:hAnsi="Amiri"/>
          <w:color w:val="111111"/>
          <w:sz w:val="28"/>
          <w:szCs w:val="28"/>
          <w:rtl w:val="true"/>
          <w:lang w:bidi="ar-SA"/>
        </w:rPr>
        <w:t xml:space="preserve">. </w:t>
      </w:r>
      <w:bookmarkStart w:id="480" w:name="pg9015_97593"/>
    </w:p>
    <w:p>
      <w:pPr>
        <w:pStyle w:val="Heading2"/>
        <w:numPr>
          <w:ilvl w:val="1"/>
          <w:numId w:val="1"/>
        </w:numPr>
        <w:rPr/>
      </w:pPr>
      <w:bookmarkStart w:id="481" w:name="__RefHeading___Toc2001671_2870459653"/>
      <w:bookmarkStart w:id="482" w:name="_Toc185"/>
      <w:bookmarkEnd w:id="480"/>
      <w:bookmarkEnd w:id="481"/>
      <w:r>
        <w:rPr>
          <w:rtl w:val="true"/>
        </w:rPr>
        <w:t xml:space="preserve">أصل </w:t>
      </w:r>
      <w:r>
        <w:rPr>
          <w:rtl w:val="true"/>
        </w:rPr>
        <w:t>[</w:t>
      </w:r>
      <w:r>
        <w:rPr>
          <w:rtl w:val="true"/>
        </w:rPr>
        <w:t>في كيفية العموم المستفاد من المطلق</w:t>
      </w:r>
      <w:r>
        <w:rPr>
          <w:rtl w:val="true"/>
        </w:rPr>
        <w:t>]</w:t>
      </w:r>
      <w:bookmarkEnd w:id="482"/>
    </w:p>
    <w:p>
      <w:pPr>
        <w:pStyle w:val="BookText"/>
        <w:rPr/>
      </w:pPr>
      <w:r>
        <w:rPr>
          <w:rFonts w:ascii="Amiri" w:hAnsi="Amiri" w:eastAsia="Amiri" w:cs="Amiri"/>
          <w:color w:val="111111"/>
          <w:sz w:val="28"/>
          <w:sz w:val="28"/>
          <w:szCs w:val="28"/>
          <w:rtl w:val="true"/>
          <w:lang w:bidi="ar-SA"/>
        </w:rPr>
        <w:t>العموم المستفاد من المطلق بدلياً و</w:t>
      </w:r>
      <w:r>
        <w:rPr>
          <w:rStyle w:val="FootnoteAnchor"/>
          <w:rtl w:val="true"/>
        </w:rPr>
        <w:footnoteReference w:id="1287"/>
      </w:r>
      <w:r>
        <w:rPr>
          <w:rFonts w:ascii="Amiri" w:hAnsi="Amiri" w:eastAsia="Amiri" w:cs="Amiri"/>
          <w:color w:val="111111"/>
          <w:sz w:val="28"/>
          <w:sz w:val="28"/>
          <w:szCs w:val="28"/>
          <w:rtl w:val="true"/>
          <w:lang w:bidi="ar-SA"/>
        </w:rPr>
        <w:t>استغراقياً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افرادي</w:t>
      </w:r>
      <w:r>
        <w:rPr>
          <w:rStyle w:val="FootnoteAnchor"/>
          <w:rtl w:val="true"/>
        </w:rPr>
        <w:footnoteReference w:id="1288"/>
      </w:r>
      <w:r>
        <w:rPr>
          <w:rFonts w:ascii="Amiri" w:hAnsi="Amiri" w:eastAsia="Amiri" w:cs="Amiri"/>
          <w:color w:val="111111"/>
          <w:sz w:val="28"/>
          <w:sz w:val="28"/>
          <w:szCs w:val="28"/>
          <w:rtl w:val="true"/>
          <w:lang w:bidi="ar-SA"/>
        </w:rPr>
        <w:t>أو تركيبي</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والأصح</w:t>
      </w:r>
      <w:r>
        <w:rPr>
          <w:rStyle w:val="FootnoteAnchor"/>
          <w:rtl w:val="true"/>
        </w:rPr>
        <w:footnoteReference w:id="1290"/>
      </w:r>
      <w:r>
        <w:rPr>
          <w:rFonts w:ascii="Amiri" w:hAnsi="Amiri" w:eastAsia="Amiri" w:cs="Amiri"/>
          <w:color w:val="111111"/>
          <w:sz w:val="28"/>
          <w:sz w:val="28"/>
          <w:szCs w:val="28"/>
          <w:rtl w:val="true"/>
          <w:lang w:bidi="ar-SA"/>
        </w:rPr>
        <w:t>أن من شرط حمله عليه التواطؤ وعدم الورود مورد بيان حكم آخر</w:t>
      </w:r>
      <w:r>
        <w:rPr>
          <w:rStyle w:val="FootnoteAnchor"/>
          <w:rtl w:val="true"/>
        </w:rPr>
        <w:footnoteReference w:id="1291"/>
      </w:r>
      <w:r>
        <w:rPr>
          <w:rFonts w:ascii="Amiri" w:hAnsi="Amiri" w:eastAsia="Amiri" w:cs="Amiri"/>
          <w:color w:val="111111"/>
          <w:sz w:val="28"/>
          <w:sz w:val="28"/>
          <w:szCs w:val="28"/>
          <w:rtl w:val="true"/>
          <w:lang w:bidi="ar-SA"/>
        </w:rPr>
        <w:t>، فلو لم يكن متواطئاً انصرف إلى الفرد الشائع</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كون الحمل على الشائع</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لأجل النقل، أو الاشتراك اللفظي الموجب للحمل على أشهر المعنيين أو المجاز المشهور، أو لأنه القدر المتيقن، أو لأجل كون الشهرة قرينة مفهمة، أو التفصيل بين المضر</w:t>
      </w:r>
      <w:r>
        <w:rPr>
          <w:rStyle w:val="FootnoteAnchor"/>
          <w:rtl w:val="true"/>
        </w:rPr>
        <w:footnoteReference w:id="1293"/>
      </w:r>
      <w:r>
        <w:rPr>
          <w:rFonts w:ascii="Amiri" w:hAnsi="Amiri" w:eastAsia="Amiri" w:cs="Amiri"/>
          <w:color w:val="111111"/>
          <w:sz w:val="28"/>
          <w:sz w:val="28"/>
          <w:szCs w:val="28"/>
          <w:rtl w:val="true"/>
          <w:lang w:bidi="ar-SA"/>
        </w:rPr>
        <w:t>الإجمالي فالرابع، ومبيّن العدم فالأخير ،وجوه أقربها الأخير؛ للعرف</w:t>
      </w:r>
      <w:r>
        <w:rPr>
          <w:rFonts w:eastAsia="Amiri" w:cs="Amiri" w:ascii="Amiri" w:hAnsi="Amiri"/>
          <w:color w:val="111111"/>
          <w:sz w:val="28"/>
          <w:szCs w:val="28"/>
          <w:rtl w:val="true"/>
          <w:lang w:bidi="ar-SA"/>
        </w:rPr>
        <w:t>.</w:t>
      </w:r>
      <w:r>
        <w:rPr>
          <w:rStyle w:val="FootnoteAnchor"/>
          <w:rtl w:val="true"/>
        </w:rPr>
        <w:footnoteReference w:id="1294"/>
      </w:r>
      <w:bookmarkStart w:id="483" w:name="pg9015_97594"/>
    </w:p>
    <w:p>
      <w:pPr>
        <w:pStyle w:val="Heading2"/>
        <w:numPr>
          <w:ilvl w:val="1"/>
          <w:numId w:val="1"/>
        </w:numPr>
        <w:rPr/>
      </w:pPr>
      <w:bookmarkStart w:id="484" w:name="__RefHeading___Toc2001673_2870459653"/>
      <w:bookmarkStart w:id="485" w:name="_Toc186"/>
      <w:bookmarkEnd w:id="483"/>
      <w:bookmarkEnd w:id="484"/>
      <w:r>
        <w:rPr>
          <w:rtl w:val="true"/>
        </w:rPr>
        <w:t xml:space="preserve">أصل </w:t>
      </w:r>
      <w:r>
        <w:rPr>
          <w:rtl w:val="true"/>
        </w:rPr>
        <w:t>[</w:t>
      </w:r>
      <w:r>
        <w:rPr>
          <w:rtl w:val="true"/>
        </w:rPr>
        <w:t>في أقسام التشكيك</w:t>
      </w:r>
      <w:r>
        <w:rPr>
          <w:rtl w:val="true"/>
        </w:rPr>
        <w:t>]</w:t>
      </w:r>
      <w:bookmarkEnd w:id="485"/>
    </w:p>
    <w:p>
      <w:pPr>
        <w:pStyle w:val="BookText"/>
        <w:rPr/>
      </w:pPr>
      <w:r>
        <w:rPr>
          <w:rFonts w:ascii="Amiri" w:hAnsi="Amiri" w:eastAsia="Amiri" w:cs="Amiri"/>
          <w:color w:val="111111"/>
          <w:sz w:val="28"/>
          <w:sz w:val="28"/>
          <w:szCs w:val="28"/>
          <w:rtl w:val="true"/>
          <w:lang w:bidi="ar-SA"/>
        </w:rPr>
        <w:t xml:space="preserve">التشكيك قد يحصل من غلبة الوجود، وقد يحصل من غلبة الاستعمال، ومع التعارض </w:t>
      </w:r>
      <w:r>
        <w:rPr>
          <w:rStyle w:val="FootnoteAnchor"/>
          <w:rtl w:val="true"/>
        </w:rPr>
        <w:footnoteReference w:id="1295"/>
      </w:r>
      <w:r>
        <w:rPr>
          <w:rFonts w:ascii="Amiri" w:hAnsi="Amiri" w:eastAsia="Amiri" w:cs="Amiri"/>
          <w:color w:val="111111"/>
          <w:sz w:val="28"/>
          <w:sz w:val="28"/>
          <w:szCs w:val="28"/>
          <w:rtl w:val="true"/>
          <w:lang w:bidi="ar-SA"/>
        </w:rPr>
        <w:t>ففي تقديم أيهما وجهان، والمرجع العرف</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التشكيك من موانع ظهور اللفظ في الجميع، أو عدمه جزء المقتضي، أو شرطه؟ احتمالات أقربها الأول، كما يساعده العرف، فمتى شك في التواطؤ والتشكيك فالأصل التواطؤ </w:t>
      </w:r>
      <w:r>
        <w:rPr>
          <w:rFonts w:eastAsia="Amiri" w:cs="Amiri" w:ascii="Amiri" w:hAnsi="Amiri"/>
          <w:color w:val="111111"/>
          <w:sz w:val="28"/>
          <w:szCs w:val="28"/>
          <w:rtl w:val="true"/>
          <w:lang w:bidi="ar-SA"/>
        </w:rPr>
        <w:t>.</w:t>
      </w:r>
      <w:r>
        <w:rPr>
          <w:rStyle w:val="FootnoteAnchor"/>
          <w:rtl w:val="true"/>
        </w:rPr>
        <w:footnoteReference w:id="1296"/>
      </w:r>
      <w:bookmarkStart w:id="486" w:name="pg9015_97595"/>
    </w:p>
    <w:p>
      <w:pPr>
        <w:pStyle w:val="Heading2"/>
        <w:numPr>
          <w:ilvl w:val="1"/>
          <w:numId w:val="1"/>
        </w:numPr>
        <w:rPr/>
      </w:pPr>
      <w:bookmarkStart w:id="487" w:name="__RefHeading___Toc2001675_2870459653"/>
      <w:bookmarkStart w:id="488" w:name="_Toc187"/>
      <w:bookmarkEnd w:id="486"/>
      <w:bookmarkEnd w:id="487"/>
      <w:r>
        <w:rPr>
          <w:rtl w:val="true"/>
        </w:rPr>
        <w:t xml:space="preserve">أصل </w:t>
      </w:r>
      <w:r>
        <w:rPr>
          <w:rtl w:val="true"/>
        </w:rPr>
        <w:t>[</w:t>
      </w:r>
      <w:r>
        <w:rPr>
          <w:rtl w:val="true"/>
        </w:rPr>
        <w:t>في حمل المطلق على المقيد</w:t>
      </w:r>
      <w:r>
        <w:rPr>
          <w:rtl w:val="true"/>
        </w:rPr>
        <w:t>]</w:t>
      </w:r>
      <w:bookmarkEnd w:id="488"/>
    </w:p>
    <w:p>
      <w:pPr>
        <w:pStyle w:val="BookText"/>
        <w:rPr/>
      </w:pPr>
      <w:r>
        <w:rPr>
          <w:rFonts w:ascii="Amiri" w:hAnsi="Amiri" w:eastAsia="Amiri" w:cs="Amiri"/>
          <w:color w:val="111111"/>
          <w:sz w:val="28"/>
          <w:sz w:val="28"/>
          <w:szCs w:val="28"/>
          <w:rtl w:val="true"/>
          <w:lang w:bidi="ar-SA"/>
        </w:rPr>
        <w:t>إذا ورد مطلق ومقيّد ، فله</w:t>
      </w:r>
      <w:r>
        <w:rPr>
          <w:rStyle w:val="FootnoteAnchor"/>
          <w:rtl w:val="true"/>
        </w:rPr>
        <w:footnoteReference w:id="1297"/>
      </w:r>
      <w:r>
        <w:rPr>
          <w:rFonts w:ascii="Amiri" w:hAnsi="Amiri" w:eastAsia="Amiri" w:cs="Amiri"/>
          <w:color w:val="111111"/>
          <w:sz w:val="28"/>
          <w:sz w:val="28"/>
          <w:szCs w:val="28"/>
          <w:rtl w:val="true"/>
          <w:lang w:bidi="ar-SA"/>
        </w:rPr>
        <w:t xml:space="preserve">من حيث اتحاد متعلق الحكم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واختلافه، واتحاد موجب الحكم وتعدده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والإثبات والنفي</w:t>
      </w:r>
      <w:r>
        <w:rPr>
          <w:rFonts w:eastAsia="Amiri" w:cs="Amiri" w:ascii="Amiri" w:hAnsi="Amiri"/>
          <w:color w:val="111111"/>
          <w:sz w:val="28"/>
          <w:szCs w:val="28"/>
          <w:rtl w:val="true"/>
          <w:lang w:bidi="ar-SA"/>
        </w:rPr>
        <w:t>)</w:t>
      </w:r>
      <w:r>
        <w:rPr>
          <w:rStyle w:val="FootnoteAnchor"/>
          <w:rtl w:val="true"/>
        </w:rPr>
        <w:footnoteReference w:id="1298"/>
      </w:r>
      <w:r>
        <w:rPr>
          <w:rFonts w:ascii="Amiri" w:hAnsi="Amiri" w:eastAsia="Amiri" w:cs="Amiri"/>
          <w:color w:val="111111"/>
          <w:sz w:val="28"/>
          <w:sz w:val="28"/>
          <w:szCs w:val="28"/>
          <w:rtl w:val="true"/>
          <w:lang w:bidi="ar-SA"/>
        </w:rPr>
        <w:t>فيهما والاختلاف، وكون الحكم فيها</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إيجاباً ، أم ندباً، أم غيرهما من الأحكام التكليفية أو الوضعية، والعلم بتاريخ الصدور والجهل ،به صور كثيرة تزيد على مئتين</w:t>
      </w:r>
      <w:r>
        <w:rPr>
          <w:rFonts w:eastAsia="Amiri" w:cs="Amiri" w:ascii="Amiri" w:hAnsi="Amiri"/>
          <w:color w:val="111111"/>
          <w:sz w:val="28"/>
          <w:szCs w:val="28"/>
          <w:rtl w:val="true"/>
          <w:lang w:bidi="ar-SA"/>
        </w:rPr>
        <w:t>.</w:t>
      </w:r>
      <w:r>
        <w:rPr>
          <w:rStyle w:val="FootnoteAnchor"/>
          <w:rtl w:val="true"/>
        </w:rPr>
        <w:footnoteReference w:id="130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والمعيار في الجميع من حيث حمل المطلق على المقيّد وعدمه، فهم العرف، والتبادر، ما لم يرد دليل الخلاف، وفيما يحمل عليه يجعل بياناً لا ناسخاً، إلّا إذا ورد المقيّد</w:t>
      </w:r>
      <w:r>
        <w:rPr>
          <w:rStyle w:val="FootnoteAnchor"/>
          <w:rtl w:val="true"/>
        </w:rPr>
        <w:footnoteReference w:id="1301"/>
      </w:r>
      <w:r>
        <w:rPr>
          <w:rFonts w:ascii="IRNazanin" w:hAnsi="IRNazanin" w:eastAsia="IRNazanin"/>
          <w:color w:val="111111"/>
          <w:sz w:val="28"/>
          <w:sz w:val="28"/>
          <w:szCs w:val="28"/>
          <w:rtl w:val="true"/>
          <w:lang w:bidi="fa-IR"/>
        </w:rPr>
        <w:t>بعد حضور زمان العمل بالمطلق</w:t>
      </w:r>
      <w:r>
        <w:rPr>
          <w:rFonts w:eastAsia="IRNazanin" w:cs="IRNazanin"/>
          <w:color w:val="111111"/>
          <w:sz w:val="28"/>
          <w:szCs w:val="28"/>
          <w:rtl w:val="true"/>
          <w:lang w:bidi="fa-IR"/>
        </w:rPr>
        <w:t>.</w:t>
      </w:r>
      <w:r>
        <w:rPr>
          <w:rStyle w:val="FootnoteAnchor"/>
          <w:rtl w:val="true"/>
        </w:rPr>
        <w:footnoteReference w:id="1302"/>
      </w:r>
      <w:r>
        <w:rPr>
          <w:rStyle w:val="FootnoteAnchor"/>
          <w:rtl w:val="true"/>
        </w:rPr>
        <w:footnoteReference w:id="1303"/>
      </w:r>
      <w:bookmarkStart w:id="489" w:name="pg9015_97596"/>
    </w:p>
    <w:p>
      <w:pPr>
        <w:pStyle w:val="Heading2"/>
        <w:numPr>
          <w:ilvl w:val="1"/>
          <w:numId w:val="1"/>
        </w:numPr>
        <w:rPr/>
      </w:pPr>
      <w:bookmarkStart w:id="490" w:name="__RefHeading___Toc2001677_2870459653"/>
      <w:bookmarkStart w:id="491" w:name="_Toc188"/>
      <w:bookmarkEnd w:id="489"/>
      <w:bookmarkEnd w:id="490"/>
      <w:r>
        <w:rPr>
          <w:rtl w:val="true"/>
        </w:rPr>
        <w:t xml:space="preserve">أصل </w:t>
      </w:r>
      <w:r>
        <w:rPr>
          <w:rtl w:val="true"/>
        </w:rPr>
        <w:t>[</w:t>
      </w:r>
      <w:r>
        <w:rPr>
          <w:rtl w:val="true"/>
        </w:rPr>
        <w:t>في تعريف المجمل</w:t>
      </w:r>
      <w:r>
        <w:rPr>
          <w:rtl w:val="true"/>
        </w:rPr>
        <w:t>]</w:t>
      </w:r>
      <w:bookmarkEnd w:id="491"/>
    </w:p>
    <w:p>
      <w:pPr>
        <w:pStyle w:val="BookText"/>
        <w:rPr/>
      </w:pPr>
      <w:r>
        <w:rPr>
          <w:rFonts w:ascii="Amiri" w:hAnsi="Amiri" w:eastAsia="Amiri" w:cs="Amiri"/>
          <w:color w:val="111111"/>
          <w:sz w:val="28"/>
          <w:sz w:val="28"/>
          <w:szCs w:val="28"/>
          <w:rtl w:val="true"/>
          <w:lang w:bidi="ar-SA"/>
        </w:rPr>
        <w:t>المجمل اصطلاحاً ما يحتمل وجهين فصاعداً، احتمالاً مساوياً</w:t>
      </w:r>
      <w:r>
        <w:rPr>
          <w:rStyle w:val="FootnoteAnchor"/>
          <w:rtl w:val="true"/>
        </w:rPr>
        <w:footnoteReference w:id="1304"/>
      </w:r>
      <w:r>
        <w:rPr>
          <w:rFonts w:ascii="Amiri" w:hAnsi="Amiri" w:eastAsia="Amiri" w:cs="Amiri"/>
          <w:color w:val="111111"/>
          <w:sz w:val="28"/>
          <w:sz w:val="28"/>
          <w:szCs w:val="28"/>
          <w:rtl w:val="true"/>
          <w:lang w:bidi="ar-SA"/>
        </w:rPr>
        <w:t xml:space="preserve">، وهو قد يكون فعلاً </w:t>
      </w:r>
      <w:r>
        <w:rPr>
          <w:rStyle w:val="FootnoteAnchor"/>
          <w:rtl w:val="true"/>
        </w:rPr>
        <w:footnoteReference w:id="1305"/>
      </w:r>
      <w:r>
        <w:rPr>
          <w:rFonts w:ascii="Amiri" w:hAnsi="Amiri" w:eastAsia="Amiri" w:cs="Amiri"/>
          <w:color w:val="111111"/>
          <w:sz w:val="28"/>
          <w:sz w:val="28"/>
          <w:szCs w:val="28"/>
          <w:rtl w:val="true"/>
          <w:lang w:bidi="ar-SA"/>
        </w:rPr>
        <w:t>، أو تركاً</w:t>
      </w:r>
      <w:r>
        <w:rPr>
          <w:rStyle w:val="FootnoteAnchor"/>
          <w:rtl w:val="true"/>
        </w:rPr>
        <w:footnoteReference w:id="1306"/>
      </w:r>
      <w:r>
        <w:rPr>
          <w:rFonts w:ascii="Amiri" w:hAnsi="Amiri" w:eastAsia="Amiri" w:cs="Amiri"/>
          <w:color w:val="111111"/>
          <w:sz w:val="28"/>
          <w:sz w:val="28"/>
          <w:szCs w:val="28"/>
          <w:rtl w:val="true"/>
          <w:lang w:bidi="ar-SA"/>
        </w:rPr>
        <w:t>، أو تقريراً</w:t>
      </w:r>
      <w:r>
        <w:rPr>
          <w:rStyle w:val="FootnoteAnchor"/>
          <w:rtl w:val="true"/>
        </w:rPr>
        <w:footnoteReference w:id="1307"/>
      </w:r>
      <w:r>
        <w:rPr>
          <w:rFonts w:ascii="Amiri" w:hAnsi="Amiri" w:eastAsia="Amiri" w:cs="Amiri"/>
          <w:color w:val="111111"/>
          <w:sz w:val="28"/>
          <w:sz w:val="28"/>
          <w:szCs w:val="28"/>
          <w:rtl w:val="true"/>
          <w:lang w:bidi="ar-SA"/>
        </w:rPr>
        <w:t>، أو قولاً مفرداً، كما يتصور في المشترك اللفظي</w:t>
      </w:r>
      <w:r>
        <w:rPr>
          <w:rStyle w:val="FootnoteAnchor"/>
          <w:rtl w:val="true"/>
        </w:rPr>
        <w:footnoteReference w:id="1308"/>
      </w:r>
      <w:r>
        <w:rPr>
          <w:rFonts w:ascii="Amiri" w:hAnsi="Amiri" w:eastAsia="Amiri" w:cs="Amiri"/>
          <w:color w:val="111111"/>
          <w:sz w:val="28"/>
          <w:sz w:val="28"/>
          <w:szCs w:val="28"/>
          <w:rtl w:val="true"/>
          <w:lang w:bidi="ar-SA"/>
        </w:rPr>
        <w:t>، وفي المعتل</w:t>
      </w:r>
      <w:r>
        <w:rPr>
          <w:rStyle w:val="FootnoteAnchor"/>
          <w:rtl w:val="true"/>
        </w:rPr>
        <w:footnoteReference w:id="1309"/>
      </w:r>
      <w:r>
        <w:rPr>
          <w:rFonts w:ascii="Amiri" w:hAnsi="Amiri" w:eastAsia="Amiri" w:cs="Amiri"/>
          <w:color w:val="111111"/>
          <w:sz w:val="28"/>
          <w:sz w:val="28"/>
          <w:szCs w:val="28"/>
          <w:rtl w:val="true"/>
          <w:lang w:bidi="ar-SA"/>
        </w:rPr>
        <w:t>، وفي</w:t>
      </w:r>
      <w:r>
        <w:rPr>
          <w:rStyle w:val="FootnoteAnchor"/>
          <w:rtl w:val="true"/>
        </w:rPr>
        <w:footnoteReference w:id="1310"/>
      </w:r>
      <w:r>
        <w:rPr>
          <w:rFonts w:ascii="IRNazanin" w:hAnsi="IRNazanin" w:eastAsia="IRNazanin"/>
          <w:color w:val="111111"/>
          <w:sz w:val="28"/>
          <w:sz w:val="28"/>
          <w:szCs w:val="28"/>
          <w:rtl w:val="true"/>
          <w:lang w:bidi="fa-IR"/>
        </w:rPr>
        <w:t>مثل الضمائر</w:t>
      </w:r>
      <w:r>
        <w:rPr>
          <w:rStyle w:val="FootnoteAnchor"/>
          <w:rtl w:val="true"/>
        </w:rPr>
        <w:footnoteReference w:id="1311"/>
      </w:r>
      <w:r>
        <w:rPr>
          <w:rFonts w:ascii="Amiri" w:hAnsi="Amiri" w:eastAsia="Amiri" w:cs="Amiri"/>
          <w:color w:val="111111"/>
          <w:sz w:val="28"/>
          <w:sz w:val="28"/>
          <w:szCs w:val="28"/>
          <w:rtl w:val="true"/>
          <w:lang w:bidi="ar-SA"/>
        </w:rPr>
        <w:t>، والمشترك المعنوي</w:t>
      </w:r>
      <w:r>
        <w:rPr>
          <w:rStyle w:val="FootnoteAnchor"/>
          <w:rtl w:val="true"/>
        </w:rPr>
        <w:footnoteReference w:id="1312"/>
      </w:r>
      <w:r>
        <w:rPr>
          <w:rFonts w:ascii="IRNazanin" w:hAnsi="IRNazanin" w:eastAsia="IRNazanin"/>
          <w:color w:val="111111"/>
          <w:sz w:val="28"/>
          <w:sz w:val="28"/>
          <w:szCs w:val="28"/>
          <w:rtl w:val="true"/>
          <w:lang w:bidi="fa-IR"/>
        </w:rPr>
        <w:t xml:space="preserve">، والمجاز المتعدد </w:t>
      </w:r>
      <w:r>
        <w:rPr>
          <w:rStyle w:val="FootnoteAnchor"/>
          <w:rtl w:val="true"/>
        </w:rPr>
        <w:footnoteReference w:id="1313"/>
      </w:r>
      <w:r>
        <w:rPr>
          <w:rFonts w:ascii="Amiri" w:hAnsi="Amiri" w:eastAsia="Amiri" w:cs="Amiri"/>
          <w:color w:val="111111"/>
          <w:sz w:val="28"/>
          <w:sz w:val="28"/>
          <w:szCs w:val="28"/>
          <w:rtl w:val="true"/>
          <w:lang w:bidi="ar-SA"/>
        </w:rPr>
        <w:t>، أو مركباً تسبب إجماله من التركيب</w:t>
      </w:r>
      <w:r>
        <w:rPr>
          <w:rStyle w:val="FootnoteAnchor"/>
          <w:rtl w:val="true"/>
        </w:rPr>
        <w:footnoteReference w:id="1314"/>
      </w:r>
      <w:r>
        <w:rPr>
          <w:rFonts w:ascii="IRNazanin" w:hAnsi="IRNazanin" w:eastAsia="IRNazanin"/>
          <w:color w:val="111111"/>
          <w:sz w:val="28"/>
          <w:sz w:val="28"/>
          <w:szCs w:val="28"/>
          <w:rtl w:val="true"/>
          <w:lang w:bidi="fa-IR"/>
        </w:rPr>
        <w:t>، أو من المفردات</w:t>
      </w:r>
      <w:r>
        <w:rPr>
          <w:rFonts w:eastAsia="IRNazanin" w:cs="IRNazanin"/>
          <w:color w:val="111111"/>
          <w:sz w:val="28"/>
          <w:szCs w:val="28"/>
          <w:rtl w:val="true"/>
          <w:lang w:bidi="fa-IR"/>
        </w:rPr>
        <w:t>.</w:t>
      </w:r>
      <w:r>
        <w:rPr>
          <w:rStyle w:val="FootnoteAnchor"/>
          <w:rtl w:val="true"/>
        </w:rPr>
        <w:footnoteReference w:id="131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والنسبة بين المجمل المفرد والمركب عموم من وجه</w:t>
      </w:r>
      <w:r>
        <w:rPr>
          <w:rStyle w:val="FootnoteAnchor"/>
          <w:rtl w:val="true"/>
        </w:rPr>
        <w:footnoteReference w:id="1316"/>
      </w:r>
      <w:r>
        <w:rPr>
          <w:rFonts w:ascii="Amiri" w:hAnsi="Amiri" w:eastAsia="Amiri" w:cs="Amiri"/>
          <w:color w:val="111111"/>
          <w:sz w:val="28"/>
          <w:sz w:val="28"/>
          <w:szCs w:val="28"/>
          <w:rtl w:val="true"/>
          <w:lang w:bidi="ar-SA"/>
        </w:rPr>
        <w:t xml:space="preserve">، وفي جواز صدور </w:t>
      </w:r>
      <w:bookmarkStart w:id="492" w:name="pg9015_97597"/>
    </w:p>
    <w:p>
      <w:pPr>
        <w:pStyle w:val="BookText"/>
        <w:rPr/>
      </w:pPr>
      <w:bookmarkEnd w:id="492"/>
      <w:r>
        <w:rPr>
          <w:rFonts w:ascii="Amiri" w:hAnsi="Amiri" w:eastAsia="Amiri" w:cs="Amiri"/>
          <w:color w:val="111111"/>
          <w:sz w:val="28"/>
          <w:sz w:val="28"/>
          <w:szCs w:val="28"/>
          <w:rtl w:val="true"/>
          <w:lang w:bidi="ar-SA"/>
        </w:rPr>
        <w:t>المجمل الذاتي</w:t>
      </w:r>
      <w:r>
        <w:rPr>
          <w:rStyle w:val="FootnoteAnchor"/>
          <w:rtl w:val="true"/>
        </w:rPr>
        <w:footnoteReference w:id="1317"/>
      </w:r>
      <w:r>
        <w:rPr>
          <w:rFonts w:ascii="Amiri" w:hAnsi="Amiri" w:eastAsia="Amiri" w:cs="Amiri"/>
          <w:color w:val="111111"/>
          <w:sz w:val="28"/>
          <w:sz w:val="28"/>
          <w:szCs w:val="28"/>
          <w:rtl w:val="true"/>
          <w:lang w:bidi="ar-SA"/>
        </w:rPr>
        <w:t>من الشارع في مقام بيان الأحكام وجهان</w:t>
      </w:r>
      <w:r>
        <w:rPr>
          <w:rFonts w:eastAsia="Amiri" w:cs="Amiri" w:ascii="Amiri" w:hAnsi="Amiri"/>
          <w:color w:val="111111"/>
          <w:sz w:val="28"/>
          <w:szCs w:val="28"/>
          <w:rtl w:val="true"/>
          <w:lang w:bidi="ar-SA"/>
        </w:rPr>
        <w:t>.</w:t>
      </w:r>
      <w:r>
        <w:rPr>
          <w:rStyle w:val="FootnoteAnchor"/>
          <w:rtl w:val="true"/>
        </w:rPr>
        <w:footnoteReference w:id="1318"/>
      </w:r>
    </w:p>
    <w:p>
      <w:pPr>
        <w:pStyle w:val="Heading2"/>
        <w:numPr>
          <w:ilvl w:val="1"/>
          <w:numId w:val="1"/>
        </w:numPr>
        <w:rPr/>
      </w:pPr>
      <w:bookmarkStart w:id="493" w:name="__RefHeading___Toc2001679_2870459653"/>
      <w:bookmarkStart w:id="494" w:name="_Toc189"/>
      <w:bookmarkEnd w:id="493"/>
      <w:r>
        <w:rPr>
          <w:rtl w:val="true"/>
        </w:rPr>
        <w:t xml:space="preserve">أصل </w:t>
      </w:r>
      <w:r>
        <w:rPr>
          <w:rtl w:val="true"/>
        </w:rPr>
        <w:t>[</w:t>
      </w:r>
      <w:r>
        <w:rPr>
          <w:rtl w:val="true"/>
        </w:rPr>
        <w:t>في توارد المجمل والمبين</w:t>
      </w:r>
      <w:r>
        <w:rPr>
          <w:rtl w:val="true"/>
        </w:rPr>
        <w:t>]</w:t>
      </w:r>
      <w:bookmarkEnd w:id="49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ورد مجمل ومبيّن فلا حمل مع اختلاف محلهما</w:t>
      </w:r>
      <w:r>
        <w:rPr>
          <w:rStyle w:val="FootnoteAnchor"/>
          <w:rtl w:val="true"/>
        </w:rPr>
        <w:footnoteReference w:id="1319"/>
      </w:r>
      <w:r>
        <w:rPr>
          <w:rFonts w:ascii="Amiri" w:hAnsi="Amiri" w:eastAsia="Amiri" w:cs="Amiri"/>
          <w:color w:val="111111"/>
          <w:sz w:val="28"/>
          <w:sz w:val="28"/>
          <w:szCs w:val="28"/>
          <w:rtl w:val="true"/>
          <w:lang w:bidi="ar-SA"/>
        </w:rPr>
        <w:t>، أو حكمها، أو سببهما</w:t>
      </w:r>
      <w:r>
        <w:rPr>
          <w:rStyle w:val="FootnoteAnchor"/>
          <w:rtl w:val="true"/>
        </w:rPr>
        <w:footnoteReference w:id="1320"/>
      </w:r>
      <w:r>
        <w:rPr>
          <w:rFonts w:ascii="IRNazanin" w:hAnsi="IRNazanin" w:eastAsia="IRNazanin"/>
          <w:color w:val="111111"/>
          <w:sz w:val="28"/>
          <w:sz w:val="28"/>
          <w:szCs w:val="28"/>
          <w:rtl w:val="true"/>
          <w:lang w:bidi="fa-IR"/>
        </w:rPr>
        <w:t>، واذا اتحد</w:t>
      </w:r>
      <w:r>
        <w:rPr>
          <w:rStyle w:val="FootnoteAnchor"/>
          <w:rtl w:val="true"/>
        </w:rPr>
        <w:footnoteReference w:id="1321"/>
      </w:r>
      <w:r>
        <w:rPr>
          <w:rFonts w:ascii="Amiri" w:hAnsi="Amiri" w:eastAsia="Amiri" w:cs="Amiri"/>
          <w:color w:val="111111"/>
          <w:sz w:val="28"/>
          <w:sz w:val="28"/>
          <w:szCs w:val="28"/>
          <w:rtl w:val="true"/>
          <w:lang w:bidi="ar-SA"/>
        </w:rPr>
        <w:t>المحلّ والسبب ومتعلق الحكم حمل المجمل على المبين</w:t>
      </w:r>
      <w:r>
        <w:rPr>
          <w:rStyle w:val="FootnoteAnchor"/>
          <w:rtl w:val="true"/>
        </w:rPr>
        <w:footnoteReference w:id="1322"/>
      </w:r>
      <w:r>
        <w:rPr>
          <w:rFonts w:ascii="Amiri" w:hAnsi="Amiri" w:eastAsia="Amiri" w:cs="Amiri"/>
          <w:color w:val="111111"/>
          <w:sz w:val="28"/>
          <w:sz w:val="28"/>
          <w:szCs w:val="28"/>
          <w:rtl w:val="true"/>
          <w:lang w:bidi="ar-SA"/>
        </w:rPr>
        <w:t xml:space="preserve">، كل ذلك للعرف ؛ واذا كان للفظ </w:t>
      </w:r>
      <w:r>
        <w:rPr>
          <w:rStyle w:val="FootnoteAnchor"/>
          <w:rtl w:val="true"/>
        </w:rPr>
        <w:footnoteReference w:id="1323"/>
      </w:r>
      <w:r>
        <w:rPr>
          <w:rFonts w:ascii="Amiri" w:hAnsi="Amiri" w:eastAsia="Amiri" w:cs="Amiri"/>
          <w:color w:val="111111"/>
          <w:sz w:val="28"/>
          <w:sz w:val="28"/>
          <w:szCs w:val="28"/>
          <w:rtl w:val="true"/>
          <w:lang w:bidi="ar-SA"/>
        </w:rPr>
        <w:t>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مجمل، والآخر مبيّن</w:t>
      </w:r>
      <w:r>
        <w:rPr>
          <w:rStyle w:val="FootnoteAnchor"/>
          <w:rtl w:val="true"/>
        </w:rPr>
        <w:footnoteReference w:id="1324"/>
      </w:r>
      <w:r>
        <w:rPr>
          <w:rFonts w:ascii="Amiri" w:hAnsi="Amiri" w:eastAsia="Amiri" w:cs="Amiri"/>
          <w:color w:val="111111"/>
          <w:sz w:val="28"/>
          <w:sz w:val="28"/>
          <w:szCs w:val="28"/>
          <w:rtl w:val="true"/>
          <w:lang w:bidi="ar-SA"/>
        </w:rPr>
        <w:t>ولا قرينة، ففي حمله على الأخير للغلبة، وجهان</w:t>
      </w:r>
      <w:r>
        <w:rPr>
          <w:rFonts w:eastAsia="Amiri" w:cs="Amiri" w:ascii="Amiri" w:hAnsi="Amiri"/>
          <w:color w:val="111111"/>
          <w:sz w:val="28"/>
          <w:szCs w:val="28"/>
          <w:rtl w:val="true"/>
          <w:lang w:bidi="ar-SA"/>
        </w:rPr>
        <w:t xml:space="preserve">. </w:t>
      </w:r>
      <w:bookmarkStart w:id="495" w:name="pg9015_97598"/>
    </w:p>
    <w:p>
      <w:pPr>
        <w:pStyle w:val="Heading2"/>
        <w:numPr>
          <w:ilvl w:val="1"/>
          <w:numId w:val="1"/>
        </w:numPr>
        <w:rPr/>
      </w:pPr>
      <w:bookmarkStart w:id="496" w:name="__RefHeading___Toc2001681_2870459653"/>
      <w:bookmarkStart w:id="497" w:name="_Toc190"/>
      <w:bookmarkEnd w:id="495"/>
      <w:bookmarkEnd w:id="496"/>
      <w:r>
        <w:rPr>
          <w:rtl w:val="true"/>
        </w:rPr>
        <w:t xml:space="preserve">أصل </w:t>
      </w:r>
      <w:r>
        <w:rPr>
          <w:rtl w:val="true"/>
        </w:rPr>
        <w:t>[</w:t>
      </w:r>
      <w:r>
        <w:rPr>
          <w:rtl w:val="true"/>
        </w:rPr>
        <w:t>في تعريف المبين وعدم تأخير البيان عن وقت الحاجة</w:t>
      </w:r>
      <w:r>
        <w:rPr>
          <w:rtl w:val="true"/>
        </w:rPr>
        <w:t>]</w:t>
      </w:r>
      <w:bookmarkEnd w:id="497"/>
    </w:p>
    <w:p>
      <w:pPr>
        <w:pStyle w:val="BookText"/>
        <w:rPr/>
      </w:pPr>
      <w:r>
        <w:rPr>
          <w:rFonts w:ascii="Amiri" w:hAnsi="Amiri" w:eastAsia="Amiri" w:cs="Amiri"/>
          <w:color w:val="111111"/>
          <w:sz w:val="28"/>
          <w:sz w:val="28"/>
          <w:szCs w:val="28"/>
          <w:rtl w:val="true"/>
          <w:lang w:bidi="ar-SA"/>
        </w:rPr>
        <w:t>المبين ما اتضح دلالته</w:t>
      </w:r>
      <w:r>
        <w:rPr>
          <w:rStyle w:val="FootnoteAnchor"/>
          <w:rtl w:val="true"/>
        </w:rPr>
        <w:footnoteReference w:id="1325"/>
      </w:r>
      <w:r>
        <w:rPr>
          <w:rFonts w:ascii="Amiri" w:hAnsi="Amiri" w:eastAsia="Amiri" w:cs="Amiri"/>
          <w:color w:val="111111"/>
          <w:sz w:val="28"/>
          <w:sz w:val="28"/>
          <w:szCs w:val="28"/>
          <w:rtl w:val="true"/>
          <w:lang w:bidi="ar-SA"/>
        </w:rPr>
        <w:t>، سواء كان مبيناً بنفسه</w:t>
      </w:r>
      <w:r>
        <w:rPr>
          <w:rStyle w:val="FootnoteAnchor"/>
          <w:rtl w:val="true"/>
        </w:rPr>
        <w:footnoteReference w:id="1326"/>
      </w:r>
      <w:r>
        <w:rPr>
          <w:rFonts w:ascii="Amiri" w:hAnsi="Amiri" w:eastAsia="Amiri" w:cs="Amiri"/>
          <w:color w:val="111111"/>
          <w:sz w:val="28"/>
          <w:sz w:val="28"/>
          <w:szCs w:val="28"/>
          <w:rtl w:val="true"/>
          <w:lang w:bidi="ar-SA"/>
        </w:rPr>
        <w:t>، أو مبيناً بأمر خارج قولي</w:t>
      </w:r>
      <w:r>
        <w:rPr>
          <w:rStyle w:val="FootnoteAnchor"/>
          <w:rtl w:val="true"/>
        </w:rPr>
        <w:footnoteReference w:id="1327"/>
      </w:r>
      <w:r>
        <w:rPr>
          <w:rFonts w:ascii="Amiri" w:hAnsi="Amiri" w:eastAsia="Amiri" w:cs="Amiri"/>
          <w:color w:val="111111"/>
          <w:sz w:val="28"/>
          <w:sz w:val="28"/>
          <w:szCs w:val="28"/>
          <w:rtl w:val="true"/>
          <w:lang w:bidi="ar-SA"/>
        </w:rPr>
        <w:t>، أو فعلي</w:t>
      </w:r>
      <w:r>
        <w:rPr>
          <w:rStyle w:val="FootnoteAnchor"/>
          <w:rtl w:val="true"/>
        </w:rPr>
        <w:footnoteReference w:id="1328"/>
      </w:r>
      <w:r>
        <w:rPr>
          <w:rFonts w:ascii="Amiri" w:hAnsi="Amiri" w:eastAsia="Amiri" w:cs="Amiri"/>
          <w:color w:val="111111"/>
          <w:sz w:val="28"/>
          <w:sz w:val="28"/>
          <w:szCs w:val="28"/>
          <w:rtl w:val="true"/>
          <w:lang w:bidi="ar-SA"/>
        </w:rPr>
        <w:t>، أو تركي</w:t>
      </w:r>
      <w:r>
        <w:rPr>
          <w:rStyle w:val="FootnoteAnchor"/>
          <w:rtl w:val="true"/>
        </w:rPr>
        <w:footnoteReference w:id="1329"/>
      </w:r>
      <w:r>
        <w:rPr>
          <w:rFonts w:ascii="Amiri" w:hAnsi="Amiri" w:eastAsia="Amiri" w:cs="Amiri"/>
          <w:color w:val="111111"/>
          <w:sz w:val="28"/>
          <w:sz w:val="28"/>
          <w:szCs w:val="28"/>
          <w:rtl w:val="true"/>
          <w:lang w:bidi="ar-SA"/>
        </w:rPr>
        <w:t>، أو تقريري</w:t>
      </w:r>
      <w:r>
        <w:rPr>
          <w:rFonts w:eastAsia="Amiri" w:cs="Amiri" w:ascii="Amiri" w:hAnsi="Amiri"/>
          <w:color w:val="111111"/>
          <w:sz w:val="28"/>
          <w:szCs w:val="28"/>
          <w:rtl w:val="true"/>
          <w:lang w:bidi="ar-SA"/>
        </w:rPr>
        <w:t>.</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وتوهم</w:t>
      </w:r>
      <w:r>
        <w:rPr>
          <w:rStyle w:val="FootnoteAnchor"/>
          <w:rtl w:val="true"/>
        </w:rPr>
        <w:footnoteReference w:id="1331"/>
      </w:r>
      <w:r>
        <w:rPr>
          <w:rFonts w:ascii="Amiri" w:hAnsi="Amiri" w:eastAsia="Amiri" w:cs="Amiri"/>
          <w:color w:val="111111"/>
          <w:sz w:val="28"/>
          <w:sz w:val="28"/>
          <w:szCs w:val="28"/>
          <w:rtl w:val="true"/>
          <w:lang w:bidi="ar-SA"/>
        </w:rPr>
        <w:t xml:space="preserve">عدم جواز وقوع الفعل بياناً لوجه عقلي عليل </w:t>
      </w:r>
      <w:r>
        <w:rPr>
          <w:rStyle w:val="FootnoteAnchor"/>
          <w:rtl w:val="true"/>
        </w:rPr>
        <w:footnoteReference w:id="1332"/>
      </w:r>
      <w:r>
        <w:rPr>
          <w:rFonts w:ascii="Amiri" w:hAnsi="Amiri" w:eastAsia="Amiri" w:cs="Amiri"/>
          <w:color w:val="111111"/>
          <w:sz w:val="28"/>
          <w:sz w:val="28"/>
          <w:szCs w:val="28"/>
          <w:rtl w:val="true"/>
          <w:lang w:bidi="ar-SA"/>
        </w:rPr>
        <w:t>، عليل</w:t>
      </w:r>
      <w:r>
        <w:rPr>
          <w:rFonts w:eastAsia="Amiri" w:cs="Amiri" w:ascii="Amiri" w:hAnsi="Amiri"/>
          <w:color w:val="111111"/>
          <w:sz w:val="28"/>
          <w:szCs w:val="28"/>
          <w:rtl w:val="true"/>
          <w:lang w:bidi="ar-SA"/>
        </w:rPr>
        <w:t>.</w:t>
      </w:r>
      <w:r>
        <w:rPr>
          <w:rStyle w:val="FootnoteAnchor"/>
          <w:rtl w:val="true"/>
        </w:rPr>
        <w:footnoteReference w:id="133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تأخير البيان عن وقت الحاجة على الأصح</w:t>
      </w:r>
      <w:r>
        <w:rPr>
          <w:rStyle w:val="FootnoteAnchor"/>
          <w:rtl w:val="true"/>
        </w:rPr>
        <w:footnoteReference w:id="1334"/>
      </w:r>
      <w:r>
        <w:rPr>
          <w:rFonts w:ascii="Amiri" w:hAnsi="Amiri" w:eastAsia="Amiri" w:cs="Amiri"/>
          <w:color w:val="111111"/>
          <w:sz w:val="28"/>
          <w:sz w:val="28"/>
          <w:szCs w:val="28"/>
          <w:rtl w:val="true"/>
          <w:lang w:bidi="ar-SA"/>
        </w:rPr>
        <w:t xml:space="preserve">للسفه، وفي جوازه عن وقت الخطاب إلى وقت الحاجة </w:t>
      </w:r>
      <w:r>
        <w:rPr>
          <w:rStyle w:val="FootnoteAnchor"/>
          <w:rtl w:val="true"/>
        </w:rPr>
        <w:footnoteReference w:id="1335"/>
      </w:r>
      <w:r>
        <w:rPr>
          <w:rFonts w:ascii="Amiri" w:hAnsi="Amiri" w:eastAsia="Amiri" w:cs="Amiri"/>
          <w:color w:val="111111"/>
          <w:sz w:val="28"/>
          <w:sz w:val="28"/>
          <w:szCs w:val="28"/>
          <w:rtl w:val="true"/>
          <w:lang w:bidi="ar-SA"/>
        </w:rPr>
        <w:t>كما هو المشهور</w:t>
      </w:r>
      <w:r>
        <w:rPr>
          <w:rStyle w:val="FootnoteAnchor"/>
          <w:rtl w:val="true"/>
        </w:rPr>
        <w:footnoteReference w:id="1336"/>
      </w:r>
      <w:r>
        <w:rPr>
          <w:rFonts w:ascii="IRNazanin" w:hAnsi="IRNazanin" w:eastAsia="IRNazanin"/>
          <w:color w:val="111111"/>
          <w:sz w:val="28"/>
          <w:sz w:val="28"/>
          <w:szCs w:val="28"/>
          <w:rtl w:val="true"/>
          <w:lang w:bidi="fa-IR"/>
        </w:rPr>
        <w:t xml:space="preserve">، أم لا </w:t>
      </w:r>
      <w:bookmarkStart w:id="498" w:name="pg9015_97599"/>
    </w:p>
    <w:p>
      <w:pPr>
        <w:pStyle w:val="BookText"/>
        <w:rPr/>
      </w:pPr>
      <w:bookmarkEnd w:id="498"/>
      <w:r>
        <w:rPr>
          <w:rFonts w:ascii="Amiri" w:hAnsi="Amiri" w:eastAsia="Amiri" w:cs="Amiri"/>
          <w:color w:val="111111"/>
          <w:sz w:val="28"/>
          <w:sz w:val="28"/>
          <w:szCs w:val="28"/>
          <w:rtl w:val="true"/>
          <w:lang w:bidi="ar-SA"/>
        </w:rPr>
        <w:t>مطلقاً</w:t>
      </w:r>
      <w:r>
        <w:rPr>
          <w:rStyle w:val="FootnoteAnchor"/>
          <w:rtl w:val="true"/>
        </w:rPr>
        <w:footnoteReference w:id="1337"/>
      </w:r>
      <w:r>
        <w:rPr>
          <w:rFonts w:ascii="IRNazanin" w:hAnsi="IRNazanin" w:eastAsia="IRNazanin"/>
          <w:color w:val="111111"/>
          <w:sz w:val="28"/>
          <w:sz w:val="28"/>
          <w:szCs w:val="28"/>
          <w:rtl w:val="true"/>
          <w:lang w:bidi="fa-IR"/>
        </w:rPr>
        <w:t xml:space="preserve">، أو </w:t>
      </w:r>
      <w:r>
        <w:rPr>
          <w:rStyle w:val="FootnoteAnchor"/>
          <w:rtl w:val="true"/>
        </w:rPr>
        <w:footnoteReference w:id="1338"/>
      </w:r>
      <w:r>
        <w:rPr>
          <w:rFonts w:ascii="Amiri" w:hAnsi="Amiri" w:eastAsia="Amiri" w:cs="Amiri"/>
          <w:color w:val="111111"/>
          <w:sz w:val="28"/>
          <w:sz w:val="28"/>
          <w:szCs w:val="28"/>
          <w:rtl w:val="true"/>
          <w:lang w:bidi="ar-SA"/>
        </w:rPr>
        <w:t>فيما عدا النسخ</w:t>
      </w:r>
      <w:r>
        <w:rPr>
          <w:rStyle w:val="FootnoteAnchor"/>
          <w:rtl w:val="true"/>
        </w:rPr>
        <w:footnoteReference w:id="1339"/>
      </w:r>
      <w:r>
        <w:rPr>
          <w:rFonts w:ascii="Amiri" w:hAnsi="Amiri" w:eastAsia="Amiri" w:cs="Amiri"/>
          <w:color w:val="111111"/>
          <w:sz w:val="28"/>
          <w:sz w:val="28"/>
          <w:szCs w:val="28"/>
          <w:rtl w:val="true"/>
          <w:lang w:bidi="ar-SA"/>
        </w:rPr>
        <w:t>، أو فيما عدا المجمل</w:t>
      </w:r>
      <w:r>
        <w:rPr>
          <w:rStyle w:val="FootnoteAnchor"/>
          <w:rtl w:val="true"/>
        </w:rPr>
        <w:footnoteReference w:id="1340"/>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p>
    <w:p>
      <w:pPr>
        <w:pStyle w:val="Heading2"/>
        <w:numPr>
          <w:ilvl w:val="1"/>
          <w:numId w:val="1"/>
        </w:numPr>
        <w:rPr/>
      </w:pPr>
      <w:bookmarkStart w:id="499" w:name="__RefHeading___Toc2001683_2870459653"/>
      <w:bookmarkStart w:id="500" w:name="_Toc191"/>
      <w:bookmarkEnd w:id="499"/>
      <w:r>
        <w:rPr>
          <w:rtl w:val="true"/>
        </w:rPr>
        <w:t xml:space="preserve">أصل </w:t>
      </w:r>
      <w:r>
        <w:rPr>
          <w:rtl w:val="true"/>
        </w:rPr>
        <w:t>[</w:t>
      </w:r>
      <w:r>
        <w:rPr>
          <w:rtl w:val="true"/>
        </w:rPr>
        <w:t>في الإجماع</w:t>
      </w:r>
      <w:r>
        <w:rPr>
          <w:rtl w:val="true"/>
        </w:rPr>
        <w:t>]</w:t>
      </w:r>
      <w:bookmarkEnd w:id="500"/>
    </w:p>
    <w:p>
      <w:pPr>
        <w:pStyle w:val="BookText"/>
        <w:rPr/>
      </w:pPr>
      <w:r>
        <w:rPr>
          <w:rFonts w:ascii="Amiri" w:hAnsi="Amiri" w:eastAsia="Amiri" w:cs="Amiri"/>
          <w:color w:val="111111"/>
          <w:sz w:val="28"/>
          <w:sz w:val="28"/>
          <w:szCs w:val="28"/>
          <w:rtl w:val="true"/>
          <w:lang w:bidi="ar-SA"/>
        </w:rPr>
        <w:t>الإجماع يطلق على العزم مجازاً، وعلى الاتفاق حقيقة؛ للتبادر، وصحة السلب عن العزم</w:t>
      </w:r>
      <w:r>
        <w:rPr>
          <w:rFonts w:eastAsia="Amiri" w:cs="Amiri" w:ascii="Amiri" w:hAnsi="Amiri"/>
          <w:color w:val="111111"/>
          <w:sz w:val="28"/>
          <w:szCs w:val="28"/>
          <w:rtl w:val="true"/>
          <w:lang w:bidi="ar-SA"/>
        </w:rPr>
        <w:t>.</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ونقل اصطلاحاً إلى الاتفاق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المجتهدين</w:t>
      </w:r>
      <w:r>
        <w:rPr>
          <w:rStyle w:val="FootnoteAnchor"/>
          <w:rtl w:val="true"/>
        </w:rPr>
        <w:footnoteReference w:id="1342"/>
      </w:r>
      <w:r>
        <w:rPr>
          <w:rFonts w:ascii="Amiri" w:hAnsi="Amiri" w:eastAsia="Amiri" w:cs="Amiri"/>
          <w:color w:val="111111"/>
          <w:sz w:val="28"/>
          <w:sz w:val="28"/>
          <w:szCs w:val="28"/>
          <w:rtl w:val="true"/>
          <w:lang w:bidi="ar-SA"/>
        </w:rPr>
        <w:t>من هذه الأمة على أمر ديني، في عصر من الأعصار</w:t>
      </w:r>
      <w:r>
        <w:rPr>
          <w:rStyle w:val="FootnoteAnchor"/>
          <w:rtl w:val="true"/>
        </w:rPr>
        <w:footnoteReference w:id="1343"/>
      </w:r>
      <w:r>
        <w:rPr>
          <w:rFonts w:ascii="Amiri" w:hAnsi="Amiri" w:eastAsia="Amiri" w:cs="Amiri"/>
          <w:color w:val="111111"/>
          <w:sz w:val="28"/>
          <w:sz w:val="28"/>
          <w:szCs w:val="28"/>
          <w:rtl w:val="true"/>
          <w:lang w:bidi="ar-SA"/>
        </w:rPr>
        <w:t>، وعند الخاصة الاتفاق الكاشف، ولهم فيه طرق</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الاتفاق الكاشف عن دخول شخص المعصوم في المجمعين قولاً أو فعلاً أو تركاً أو تقريراً</w:t>
      </w:r>
      <w:r>
        <w:rPr>
          <w:rFonts w:eastAsia="Amiri" w:cs="Amiri" w:ascii="Amiri" w:hAnsi="Amiri"/>
          <w:color w:val="111111"/>
          <w:sz w:val="28"/>
          <w:szCs w:val="28"/>
          <w:rtl w:val="true"/>
          <w:lang w:bidi="ar-SA"/>
        </w:rPr>
        <w:t>.</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أو الاتفاق الكاشف عن دخول قول المعصوم في الأقوال المجتمعة</w:t>
      </w:r>
      <w:r>
        <w:rPr>
          <w:rFonts w:eastAsia="Amiri" w:cs="Amiri" w:ascii="Amiri" w:hAnsi="Amiri"/>
          <w:color w:val="111111"/>
          <w:sz w:val="28"/>
          <w:szCs w:val="28"/>
          <w:rtl w:val="true"/>
          <w:lang w:bidi="ar-SA"/>
        </w:rPr>
        <w:t>.</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أو الاتفاق الكاشف عن صدور قول من المعصوم على طبق الأقوال الصادرة عن المجمعين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الاتفاق الكاشف عما عليه المعصوم شخصيّاً أو قوليّاً أو صدور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الشيخ </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موافقته القدماء في طريقتهم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اجتمعت الطائفة على أمر ، مع عدم وجود خلاف، وعدم العلم بصحته وسقمه، وعدم العلم بوفاق المعصوم وخلافه، فذلك إجماع وحجة</w:t>
      </w:r>
      <w:r>
        <w:rPr>
          <w:rStyle w:val="FootnoteAnchor"/>
          <w:rtl w:val="true"/>
        </w:rPr>
        <w:footnoteReference w:id="1347"/>
      </w:r>
      <w:r>
        <w:rPr>
          <w:rFonts w:ascii="Amiri" w:hAnsi="Amiri" w:eastAsia="Amiri" w:cs="Amiri"/>
          <w:color w:val="111111"/>
          <w:sz w:val="28"/>
          <w:sz w:val="28"/>
          <w:szCs w:val="28"/>
          <w:rtl w:val="true"/>
          <w:lang w:bidi="ar-SA"/>
        </w:rPr>
        <w:t xml:space="preserve">للأخبار، وقاعدة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حينئذ كاشف بملاحظة ضميمة قاعدة اللطف</w:t>
      </w:r>
      <w:r>
        <w:rPr>
          <w:rFonts w:eastAsia="Amiri" w:cs="Amiri" w:ascii="Amiri" w:hAnsi="Amiri"/>
          <w:color w:val="111111"/>
          <w:sz w:val="28"/>
          <w:szCs w:val="28"/>
          <w:rtl w:val="true"/>
          <w:lang w:bidi="ar-SA"/>
        </w:rPr>
        <w:t xml:space="preserve">) </w:t>
      </w:r>
      <w:r>
        <w:rPr>
          <w:rStyle w:val="FootnoteAnchor"/>
          <w:rtl w:val="true"/>
        </w:rPr>
        <w:footnoteReference w:id="1348"/>
      </w:r>
      <w:r>
        <w:rPr>
          <w:rFonts w:ascii="IRNazanin" w:hAnsi="IRNazanin" w:eastAsia="IRNazanin"/>
          <w:color w:val="111111"/>
          <w:sz w:val="28"/>
          <w:sz w:val="28"/>
          <w:szCs w:val="28"/>
          <w:rtl w:val="true"/>
          <w:lang w:bidi="fa-IR"/>
        </w:rPr>
        <w:t>، لا لذاته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الكاشف عن رضا المعصوم رضاً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 هذه الطرق، وبينها وبين طريقة العامة واضحة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الإجماع إمّا محصل </w:t>
      </w:r>
      <w:r>
        <w:rPr>
          <w:rStyle w:val="FootnoteAnchor"/>
          <w:rtl w:val="true"/>
        </w:rPr>
        <w:footnoteReference w:id="1349"/>
      </w:r>
      <w:r>
        <w:rPr>
          <w:rFonts w:ascii="Amiri" w:hAnsi="Amiri" w:eastAsia="Amiri" w:cs="Amiri"/>
          <w:color w:val="111111"/>
          <w:sz w:val="28"/>
          <w:sz w:val="28"/>
          <w:szCs w:val="28"/>
          <w:rtl w:val="true"/>
          <w:lang w:bidi="ar-SA"/>
        </w:rPr>
        <w:t>، أو منقول بالقطعي، أو بالظني</w:t>
      </w:r>
      <w:r>
        <w:rPr>
          <w:rFonts w:eastAsia="Amiri" w:cs="Amiri" w:ascii="Amiri" w:hAnsi="Amiri"/>
          <w:color w:val="111111"/>
          <w:sz w:val="28"/>
          <w:szCs w:val="28"/>
          <w:rtl w:val="true"/>
          <w:lang w:bidi="ar-SA"/>
        </w:rPr>
        <w:t>.</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ثم إما بسيط</w:t>
      </w:r>
      <w:r>
        <w:rPr>
          <w:rStyle w:val="FootnoteAnchor"/>
          <w:rtl w:val="true"/>
        </w:rPr>
        <w:footnoteReference w:id="1351"/>
      </w:r>
      <w:r>
        <w:rPr>
          <w:rFonts w:ascii="Amiri" w:hAnsi="Amiri" w:eastAsia="Amiri" w:cs="Amiri"/>
          <w:color w:val="111111"/>
          <w:sz w:val="28"/>
          <w:sz w:val="28"/>
          <w:szCs w:val="28"/>
          <w:rtl w:val="true"/>
          <w:lang w:bidi="ar-SA"/>
        </w:rPr>
        <w:t>أو مركب</w:t>
      </w:r>
      <w:r>
        <w:rPr>
          <w:rStyle w:val="FootnoteAnchor"/>
          <w:rtl w:val="true"/>
        </w:rPr>
        <w:footnoteReference w:id="1352"/>
      </w:r>
      <w:r>
        <w:rPr>
          <w:rFonts w:ascii="Amiri" w:hAnsi="Amiri" w:eastAsia="Amiri" w:cs="Amiri"/>
          <w:color w:val="111111"/>
          <w:sz w:val="28"/>
          <w:sz w:val="28"/>
          <w:szCs w:val="28"/>
          <w:rtl w:val="true"/>
          <w:lang w:bidi="ar-SA"/>
        </w:rPr>
        <w:t>، وإما ضروري أو نظري</w:t>
      </w:r>
      <w:r>
        <w:rPr>
          <w:rStyle w:val="FootnoteAnchor"/>
          <w:rtl w:val="true"/>
        </w:rPr>
        <w:footnoteReference w:id="1353"/>
      </w:r>
      <w:r>
        <w:rPr>
          <w:rFonts w:ascii="Amiri" w:hAnsi="Amiri" w:eastAsia="Amiri" w:cs="Amiri"/>
          <w:color w:val="111111"/>
          <w:sz w:val="28"/>
          <w:sz w:val="28"/>
          <w:szCs w:val="28"/>
          <w:rtl w:val="true"/>
          <w:lang w:bidi="ar-SA"/>
        </w:rPr>
        <w:t>، وإما ديني</w:t>
      </w:r>
      <w:r>
        <w:rPr>
          <w:rStyle w:val="FootnoteAnchor"/>
          <w:rtl w:val="true"/>
        </w:rPr>
        <w:footnoteReference w:id="1354"/>
      </w:r>
      <w:r>
        <w:rPr>
          <w:rFonts w:ascii="Amiri" w:hAnsi="Amiri" w:eastAsia="Amiri" w:cs="Amiri"/>
          <w:color w:val="111111"/>
          <w:sz w:val="28"/>
          <w:sz w:val="28"/>
          <w:szCs w:val="28"/>
          <w:rtl w:val="true"/>
          <w:lang w:bidi="ar-SA"/>
        </w:rPr>
        <w:t>أو مذهبي</w:t>
      </w:r>
      <w:r>
        <w:rPr>
          <w:rFonts w:eastAsia="Amiri" w:cs="Amiri" w:ascii="Amiri" w:hAnsi="Amiri"/>
          <w:color w:val="111111"/>
          <w:sz w:val="28"/>
          <w:szCs w:val="28"/>
          <w:rtl w:val="true"/>
          <w:lang w:bidi="ar-SA"/>
        </w:rPr>
        <w:t>.</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ثم لا ريب في إمكان طريقة المتأخرين في يومنا هذا، ووقوعه، وحجيته</w:t>
      </w:r>
      <w:r>
        <w:rPr>
          <w:rStyle w:val="FootnoteAnchor"/>
          <w:rtl w:val="true"/>
        </w:rPr>
        <w:footnoteReference w:id="1356"/>
      </w:r>
      <w:r>
        <w:rPr>
          <w:rFonts w:ascii="Amiri" w:hAnsi="Amiri" w:eastAsia="Amiri" w:cs="Amiri"/>
          <w:color w:val="111111"/>
          <w:sz w:val="28"/>
          <w:sz w:val="28"/>
          <w:szCs w:val="28"/>
          <w:rtl w:val="true"/>
          <w:lang w:bidi="ar-SA"/>
        </w:rPr>
        <w:t>، ودليل الشيخ لا ينهض بمراده كأدلة العامة، وشكوك القاصرين</w:t>
      </w:r>
      <w:r>
        <w:rPr>
          <w:rFonts w:eastAsia="Amiri" w:cs="Amiri" w:ascii="Amiri" w:hAnsi="Amiri"/>
          <w:color w:val="111111"/>
          <w:sz w:val="28"/>
          <w:szCs w:val="28"/>
          <w:rtl w:val="true"/>
          <w:lang w:bidi="ar-SA"/>
        </w:rPr>
        <w:t>.</w:t>
      </w:r>
      <w:r>
        <w:rPr>
          <w:rStyle w:val="FootnoteAnchor"/>
          <w:rtl w:val="true"/>
        </w:rPr>
        <w:footnoteReference w:id="135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والإجماعات المنقولة في كلام الشيخ تحمل على مصطلح القوم</w:t>
      </w:r>
      <w:r>
        <w:rPr>
          <w:rFonts w:eastAsia="Amiri" w:cs="Amiri" w:ascii="Amiri" w:hAnsi="Amiri"/>
          <w:color w:val="111111"/>
          <w:sz w:val="28"/>
          <w:szCs w:val="28"/>
          <w:rtl w:val="true"/>
          <w:lang w:bidi="ar-SA"/>
        </w:rPr>
        <w:t>.</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وفي جواز تعارض الإجماعين</w:t>
      </w:r>
      <w:r>
        <w:rPr>
          <w:rStyle w:val="FootnoteAnchor"/>
          <w:rtl w:val="true"/>
        </w:rPr>
        <w:footnoteReference w:id="1359"/>
      </w:r>
      <w:r>
        <w:rPr>
          <w:rFonts w:ascii="Amiri" w:hAnsi="Amiri" w:eastAsia="Amiri" w:cs="Amiri"/>
          <w:color w:val="111111"/>
          <w:sz w:val="28"/>
          <w:sz w:val="28"/>
          <w:szCs w:val="28"/>
          <w:rtl w:val="true"/>
          <w:lang w:bidi="ar-SA"/>
        </w:rPr>
        <w:t>المحققين مطلقاً</w:t>
      </w:r>
      <w:r>
        <w:rPr>
          <w:rStyle w:val="FootnoteAnchor"/>
          <w:rtl w:val="true"/>
        </w:rPr>
        <w:footnoteReference w:id="1360"/>
      </w:r>
      <w:r>
        <w:rPr>
          <w:rFonts w:ascii="IRNazanin" w:hAnsi="IRNazanin" w:eastAsia="IRNazanin"/>
          <w:color w:val="111111"/>
          <w:sz w:val="28"/>
          <w:sz w:val="28"/>
          <w:szCs w:val="28"/>
          <w:rtl w:val="true"/>
          <w:lang w:bidi="fa-IR"/>
        </w:rPr>
        <w:t>، أم لا مطلقاً</w:t>
      </w:r>
      <w:r>
        <w:rPr>
          <w:rStyle w:val="FootnoteAnchor"/>
          <w:rtl w:val="true"/>
        </w:rPr>
        <w:footnoteReference w:id="1361"/>
      </w:r>
      <w:r>
        <w:rPr>
          <w:rFonts w:ascii="Amiri" w:hAnsi="Amiri" w:eastAsia="Amiri" w:cs="Amiri"/>
          <w:color w:val="111111"/>
          <w:sz w:val="28"/>
          <w:sz w:val="28"/>
          <w:szCs w:val="28"/>
          <w:rtl w:val="true"/>
          <w:lang w:bidi="ar-SA"/>
        </w:rPr>
        <w:t xml:space="preserve">، أم على بعض الطرق المذكورة دون بعض </w:t>
      </w:r>
      <w:r>
        <w:rPr>
          <w:rStyle w:val="FootnoteAnchor"/>
          <w:rtl w:val="true"/>
        </w:rPr>
        <w:footnoteReference w:id="1362"/>
      </w:r>
      <w:r>
        <w:rPr>
          <w:rFonts w:ascii="IRNazanin" w:hAnsi="IRNazanin" w:eastAsia="IRNazanin"/>
          <w:color w:val="111111"/>
          <w:sz w:val="28"/>
          <w:sz w:val="28"/>
          <w:szCs w:val="28"/>
          <w:rtl w:val="true"/>
          <w:lang w:bidi="fa-IR"/>
        </w:rPr>
        <w:t xml:space="preserve">،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اتفقت الأمة على قولين مثلاً في مسألة، أو مسألتين</w:t>
      </w:r>
      <w:r>
        <w:rPr>
          <w:rStyle w:val="FootnoteAnchor"/>
          <w:rtl w:val="true"/>
        </w:rPr>
        <w:footnoteReference w:id="1363"/>
      </w:r>
      <w:r>
        <w:rPr>
          <w:rFonts w:ascii="Amiri" w:hAnsi="Amiri" w:eastAsia="Amiri" w:cs="Amiri"/>
          <w:color w:val="111111"/>
          <w:sz w:val="28"/>
          <w:sz w:val="28"/>
          <w:szCs w:val="28"/>
          <w:rtl w:val="true"/>
          <w:lang w:bidi="ar-SA"/>
        </w:rPr>
        <w:t>بينهما قدر جامع أم لا، ففي جواز الخرق أقوال</w:t>
      </w:r>
      <w:r>
        <w:rPr>
          <w:rFonts w:eastAsia="Amiri" w:cs="Amiri" w:ascii="Amiri" w:hAnsi="Amiri"/>
          <w:color w:val="111111"/>
          <w:sz w:val="28"/>
          <w:szCs w:val="28"/>
          <w:rtl w:val="true"/>
          <w:lang w:bidi="ar-SA"/>
        </w:rPr>
        <w:t>.</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والنسبة بينه وبين القول بعدم الفصل عموم من وجه</w:t>
      </w:r>
      <w:r>
        <w:rPr>
          <w:rFonts w:eastAsia="Amiri" w:cs="Amiri" w:ascii="Amiri" w:hAnsi="Amiri"/>
          <w:color w:val="111111"/>
          <w:sz w:val="28"/>
          <w:szCs w:val="28"/>
          <w:rtl w:val="true"/>
          <w:lang w:bidi="ar-SA"/>
        </w:rPr>
        <w:t>.</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وقد يوجد الأول فقط، كمسألة الجهر في ظهر الجمعة، وقد يكون بالعكس كالقول المقابل للإجماعين البسيطين</w:t>
      </w:r>
    </w:p>
    <w:p>
      <w:pPr>
        <w:pStyle w:val="BookText"/>
        <w:rPr/>
      </w:pPr>
      <w:r>
        <w:rPr>
          <w:rFonts w:ascii="Amiri" w:hAnsi="Amiri" w:eastAsia="Amiri" w:cs="Amiri"/>
          <w:color w:val="111111"/>
          <w:sz w:val="28"/>
          <w:sz w:val="28"/>
          <w:szCs w:val="28"/>
          <w:rtl w:val="true"/>
          <w:lang w:bidi="ar-SA"/>
        </w:rPr>
        <w:t xml:space="preserve">ثم لو لم يحصل على أحد الطرفين دليل اجتهادي، قطعياً، أم ظنياً ، أو فقاهتياً </w:t>
      </w:r>
      <w:r>
        <w:rPr>
          <w:rStyle w:val="FootnoteAnchor"/>
          <w:rtl w:val="true"/>
        </w:rPr>
        <w:footnoteReference w:id="1366"/>
      </w:r>
      <w:r>
        <w:rPr>
          <w:rFonts w:ascii="Amiri" w:hAnsi="Amiri" w:eastAsia="Amiri" w:cs="Amiri"/>
          <w:color w:val="111111"/>
          <w:sz w:val="28"/>
          <w:sz w:val="28"/>
          <w:szCs w:val="28"/>
          <w:rtl w:val="true"/>
          <w:lang w:bidi="ar-SA"/>
        </w:rPr>
        <w:t xml:space="preserve">، ففي التخيير كما عن الشيخ </w:t>
      </w:r>
      <w:r>
        <w:rPr>
          <w:rStyle w:val="FootnoteAnchor"/>
          <w:rtl w:val="true"/>
        </w:rPr>
        <w:footnoteReference w:id="1367"/>
      </w:r>
      <w:r>
        <w:rPr>
          <w:rFonts w:ascii="Amiri" w:hAnsi="Amiri" w:eastAsia="Amiri" w:cs="Amiri"/>
          <w:color w:val="111111"/>
          <w:sz w:val="28"/>
          <w:sz w:val="28"/>
          <w:szCs w:val="28"/>
          <w:rtl w:val="true"/>
          <w:lang w:bidi="ar-SA"/>
        </w:rPr>
        <w:t xml:space="preserve">، أم طرح القولين، قولان ، ثانيهما عن بعض الأصحاب </w:t>
      </w:r>
      <w:r>
        <w:rPr>
          <w:rFonts w:eastAsia="Amiri" w:cs="Amiri" w:ascii="Amiri" w:hAnsi="Amiri"/>
          <w:color w:val="111111"/>
          <w:sz w:val="28"/>
          <w:szCs w:val="28"/>
          <w:rtl w:val="true"/>
          <w:lang w:bidi="ar-SA"/>
        </w:rPr>
        <w:t>.</w:t>
      </w:r>
      <w:r>
        <w:rPr>
          <w:rStyle w:val="FootnoteAnchor"/>
          <w:rtl w:val="true"/>
        </w:rPr>
        <w:footnoteReference w:id="136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جواز اتفاق الفريقين بعد اختلافهما </w:t>
      </w:r>
      <w:r>
        <w:rPr>
          <w:rStyle w:val="FootnoteAnchor"/>
          <w:rtl w:val="true"/>
        </w:rPr>
        <w:footnoteReference w:id="1369"/>
      </w:r>
      <w:r>
        <w:rPr>
          <w:rFonts w:ascii="Amiri" w:hAnsi="Amiri" w:eastAsia="Amiri" w:cs="Amiri"/>
          <w:color w:val="111111"/>
          <w:sz w:val="28"/>
          <w:sz w:val="28"/>
          <w:szCs w:val="28"/>
          <w:rtl w:val="true"/>
          <w:lang w:bidi="ar-SA"/>
        </w:rPr>
        <w:t xml:space="preserve">على أحد القولين، بناء على </w:t>
      </w:r>
    </w:p>
    <w:p>
      <w:pPr>
        <w:pStyle w:val="BookText"/>
        <w:rPr/>
      </w:pPr>
      <w:r>
        <w:rPr>
          <w:rFonts w:ascii="Amiri" w:hAnsi="Amiri" w:eastAsia="Amiri" w:cs="Amiri"/>
          <w:color w:val="111111"/>
          <w:sz w:val="28"/>
          <w:sz w:val="28"/>
          <w:szCs w:val="28"/>
          <w:rtl w:val="true"/>
          <w:lang w:bidi="ar-SA"/>
        </w:rPr>
        <w:t>طريقة القدماء، والمتأخرين، والعامة</w:t>
      </w:r>
      <w:r>
        <w:rPr>
          <w:rFonts w:eastAsia="Amiri" w:cs="Amiri" w:ascii="Amiri" w:hAnsi="Amiri"/>
          <w:color w:val="111111"/>
          <w:sz w:val="28"/>
          <w:szCs w:val="28"/>
          <w:rtl w:val="true"/>
          <w:lang w:bidi="ar-SA"/>
        </w:rPr>
        <w:t>.</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وفي جواز تعاكس شطريه وجهان أظهرهما ذلك، سيما إذا جوزنا تعارض الإجماعين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السكوتي</w:t>
      </w:r>
      <w:r>
        <w:rPr>
          <w:rStyle w:val="FootnoteAnchor"/>
          <w:rtl w:val="true"/>
        </w:rPr>
        <w:footnoteReference w:id="1371"/>
      </w:r>
      <w:r>
        <w:rPr>
          <w:rFonts w:ascii="Amiri" w:hAnsi="Amiri" w:eastAsia="Amiri" w:cs="Amiri"/>
          <w:color w:val="111111"/>
          <w:sz w:val="28"/>
          <w:sz w:val="28"/>
          <w:szCs w:val="28"/>
          <w:rtl w:val="true"/>
          <w:lang w:bidi="ar-SA"/>
        </w:rPr>
        <w:t>ليس إجماعاً</w:t>
      </w:r>
      <w:r>
        <w:rPr>
          <w:rFonts w:eastAsia="Amiri" w:cs="Amiri" w:ascii="Amiri" w:hAnsi="Amiri"/>
          <w:color w:val="111111"/>
          <w:sz w:val="28"/>
          <w:szCs w:val="28"/>
          <w:rtl w:val="true"/>
          <w:lang w:bidi="ar-SA"/>
        </w:rPr>
        <w:t>.</w:t>
      </w:r>
      <w:r>
        <w:rPr>
          <w:rStyle w:val="FootnoteAnchor"/>
          <w:rtl w:val="true"/>
        </w:rPr>
        <w:footnoteReference w:id="137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حجية الشهرة، ومنقول الإجماع، والإجماع الظني، وعدم الخلاف، وحكم تعارض ،الشهرتين فستظهر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بحث حجية الظن </w:t>
      </w:r>
      <w:r>
        <w:rPr>
          <w:rFonts w:eastAsia="Amiri" w:cs="Amiri" w:ascii="Amiri" w:hAnsi="Amiri"/>
          <w:color w:val="111111"/>
          <w:sz w:val="28"/>
          <w:szCs w:val="28"/>
          <w:rtl w:val="true"/>
          <w:lang w:bidi="ar-SA"/>
        </w:rPr>
        <w:t xml:space="preserve">. </w:t>
      </w:r>
      <w:bookmarkStart w:id="501" w:name="pg9015_97604"/>
    </w:p>
    <w:p>
      <w:pPr>
        <w:pStyle w:val="Heading2"/>
        <w:numPr>
          <w:ilvl w:val="1"/>
          <w:numId w:val="1"/>
        </w:numPr>
        <w:rPr/>
      </w:pPr>
      <w:bookmarkStart w:id="502" w:name="__RefHeading___Toc2001685_2870459653"/>
      <w:bookmarkStart w:id="503" w:name="_Toc192"/>
      <w:bookmarkEnd w:id="501"/>
      <w:bookmarkEnd w:id="502"/>
      <w:r>
        <w:rPr>
          <w:rtl w:val="true"/>
        </w:rPr>
        <w:t xml:space="preserve">أصل </w:t>
      </w:r>
      <w:r>
        <w:rPr>
          <w:rtl w:val="true"/>
        </w:rPr>
        <w:t>[</w:t>
      </w:r>
      <w:r>
        <w:rPr>
          <w:rtl w:val="true"/>
        </w:rPr>
        <w:t>في حجية الكتاب</w:t>
      </w:r>
      <w:r>
        <w:rPr>
          <w:rtl w:val="true"/>
        </w:rPr>
        <w:t>]</w:t>
      </w:r>
      <w:bookmarkEnd w:id="503"/>
    </w:p>
    <w:p>
      <w:pPr>
        <w:pStyle w:val="BookText"/>
        <w:rPr/>
      </w:pPr>
      <w:r>
        <w:rPr>
          <w:rFonts w:ascii="Amiri" w:hAnsi="Amiri" w:eastAsia="Amiri" w:cs="Amiri"/>
          <w:color w:val="111111"/>
          <w:sz w:val="28"/>
          <w:sz w:val="28"/>
          <w:szCs w:val="28"/>
          <w:rtl w:val="true"/>
          <w:lang w:bidi="ar-SA"/>
        </w:rPr>
        <w:t>الكتاب قطعي السند في الجملة، لكنه ظني الدلالة</w:t>
      </w:r>
      <w:r>
        <w:rPr>
          <w:rFonts w:eastAsia="Amiri" w:cs="Amiri" w:ascii="Amiri" w:hAnsi="Amiri"/>
          <w:color w:val="111111"/>
          <w:sz w:val="28"/>
          <w:szCs w:val="28"/>
          <w:rtl w:val="true"/>
          <w:lang w:bidi="ar-SA"/>
        </w:rPr>
        <w:t>.</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خطابه شامل للمعدوم ، ويقبح الخطاب بما له ظاهر وارادة خلافه بلا ،قرينة ولازم المقدمتين قطعية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لدفعناه</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عموم الخطاب، وبمنع عدم القرينة بعد اختلاف لسان المشافه والمعدوم، ووحدة الخطاب، ولا أقلّ من احتمال كونه قرينة، فلا قطع</w:t>
      </w:r>
      <w:r>
        <w:rPr>
          <w:rStyle w:val="FootnoteAnchor"/>
          <w:rtl w:val="true"/>
        </w:rPr>
        <w:footnoteReference w:id="137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الحق حجية الظن الحاصل منه من باب الظن الخاص لا المطلق ولا عدم الحجية، وذلك لاطباق المسلمين قديماً وحديثاً على العمل بظواهره ونصوصه، واحتجاج</w:t>
      </w:r>
      <w:r>
        <w:rPr>
          <w:rStyle w:val="FootnoteAnchor"/>
          <w:rtl w:val="true"/>
        </w:rPr>
        <w:footnoteReference w:id="1376"/>
      </w:r>
      <w:r>
        <w:rPr>
          <w:rFonts w:ascii="Amiri" w:hAnsi="Amiri" w:eastAsia="Amiri" w:cs="Amiri"/>
          <w:color w:val="111111"/>
          <w:sz w:val="28"/>
          <w:sz w:val="28"/>
          <w:szCs w:val="28"/>
          <w:rtl w:val="true"/>
          <w:lang w:bidi="ar-SA"/>
        </w:rPr>
        <w:t>أصحاب الأئمة دائماً به في ردّ الخصوم</w:t>
      </w:r>
      <w:r>
        <w:rPr>
          <w:rStyle w:val="FootnoteAnchor"/>
          <w:rtl w:val="true"/>
        </w:rPr>
        <w:footnoteReference w:id="1377"/>
      </w:r>
      <w:r>
        <w:rPr>
          <w:rStyle w:val="FootnoteAnchor"/>
          <w:rtl w:val="true"/>
        </w:rPr>
        <w:footnoteReference w:id="1378"/>
      </w:r>
      <w:r>
        <w:rPr>
          <w:rFonts w:ascii="IRNazanin" w:hAnsi="IRNazanin" w:eastAsia="IRNazanin"/>
          <w:color w:val="111111"/>
          <w:sz w:val="28"/>
          <w:sz w:val="28"/>
          <w:szCs w:val="28"/>
          <w:rtl w:val="true"/>
          <w:lang w:bidi="fa-IR"/>
        </w:rPr>
        <w:t>، وإطباق أصحابنا على الإفتاء بالعمل به</w:t>
      </w:r>
      <w:r>
        <w:rPr>
          <w:rStyle w:val="FootnoteAnchor"/>
          <w:rtl w:val="true"/>
        </w:rPr>
        <w:footnoteReference w:id="1379"/>
      </w:r>
      <w:r>
        <w:rPr>
          <w:rFonts w:ascii="Amiri" w:hAnsi="Amiri" w:eastAsia="Amiri" w:cs="Amiri"/>
          <w:color w:val="111111"/>
          <w:sz w:val="28"/>
          <w:sz w:val="28"/>
          <w:szCs w:val="28"/>
          <w:rtl w:val="true"/>
          <w:lang w:bidi="ar-SA"/>
        </w:rPr>
        <w:t xml:space="preserve">، فتأمل، ولبناء العقلاء عليه، والإجماعات المحكية </w:t>
      </w:r>
      <w:r>
        <w:rPr>
          <w:rFonts w:eastAsia="Amiri" w:cs="Amiri" w:ascii="Amiri" w:hAnsi="Amiri"/>
          <w:color w:val="111111"/>
          <w:sz w:val="28"/>
          <w:szCs w:val="28"/>
          <w:rtl w:val="true"/>
          <w:lang w:bidi="ar-SA"/>
        </w:rPr>
        <w:t>(</w:t>
      </w:r>
      <w:r>
        <w:rPr>
          <w:rStyle w:val="FootnoteAnchor"/>
          <w:rtl w:val="true"/>
        </w:rPr>
        <w:footnoteReference w:id="1380"/>
      </w:r>
      <w:r>
        <w:rPr>
          <w:rFonts w:ascii="Amiri" w:hAnsi="Amiri" w:eastAsia="Amiri" w:cs="Amiri"/>
          <w:color w:val="111111"/>
          <w:sz w:val="28"/>
          <w:sz w:val="28"/>
          <w:szCs w:val="28"/>
          <w:rtl w:val="true"/>
          <w:lang w:bidi="ar-SA"/>
        </w:rPr>
        <w:t xml:space="preserve">، والأخبار البالغة حد التواتر، كأخبار عرض المتعارضات عليه </w:t>
      </w:r>
      <w:r>
        <w:rPr>
          <w:rStyle w:val="FootnoteAnchor"/>
          <w:rtl w:val="true"/>
        </w:rPr>
        <w:footnoteReference w:id="138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وخبر الثقلين</w:t>
      </w:r>
      <w:r>
        <w:rPr>
          <w:rStyle w:val="FootnoteAnchor"/>
          <w:rtl w:val="true"/>
        </w:rPr>
        <w:footnoteReference w:id="1382"/>
      </w:r>
      <w:r>
        <w:rPr>
          <w:rFonts w:ascii="IRNazanin" w:hAnsi="IRNazanin" w:eastAsia="IRNazanin"/>
          <w:color w:val="111111"/>
          <w:sz w:val="28"/>
          <w:sz w:val="28"/>
          <w:szCs w:val="28"/>
          <w:rtl w:val="true"/>
          <w:lang w:bidi="fa-IR"/>
        </w:rPr>
        <w:t>، وابن الزبعرى</w:t>
      </w:r>
      <w:r>
        <w:rPr>
          <w:rStyle w:val="FootnoteAnchor"/>
          <w:rtl w:val="true"/>
        </w:rPr>
        <w:footnoteReference w:id="1383"/>
      </w:r>
      <w:r>
        <w:rPr>
          <w:rFonts w:ascii="Amiri" w:hAnsi="Amiri" w:eastAsia="Amiri" w:cs="Amiri"/>
          <w:color w:val="111111"/>
          <w:sz w:val="28"/>
          <w:sz w:val="28"/>
          <w:szCs w:val="28"/>
          <w:rtl w:val="true"/>
          <w:lang w:bidi="ar-SA"/>
        </w:rPr>
        <w:t>، وما ورد في آية التقصير</w:t>
      </w:r>
      <w:r>
        <w:rPr>
          <w:rStyle w:val="FootnoteAnchor"/>
          <w:rtl w:val="true"/>
        </w:rPr>
        <w:footnoteReference w:id="1384"/>
      </w:r>
      <w:r>
        <w:rPr>
          <w:rFonts w:ascii="Amiri" w:hAnsi="Amiri" w:eastAsia="Amiri" w:cs="Amiri"/>
          <w:color w:val="111111"/>
          <w:sz w:val="28"/>
          <w:sz w:val="28"/>
          <w:szCs w:val="28"/>
          <w:rtl w:val="true"/>
          <w:lang w:bidi="ar-SA"/>
        </w:rPr>
        <w:t>، ولأن خطابه متعلق بالمشافه، وظاهره حجة له</w:t>
      </w:r>
      <w:r>
        <w:rPr>
          <w:rStyle w:val="FootnoteAnchor"/>
          <w:rtl w:val="true"/>
        </w:rPr>
        <w:footnoteReference w:id="1385"/>
      </w:r>
      <w:r>
        <w:rPr>
          <w:rFonts w:ascii="Amiri" w:hAnsi="Amiri" w:eastAsia="Amiri" w:cs="Amiri"/>
          <w:color w:val="111111"/>
          <w:sz w:val="28"/>
          <w:sz w:val="28"/>
          <w:szCs w:val="28"/>
          <w:rtl w:val="true"/>
          <w:lang w:bidi="ar-SA"/>
        </w:rPr>
        <w:t>لقبح إرادة خلافه بلا قرينة، والأخبار الناهية لا تصير قرينة</w:t>
      </w:r>
      <w:r>
        <w:rPr>
          <w:rStyle w:val="FootnoteAnchor"/>
          <w:rtl w:val="true"/>
        </w:rPr>
        <w:footnoteReference w:id="1386"/>
      </w:r>
      <w:r>
        <w:rPr>
          <w:rFonts w:ascii="Amiri" w:hAnsi="Amiri" w:eastAsia="Amiri" w:cs="Amiri"/>
          <w:color w:val="111111"/>
          <w:sz w:val="28"/>
          <w:sz w:val="28"/>
          <w:szCs w:val="28"/>
          <w:rtl w:val="true"/>
          <w:lang w:bidi="ar-SA"/>
        </w:rPr>
        <w:t>،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إذا علمنا بما كان ظاهراً للمشافه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علمنا بحكم الله سبحانه بعد أدلة الاشتراك في الحكم </w:t>
      </w:r>
      <w:r>
        <w:rPr>
          <w:rStyle w:val="FootnoteAnchor"/>
          <w:rtl w:val="true"/>
        </w:rPr>
        <w:footnoteReference w:id="1387"/>
      </w:r>
      <w:r>
        <w:rPr>
          <w:rFonts w:ascii="Amiri" w:hAnsi="Amiri" w:eastAsia="Amiri" w:cs="Amiri"/>
          <w:color w:val="111111"/>
          <w:sz w:val="28"/>
          <w:sz w:val="28"/>
          <w:szCs w:val="28"/>
          <w:rtl w:val="true"/>
          <w:lang w:bidi="ar-SA"/>
        </w:rPr>
        <w:t>، مع التأيد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w:t>
      </w:r>
      <w:r>
        <w:rPr>
          <w:rFonts w:eastAsia="Amiri" w:cs="Amiri" w:ascii="Amiri" w:hAnsi="Amiri"/>
          <w:color w:val="111111"/>
          <w:sz w:val="28"/>
          <w:szCs w:val="28"/>
          <w:rtl w:val="true"/>
          <w:lang w:bidi="ar-SA"/>
        </w:rPr>
        <w:t>».</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وكل واحد من هذه الأدلة، أو مجموعها يفيد القطع بالحجية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تمسك الخصم بما دلّ</w:t>
      </w:r>
      <w:r>
        <w:rPr>
          <w:rStyle w:val="FootnoteAnchor"/>
          <w:rtl w:val="true"/>
        </w:rPr>
        <w:footnoteReference w:id="1389"/>
      </w:r>
      <w:r>
        <w:rPr>
          <w:rFonts w:ascii="Amiri" w:hAnsi="Amiri" w:eastAsia="Amiri" w:cs="Amiri"/>
          <w:color w:val="111111"/>
          <w:sz w:val="28"/>
          <w:sz w:val="28"/>
          <w:szCs w:val="28"/>
          <w:rtl w:val="true"/>
          <w:lang w:bidi="ar-SA"/>
        </w:rPr>
        <w:t xml:space="preserve">على حرمة التفسير بالرأي، وعلى أن علم القرآن </w:t>
      </w:r>
    </w:p>
    <w:p>
      <w:pPr>
        <w:pStyle w:val="BookText"/>
        <w:rPr/>
      </w:pPr>
      <w:r>
        <w:rPr>
          <w:rFonts w:ascii="Amiri" w:hAnsi="Amiri" w:eastAsia="Amiri" w:cs="Amiri"/>
          <w:color w:val="111111"/>
          <w:sz w:val="28"/>
          <w:sz w:val="28"/>
          <w:szCs w:val="28"/>
          <w:rtl w:val="true"/>
          <w:lang w:bidi="ar-SA"/>
        </w:rPr>
        <w:t xml:space="preserve">عند أهل الذكر </w:t>
      </w:r>
      <w:r>
        <w:rPr>
          <w:rStyle w:val="FootnoteAnchor"/>
          <w:rtl w:val="true"/>
        </w:rPr>
        <w:footnoteReference w:id="1390"/>
      </w:r>
      <w:r>
        <w:rPr>
          <w:rFonts w:ascii="IRNazanin" w:hAnsi="IRNazanin" w:eastAsia="IRNazanin"/>
          <w:color w:val="111111"/>
          <w:sz w:val="28"/>
          <w:sz w:val="28"/>
          <w:szCs w:val="28"/>
          <w:rtl w:val="true"/>
          <w:lang w:bidi="fa-IR"/>
        </w:rPr>
        <w:t>، وعلى أنه محرّف</w:t>
      </w:r>
      <w:r>
        <w:rPr>
          <w:rStyle w:val="FootnoteAnchor"/>
          <w:rtl w:val="true"/>
        </w:rPr>
        <w:footnoteReference w:id="1391"/>
      </w:r>
      <w:r>
        <w:rPr>
          <w:rFonts w:ascii="Amiri" w:hAnsi="Amiri" w:eastAsia="Amiri" w:cs="Amiri"/>
          <w:color w:val="111111"/>
          <w:sz w:val="28"/>
          <w:sz w:val="28"/>
          <w:szCs w:val="28"/>
          <w:rtl w:val="true"/>
          <w:lang w:bidi="ar-SA"/>
        </w:rPr>
        <w:t>، فيحتمل اختلاف 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بالظواهر لا يعد تفسيراً بالرأي</w:t>
      </w:r>
      <w:r>
        <w:rPr>
          <w:rStyle w:val="FootnoteAnchor"/>
          <w:rtl w:val="true"/>
        </w:rPr>
        <w:footnoteReference w:id="1392"/>
      </w:r>
      <w:r>
        <w:rPr>
          <w:rFonts w:ascii="Amiri" w:hAnsi="Amiri" w:eastAsia="Amiri" w:cs="Amiri"/>
          <w:color w:val="111111"/>
          <w:sz w:val="28"/>
          <w:sz w:val="28"/>
          <w:szCs w:val="28"/>
          <w:rtl w:val="true"/>
          <w:lang w:bidi="ar-SA"/>
        </w:rPr>
        <w:t>، وإن علم الكتاب عند أهله، ونحن لا ندعي العلم، مع</w:t>
      </w:r>
      <w:r>
        <w:rPr>
          <w:rStyle w:val="FootnoteAnchor"/>
          <w:rtl w:val="true"/>
        </w:rPr>
        <w:footnoteReference w:id="1393"/>
      </w:r>
      <w:r>
        <w:rPr>
          <w:rFonts w:ascii="IRNazanin" w:hAnsi="IRNazanin" w:eastAsia="IRNazanin"/>
          <w:color w:val="111111"/>
          <w:sz w:val="28"/>
          <w:sz w:val="28"/>
          <w:szCs w:val="28"/>
          <w:rtl w:val="true"/>
          <w:lang w:bidi="fa-IR"/>
        </w:rPr>
        <w:t>أن الظاهر منه علم المتشابهات والبطون</w:t>
      </w:r>
      <w:r>
        <w:rPr>
          <w:rStyle w:val="FootnoteAnchor"/>
          <w:rtl w:val="true"/>
        </w:rPr>
        <w:footnoteReference w:id="1394"/>
      </w:r>
      <w:r>
        <w:rPr>
          <w:rFonts w:ascii="Amiri" w:hAnsi="Amiri" w:eastAsia="Amiri" w:cs="Amiri"/>
          <w:color w:val="111111"/>
          <w:sz w:val="28"/>
          <w:sz w:val="28"/>
          <w:szCs w:val="28"/>
          <w:rtl w:val="true"/>
          <w:lang w:bidi="ar-SA"/>
        </w:rPr>
        <w:t xml:space="preserve">، والنقص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على عدمه في خصوص آيات الأحكام</w:t>
      </w:r>
      <w:r>
        <w:rPr>
          <w:rFonts w:eastAsia="Amiri" w:cs="Amiri" w:ascii="Amiri" w:hAnsi="Amiri"/>
          <w:color w:val="111111"/>
          <w:sz w:val="28"/>
          <w:szCs w:val="28"/>
          <w:rtl w:val="true"/>
          <w:lang w:bidi="ar-SA"/>
        </w:rPr>
        <w:t>.</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يَعلَمُ تَأْوِيلَهُ</w:t>
      </w:r>
      <w:r>
        <w:rPr>
          <w:rFonts w:eastAsia="Amiri" w:cs="Amiri" w:ascii="Amiri" w:hAnsi="Amiri"/>
          <w:color w:val="111111"/>
          <w:sz w:val="28"/>
          <w:szCs w:val="28"/>
          <w:rtl w:val="true"/>
          <w:lang w:bidi="ar-SA"/>
        </w:rPr>
        <w:t>»</w:t>
      </w:r>
      <w:r>
        <w:rPr>
          <w:rStyle w:val="FootnoteAnchor"/>
          <w:rtl w:val="true"/>
        </w:rPr>
        <w:footnoteReference w:id="1396"/>
      </w:r>
      <w:r>
        <w:rPr>
          <w:rFonts w:ascii="Amiri" w:hAnsi="Amiri" w:eastAsia="Amiri" w:cs="Amiri"/>
          <w:color w:val="111111"/>
          <w:sz w:val="28"/>
          <w:sz w:val="28"/>
          <w:szCs w:val="28"/>
          <w:rtl w:val="true"/>
          <w:lang w:bidi="ar-SA"/>
        </w:rPr>
        <w:t>الآية، فليس للخصم التمسك به الا إلزاما</w:t>
      </w:r>
      <w:r>
        <w:rPr>
          <w:rFonts w:eastAsia="Amiri" w:cs="Amiri" w:ascii="Amiri" w:hAnsi="Amiri"/>
          <w:color w:val="111111"/>
          <w:sz w:val="28"/>
          <w:szCs w:val="28"/>
          <w:rtl w:val="true"/>
          <w:lang w:bidi="ar-SA"/>
        </w:rPr>
        <w:t>.</w:t>
      </w:r>
      <w:r>
        <w:rPr>
          <w:rStyle w:val="FootnoteAnchor"/>
          <w:rtl w:val="true"/>
        </w:rPr>
        <w:footnoteReference w:id="139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التاويل غير العمل بالظاهر</w:t>
      </w:r>
      <w:r>
        <w:rPr>
          <w:rFonts w:eastAsia="Amiri" w:cs="Amiri" w:ascii="Amiri" w:hAnsi="Amiri"/>
          <w:color w:val="111111"/>
          <w:sz w:val="28"/>
          <w:szCs w:val="28"/>
          <w:rtl w:val="true"/>
          <w:lang w:bidi="ar-SA"/>
        </w:rPr>
        <w:t>.</w:t>
      </w:r>
      <w:r>
        <w:rPr>
          <w:rStyle w:val="FootnoteAnchor"/>
          <w:rtl w:val="true"/>
        </w:rPr>
        <w:footnoteReference w:id="1398"/>
      </w:r>
      <w:bookmarkStart w:id="504" w:name="pg9015_97607"/>
    </w:p>
    <w:p>
      <w:pPr>
        <w:pStyle w:val="Heading2"/>
        <w:numPr>
          <w:ilvl w:val="1"/>
          <w:numId w:val="1"/>
        </w:numPr>
        <w:rPr/>
      </w:pPr>
      <w:bookmarkStart w:id="505" w:name="__RefHeading___Toc2001687_2870459653"/>
      <w:bookmarkStart w:id="506" w:name="_Toc193"/>
      <w:bookmarkEnd w:id="504"/>
      <w:bookmarkEnd w:id="505"/>
      <w:r>
        <w:rPr>
          <w:rtl w:val="true"/>
        </w:rPr>
        <w:t>أصل</w:t>
      </w:r>
      <w:r>
        <w:rPr>
          <w:rtl w:val="true"/>
        </w:rPr>
        <w:t>[</w:t>
      </w:r>
      <w:r>
        <w:rPr>
          <w:rtl w:val="true"/>
        </w:rPr>
        <w:t>في دفع الضرر المحتمل</w:t>
      </w:r>
      <w:r>
        <w:rPr>
          <w:rtl w:val="true"/>
        </w:rPr>
        <w:t>]</w:t>
      </w:r>
      <w:bookmarkEnd w:id="506"/>
    </w:p>
    <w:p>
      <w:pPr>
        <w:pStyle w:val="BookText"/>
        <w:rPr/>
      </w:pPr>
      <w:r>
        <w:rPr>
          <w:rFonts w:ascii="IRNazanin" w:hAnsi="IRNazanin" w:eastAsia="IRNazanin"/>
          <w:color w:val="111111"/>
          <w:sz w:val="28"/>
          <w:sz w:val="28"/>
          <w:szCs w:val="28"/>
          <w:rtl w:val="true"/>
          <w:lang w:bidi="fa-IR"/>
        </w:rPr>
        <w:t>أصل</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قال الله</w:t>
      </w:r>
      <w:r>
        <w:rPr>
          <w:rStyle w:val="FootnoteAnchor"/>
          <w:rtl w:val="true"/>
        </w:rPr>
        <w:footnoteReference w:id="1400"/>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 xml:space="preserve">اعلم أن دفع </w:t>
      </w:r>
      <w:r>
        <w:rPr>
          <w:rStyle w:val="FootnoteAnchor"/>
          <w:rtl w:val="true"/>
        </w:rPr>
        <w:footnoteReference w:id="1402"/>
      </w:r>
      <w:r>
        <w:rPr>
          <w:rFonts w:ascii="IRNazanin" w:hAnsi="IRNazanin" w:eastAsia="IRNazanin"/>
          <w:color w:val="111111"/>
          <w:sz w:val="28"/>
          <w:sz w:val="28"/>
          <w:szCs w:val="28"/>
          <w:rtl w:val="true"/>
          <w:lang w:bidi="fa-IR"/>
        </w:rPr>
        <w:t xml:space="preserve">الضرر لازم </w:t>
      </w:r>
      <w:r>
        <w:rPr>
          <w:rStyle w:val="FootnoteAnchor"/>
          <w:rtl w:val="true"/>
        </w:rPr>
        <w:footnoteReference w:id="1403"/>
      </w:r>
      <w:r>
        <w:rPr>
          <w:rFonts w:ascii="Amiri" w:hAnsi="Amiri" w:eastAsia="Amiri" w:cs="Amiri"/>
          <w:color w:val="111111"/>
          <w:sz w:val="28"/>
          <w:sz w:val="28"/>
          <w:szCs w:val="28"/>
          <w:rtl w:val="true"/>
          <w:lang w:bidi="ar-SA"/>
        </w:rPr>
        <w:t>وإن كان موهوماً؛ لبناء العقلاء على الاحتراز من الإناءين المشتبهين إذا أخبر كذوب يظن كذبه بوقوع السم في أحدهما؛ وأما عدم</w:t>
      </w:r>
      <w:r>
        <w:rPr>
          <w:rStyle w:val="FootnoteAnchor"/>
          <w:rtl w:val="true"/>
        </w:rPr>
        <w:footnoteReference w:id="1404"/>
      </w:r>
      <w:r>
        <w:rPr>
          <w:rFonts w:ascii="IRNazanin" w:hAnsi="IRNazanin" w:eastAsia="IRNazanin"/>
          <w:color w:val="111111"/>
          <w:sz w:val="28"/>
          <w:sz w:val="28"/>
          <w:szCs w:val="28"/>
          <w:rtl w:val="true"/>
          <w:lang w:bidi="fa-IR"/>
        </w:rPr>
        <w:t>احترازهم عن</w:t>
      </w:r>
      <w:r>
        <w:rPr>
          <w:rStyle w:val="FootnoteAnchor"/>
          <w:rtl w:val="true"/>
        </w:rPr>
        <w:footnoteReference w:id="1405"/>
      </w:r>
      <w:r>
        <w:rPr>
          <w:rFonts w:ascii="Amiri" w:hAnsi="Amiri" w:eastAsia="Amiri" w:cs="Amiri"/>
          <w:color w:val="111111"/>
          <w:sz w:val="28"/>
          <w:sz w:val="28"/>
          <w:szCs w:val="28"/>
          <w:rtl w:val="true"/>
          <w:lang w:bidi="ar-SA"/>
        </w:rPr>
        <w:t>القعود في البنيان المحتمل للخراب ونحوه، فلعدم إمكانه لهم، ولزوم وقوعهم في محذور أشد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احتمال</w:t>
      </w:r>
      <w:r>
        <w:rPr>
          <w:rStyle w:val="FootnoteAnchor"/>
          <w:rtl w:val="true"/>
        </w:rPr>
        <w:footnoteReference w:id="1406"/>
      </w:r>
      <w:r>
        <w:rPr>
          <w:rFonts w:ascii="IRNazanin" w:hAnsi="IRNazanin" w:eastAsia="IRNazanin"/>
          <w:color w:val="111111"/>
          <w:sz w:val="28"/>
          <w:sz w:val="28"/>
          <w:szCs w:val="28"/>
          <w:rtl w:val="true"/>
          <w:lang w:bidi="fa-IR"/>
        </w:rPr>
        <w:t>اختصاص اللزوم بأمور</w:t>
      </w:r>
      <w:r>
        <w:rPr>
          <w:rStyle w:val="FootnoteAnchor"/>
          <w:rtl w:val="true"/>
        </w:rPr>
        <w:footnoteReference w:id="1407"/>
      </w:r>
      <w:r>
        <w:rPr>
          <w:rFonts w:ascii="Amiri" w:hAnsi="Amiri" w:eastAsia="Amiri" w:cs="Amiri"/>
          <w:color w:val="111111"/>
          <w:sz w:val="28"/>
          <w:sz w:val="28"/>
          <w:szCs w:val="28"/>
          <w:rtl w:val="true"/>
          <w:lang w:bidi="ar-SA"/>
        </w:rPr>
        <w:t xml:space="preserve">المعاش مما يكون تأثيره </w:t>
      </w:r>
      <w:r>
        <w:rPr>
          <w:rStyle w:val="FootnoteAnchor"/>
          <w:rtl w:val="true"/>
        </w:rPr>
        <w:footnoteReference w:id="1408"/>
      </w:r>
      <w:r>
        <w:rPr>
          <w:rFonts w:ascii="Amiri" w:hAnsi="Amiri" w:eastAsia="Amiri" w:cs="Amiri"/>
          <w:color w:val="111111"/>
          <w:sz w:val="28"/>
          <w:sz w:val="28"/>
          <w:szCs w:val="28"/>
          <w:rtl w:val="true"/>
          <w:lang w:bidi="ar-SA"/>
        </w:rPr>
        <w:t xml:space="preserve">ذاتياً </w:t>
      </w:r>
      <w:r>
        <w:rPr>
          <w:rStyle w:val="FootnoteAnchor"/>
          <w:rtl w:val="true"/>
        </w:rPr>
        <w:footnoteReference w:id="1409"/>
      </w:r>
      <w:r>
        <w:rPr>
          <w:rFonts w:ascii="Amiri" w:hAnsi="Amiri" w:eastAsia="Amiri" w:cs="Amiri"/>
          <w:color w:val="111111"/>
          <w:sz w:val="28"/>
          <w:sz w:val="28"/>
          <w:szCs w:val="28"/>
          <w:rtl w:val="true"/>
          <w:lang w:bidi="ar-SA"/>
        </w:rPr>
        <w:t>، لا في مثل الأحكام مطلقاً، أو الأحكام الشرعية</w:t>
      </w:r>
      <w:r>
        <w:rPr>
          <w:rFonts w:eastAsia="Amiri" w:cs="Amiri" w:ascii="Amiri" w:hAnsi="Amiri"/>
          <w:color w:val="111111"/>
          <w:sz w:val="28"/>
          <w:szCs w:val="28"/>
          <w:rtl w:val="true"/>
          <w:lang w:bidi="ar-SA"/>
        </w:rPr>
        <w:t>.</w:t>
      </w:r>
      <w:r>
        <w:rPr>
          <w:rStyle w:val="FootnoteAnchor"/>
          <w:rtl w:val="true"/>
        </w:rPr>
        <w:footnoteReference w:id="141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بنائهم، بل أشديّة الأخروي</w:t>
      </w:r>
      <w:r>
        <w:rPr>
          <w:rStyle w:val="FootnoteAnchor"/>
          <w:rtl w:val="true"/>
        </w:rPr>
        <w:footnoteReference w:id="1411"/>
      </w:r>
      <w:r>
        <w:rPr>
          <w:rFonts w:ascii="Amiri" w:hAnsi="Amiri" w:eastAsia="Amiri" w:cs="Amiri"/>
          <w:color w:val="111111"/>
          <w:sz w:val="28"/>
          <w:sz w:val="28"/>
          <w:szCs w:val="28"/>
          <w:rtl w:val="true"/>
          <w:lang w:bidi="ar-SA"/>
        </w:rPr>
        <w:t xml:space="preserve">، مضافاً إلى القوة العاقلة، وأخبار </w:t>
      </w:r>
    </w:p>
    <w:p>
      <w:pPr>
        <w:pStyle w:val="BookText"/>
        <w:rPr/>
      </w:pP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خال عن المعارض، أو معارض باحتمال ضرر آخر مساو معه رتبة ،واعتقاداً، أو رتبة لا اعتقاداً، أو عكسه، أو أقوى منه رتبة واعتقاداً، أو أحدهما أقوى رتبة والآخر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إما كلاهما دنيويان ، أو أخرويان، أو مختلفان، فصارت الصوّر ست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خلا عن المعارض فقد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مع المعارض المساوي من الجهتين فالتخيير، أو الأقوى من الجهتين، أو من إحداهما</w:t>
      </w:r>
      <w:r>
        <w:rPr>
          <w:rStyle w:val="FootnoteAnchor"/>
          <w:rtl w:val="true"/>
        </w:rPr>
        <w:footnoteReference w:id="1412"/>
      </w:r>
      <w:r>
        <w:rPr>
          <w:rFonts w:ascii="Amiri" w:hAnsi="Amiri" w:eastAsia="Amiri" w:cs="Amiri"/>
          <w:color w:val="111111"/>
          <w:sz w:val="28"/>
          <w:sz w:val="28"/>
          <w:szCs w:val="28"/>
          <w:rtl w:val="true"/>
          <w:lang w:bidi="ar-SA"/>
        </w:rPr>
        <w:t>، فتقديم الأقوى، أو الأقوى من جهة والأضعف من أخرى، فموارده عند العقلاء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كونها دنيويين، أو اخرويين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المختلفين،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قبح الإضرار بالنفس، ولزوم دفعه عقلاً وشرعاً ما لم يرد دليل عليه</w:t>
      </w:r>
      <w:r>
        <w:rPr>
          <w:rStyle w:val="FootnoteAnchor"/>
          <w:rtl w:val="true"/>
        </w:rPr>
        <w:footnoteReference w:id="1413"/>
      </w:r>
      <w:r>
        <w:rPr>
          <w:rFonts w:ascii="Amiri" w:hAnsi="Amiri" w:eastAsia="Amiri" w:cs="Amiri"/>
          <w:color w:val="111111"/>
          <w:sz w:val="28"/>
          <w:sz w:val="28"/>
          <w:szCs w:val="28"/>
          <w:rtl w:val="true"/>
          <w:lang w:bidi="ar-SA"/>
        </w:rPr>
        <w:t>، كما ورد في إضرار النفس لحفظ بيضة الإسلام، وحينئذ لو تعارض ضرر دنيوي كإضرار النفس بالقتل مثلاً، وأخروي، فالأخروي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مقطوع، كالقطع بأنه في ترك الجهاد يستحق العقاب الأخروي، أو مظنون، أو مشكوك، أو موهوم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والضرر الدنيوي إما مقطوع، كالقطع بأنه لو جاهد لقتل، أو مظنون، أو مشكوك، أو موهوم</w:t>
      </w:r>
      <w:r>
        <w:rPr>
          <w:rFonts w:eastAsia="Amiri" w:cs="Amiri" w:ascii="Amiri" w:hAnsi="Amiri"/>
          <w:color w:val="111111"/>
          <w:sz w:val="28"/>
          <w:szCs w:val="28"/>
          <w:rtl w:val="true"/>
          <w:lang w:bidi="ar-SA"/>
        </w:rPr>
        <w:t>)</w:t>
      </w:r>
      <w:r>
        <w:rPr>
          <w:rStyle w:val="FootnoteAnchor"/>
          <w:rtl w:val="true"/>
        </w:rPr>
        <w:footnoteReference w:id="1414"/>
      </w:r>
      <w:r>
        <w:rPr>
          <w:rFonts w:ascii="Amiri" w:hAnsi="Amiri" w:eastAsia="Amiri" w:cs="Amiri"/>
          <w:color w:val="111111"/>
          <w:sz w:val="28"/>
          <w:sz w:val="28"/>
          <w:szCs w:val="28"/>
          <w:rtl w:val="true"/>
          <w:lang w:bidi="ar-SA"/>
        </w:rPr>
        <w:t xml:space="preserve">، فإن كان الضرر الأخروي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مقطوعاً، أو مظنوناً بظن شرعي معتبر، قدّم مطلقاً؛ لقوة الأخروي</w:t>
      </w:r>
      <w:r>
        <w:rPr>
          <w:rFonts w:eastAsia="Amiri" w:cs="Amiri" w:ascii="Amiri" w:hAnsi="Amiri"/>
          <w:color w:val="111111"/>
          <w:sz w:val="28"/>
          <w:szCs w:val="28"/>
          <w:rtl w:val="true"/>
          <w:lang w:bidi="ar-SA"/>
        </w:rPr>
        <w:t>)</w:t>
      </w:r>
      <w:r>
        <w:rPr>
          <w:rStyle w:val="FootnoteAnchor"/>
          <w:rtl w:val="true"/>
        </w:rPr>
        <w:footnoteReference w:id="1415"/>
      </w:r>
      <w:r>
        <w:rPr>
          <w:rFonts w:ascii="Amiri" w:hAnsi="Amiri" w:eastAsia="Amiri" w:cs="Amiri"/>
          <w:color w:val="111111"/>
          <w:sz w:val="28"/>
          <w:sz w:val="28"/>
          <w:szCs w:val="28"/>
          <w:rtl w:val="true"/>
          <w:lang w:bidi="ar-SA"/>
        </w:rPr>
        <w:t>رتبة مطلقاً، واعتقاداً أيضاً في بعض الصور</w:t>
      </w:r>
      <w:r>
        <w:rPr>
          <w:rStyle w:val="FootnoteAnchor"/>
          <w:rtl w:val="true"/>
        </w:rPr>
        <w:footnoteReference w:id="141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مشكوكاً حكماً واعتباراً،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اعتباراً</w:t>
      </w:r>
      <w:r>
        <w:rPr>
          <w:rFonts w:eastAsia="Amiri" w:cs="Amiri" w:ascii="Amiri" w:hAnsi="Amiri"/>
          <w:color w:val="111111"/>
          <w:sz w:val="28"/>
          <w:szCs w:val="28"/>
          <w:rtl w:val="true"/>
          <w:lang w:bidi="ar-SA"/>
        </w:rPr>
        <w:t>)</w:t>
      </w:r>
      <w:r>
        <w:rPr>
          <w:rStyle w:val="FootnoteAnchor"/>
          <w:rtl w:val="true"/>
        </w:rPr>
        <w:footnoteReference w:id="1417"/>
      </w:r>
      <w:r>
        <w:rPr>
          <w:rFonts w:ascii="Amiri" w:hAnsi="Amiri" w:eastAsia="Amiri" w:cs="Amiri"/>
          <w:color w:val="111111"/>
          <w:sz w:val="28"/>
          <w:sz w:val="28"/>
          <w:szCs w:val="28"/>
          <w:rtl w:val="true"/>
          <w:lang w:bidi="ar-SA"/>
        </w:rPr>
        <w:t xml:space="preserve">فقط، أو موهوماً، قدم دفع الضرر الدنيوي مطلقاً؛ لأنه إذا شك في وجوب الجهاد مثلاً </w:t>
      </w:r>
      <w:r>
        <w:rPr>
          <w:rStyle w:val="FootnoteAnchor"/>
          <w:rtl w:val="true"/>
        </w:rPr>
        <w:footnoteReference w:id="1418"/>
      </w:r>
      <w:r>
        <w:rPr>
          <w:rFonts w:ascii="Amiri" w:hAnsi="Amiri" w:eastAsia="Amiri" w:cs="Amiri"/>
          <w:color w:val="111111"/>
          <w:sz w:val="28"/>
          <w:sz w:val="28"/>
          <w:szCs w:val="28"/>
          <w:rtl w:val="true"/>
          <w:lang w:bidi="ar-SA"/>
        </w:rPr>
        <w:t>شك في استحقاق العقاب على تركه في الآخرة ؛ لاحتمال وجوبه، وفي استحقاق العقاب على فعله لاحتمال عدم وجوبه</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 فاحتمال العقاب في الآخرة موجود فعلاً وتركاً، فيتعارضان، ويبقى القطع بأنه لو جاهد لقتل، أو الظن ، أو الشك، أو الوهم به سليماً عن المعارض، فيجب التحرز عنه</w:t>
      </w:r>
      <w:r>
        <w:rPr>
          <w:rFonts w:eastAsia="Amiri" w:cs="Amiri" w:ascii="Amiri" w:hAnsi="Amiri"/>
          <w:color w:val="111111"/>
          <w:sz w:val="28"/>
          <w:szCs w:val="28"/>
          <w:rtl w:val="true"/>
          <w:lang w:bidi="ar-SA"/>
        </w:rPr>
        <w:t>.</w:t>
      </w:r>
      <w:r>
        <w:rPr>
          <w:rStyle w:val="FootnoteAnchor"/>
          <w:rtl w:val="true"/>
        </w:rPr>
        <w:footnoteReference w:id="142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الكلام في تشخيص الصغريات، ومرجعه نظر الفقيه</w:t>
      </w:r>
      <w:r>
        <w:rPr>
          <w:rFonts w:eastAsia="Amiri" w:cs="Amiri" w:ascii="Amiri" w:hAnsi="Amiri"/>
          <w:color w:val="111111"/>
          <w:sz w:val="28"/>
          <w:szCs w:val="28"/>
          <w:rtl w:val="true"/>
          <w:lang w:bidi="ar-SA"/>
        </w:rPr>
        <w:t xml:space="preserve">. </w:t>
      </w:r>
      <w:bookmarkStart w:id="507" w:name="pg9015_97610"/>
    </w:p>
    <w:p>
      <w:pPr>
        <w:pStyle w:val="Heading2"/>
        <w:numPr>
          <w:ilvl w:val="1"/>
          <w:numId w:val="1"/>
        </w:numPr>
        <w:rPr/>
      </w:pPr>
      <w:bookmarkStart w:id="508" w:name="__RefHeading___Toc2001689_2870459653"/>
      <w:bookmarkStart w:id="509" w:name="_Toc194"/>
      <w:bookmarkEnd w:id="507"/>
      <w:bookmarkEnd w:id="508"/>
      <w:r>
        <w:rPr>
          <w:rtl w:val="true"/>
        </w:rPr>
        <w:t>أصل</w:t>
      </w:r>
      <w:r>
        <w:rPr>
          <w:rtl w:val="true"/>
        </w:rPr>
        <w:t>[</w:t>
      </w:r>
      <w:r>
        <w:rPr>
          <w:rtl w:val="true"/>
        </w:rPr>
        <w:t>في نفي العسر</w:t>
      </w:r>
      <w:r>
        <w:rPr>
          <w:rtl w:val="true"/>
        </w:rPr>
        <w:t>]</w:t>
      </w:r>
      <w:bookmarkEnd w:id="509"/>
    </w:p>
    <w:p>
      <w:pPr>
        <w:pStyle w:val="BookText"/>
        <w:rPr/>
      </w:pPr>
      <w:r>
        <w:rPr>
          <w:rFonts w:ascii="IRNazanin" w:hAnsi="IRNazanin" w:eastAsia="IRNazanin"/>
          <w:color w:val="111111"/>
          <w:sz w:val="28"/>
          <w:sz w:val="28"/>
          <w:szCs w:val="28"/>
          <w:rtl w:val="true"/>
          <w:lang w:bidi="fa-IR"/>
        </w:rPr>
        <w:t>أصل</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نيُرِيدُ الله بكمُ الْيُسْرَ</w:t>
      </w:r>
      <w:r>
        <w:rPr>
          <w:rFonts w:eastAsia="Amiri" w:cs="Amiri" w:ascii="Amiri" w:hAnsi="Amiri"/>
          <w:color w:val="111111"/>
          <w:sz w:val="28"/>
          <w:szCs w:val="28"/>
          <w:rtl w:val="true"/>
          <w:lang w:bidi="ar-SA"/>
        </w:rPr>
        <w:t>»</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اعلم أنّ الفعل إن لم يكن مقدوراً للمكلف فلا ريب في عدم جواز تعلق التكليف به عقلاً</w:t>
      </w:r>
      <w:r>
        <w:rPr>
          <w:rStyle w:val="FootnoteAnchor"/>
          <w:rtl w:val="true"/>
        </w:rPr>
        <w:footnoteReference w:id="1423"/>
      </w:r>
      <w:r>
        <w:rPr>
          <w:rFonts w:ascii="IRNazanin" w:hAnsi="IRNazanin" w:eastAsia="IRNazanin"/>
          <w:color w:val="111111"/>
          <w:sz w:val="28"/>
          <w:sz w:val="28"/>
          <w:szCs w:val="28"/>
          <w:rtl w:val="true"/>
          <w:lang w:bidi="fa-IR"/>
        </w:rPr>
        <w:t>و نقلا</w:t>
      </w:r>
      <w:r>
        <w:rPr>
          <w:rStyle w:val="FootnoteAnchor"/>
          <w:rtl w:val="true"/>
        </w:rPr>
        <w:footnoteReference w:id="1424"/>
      </w:r>
      <w:r>
        <w:rPr>
          <w:rFonts w:ascii="Amiri" w:hAnsi="Amiri" w:eastAsia="Amiri" w:cs="Amiri"/>
          <w:color w:val="111111"/>
          <w:sz w:val="28"/>
          <w:sz w:val="28"/>
          <w:szCs w:val="28"/>
          <w:rtl w:val="true"/>
          <w:lang w:bidi="ar-SA"/>
        </w:rPr>
        <w:t>، كما لا ريب في الجواز</w:t>
      </w:r>
      <w:r>
        <w:rPr>
          <w:rStyle w:val="FootnoteAnchor"/>
          <w:rtl w:val="true"/>
        </w:rPr>
        <w:footnoteReference w:id="1425"/>
      </w:r>
      <w:r>
        <w:rPr>
          <w:rFonts w:ascii="Amiri" w:hAnsi="Amiri" w:eastAsia="Amiri" w:cs="Amiri"/>
          <w:color w:val="111111"/>
          <w:sz w:val="28"/>
          <w:sz w:val="28"/>
          <w:szCs w:val="28"/>
          <w:rtl w:val="true"/>
          <w:lang w:bidi="ar-SA"/>
        </w:rPr>
        <w:t>مع كونه مقدوراً خالياً عن العسر والاختلال، مال إليه النفس، كالأمر بالنكاح والنهي عن الخبائث، أم لا، كالأمر بالصلاة والنهي عن الزنا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معسوراً ومضراً، كإيقاع نفسه في التهلكة، وقتل الولد، فالأصل في مثله عدم جواز ارتكابه؛ لأن فيه أمارة المفسدة، ولأنه </w:t>
      </w:r>
      <w:r>
        <w:rPr>
          <w:rStyle w:val="FootnoteAnchor"/>
          <w:rtl w:val="true"/>
        </w:rPr>
        <w:footnoteReference w:id="1426"/>
      </w:r>
      <w:r>
        <w:rPr>
          <w:rFonts w:ascii="Amiri" w:hAnsi="Amiri" w:eastAsia="Amiri" w:cs="Amiri"/>
          <w:color w:val="111111"/>
          <w:sz w:val="28"/>
          <w:sz w:val="28"/>
          <w:szCs w:val="28"/>
          <w:rtl w:val="true"/>
          <w:lang w:bidi="ar-SA"/>
        </w:rPr>
        <w:t>تصرف في ملك الغير بغير إذنه، بل العقل يستقل في حكمه بقبح ارتكابه من العبد</w:t>
      </w:r>
      <w:r>
        <w:rPr>
          <w:rStyle w:val="FootnoteAnchor"/>
          <w:rtl w:val="true"/>
        </w:rPr>
        <w:footnoteReference w:id="1427"/>
      </w:r>
      <w:r>
        <w:rPr>
          <w:rFonts w:ascii="Amiri" w:hAnsi="Amiri" w:eastAsia="Amiri" w:cs="Amiri"/>
          <w:color w:val="111111"/>
          <w:sz w:val="28"/>
          <w:sz w:val="28"/>
          <w:szCs w:val="28"/>
          <w:rtl w:val="true"/>
          <w:lang w:bidi="ar-SA"/>
        </w:rPr>
        <w:t>، وقبح ترخيص المولى فيه، وقبح إلزامه العبد عليه</w:t>
      </w:r>
      <w:r>
        <w:rPr>
          <w:rStyle w:val="FootnoteAnchor"/>
          <w:rtl w:val="true"/>
        </w:rPr>
        <w:footnoteReference w:id="1428"/>
      </w:r>
      <w:r>
        <w:rPr>
          <w:rFonts w:ascii="Amiri" w:hAnsi="Amiri" w:eastAsia="Amiri" w:cs="Amiri"/>
          <w:color w:val="111111"/>
          <w:sz w:val="28"/>
          <w:sz w:val="28"/>
          <w:szCs w:val="28"/>
          <w:rtl w:val="true"/>
          <w:lang w:bidi="ar-SA"/>
        </w:rPr>
        <w:t>، لكن حكماً تعليقياً معلقاً على عدم العلم بوجود مصلحة فيه؛ إذ يمكن عند العقل وجود مصلحة مقتضية للترخيص أو الإلزام، كما وقع في الأمر بالجهاد، وفي أمر الطبيب بقطع بعض الأعضاء</w:t>
      </w:r>
      <w:r>
        <w:rPr>
          <w:rFonts w:eastAsia="Amiri" w:cs="Amiri" w:ascii="Amiri" w:hAnsi="Amiri"/>
          <w:color w:val="111111"/>
          <w:sz w:val="28"/>
          <w:szCs w:val="28"/>
          <w:rtl w:val="true"/>
          <w:lang w:bidi="ar-SA"/>
        </w:rPr>
        <w:t>.</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 xml:space="preserve">أو معسوراً مستلزماً لاختلال نظم </w:t>
      </w:r>
      <w:r>
        <w:rPr>
          <w:rStyle w:val="FootnoteAnchor"/>
          <w:rtl w:val="true"/>
        </w:rPr>
        <w:footnoteReference w:id="1430"/>
      </w:r>
      <w:r>
        <w:rPr>
          <w:rFonts w:ascii="Amiri" w:hAnsi="Amiri" w:eastAsia="Amiri" w:cs="Amiri"/>
          <w:color w:val="111111"/>
          <w:sz w:val="28"/>
          <w:sz w:val="28"/>
          <w:szCs w:val="28"/>
          <w:rtl w:val="true"/>
          <w:lang w:bidi="ar-SA"/>
        </w:rPr>
        <w:t xml:space="preserve">العالم، كإيجاب الاحتياط الكلي على الكل فذلك مما </w:t>
      </w:r>
      <w:r>
        <w:rPr>
          <w:rStyle w:val="FootnoteAnchor"/>
          <w:rtl w:val="true"/>
        </w:rPr>
        <w:footnoteReference w:id="1431"/>
      </w:r>
      <w:r>
        <w:rPr>
          <w:rFonts w:ascii="Amiri" w:hAnsi="Amiri" w:eastAsia="Amiri" w:cs="Amiri"/>
          <w:color w:val="111111"/>
          <w:sz w:val="28"/>
          <w:sz w:val="28"/>
          <w:szCs w:val="28"/>
          <w:rtl w:val="true"/>
          <w:lang w:bidi="ar-SA"/>
        </w:rPr>
        <w:t xml:space="preserve">يحكم العقل </w:t>
      </w:r>
      <w:r>
        <w:rPr>
          <w:rStyle w:val="FootnoteAnchor"/>
          <w:rtl w:val="true"/>
        </w:rPr>
        <w:footnoteReference w:id="1432"/>
      </w:r>
      <w:r>
        <w:rPr>
          <w:rFonts w:ascii="Amiri" w:hAnsi="Amiri" w:eastAsia="Amiri" w:cs="Amiri"/>
          <w:color w:val="111111"/>
          <w:sz w:val="28"/>
          <w:sz w:val="28"/>
          <w:szCs w:val="28"/>
          <w:rtl w:val="true"/>
          <w:lang w:bidi="ar-SA"/>
        </w:rPr>
        <w:t>بقبحه تنجيزاً ما دام الغرض متعلقا ببقاء النظم للزوم مخالفة ،الغرض، فلايجوز الأمر به، ولا الترخيص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تعلق الأمر بالمندوبات</w:t>
      </w:r>
      <w:r>
        <w:rPr>
          <w:rStyle w:val="FootnoteAnchor"/>
          <w:rtl w:val="true"/>
        </w:rPr>
        <w:footnoteReference w:id="1433"/>
      </w:r>
      <w:r>
        <w:rPr>
          <w:rFonts w:ascii="Amiri" w:hAnsi="Amiri" w:eastAsia="Amiri" w:cs="Amiri"/>
          <w:color w:val="111111"/>
          <w:sz w:val="28"/>
          <w:sz w:val="28"/>
          <w:szCs w:val="28"/>
          <w:rtl w:val="true"/>
          <w:lang w:bidi="ar-SA"/>
        </w:rPr>
        <w:t>، مع كثرتها الموجبة للاختلال، بل وتضادها، وعدم إمكان جمعها؟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القرينة المذكورة لا بدّ من حمل أوامر الندب على الإرشاد وبيان الحسن ،الذاتي، لا على الطلب والترخيص المطلق، أو الحمل على التخيير بالنسبة إلى المتضادين، مع التقييد بصورة عدم الاختلال، أو الحمل على صورة عدم اختياره الضد وعدم الاختلال، والأوسط أوسط</w:t>
      </w:r>
      <w:r>
        <w:rPr>
          <w:rFonts w:eastAsia="Amiri" w:cs="Amiri" w:ascii="Amiri" w:hAnsi="Amiri"/>
          <w:color w:val="111111"/>
          <w:sz w:val="28"/>
          <w:szCs w:val="28"/>
          <w:rtl w:val="true"/>
          <w:lang w:bidi="ar-SA"/>
        </w:rPr>
        <w:t>.</w:t>
      </w:r>
      <w:r>
        <w:rPr>
          <w:rStyle w:val="FootnoteAnchor"/>
          <w:rtl w:val="true"/>
        </w:rPr>
        <w:footnoteReference w:id="143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دليل الندب دالا على الحكم الوضعي،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الحسن والمحبوبية الذاتية في الماهية من دون دلالة على الطلب</w:t>
      </w:r>
      <w:r>
        <w:rPr>
          <w:rStyle w:val="FootnoteAnchor"/>
          <w:rtl w:val="true"/>
        </w:rPr>
        <w:footnoteReference w:id="1435"/>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موضوع</w:t>
      </w:r>
      <w:r>
        <w:rPr>
          <w:rFonts w:eastAsia="Amiri" w:cs="Amiri" w:ascii="Amiri" w:hAnsi="Amiri"/>
          <w:color w:val="111111"/>
          <w:sz w:val="28"/>
          <w:szCs w:val="28"/>
          <w:rtl w:val="true"/>
          <w:lang w:bidi="ar-SA"/>
        </w:rPr>
        <w:t>»</w:t>
      </w:r>
      <w:r>
        <w:rPr>
          <w:rStyle w:val="FootnoteAnchor"/>
          <w:rtl w:val="true"/>
        </w:rPr>
        <w:footnoteReference w:id="14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Style w:val="FootnoteAnchor"/>
          <w:rtl w:val="true"/>
        </w:rPr>
        <w:footnoteReference w:id="1437"/>
      </w:r>
      <w:r>
        <w:rPr>
          <w:rFonts w:ascii="Amiri" w:hAnsi="Amiri" w:eastAsia="Amiri" w:cs="Amiri"/>
          <w:color w:val="111111"/>
          <w:sz w:val="28"/>
          <w:sz w:val="28"/>
          <w:szCs w:val="28"/>
          <w:rtl w:val="true"/>
          <w:lang w:bidi="ar-SA"/>
        </w:rPr>
        <w:t xml:space="preserve">، أو كان دليل </w:t>
      </w:r>
      <w:r>
        <w:rPr>
          <w:rStyle w:val="FootnoteAnchor"/>
          <w:rtl w:val="true"/>
        </w:rPr>
        <w:footnoteReference w:id="1438"/>
      </w:r>
      <w:r>
        <w:rPr>
          <w:rFonts w:ascii="Amiri" w:hAnsi="Amiri" w:eastAsia="Amiri" w:cs="Amiri"/>
          <w:color w:val="111111"/>
          <w:sz w:val="28"/>
          <w:sz w:val="28"/>
          <w:szCs w:val="28"/>
          <w:rtl w:val="true"/>
          <w:lang w:bidi="ar-SA"/>
        </w:rPr>
        <w:t xml:space="preserve">احد الطرفين من المستحبين اللذين لا يجتمعان، أو يستلزمان الاختلال وضعياً، وإن كان الآخر بلفظ الأمر، أو </w:t>
      </w:r>
      <w:r>
        <w:rPr>
          <w:rStyle w:val="FootnoteAnchor"/>
          <w:rtl w:val="true"/>
        </w:rPr>
        <w:footnoteReference w:id="1439"/>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الأمر دالاً على إيجاد الماهية مطابقة، وعلى حسن الماهية من حيث هي في ضمن كل الأفراد التزاماً</w:t>
      </w:r>
      <w:r>
        <w:rPr>
          <w:rStyle w:val="FootnoteAnchor"/>
          <w:rtl w:val="true"/>
        </w:rPr>
        <w:footnoteReference w:id="1440"/>
      </w:r>
      <w:r>
        <w:rPr>
          <w:rFonts w:ascii="Amiri" w:hAnsi="Amiri" w:eastAsia="Amiri" w:cs="Amiri"/>
          <w:color w:val="111111"/>
          <w:sz w:val="28"/>
          <w:sz w:val="28"/>
          <w:szCs w:val="28"/>
          <w:rtl w:val="true"/>
          <w:lang w:bidi="ar-SA"/>
        </w:rPr>
        <w:t xml:space="preserve">عرفياً، طلب كل الأفراد، كقوله </w:t>
      </w:r>
      <w:r>
        <w:rPr>
          <w:rStyle w:val="FootnoteAnchor"/>
          <w:rtl w:val="true"/>
        </w:rPr>
        <w:footnoteReference w:id="14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من دون دلالته على الحسين علیه السلام</w:t>
      </w:r>
      <w:r>
        <w:rPr>
          <w:rFonts w:eastAsia="IRNazanin" w:cs="IRNazanin"/>
          <w:color w:val="111111"/>
          <w:sz w:val="28"/>
          <w:szCs w:val="28"/>
          <w:rtl w:val="true"/>
          <w:lang w:bidi="fa-IR"/>
        </w:rPr>
        <w:t>».</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اندفع الإيراد من أصله؛ لعدم انصراف ما هو وضعي إلى صورة الاختلال، أو عدم الإمكان، وعلى فرض الانصراف لا تنافي؛ لأنه لا طلب،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معسوراً لا ضرر فيه ولا اختلال بل مجرد مشقة لا تتحمل عادة، فلا قبح في ارتكابه، بل ارتكاب المشقة في طاعة المولى حسن، لكن يقبح الإلزام به من المولى عند العقل قبحاً تعليقياً، ولا يقبح عقلاً </w:t>
      </w:r>
      <w:r>
        <w:rPr>
          <w:rStyle w:val="FootnoteAnchor"/>
          <w:rtl w:val="true"/>
        </w:rPr>
        <w:footnoteReference w:id="1443"/>
      </w:r>
      <w:r>
        <w:rPr>
          <w:rFonts w:ascii="Amiri" w:hAnsi="Amiri" w:eastAsia="Amiri" w:cs="Amiri"/>
          <w:color w:val="111111"/>
          <w:sz w:val="28"/>
          <w:sz w:val="28"/>
          <w:szCs w:val="28"/>
          <w:rtl w:val="true"/>
          <w:lang w:bidi="ar-SA"/>
        </w:rPr>
        <w:t>الأمر به ندباً، ولا إجماع على نفيه، ولا ينافيه ما دل على نفي الحرج، وعلى البعث على الملة السمحة السهلة؛ إذ لا حرج</w:t>
      </w:r>
      <w:r>
        <w:rPr>
          <w:rStyle w:val="FootnoteAnchor"/>
          <w:rtl w:val="true"/>
        </w:rPr>
        <w:footnoteReference w:id="1444"/>
      </w:r>
      <w:r>
        <w:rPr>
          <w:rFonts w:ascii="Amiri" w:hAnsi="Amiri" w:eastAsia="Amiri" w:cs="Amiri"/>
          <w:color w:val="111111"/>
          <w:sz w:val="28"/>
          <w:sz w:val="28"/>
          <w:szCs w:val="28"/>
          <w:rtl w:val="true"/>
          <w:lang w:bidi="ar-SA"/>
        </w:rPr>
        <w:t>بعد الإذن في الترك، والسهولة حاصلة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1445"/>
      </w:r>
      <w:r>
        <w:rPr>
          <w:rFonts w:ascii="Amiri" w:hAnsi="Amiri" w:eastAsia="Amiri" w:cs="Amiri"/>
          <w:color w:val="111111"/>
          <w:sz w:val="28"/>
          <w:sz w:val="28"/>
          <w:szCs w:val="28"/>
          <w:rtl w:val="true"/>
          <w:lang w:bidi="ar-SA"/>
        </w:rPr>
        <w:t>، فيمكن أن يكون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يريد أنه يبغضه، فلا يكون حسناً ولا مباحاً ، أو</w:t>
      </w:r>
      <w:r>
        <w:rPr>
          <w:rStyle w:val="FootnoteAnchor"/>
          <w:rtl w:val="true"/>
        </w:rPr>
        <w:footnoteReference w:id="1446"/>
      </w:r>
      <w:r>
        <w:rPr>
          <w:rFonts w:ascii="Amiri" w:hAnsi="Amiri" w:eastAsia="Amiri" w:cs="Amiri"/>
          <w:color w:val="111111"/>
          <w:sz w:val="28"/>
          <w:sz w:val="28"/>
          <w:szCs w:val="28"/>
          <w:rtl w:val="true"/>
          <w:lang w:bidi="ar-SA"/>
        </w:rPr>
        <w:t xml:space="preserve">أنه لا يحبه فلا يكون مطلوباً إلزاماً وندباً وإن أمكن إباحته، أو أنه لا يطلبه وإن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محبوباً، أو أنه لا يلزم به وإن أمكن</w:t>
      </w:r>
      <w:r>
        <w:rPr>
          <w:rFonts w:eastAsia="Amiri" w:cs="Amiri" w:ascii="Amiri" w:hAnsi="Amiri"/>
          <w:color w:val="111111"/>
          <w:sz w:val="28"/>
          <w:szCs w:val="28"/>
          <w:rtl w:val="true"/>
          <w:lang w:bidi="ar-SA"/>
        </w:rPr>
        <w:t>)</w:t>
      </w:r>
      <w:r>
        <w:rPr>
          <w:rStyle w:val="FootnoteAnchor"/>
          <w:rtl w:val="true"/>
        </w:rPr>
        <w:footnoteReference w:id="1447"/>
      </w:r>
      <w:r>
        <w:rPr>
          <w:rFonts w:ascii="Amiri" w:hAnsi="Amiri" w:eastAsia="Amiri" w:cs="Amiri"/>
          <w:color w:val="111111"/>
          <w:sz w:val="28"/>
          <w:sz w:val="28"/>
          <w:szCs w:val="28"/>
          <w:rtl w:val="true"/>
          <w:lang w:bidi="ar-SA"/>
        </w:rPr>
        <w:t>طلبه ندباً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والمتبادر نفي الطلب الإلزامي وإن كان مقتضى قاعدة عموم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الوارد بعد النفي عدم تعلق الإرادة على المعسور إلزاماً وندباً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عدم الظهور فيما ذكرنا</w:t>
      </w:r>
      <w:r>
        <w:rPr>
          <w:rStyle w:val="FootnoteAnchor"/>
          <w:rtl w:val="true"/>
        </w:rPr>
        <w:footnoteReference w:id="1448"/>
      </w:r>
      <w:r>
        <w:rPr>
          <w:rFonts w:ascii="Amiri" w:hAnsi="Amiri" w:eastAsia="Amiri" w:cs="Amiri"/>
          <w:color w:val="111111"/>
          <w:sz w:val="28"/>
          <w:sz w:val="28"/>
          <w:szCs w:val="28"/>
          <w:rtl w:val="true"/>
          <w:lang w:bidi="ar-SA"/>
        </w:rPr>
        <w:t>، فلا أقل من الإجمال، ويبقى حينئذ ما دلّ على استحباب المعسور سليماً عن المعارض، مضافاً إلى اتفاقهم على عدم نفي العسر في المندوبات، بل لم</w:t>
      </w:r>
      <w:r>
        <w:rPr>
          <w:rStyle w:val="FootnoteAnchor"/>
          <w:rtl w:val="true"/>
        </w:rPr>
        <w:footnoteReference w:id="1449"/>
      </w:r>
      <w:r>
        <w:rPr>
          <w:rFonts w:ascii="Amiri" w:hAnsi="Amiri" w:eastAsia="Amiri" w:cs="Amiri"/>
          <w:color w:val="111111"/>
          <w:sz w:val="28"/>
          <w:sz w:val="28"/>
          <w:szCs w:val="28"/>
          <w:rtl w:val="true"/>
          <w:lang w:bidi="ar-SA"/>
        </w:rPr>
        <w:t>يتمسك أحد بهذه</w:t>
      </w:r>
      <w:r>
        <w:rPr>
          <w:rStyle w:val="FootnoteAnchor"/>
          <w:rtl w:val="true"/>
        </w:rPr>
        <w:footnoteReference w:id="1450"/>
      </w:r>
      <w:r>
        <w:rPr>
          <w:rFonts w:ascii="Amiri" w:hAnsi="Amiri" w:eastAsia="Amiri" w:cs="Amiri"/>
          <w:color w:val="111111"/>
          <w:sz w:val="28"/>
          <w:sz w:val="28"/>
          <w:szCs w:val="28"/>
          <w:rtl w:val="true"/>
          <w:lang w:bidi="ar-SA"/>
        </w:rPr>
        <w:t xml:space="preserve">الآية الشريفة على نفيه فيها، وهذا يكشف عن أن الظاهر منها عندهم </w:t>
      </w:r>
      <w:r>
        <w:rPr>
          <w:rStyle w:val="FootnoteAnchor"/>
          <w:rtl w:val="true"/>
        </w:rPr>
        <w:footnoteReference w:id="1451"/>
      </w:r>
      <w:r>
        <w:rPr>
          <w:rFonts w:ascii="Amiri" w:hAnsi="Amiri" w:eastAsia="Amiri" w:cs="Amiri"/>
          <w:color w:val="111111"/>
          <w:sz w:val="28"/>
          <w:sz w:val="28"/>
          <w:szCs w:val="28"/>
          <w:rtl w:val="true"/>
          <w:lang w:bidi="ar-SA"/>
        </w:rPr>
        <w:t xml:space="preserve">نفي الإلزام </w:t>
      </w:r>
      <w:r>
        <w:rPr>
          <w:rFonts w:eastAsia="Amiri" w:cs="Amiri" w:ascii="Amiri" w:hAnsi="Amiri"/>
          <w:color w:val="111111"/>
          <w:sz w:val="28"/>
          <w:szCs w:val="28"/>
          <w:rtl w:val="true"/>
          <w:lang w:bidi="ar-SA"/>
        </w:rPr>
        <w:t>.</w:t>
      </w:r>
      <w:r>
        <w:rPr>
          <w:rStyle w:val="FootnoteAnchor"/>
          <w:rtl w:val="true"/>
        </w:rPr>
        <w:footnoteReference w:id="1452"/>
      </w:r>
      <w:bookmarkStart w:id="510" w:name="pg9015_97614"/>
    </w:p>
    <w:p>
      <w:pPr>
        <w:pStyle w:val="Heading2"/>
        <w:numPr>
          <w:ilvl w:val="1"/>
          <w:numId w:val="1"/>
        </w:numPr>
        <w:rPr/>
      </w:pPr>
      <w:bookmarkStart w:id="511" w:name="__RefHeading___Toc2001691_2870459653"/>
      <w:bookmarkStart w:id="512" w:name="_Toc195"/>
      <w:bookmarkEnd w:id="510"/>
      <w:bookmarkEnd w:id="511"/>
      <w:r>
        <w:rPr>
          <w:rtl w:val="true"/>
        </w:rPr>
        <w:t xml:space="preserve">أصل </w:t>
      </w:r>
      <w:r>
        <w:rPr>
          <w:rtl w:val="true"/>
        </w:rPr>
        <w:t>[</w:t>
      </w:r>
      <w:r>
        <w:rPr>
          <w:rtl w:val="true"/>
        </w:rPr>
        <w:t>في السنة وأقسامها</w:t>
      </w:r>
      <w:r>
        <w:rPr>
          <w:rtl w:val="true"/>
        </w:rPr>
        <w:t>]</w:t>
      </w:r>
      <w:bookmarkEnd w:id="512"/>
    </w:p>
    <w:p>
      <w:pPr>
        <w:pStyle w:val="Heading3"/>
        <w:numPr>
          <w:ilvl w:val="2"/>
          <w:numId w:val="1"/>
        </w:numPr>
        <w:rPr/>
      </w:pPr>
      <w:bookmarkStart w:id="513" w:name="__RefHeading___Toc2001693_2870459653"/>
      <w:bookmarkStart w:id="514" w:name="_Toc196"/>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 xml:space="preserve">السنّة لغةً الطريقة </w:t>
      </w:r>
      <w:r>
        <w:rPr>
          <w:rStyle w:val="FootnoteAnchor"/>
          <w:rtl w:val="true"/>
        </w:rPr>
        <w:footnoteReference w:id="1453"/>
      </w:r>
      <w:r>
        <w:rPr>
          <w:rFonts w:ascii="Amiri" w:hAnsi="Amiri" w:eastAsia="Amiri" w:cs="Amiri"/>
          <w:color w:val="111111"/>
          <w:sz w:val="28"/>
          <w:sz w:val="28"/>
          <w:szCs w:val="28"/>
          <w:rtl w:val="true"/>
          <w:lang w:bidi="ar-SA"/>
        </w:rPr>
        <w:t xml:space="preserve">، واصطلاحاً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،المعصوم أو فعله أو تقريره</w:t>
      </w:r>
      <w:r>
        <w:rPr>
          <w:rStyle w:val="FootnoteAnchor"/>
          <w:rtl w:val="true"/>
        </w:rPr>
        <w:footnoteReference w:id="1454"/>
      </w:r>
      <w:r>
        <w:rPr>
          <w:rFonts w:ascii="Amiri" w:hAnsi="Amiri" w:eastAsia="Amiri" w:cs="Amiri"/>
          <w:color w:val="111111"/>
          <w:sz w:val="28"/>
          <w:sz w:val="28"/>
          <w:szCs w:val="28"/>
          <w:rtl w:val="true"/>
          <w:lang w:bidi="ar-SA"/>
        </w:rPr>
        <w:t>ولعل المراد من القول أعمّ من مثل الكتب والإشارة، ومن الفعل أعم من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ما يحكي السنة</w:t>
      </w:r>
      <w:r>
        <w:rPr>
          <w:rStyle w:val="FootnoteAnchor"/>
          <w:rtl w:val="true"/>
        </w:rPr>
        <w:footnoteReference w:id="1455"/>
      </w:r>
      <w:r>
        <w:rPr>
          <w:rFonts w:ascii="Amiri" w:hAnsi="Amiri" w:eastAsia="Amiri" w:cs="Amiri"/>
          <w:color w:val="111111"/>
          <w:sz w:val="28"/>
          <w:sz w:val="28"/>
          <w:szCs w:val="28"/>
          <w:rtl w:val="true"/>
          <w:lang w:bidi="ar-SA"/>
        </w:rPr>
        <w:t>، والنسبة بينهما عموم من وجه، ونقل السنة إلى المعنى</w:t>
      </w:r>
      <w:r>
        <w:rPr>
          <w:rStyle w:val="FootnoteAnchor"/>
          <w:rtl w:val="true"/>
        </w:rPr>
        <w:footnoteReference w:id="1456"/>
      </w:r>
      <w:r>
        <w:rPr>
          <w:rFonts w:ascii="IRNazanin" w:hAnsi="IRNazanin" w:eastAsia="IRNazanin"/>
          <w:color w:val="111111"/>
          <w:sz w:val="28"/>
          <w:sz w:val="28"/>
          <w:szCs w:val="28"/>
          <w:rtl w:val="true"/>
          <w:lang w:bidi="fa-IR"/>
        </w:rPr>
        <w:t>المصطلح من نقل المناسب إلى المناسب</w:t>
      </w:r>
      <w:r>
        <w:rPr>
          <w:rStyle w:val="FootnoteAnchor"/>
          <w:rtl w:val="true"/>
        </w:rPr>
        <w:footnoteReference w:id="1457"/>
      </w:r>
      <w:r>
        <w:rPr>
          <w:rFonts w:ascii="Amiri" w:hAnsi="Amiri" w:eastAsia="Amiri" w:cs="Amiri"/>
          <w:color w:val="111111"/>
          <w:sz w:val="28"/>
          <w:sz w:val="28"/>
          <w:szCs w:val="28"/>
          <w:rtl w:val="true"/>
          <w:lang w:bidi="ar-SA"/>
        </w:rPr>
        <w:t>، لا الكلي إلى الفرد، والمنقول إليه أحد الأمور لا كل واحد منها؛ للأصل</w:t>
      </w:r>
      <w:r>
        <w:rPr>
          <w:rStyle w:val="FootnoteAnchor"/>
          <w:rtl w:val="true"/>
        </w:rPr>
        <w:footnoteReference w:id="1458"/>
      </w:r>
      <w:r>
        <w:rPr>
          <w:rFonts w:ascii="Amiri" w:hAnsi="Amiri" w:eastAsia="Amiri" w:cs="Amiri"/>
          <w:color w:val="111111"/>
          <w:sz w:val="28"/>
          <w:sz w:val="28"/>
          <w:szCs w:val="28"/>
          <w:rtl w:val="true"/>
          <w:lang w:bidi="ar-SA"/>
        </w:rPr>
        <w:t>، والنقل تعيني ؛ للغلبة</w:t>
      </w:r>
      <w:r>
        <w:rPr>
          <w:rFonts w:eastAsia="Amiri" w:cs="Amiri" w:ascii="Amiri" w:hAnsi="Amiri"/>
          <w:color w:val="111111"/>
          <w:sz w:val="28"/>
          <w:szCs w:val="28"/>
          <w:rtl w:val="true"/>
          <w:lang w:bidi="ar-SA"/>
        </w:rPr>
        <w:t>.</w:t>
      </w:r>
      <w:r>
        <w:rPr>
          <w:rStyle w:val="FootnoteAnchor"/>
          <w:rtl w:val="true"/>
        </w:rPr>
        <w:footnoteReference w:id="1459"/>
      </w:r>
    </w:p>
    <w:p>
      <w:pPr>
        <w:pStyle w:val="Heading3"/>
        <w:numPr>
          <w:ilvl w:val="2"/>
          <w:numId w:val="1"/>
        </w:numPr>
        <w:rPr/>
      </w:pPr>
      <w:bookmarkStart w:id="515" w:name="__RefHeading___Toc2001695_2870459653"/>
      <w:bookmarkStart w:id="516" w:name="_Toc197"/>
      <w:bookmarkEnd w:id="515"/>
      <w:r>
        <w:rPr>
          <w:rtl w:val="true"/>
        </w:rPr>
        <w:t>[</w:t>
      </w:r>
      <w:r>
        <w:rPr>
          <w:rtl w:val="true"/>
        </w:rPr>
        <w:t>تقسيم الخبر إلى المتواتر والآحاد</w:t>
      </w:r>
      <w:r>
        <w:rPr>
          <w:rtl w:val="true"/>
        </w:rPr>
        <w:t>]</w:t>
      </w:r>
      <w:bookmarkEnd w:id="51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الخبر المرادف للحديث إما متواتر وهو </w:t>
      </w:r>
      <w:r>
        <w:rPr>
          <w:rStyle w:val="FootnoteAnchor"/>
          <w:rtl w:val="true"/>
        </w:rPr>
        <w:footnoteReference w:id="1460"/>
      </w:r>
      <w:r>
        <w:rPr>
          <w:rFonts w:ascii="Amiri" w:hAnsi="Amiri" w:eastAsia="Amiri" w:cs="Amiri"/>
          <w:color w:val="111111"/>
          <w:sz w:val="28"/>
          <w:sz w:val="28"/>
          <w:szCs w:val="28"/>
          <w:rtl w:val="true"/>
          <w:lang w:bidi="ar-SA"/>
        </w:rPr>
        <w:t xml:space="preserve">ما يفيد العلم بسبب كثرة ،المخبرين بحيث يمتنع تواطؤهم على الكذب عادة </w:t>
      </w:r>
      <w:r>
        <w:rPr>
          <w:rStyle w:val="FootnoteAnchor"/>
          <w:rtl w:val="true"/>
        </w:rPr>
        <w:footnoteReference w:id="1461"/>
      </w:r>
      <w:r>
        <w:rPr>
          <w:rFonts w:ascii="Amiri" w:hAnsi="Amiri" w:eastAsia="Amiri" w:cs="Amiri"/>
          <w:color w:val="111111"/>
          <w:sz w:val="28"/>
          <w:sz w:val="28"/>
          <w:szCs w:val="28"/>
          <w:rtl w:val="true"/>
          <w:lang w:bidi="ar-SA"/>
        </w:rPr>
        <w:t xml:space="preserve">، استقلت الكثرة في إفادة ،العلم، أم انضمت إلى القرائن الداخلة، فتعريفه بأنه خبر </w:t>
      </w:r>
      <w:r>
        <w:rPr>
          <w:rStyle w:val="FootnoteAnchor"/>
          <w:rtl w:val="true"/>
        </w:rPr>
        <w:footnoteReference w:id="1462"/>
      </w:r>
      <w:r>
        <w:rPr>
          <w:rFonts w:ascii="Amiri" w:hAnsi="Amiri" w:eastAsia="Amiri" w:cs="Amiri"/>
          <w:color w:val="111111"/>
          <w:sz w:val="28"/>
          <w:sz w:val="28"/>
          <w:szCs w:val="28"/>
          <w:rtl w:val="true"/>
          <w:lang w:bidi="ar-SA"/>
        </w:rPr>
        <w:t xml:space="preserve">جماعة يفيد العلم </w:t>
      </w:r>
    </w:p>
    <w:p>
      <w:pPr>
        <w:pStyle w:val="BookText"/>
        <w:rPr/>
      </w:pPr>
      <w:r>
        <w:rPr>
          <w:rFonts w:ascii="IRNazanin" w:hAnsi="IRNazanin" w:eastAsia="IRNazanin"/>
          <w:color w:val="111111"/>
          <w:sz w:val="28"/>
          <w:sz w:val="28"/>
          <w:szCs w:val="28"/>
          <w:rtl w:val="true"/>
          <w:lang w:bidi="fa-IR"/>
        </w:rPr>
        <w:t>بنفسه</w:t>
      </w:r>
      <w:r>
        <w:rPr>
          <w:rStyle w:val="FootnoteAnchor"/>
          <w:rtl w:val="true"/>
        </w:rPr>
        <w:footnoteReference w:id="1463"/>
      </w:r>
      <w:r>
        <w:rPr>
          <w:rFonts w:ascii="Amiri" w:hAnsi="Amiri" w:eastAsia="Amiri" w:cs="Amiri"/>
          <w:color w:val="111111"/>
          <w:sz w:val="28"/>
          <w:sz w:val="28"/>
          <w:szCs w:val="28"/>
          <w:rtl w:val="true"/>
          <w:lang w:bidi="ar-SA"/>
        </w:rPr>
        <w:t>، لا يطّرد؛ لدخول خبر ثلاثة أفاد العلم بضمّ القرائن الداخلة، فإنه لا يسمى متواتراً اصطلاحاً</w:t>
      </w:r>
      <w:r>
        <w:rPr>
          <w:rStyle w:val="FootnoteAnchor"/>
          <w:rtl w:val="true"/>
        </w:rPr>
        <w:footnoteReference w:id="1464"/>
      </w:r>
      <w:r>
        <w:rPr>
          <w:rFonts w:ascii="Amiri" w:hAnsi="Amiri" w:eastAsia="Amiri" w:cs="Amiri"/>
          <w:color w:val="111111"/>
          <w:sz w:val="28"/>
          <w:sz w:val="28"/>
          <w:szCs w:val="28"/>
          <w:rtl w:val="true"/>
          <w:lang w:bidi="ar-SA"/>
        </w:rPr>
        <w:t>، ولا يدفعه اشتراط الكثرة بعد</w:t>
      </w:r>
      <w:r>
        <w:rPr>
          <w:rStyle w:val="FootnoteAnchor"/>
          <w:rtl w:val="true"/>
        </w:rPr>
        <w:footnoteReference w:id="1465"/>
      </w:r>
      <w:r>
        <w:rPr>
          <w:rFonts w:ascii="Amiri" w:hAnsi="Amiri" w:eastAsia="Amiri" w:cs="Amiri"/>
          <w:color w:val="111111"/>
          <w:sz w:val="28"/>
          <w:sz w:val="28"/>
          <w:szCs w:val="28"/>
          <w:rtl w:val="true"/>
          <w:lang w:bidi="ar-SA"/>
        </w:rPr>
        <w:t>التعريف؛ لأن ذلك جزء مفهومه</w:t>
      </w:r>
      <w:r>
        <w:rPr>
          <w:rStyle w:val="FootnoteAnchor"/>
          <w:rtl w:val="true"/>
        </w:rPr>
        <w:footnoteReference w:id="1466"/>
      </w:r>
      <w:r>
        <w:rPr>
          <w:rFonts w:ascii="Amiri" w:hAnsi="Amiri" w:eastAsia="Amiri" w:cs="Amiri"/>
          <w:color w:val="111111"/>
          <w:sz w:val="28"/>
          <w:sz w:val="28"/>
          <w:szCs w:val="28"/>
          <w:rtl w:val="true"/>
          <w:lang w:bidi="ar-SA"/>
        </w:rPr>
        <w:t>لا شرطه الخارجي، ولا ينعكس؛ لعدم صدقه على خبر جماعة كثيرين أفاد العلم لا بنفسه، بل بضمّ القرائن الداخلة،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 متواتر، وهو ما ليس كذلك، وإن افاد العلم بقرينة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يفيد القطع باللفظ ولو إجمالاً، أو بصدق المضمون، أو بهما</w:t>
      </w:r>
      <w:r>
        <w:rPr>
          <w:rStyle w:val="FootnoteAnchor"/>
          <w:rtl w:val="true"/>
        </w:rPr>
        <w:footnoteReference w:id="1467"/>
      </w:r>
      <w:r>
        <w:rPr>
          <w:rFonts w:ascii="Amiri" w:hAnsi="Amiri" w:eastAsia="Amiri" w:cs="Amiri"/>
          <w:color w:val="111111"/>
          <w:sz w:val="28"/>
          <w:sz w:val="28"/>
          <w:szCs w:val="28"/>
          <w:rtl w:val="true"/>
          <w:lang w:bidi="ar-SA"/>
        </w:rPr>
        <w:t>، وكذا</w:t>
      </w:r>
      <w:r>
        <w:rPr>
          <w:rStyle w:val="FootnoteAnchor"/>
          <w:rtl w:val="true"/>
        </w:rPr>
        <w:footnoteReference w:id="1468"/>
      </w:r>
      <w:r>
        <w:rPr>
          <w:rFonts w:ascii="Amiri" w:hAnsi="Amiri" w:eastAsia="Amiri" w:cs="Amiri"/>
          <w:color w:val="111111"/>
          <w:sz w:val="28"/>
          <w:sz w:val="28"/>
          <w:szCs w:val="28"/>
          <w:rtl w:val="true"/>
          <w:lang w:bidi="ar-SA"/>
        </w:rPr>
        <w:t>الواحد المحفوف بقرينة قطعية، فما كان من هذه الأقسام الستة مقطوع اللب فلا كلام في حجيته؛ لأن العلم حجة لكل احد في كل مقام، من أي سبب حصل، أي</w:t>
      </w:r>
      <w:r>
        <w:rPr>
          <w:rStyle w:val="FootnoteAnchor"/>
          <w:rtl w:val="true"/>
        </w:rPr>
        <w:footnoteReference w:id="1469"/>
      </w:r>
      <w:r>
        <w:rPr>
          <w:rFonts w:ascii="Amiri" w:hAnsi="Amiri" w:eastAsia="Amiri" w:cs="Amiri"/>
          <w:color w:val="111111"/>
          <w:sz w:val="28"/>
          <w:sz w:val="28"/>
          <w:szCs w:val="28"/>
          <w:rtl w:val="true"/>
          <w:lang w:bidi="ar-SA"/>
        </w:rPr>
        <w:t>مرتبة كانت من مراتب العلم في أي زمان كان، قبل الفحص أو</w:t>
      </w:r>
      <w:r>
        <w:rPr>
          <w:rStyle w:val="FootnoteAnchor"/>
          <w:rtl w:val="true"/>
        </w:rPr>
        <w:footnoteReference w:id="1470"/>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منها مقطوع اللفظ، فهو من الظن الخاص المقطوع حجيته؛ للإجماع عليه</w:t>
      </w:r>
      <w:r>
        <w:rPr>
          <w:rStyle w:val="FootnoteAnchor"/>
          <w:rtl w:val="true"/>
        </w:rPr>
        <w:footnoteReference w:id="1471"/>
      </w:r>
      <w:r>
        <w:rPr>
          <w:rFonts w:ascii="Amiri" w:hAnsi="Amiri" w:eastAsia="Amiri" w:cs="Amiri"/>
          <w:color w:val="111111"/>
          <w:sz w:val="28"/>
          <w:sz w:val="28"/>
          <w:szCs w:val="28"/>
          <w:rtl w:val="true"/>
          <w:lang w:bidi="ar-SA"/>
        </w:rPr>
        <w:t>، وما ينكر حجيته أحد عدا ابن قبة فيحتمل إنكاره لذلك؛ لجريان دليله</w:t>
      </w:r>
      <w:r>
        <w:rPr>
          <w:rFonts w:eastAsia="Amiri" w:cs="Amiri" w:ascii="Amiri" w:hAnsi="Amiri"/>
          <w:color w:val="111111"/>
          <w:sz w:val="28"/>
          <w:szCs w:val="28"/>
          <w:rtl w:val="true"/>
          <w:lang w:bidi="ar-SA"/>
        </w:rPr>
        <w:t>.</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على عدم جواز التعبد بالواحد من استلزامه تحليل الحرام وعكسه فيه</w:t>
      </w:r>
      <w:r>
        <w:rPr>
          <w:rFonts w:eastAsia="Amiri" w:cs="Amiri" w:ascii="Amiri" w:hAnsi="Amiri"/>
          <w:color w:val="111111"/>
          <w:sz w:val="28"/>
          <w:szCs w:val="28"/>
          <w:rtl w:val="true"/>
          <w:lang w:bidi="ar-SA"/>
        </w:rPr>
        <w:t>).</w:t>
      </w:r>
      <w:r>
        <w:rPr>
          <w:rStyle w:val="FootnoteAnchor"/>
          <w:rtl w:val="true"/>
        </w:rPr>
        <w:footnoteReference w:id="1473"/>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فانحصر النزاع في قسم سابع خارج عن الستة، وهو الواحد الذي لا قطع بصدوره، ولا مضمونه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هذا فرداً من أفراد الظن، فالأحسن طرد الكلام في حجية مطلق الظن وعدم حجيته</w:t>
      </w:r>
      <w:r>
        <w:rPr>
          <w:rFonts w:eastAsia="Amiri" w:cs="Amiri" w:ascii="Amiri" w:hAnsi="Amiri"/>
          <w:color w:val="111111"/>
          <w:sz w:val="28"/>
          <w:szCs w:val="28"/>
          <w:rtl w:val="true"/>
          <w:lang w:bidi="ar-SA"/>
        </w:rPr>
        <w:t xml:space="preserve">. </w:t>
      </w:r>
      <w:bookmarkStart w:id="517" w:name="pg9015_97617"/>
    </w:p>
    <w:p>
      <w:pPr>
        <w:pStyle w:val="Heading3"/>
        <w:numPr>
          <w:ilvl w:val="2"/>
          <w:numId w:val="1"/>
        </w:numPr>
        <w:rPr/>
      </w:pPr>
      <w:bookmarkStart w:id="518" w:name="__RefHeading___Toc2001697_2870459653"/>
      <w:bookmarkStart w:id="519" w:name="_Toc198"/>
      <w:bookmarkEnd w:id="517"/>
      <w:bookmarkEnd w:id="518"/>
      <w:r>
        <w:rPr>
          <w:rtl w:val="true"/>
        </w:rPr>
        <w:t>[</w:t>
      </w:r>
      <w:r>
        <w:rPr>
          <w:rtl w:val="true"/>
        </w:rPr>
        <w:t>في حجية الظن</w:t>
      </w:r>
      <w:r>
        <w:rPr>
          <w:rtl w:val="true"/>
        </w:rPr>
        <w:t>]</w:t>
      </w:r>
      <w:bookmarkEnd w:id="519"/>
    </w:p>
    <w:p>
      <w:pPr>
        <w:pStyle w:val="BookText"/>
        <w:rPr/>
      </w:pPr>
      <w:r>
        <w:rPr>
          <w:rFonts w:ascii="IRNazanin" w:hAnsi="IRNazanin" w:eastAsia="IRNazanin"/>
          <w:color w:val="111111"/>
          <w:sz w:val="28"/>
          <w:sz w:val="28"/>
          <w:szCs w:val="28"/>
          <w:rtl w:val="true"/>
          <w:lang w:bidi="fa-IR"/>
        </w:rPr>
        <w:t>فاعلم</w:t>
      </w:r>
      <w:r>
        <w:rPr>
          <w:rStyle w:val="FootnoteAnchor"/>
          <w:rtl w:val="true"/>
        </w:rPr>
        <w:footnoteReference w:id="1475"/>
      </w:r>
      <w:r>
        <w:rPr>
          <w:rFonts w:ascii="IRNazanin" w:hAnsi="IRNazanin" w:eastAsia="IRNazanin"/>
          <w:color w:val="111111"/>
          <w:sz w:val="28"/>
          <w:sz w:val="28"/>
          <w:szCs w:val="28"/>
          <w:rtl w:val="true"/>
          <w:lang w:bidi="fa-IR"/>
        </w:rPr>
        <w:t xml:space="preserve">أنّ من الظنون </w:t>
      </w:r>
      <w:r>
        <w:rPr>
          <w:rStyle w:val="FootnoteAnchor"/>
          <w:rtl w:val="true"/>
        </w:rPr>
        <w:footnoteReference w:id="1476"/>
      </w:r>
      <w:r>
        <w:rPr>
          <w:rFonts w:ascii="Amiri" w:hAnsi="Amiri" w:eastAsia="Amiri" w:cs="Amiri"/>
          <w:color w:val="111111"/>
          <w:sz w:val="28"/>
          <w:sz w:val="28"/>
          <w:szCs w:val="28"/>
          <w:rtl w:val="true"/>
          <w:lang w:bidi="ar-SA"/>
        </w:rPr>
        <w:t>ما هو مقطوع الاعتبار شرعاً، كالحاصل من متواترات</w:t>
      </w:r>
      <w:r>
        <w:rPr>
          <w:rStyle w:val="FootnoteAnchor"/>
          <w:rtl w:val="true"/>
        </w:rPr>
        <w:footnoteReference w:id="1477"/>
      </w:r>
      <w:r>
        <w:rPr>
          <w:rFonts w:ascii="Amiri" w:hAnsi="Amiri" w:eastAsia="Amiri" w:cs="Amiri"/>
          <w:color w:val="111111"/>
          <w:sz w:val="28"/>
          <w:sz w:val="28"/>
          <w:szCs w:val="28"/>
          <w:rtl w:val="true"/>
          <w:lang w:bidi="ar-SA"/>
        </w:rPr>
        <w:t>الكتاب والمتواتر اللفظي، والواحد القطعي الصدور؛ وما هو مقطوع عدم الاعتبار كالحاصل من القياس المستنبط ، والاستحسان، والمصالح المرسلة؛ وما هو مشكوك الاعتبار بالمعنى الأعم، ومحل النزاع هو الأخير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الكلام في الظن </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حيث الظانّ أنه المجتهد المطلق، أو المتجزئ، أو العامي، فهذا من مباحث الاجتهاد، أو من حيث محل الظنّ أنه الحكم الفرعي، أو الأصولي، أو الموضوع المستنبط، أو الصرف، أو المسائل المشتبهة، أو الاعتقادية،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حيث أسباب الظن، أو من حيث مراتبه</w:t>
      </w:r>
      <w:r>
        <w:rPr>
          <w:rFonts w:eastAsia="Amiri" w:cs="Amiri" w:ascii="Amiri" w:hAnsi="Amiri"/>
          <w:color w:val="111111"/>
          <w:sz w:val="28"/>
          <w:szCs w:val="28"/>
          <w:rtl w:val="true"/>
          <w:lang w:bidi="ar-SA"/>
        </w:rPr>
        <w:t>)</w:t>
      </w:r>
      <w:r>
        <w:rPr>
          <w:rStyle w:val="FootnoteAnchor"/>
          <w:rtl w:val="true"/>
        </w:rPr>
        <w:footnoteReference w:id="1479"/>
      </w:r>
      <w:r>
        <w:rPr>
          <w:rFonts w:ascii="Amiri" w:hAnsi="Amiri" w:eastAsia="Amiri" w:cs="Amiri"/>
          <w:color w:val="111111"/>
          <w:sz w:val="28"/>
          <w:sz w:val="28"/>
          <w:szCs w:val="28"/>
          <w:rtl w:val="true"/>
          <w:lang w:bidi="ar-SA"/>
        </w:rPr>
        <w:t>، أو من حيث زمان العمل به أنه</w:t>
      </w:r>
      <w:r>
        <w:rPr>
          <w:rStyle w:val="FootnoteAnchor"/>
          <w:rtl w:val="true"/>
        </w:rPr>
        <w:footnoteReference w:id="1480"/>
      </w:r>
      <w:r>
        <w:rPr>
          <w:rFonts w:ascii="Amiri" w:hAnsi="Amiri" w:eastAsia="Amiri" w:cs="Amiri"/>
          <w:color w:val="111111"/>
          <w:sz w:val="28"/>
          <w:sz w:val="28"/>
          <w:szCs w:val="28"/>
          <w:rtl w:val="true"/>
          <w:lang w:bidi="ar-SA"/>
        </w:rPr>
        <w:t>قبل الفحص أم بعده، فلا بد من ذكر هذه في طيّ أصول</w:t>
      </w:r>
      <w:r>
        <w:rPr>
          <w:rFonts w:eastAsia="Amiri" w:cs="Amiri" w:ascii="Amiri" w:hAnsi="Amiri"/>
          <w:color w:val="111111"/>
          <w:sz w:val="28"/>
          <w:szCs w:val="28"/>
          <w:rtl w:val="true"/>
          <w:lang w:bidi="ar-SA"/>
        </w:rPr>
        <w:t xml:space="preserve">. </w:t>
      </w:r>
      <w:bookmarkStart w:id="520" w:name="pg9015_97618"/>
    </w:p>
    <w:p>
      <w:pPr>
        <w:pStyle w:val="Heading3"/>
        <w:numPr>
          <w:ilvl w:val="2"/>
          <w:numId w:val="1"/>
        </w:numPr>
        <w:rPr/>
      </w:pPr>
      <w:bookmarkStart w:id="521" w:name="__RefHeading___Toc2001699_2870459653"/>
      <w:bookmarkStart w:id="522" w:name="_Toc199"/>
      <w:bookmarkEnd w:id="520"/>
      <w:bookmarkEnd w:id="521"/>
      <w:r>
        <w:rPr>
          <w:rtl w:val="true"/>
        </w:rPr>
        <w:t>[</w:t>
      </w:r>
      <w:r>
        <w:rPr>
          <w:rtl w:val="true"/>
        </w:rPr>
        <w:t xml:space="preserve">تحرير محل النزاع </w:t>
      </w:r>
      <w:r>
        <w:rPr>
          <w:rtl w:val="true"/>
        </w:rPr>
        <w:t>]</w:t>
      </w:r>
      <w:bookmarkEnd w:id="522"/>
    </w:p>
    <w:p>
      <w:pPr>
        <w:pStyle w:val="BookText"/>
        <w:rPr/>
      </w:pPr>
      <w:r>
        <w:rPr>
          <w:rFonts w:ascii="IRNazanin" w:hAnsi="IRNazanin" w:eastAsia="IRNazanin"/>
          <w:color w:val="111111"/>
          <w:sz w:val="28"/>
          <w:sz w:val="28"/>
          <w:szCs w:val="28"/>
          <w:rtl w:val="true"/>
          <w:lang w:bidi="fa-IR"/>
        </w:rPr>
        <w:t>ثم اعلم أن المجتهد إذا رأى خبراً، أو</w:t>
      </w:r>
      <w:r>
        <w:rPr>
          <w:rStyle w:val="FootnoteAnchor"/>
          <w:rtl w:val="true"/>
        </w:rPr>
        <w:footnoteReference w:id="1481"/>
      </w:r>
      <w:r>
        <w:rPr>
          <w:rFonts w:ascii="Amiri" w:hAnsi="Amiri" w:eastAsia="Amiri" w:cs="Amiri"/>
          <w:color w:val="111111"/>
          <w:sz w:val="28"/>
          <w:sz w:val="28"/>
          <w:szCs w:val="28"/>
          <w:rtl w:val="true"/>
          <w:lang w:bidi="ar-SA"/>
        </w:rPr>
        <w:t xml:space="preserve">ظن وجوب غسل الجمعة مثلاً، فتحصيل هذا الظن والاعتقاد لا شبهة في جوازه عندهم ظاهراً، وخروجه عن محل النزاع، وكذا </w:t>
      </w:r>
      <w:r>
        <w:rPr>
          <w:rStyle w:val="FootnoteAnchor"/>
          <w:rtl w:val="true"/>
        </w:rPr>
        <w:footnoteReference w:id="1482"/>
      </w:r>
      <w:r>
        <w:rPr>
          <w:rFonts w:ascii="Amiri" w:hAnsi="Amiri" w:eastAsia="Amiri" w:cs="Amiri"/>
          <w:color w:val="111111"/>
          <w:sz w:val="28"/>
          <w:sz w:val="28"/>
          <w:szCs w:val="28"/>
          <w:rtl w:val="true"/>
          <w:lang w:bidi="ar-SA"/>
        </w:rPr>
        <w:t>الإتيان بذلك المظنون في الخارج بأن يغتسل غسل الجمعة، ليس من محل النزاع، بل محل النزاع جواز جعل ذلك المظنون حكماً لنفسه، وجعله حجة له، وبناء حكمه عليه ولو</w:t>
      </w:r>
      <w:r>
        <w:rPr>
          <w:rStyle w:val="FootnoteAnchor"/>
          <w:rtl w:val="true"/>
        </w:rPr>
        <w:footnoteReference w:id="1483"/>
      </w:r>
      <w:r>
        <w:rPr>
          <w:rFonts w:ascii="Amiri" w:hAnsi="Amiri" w:eastAsia="Amiri" w:cs="Amiri"/>
          <w:color w:val="111111"/>
          <w:sz w:val="28"/>
          <w:sz w:val="28"/>
          <w:szCs w:val="28"/>
          <w:rtl w:val="true"/>
          <w:lang w:bidi="ar-SA"/>
        </w:rPr>
        <w:t>لم يعمل به أبداً عصياناً، أو نسياناً</w:t>
      </w:r>
      <w:r>
        <w:rPr>
          <w:rFonts w:eastAsia="Amiri" w:cs="Amiri" w:ascii="Amiri" w:hAnsi="Amiri"/>
          <w:color w:val="111111"/>
          <w:sz w:val="28"/>
          <w:szCs w:val="28"/>
          <w:rtl w:val="true"/>
          <w:lang w:bidi="ar-SA"/>
        </w:rPr>
        <w:t>.</w:t>
      </w:r>
      <w:r>
        <w:rPr>
          <w:rStyle w:val="FootnoteAnchor"/>
          <w:rtl w:val="true"/>
        </w:rPr>
        <w:footnoteReference w:id="1484"/>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ثم إنهم بعد ما نازعوا في إنسداد باب العلم بالمعنى الأعم من الظن الخاص في أغلب أبواب الفقه ، أو</w:t>
      </w:r>
      <w:r>
        <w:rPr>
          <w:rStyle w:val="FootnoteAnchor"/>
          <w:rtl w:val="true"/>
        </w:rPr>
        <w:footnoteReference w:id="1486"/>
      </w:r>
      <w:r>
        <w:rPr>
          <w:rFonts w:ascii="Amiri" w:hAnsi="Amiri" w:eastAsia="Amiri" w:cs="Amiri"/>
          <w:color w:val="111111"/>
          <w:sz w:val="28"/>
          <w:sz w:val="28"/>
          <w:szCs w:val="28"/>
          <w:rtl w:val="true"/>
          <w:lang w:bidi="ar-SA"/>
        </w:rPr>
        <w:t xml:space="preserve">انفتاحه، وافترقوا فرقتين، نازعوا 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الانفتاح الأغلبي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نادراً موضع لم يمكن فيه العلم بعد الفحص، فهل</w:t>
      </w:r>
      <w:r>
        <w:rPr>
          <w:rStyle w:val="FootnoteAnchor"/>
          <w:rtl w:val="true"/>
        </w:rPr>
        <w:footnoteReference w:id="1487"/>
      </w:r>
      <w:r>
        <w:rPr>
          <w:rFonts w:ascii="Amiri" w:hAnsi="Amiri" w:eastAsia="Amiri" w:cs="Amiri"/>
          <w:color w:val="111111"/>
          <w:sz w:val="28"/>
          <w:sz w:val="28"/>
          <w:szCs w:val="28"/>
          <w:rtl w:val="true"/>
          <w:lang w:bidi="ar-SA"/>
        </w:rPr>
        <w:t xml:space="preserve">يجوز العمل بالظن في هذا الموضع أم لا </w:t>
      </w:r>
      <w:r>
        <w:rPr>
          <w:rStyle w:val="FootnoteAnchor"/>
          <w:rtl w:val="true"/>
        </w:rPr>
        <w:footnoteReference w:id="1488"/>
      </w:r>
      <w:r>
        <w:rPr>
          <w:rFonts w:ascii="Amiri" w:hAnsi="Amiri" w:eastAsia="Amiri" w:cs="Amiri"/>
          <w:color w:val="111111"/>
          <w:sz w:val="28"/>
          <w:sz w:val="28"/>
          <w:szCs w:val="28"/>
          <w:rtl w:val="true"/>
          <w:lang w:bidi="ar-SA"/>
        </w:rPr>
        <w:t xml:space="preserve">؟ فمنهم من أنكره ، ومنهم من أثبته، كما يظهر القول الثاني من تمسكهم في حجية الظن بدليل دفع الضرر </w:t>
      </w:r>
      <w:r>
        <w:rPr>
          <w:rStyle w:val="FootnoteAnchor"/>
          <w:rtl w:val="true"/>
        </w:rPr>
        <w:footnoteReference w:id="1489"/>
      </w:r>
      <w:r>
        <w:rPr>
          <w:rFonts w:ascii="Amiri" w:hAnsi="Amiri" w:eastAsia="Amiri" w:cs="Amiri"/>
          <w:color w:val="111111"/>
          <w:sz w:val="28"/>
          <w:sz w:val="28"/>
          <w:szCs w:val="28"/>
          <w:rtl w:val="true"/>
          <w:lang w:bidi="ar-SA"/>
        </w:rPr>
        <w:t>، وترجيح المرجوح</w:t>
      </w:r>
      <w:r>
        <w:rPr>
          <w:rFonts w:eastAsia="Amiri" w:cs="Amiri" w:ascii="Amiri" w:hAnsi="Amiri"/>
          <w:color w:val="111111"/>
          <w:sz w:val="28"/>
          <w:szCs w:val="28"/>
          <w:rtl w:val="true"/>
          <w:lang w:bidi="ar-SA"/>
        </w:rPr>
        <w:t>.</w:t>
      </w:r>
      <w:r>
        <w:rPr>
          <w:rStyle w:val="FootnoteAnchor"/>
          <w:rtl w:val="true"/>
        </w:rPr>
        <w:footnoteReference w:id="149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فرض الانسداد الأغلبي وتسليمه، فالكل متفقون على حجية الظن، </w:t>
      </w:r>
    </w:p>
    <w:p>
      <w:pPr>
        <w:pStyle w:val="BookText"/>
        <w:rPr/>
      </w:pPr>
      <w:r>
        <w:rPr>
          <w:rFonts w:ascii="Amiri" w:hAnsi="Amiri" w:eastAsia="Amiri" w:cs="Amiri"/>
          <w:color w:val="111111"/>
          <w:sz w:val="28"/>
          <w:sz w:val="28"/>
          <w:szCs w:val="28"/>
          <w:rtl w:val="true"/>
          <w:lang w:bidi="ar-SA"/>
        </w:rPr>
        <w:t xml:space="preserve">وانما ذكروا إبطال البراءة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Style w:val="FootnoteAnchor"/>
          <w:rtl w:val="true"/>
        </w:rPr>
        <w:footnoteReference w:id="1491"/>
      </w:r>
      <w:r>
        <w:rPr>
          <w:rFonts w:ascii="IRNazanin" w:hAnsi="IRNazanin" w:eastAsia="IRNazanin"/>
          <w:color w:val="111111"/>
          <w:sz w:val="28"/>
          <w:sz w:val="28"/>
          <w:szCs w:val="28"/>
          <w:rtl w:val="true"/>
          <w:lang w:bidi="fa-IR"/>
        </w:rPr>
        <w:t xml:space="preserve">فرض هذه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دفعاً للتوهم لا لوجود </w:t>
      </w:r>
      <w:r>
        <w:rPr>
          <w:rStyle w:val="FootnoteAnchor"/>
          <w:rtl w:val="true"/>
        </w:rPr>
        <w:footnoteReference w:id="1492"/>
      </w:r>
      <w:r>
        <w:rPr>
          <w:rFonts w:ascii="Amiri" w:hAnsi="Amiri" w:eastAsia="Amiri" w:cs="Amiri"/>
          <w:color w:val="111111"/>
          <w:sz w:val="28"/>
          <w:sz w:val="28"/>
          <w:szCs w:val="28"/>
          <w:rtl w:val="true"/>
          <w:lang w:bidi="ar-SA"/>
        </w:rPr>
        <w:t>عامل بهما في الحقيقة</w:t>
      </w:r>
      <w:r>
        <w:rPr>
          <w:rStyle w:val="FootnoteAnchor"/>
          <w:rtl w:val="true"/>
        </w:rPr>
        <w:footnoteReference w:id="1493"/>
      </w:r>
      <w:r>
        <w:rPr>
          <w:rStyle w:val="FootnoteAnchor"/>
          <w:rtl w:val="true"/>
        </w:rPr>
        <w:footnoteReference w:id="1494"/>
      </w:r>
      <w:r>
        <w:rPr>
          <w:rFonts w:ascii="Amiri" w:hAnsi="Amiri" w:eastAsia="Amiri" w:cs="Amiri"/>
          <w:color w:val="111111"/>
          <w:sz w:val="28"/>
          <w:sz w:val="28"/>
          <w:szCs w:val="28"/>
          <w:rtl w:val="true"/>
          <w:lang w:bidi="ar-SA"/>
        </w:rPr>
        <w:t>، فمحل النزاع إجمالاً انما هو ما شك في جواز العمل بالظن فيه، وعدم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مورد الشك انما هو صورة الانفتاح الأغلبي، أو الشك فيه </w:t>
      </w:r>
      <w:r>
        <w:rPr>
          <w:rStyle w:val="FootnoteAnchor"/>
          <w:rtl w:val="true"/>
        </w:rPr>
        <w:footnoteReference w:id="14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في صورة الانسداد الأغلبي، فالجواز مقطوع </w:t>
      </w:r>
      <w:r>
        <w:rPr>
          <w:rStyle w:val="FootnoteAnchor"/>
          <w:rtl w:val="true"/>
        </w:rPr>
        <w:footnoteReference w:id="1496"/>
      </w:r>
      <w:r>
        <w:rPr>
          <w:rFonts w:ascii="Amiri" w:hAnsi="Amiri" w:eastAsia="Amiri" w:cs="Amiri"/>
          <w:color w:val="111111"/>
          <w:sz w:val="28"/>
          <w:sz w:val="28"/>
          <w:szCs w:val="28"/>
          <w:rtl w:val="true"/>
          <w:lang w:bidi="ar-SA"/>
        </w:rPr>
        <w:t>، ولو فرض الشك فيه أيضاً</w:t>
      </w:r>
      <w:r>
        <w:rPr>
          <w:rFonts w:eastAsia="Amiri" w:cs="Amiri" w:ascii="Amiri" w:hAnsi="Amiri"/>
          <w:color w:val="111111"/>
          <w:sz w:val="28"/>
          <w:szCs w:val="28"/>
          <w:rtl w:val="true"/>
          <w:lang w:bidi="ar-SA"/>
        </w:rPr>
        <w:t>)</w:t>
      </w:r>
      <w:r>
        <w:rPr>
          <w:rStyle w:val="FootnoteAnchor"/>
          <w:rtl w:val="true"/>
        </w:rPr>
        <w:footnoteReference w:id="1497"/>
      </w:r>
      <w:r>
        <w:rPr>
          <w:rFonts w:ascii="Amiri" w:hAnsi="Amiri" w:eastAsia="Amiri" w:cs="Amiri"/>
          <w:color w:val="111111"/>
          <w:sz w:val="28"/>
          <w:sz w:val="28"/>
          <w:szCs w:val="28"/>
          <w:rtl w:val="true"/>
          <w:lang w:bidi="ar-SA"/>
        </w:rPr>
        <w:t>كان من محل النزاع</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أنها هنا</w:t>
      </w:r>
      <w:r>
        <w:rPr>
          <w:rStyle w:val="FootnoteAnchor"/>
          <w:rtl w:val="true"/>
        </w:rPr>
        <w:footnoteReference w:id="1498"/>
      </w:r>
      <w:r>
        <w:rPr>
          <w:rFonts w:ascii="Amiri" w:hAnsi="Amiri" w:eastAsia="Amiri" w:cs="Amiri"/>
          <w:color w:val="111111"/>
          <w:sz w:val="28"/>
          <w:sz w:val="28"/>
          <w:szCs w:val="28"/>
          <w:rtl w:val="true"/>
          <w:lang w:bidi="ar-SA"/>
        </w:rPr>
        <w:t>نزاعاً صغروياً، ونزاعاً كبروياً على فرض إحدى</w:t>
      </w:r>
      <w:r>
        <w:rPr>
          <w:rStyle w:val="FootnoteAnchor"/>
          <w:rtl w:val="true"/>
        </w:rPr>
        <w:footnoteReference w:id="1499"/>
      </w:r>
      <w:r>
        <w:rPr>
          <w:rFonts w:ascii="Amiri" w:hAnsi="Amiri" w:eastAsia="Amiri" w:cs="Amiri"/>
          <w:color w:val="111111"/>
          <w:sz w:val="28"/>
          <w:sz w:val="28"/>
          <w:szCs w:val="28"/>
          <w:rtl w:val="true"/>
          <w:lang w:bidi="ar-SA"/>
        </w:rPr>
        <w:t>الصغريين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اتفقوا على أن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واجب أو محرم ، فالقول الثالث خرق للإجماع المركب</w:t>
      </w:r>
      <w:r>
        <w:rPr>
          <w:rFonts w:eastAsia="Amiri" w:cs="Amiri" w:ascii="Amiri" w:hAnsi="Amiri"/>
          <w:color w:val="111111"/>
          <w:sz w:val="28"/>
          <w:szCs w:val="28"/>
          <w:rtl w:val="true"/>
          <w:lang w:bidi="ar-SA"/>
        </w:rPr>
        <w:t>.</w:t>
      </w:r>
      <w:r>
        <w:rPr>
          <w:rStyle w:val="FootnoteAnchor"/>
          <w:rtl w:val="true"/>
        </w:rPr>
        <w:footnoteReference w:id="1500"/>
      </w:r>
      <w:bookmarkStart w:id="523" w:name="pg9015_97620"/>
    </w:p>
    <w:p>
      <w:pPr>
        <w:pStyle w:val="Heading2"/>
        <w:numPr>
          <w:ilvl w:val="1"/>
          <w:numId w:val="1"/>
        </w:numPr>
        <w:rPr/>
      </w:pPr>
      <w:bookmarkStart w:id="524" w:name="__RefHeading___Toc2001701_2870459653"/>
      <w:bookmarkStart w:id="525" w:name="_Toc200"/>
      <w:bookmarkEnd w:id="523"/>
      <w:bookmarkEnd w:id="524"/>
      <w:r>
        <w:rPr>
          <w:rtl w:val="true"/>
        </w:rPr>
        <w:t xml:space="preserve">أصل </w:t>
      </w:r>
      <w:r>
        <w:rPr>
          <w:rtl w:val="true"/>
        </w:rPr>
        <w:t>[</w:t>
      </w:r>
      <w:r>
        <w:rPr>
          <w:rtl w:val="true"/>
        </w:rPr>
        <w:t>فى أصالة حرمة العمل بالظن</w:t>
      </w:r>
      <w:r>
        <w:rPr>
          <w:rtl w:val="true"/>
        </w:rPr>
        <w:t>]</w:t>
      </w:r>
      <w:bookmarkEnd w:id="525"/>
    </w:p>
    <w:p>
      <w:pPr>
        <w:pStyle w:val="BookText"/>
        <w:rPr/>
      </w:pPr>
      <w:r>
        <w:rPr>
          <w:rFonts w:ascii="Amiri" w:hAnsi="Amiri" w:eastAsia="Amiri" w:cs="Amiri"/>
          <w:color w:val="111111"/>
          <w:sz w:val="28"/>
          <w:sz w:val="28"/>
          <w:szCs w:val="28"/>
          <w:rtl w:val="true"/>
          <w:lang w:bidi="ar-SA"/>
        </w:rPr>
        <w:t>الأصل الأصيل حرمة العمل بما وراء العلم إلى أن يقوم عليه دليل، وذلك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 المقتضية للاحتياط، بعد العلم الإجمالي بتعلق التكاليف الشرعية</w:t>
      </w:r>
      <w:r>
        <w:rPr>
          <w:rStyle w:val="FootnoteAnchor"/>
          <w:rtl w:val="true"/>
        </w:rPr>
        <w:footnoteReference w:id="1501"/>
      </w:r>
      <w:r>
        <w:rPr>
          <w:rFonts w:ascii="Amiri" w:hAnsi="Amiri" w:eastAsia="Amiri" w:cs="Amiri"/>
          <w:color w:val="111111"/>
          <w:sz w:val="28"/>
          <w:sz w:val="28"/>
          <w:szCs w:val="28"/>
          <w:rtl w:val="true"/>
          <w:lang w:bidi="ar-SA"/>
        </w:rPr>
        <w:t>، ولازمه التوقف عن الإفتاء في المعاملات حيثما</w:t>
      </w:r>
      <w:r>
        <w:rPr>
          <w:rStyle w:val="FootnoteAnchor"/>
          <w:rtl w:val="true"/>
        </w:rPr>
        <w:footnoteReference w:id="1502"/>
      </w:r>
      <w:r>
        <w:rPr>
          <w:rFonts w:ascii="Amiri" w:hAnsi="Amiri" w:eastAsia="Amiri" w:cs="Amiri"/>
          <w:color w:val="111111"/>
          <w:sz w:val="28"/>
          <w:sz w:val="28"/>
          <w:szCs w:val="28"/>
          <w:rtl w:val="true"/>
          <w:lang w:bidi="ar-SA"/>
        </w:rPr>
        <w:t xml:space="preserve">دار الأمر فيها بين ،المحذورين ، ككون </w:t>
      </w:r>
      <w:r>
        <w:rPr>
          <w:rStyle w:val="FootnoteAnchor"/>
          <w:rtl w:val="true"/>
        </w:rPr>
        <w:footnoteReference w:id="1503"/>
      </w:r>
      <w:r>
        <w:rPr>
          <w:rFonts w:ascii="Amiri" w:hAnsi="Amiri" w:eastAsia="Amiri" w:cs="Amiri"/>
          <w:color w:val="111111"/>
          <w:sz w:val="28"/>
          <w:sz w:val="28"/>
          <w:szCs w:val="28"/>
          <w:rtl w:val="true"/>
          <w:lang w:bidi="ar-SA"/>
        </w:rPr>
        <w:t>المال لزيد أو لعمرو، وإتيان ما يحتمل وجوبه فيما دار الأمر فيه بين الواجب وغير الحرام، وترك ما يحتمل حرمته فيما دار الأمر فيه بين الحرام وغير الواجب، وفيما دار الأمر فيه بين الحرام والواجب تحرّي الظن، فيؤخذ بالمظنون لا من باب الظن بل من باب القدر المتيقن، وإن لم يمكن</w:t>
      </w:r>
      <w:r>
        <w:rPr>
          <w:rStyle w:val="FootnoteAnchor"/>
          <w:rtl w:val="true"/>
        </w:rPr>
        <w:footnoteReference w:id="1504"/>
      </w:r>
      <w:r>
        <w:rPr>
          <w:rFonts w:ascii="Amiri" w:hAnsi="Amiri" w:eastAsia="Amiri" w:cs="Amiri"/>
          <w:color w:val="111111"/>
          <w:sz w:val="28"/>
          <w:sz w:val="28"/>
          <w:szCs w:val="28"/>
          <w:rtl w:val="true"/>
          <w:lang w:bidi="ar-SA"/>
        </w:rPr>
        <w:t>الظن تخير بينهما، وفي كلّ من تلك السلاسل نعلم إجمالاً بوجود التكاليف بينها</w:t>
      </w:r>
      <w:r>
        <w:rPr>
          <w:rStyle w:val="FootnoteAnchor"/>
          <w:rtl w:val="true"/>
        </w:rPr>
        <w:footnoteReference w:id="1505"/>
      </w:r>
      <w:r>
        <w:rPr>
          <w:rFonts w:ascii="Amiri" w:hAnsi="Amiri" w:eastAsia="Amiri" w:cs="Amiri"/>
          <w:color w:val="111111"/>
          <w:sz w:val="28"/>
          <w:sz w:val="28"/>
          <w:szCs w:val="28"/>
          <w:rtl w:val="true"/>
          <w:lang w:bidi="ar-SA"/>
        </w:rPr>
        <w:t>، والقطع بالامتثال لا يحصل الا بما ذكر</w:t>
      </w:r>
      <w:r>
        <w:rPr>
          <w:rFonts w:eastAsia="Amiri" w:cs="Amiri" w:ascii="Amiri" w:hAnsi="Amiri"/>
          <w:color w:val="111111"/>
          <w:sz w:val="28"/>
          <w:szCs w:val="28"/>
          <w:rtl w:val="true"/>
          <w:lang w:bidi="ar-SA"/>
        </w:rPr>
        <w:t>.</w:t>
      </w:r>
      <w:r>
        <w:rPr>
          <w:rStyle w:val="FootnoteAnchor"/>
          <w:rtl w:val="true"/>
        </w:rPr>
        <w:footnoteReference w:id="150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المجتهد حين عروض المسألة بتمكنه من تحصيل العلم، فأخّر الفحص الواجب تفريطاً إلى أن تعذر العلم، ويتمكن من الظن، فإن لم يكن الظن حجة ارتفع التكليف بالفحص، وإن كان حجة بقي الأمر بالفحص</w:t>
      </w:r>
      <w:r>
        <w:rPr>
          <w:rFonts w:eastAsia="Amiri" w:cs="Amiri" w:ascii="Amiri" w:hAnsi="Amiri"/>
          <w:color w:val="111111"/>
          <w:sz w:val="28"/>
          <w:szCs w:val="28"/>
          <w:rtl w:val="true"/>
          <w:lang w:bidi="ar-SA"/>
        </w:rPr>
        <w:t>)</w:t>
      </w:r>
      <w:r>
        <w:rPr>
          <w:rStyle w:val="FootnoteAnchor"/>
          <w:rtl w:val="true"/>
        </w:rPr>
        <w:footnoteReference w:id="1507"/>
      </w:r>
      <w:r>
        <w:rPr>
          <w:rFonts w:ascii="IRNazanin" w:hAnsi="IRNazanin" w:eastAsia="IRNazanin"/>
          <w:color w:val="111111"/>
          <w:sz w:val="28"/>
          <w:sz w:val="28"/>
          <w:szCs w:val="28"/>
          <w:rtl w:val="true"/>
          <w:lang w:bidi="fa-IR"/>
        </w:rPr>
        <w:t xml:space="preserve">، واستصحاب </w:t>
      </w:r>
    </w:p>
    <w:p>
      <w:pPr>
        <w:pStyle w:val="BookText"/>
        <w:rPr/>
      </w:pPr>
      <w:r>
        <w:rPr>
          <w:rFonts w:ascii="Amiri" w:hAnsi="Amiri" w:eastAsia="Amiri" w:cs="Amiri"/>
          <w:color w:val="111111"/>
          <w:sz w:val="28"/>
          <w:sz w:val="28"/>
          <w:szCs w:val="28"/>
          <w:rtl w:val="true"/>
          <w:lang w:bidi="ar-SA"/>
        </w:rPr>
        <w:t>الأمر بالفحص يقتضي وجوبه بعد تعذر العلم أيضاً، ولازمه حجية الظن، ويتم ما</w:t>
      </w:r>
      <w:r>
        <w:rPr>
          <w:rStyle w:val="FootnoteAnchor"/>
          <w:rtl w:val="true"/>
        </w:rPr>
        <w:footnoteReference w:id="1508"/>
      </w:r>
      <w:r>
        <w:rPr>
          <w:rFonts w:ascii="Amiri" w:hAnsi="Amiri" w:eastAsia="Amiri" w:cs="Amiri"/>
          <w:color w:val="111111"/>
          <w:sz w:val="28"/>
          <w:sz w:val="28"/>
          <w:szCs w:val="28"/>
          <w:rtl w:val="true"/>
          <w:lang w:bidi="ar-SA"/>
        </w:rPr>
        <w:t>عدا هذه الصورة بالإجماع المركب، ولا يمكن قلبه بقاعدة الاشتغال؛ إذ الاستصحاب أقوى منها</w:t>
      </w:r>
      <w:r>
        <w:rPr>
          <w:rFonts w:eastAsia="Amiri" w:cs="Amiri" w:ascii="Amiri" w:hAnsi="Amiri"/>
          <w:color w:val="111111"/>
          <w:sz w:val="28"/>
          <w:szCs w:val="28"/>
          <w:rtl w:val="true"/>
          <w:lang w:bidi="ar-SA"/>
        </w:rPr>
        <w:t>.</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بعد عروض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أول الأمر بتمكنه من تحصيل العلم، أو بعدم </w:t>
      </w:r>
      <w:r>
        <w:rPr>
          <w:rStyle w:val="FootnoteAnchor"/>
          <w:rtl w:val="true"/>
        </w:rPr>
        <w:footnoteReference w:id="1510"/>
      </w:r>
      <w:r>
        <w:rPr>
          <w:rFonts w:ascii="Amiri" w:hAnsi="Amiri" w:eastAsia="Amiri" w:cs="Amiri"/>
          <w:color w:val="111111"/>
          <w:sz w:val="28"/>
          <w:sz w:val="28"/>
          <w:szCs w:val="28"/>
          <w:rtl w:val="true"/>
          <w:lang w:bidi="ar-SA"/>
        </w:rPr>
        <w:t xml:space="preserve">تمكنه منه، أو يشك؛ وفي الأخير لو تفحص وعجز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ينكشف </w:t>
      </w:r>
      <w:r>
        <w:rPr>
          <w:rStyle w:val="FootnoteAnchor"/>
          <w:rtl w:val="true"/>
        </w:rPr>
        <w:footnoteReference w:id="1511"/>
      </w:r>
      <w:r>
        <w:rPr>
          <w:rFonts w:ascii="Amiri" w:hAnsi="Amiri" w:eastAsia="Amiri" w:cs="Amiri"/>
          <w:color w:val="111111"/>
          <w:sz w:val="28"/>
          <w:sz w:val="28"/>
          <w:szCs w:val="28"/>
          <w:rtl w:val="true"/>
          <w:lang w:bidi="ar-SA"/>
        </w:rPr>
        <w:t xml:space="preserve">انه لم يكن متمكناً من أول الأمر، أو ينكشف عروض عدم التمكن بعد ذلك ، أو </w:t>
      </w:r>
      <w:r>
        <w:rPr>
          <w:rStyle w:val="FootnoteAnchor"/>
          <w:rtl w:val="true"/>
        </w:rPr>
        <w:footnoteReference w:id="1512"/>
      </w:r>
      <w:r>
        <w:rPr>
          <w:rFonts w:ascii="Amiri" w:hAnsi="Amiri" w:eastAsia="Amiri" w:cs="Amiri"/>
          <w:color w:val="111111"/>
          <w:sz w:val="28"/>
          <w:sz w:val="28"/>
          <w:szCs w:val="28"/>
          <w:rtl w:val="true"/>
          <w:lang w:bidi="ar-SA"/>
        </w:rPr>
        <w:t xml:space="preserve">يستمر الشك لاحقاً كما كان سابقاً، وفي شيء من الصور الخمس لا يصح التمسك بالاستصحاب، بعد رعاية اتفاق الكل على عدم حجية الظن للمتمكن </w:t>
      </w:r>
      <w:r>
        <w:rPr>
          <w:rStyle w:val="FootnoteAnchor"/>
          <w:rtl w:val="true"/>
        </w:rPr>
        <w:footnoteReference w:id="1513"/>
      </w:r>
      <w:r>
        <w:rPr>
          <w:rFonts w:ascii="Amiri" w:hAnsi="Amiri" w:eastAsia="Amiri" w:cs="Amiri"/>
          <w:color w:val="111111"/>
          <w:sz w:val="28"/>
          <w:sz w:val="28"/>
          <w:szCs w:val="28"/>
          <w:rtl w:val="true"/>
          <w:lang w:bidi="ar-SA"/>
        </w:rPr>
        <w:t>من العلم ، وعدم حجية الاستصحاب في الشك العرضي والساري</w:t>
      </w:r>
      <w:r>
        <w:rPr>
          <w:rFonts w:eastAsia="Amiri" w:cs="Amiri" w:ascii="Amiri" w:hAnsi="Amiri"/>
          <w:color w:val="111111"/>
          <w:sz w:val="28"/>
          <w:szCs w:val="28"/>
          <w:rtl w:val="true"/>
          <w:lang w:bidi="ar-SA"/>
        </w:rPr>
        <w:t>.</w:t>
      </w:r>
      <w:r>
        <w:rPr>
          <w:rStyle w:val="FootnoteAnchor"/>
          <w:rtl w:val="true"/>
        </w:rPr>
        <w:footnoteReference w:id="151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المجتهد أولاً بالسدّ الأغلبي، فحصل الظن وعمل به</w:t>
      </w:r>
      <w:r>
        <w:rPr>
          <w:rStyle w:val="FootnoteAnchor"/>
          <w:rtl w:val="true"/>
        </w:rPr>
        <w:footnoteReference w:id="1515"/>
      </w:r>
      <w:r>
        <w:rPr>
          <w:rFonts w:ascii="Amiri" w:hAnsi="Amiri" w:eastAsia="Amiri" w:cs="Amiri"/>
          <w:color w:val="111111"/>
          <w:sz w:val="28"/>
          <w:sz w:val="28"/>
          <w:szCs w:val="28"/>
          <w:rtl w:val="true"/>
          <w:lang w:bidi="ar-SA"/>
        </w:rPr>
        <w:t>في الأحكام، ثم قطع بفتح باب العلم غالباً؛ لحصول القرائن بعد ذلك، كأن حصل الأصول المهجورة، وصار أغلب النصوص متواترة عنده، فحصل العلم فيما أمكنه وبقي قليل من مظنوناته</w:t>
      </w:r>
      <w:r>
        <w:rPr>
          <w:rStyle w:val="FootnoteAnchor"/>
          <w:rtl w:val="true"/>
        </w:rPr>
        <w:footnoteReference w:id="1516"/>
      </w:r>
      <w:r>
        <w:rPr>
          <w:rFonts w:ascii="Amiri" w:hAnsi="Amiri" w:eastAsia="Amiri" w:cs="Amiri"/>
          <w:color w:val="111111"/>
          <w:sz w:val="28"/>
          <w:sz w:val="28"/>
          <w:szCs w:val="28"/>
          <w:rtl w:val="true"/>
          <w:lang w:bidi="ar-SA"/>
        </w:rPr>
        <w:t xml:space="preserve">السابقة على حالة السدّ فيستصحب حجية الظن، وجواز العمل به في هذا القليل ويتم ما عداه من موارد الشك في حجية الظن بالإجماع </w:t>
      </w:r>
    </w:p>
    <w:p>
      <w:pPr>
        <w:pStyle w:val="BookText"/>
        <w:rPr/>
      </w:pPr>
      <w:r>
        <w:rPr>
          <w:rFonts w:ascii="Amiri" w:hAnsi="Amiri" w:eastAsia="Amiri" w:cs="Amiri"/>
          <w:color w:val="111111"/>
          <w:sz w:val="28"/>
          <w:sz w:val="28"/>
          <w:szCs w:val="28"/>
          <w:rtl w:val="true"/>
          <w:lang w:bidi="ar-SA"/>
        </w:rPr>
        <w:t>المركب</w:t>
      </w:r>
      <w:r>
        <w:rPr>
          <w:rStyle w:val="FootnoteAnchor"/>
          <w:rtl w:val="true"/>
        </w:rPr>
        <w:footnoteReference w:id="1517"/>
      </w:r>
      <w:r>
        <w:rPr>
          <w:rFonts w:ascii="Amiri" w:hAnsi="Amiri" w:eastAsia="Amiri" w:cs="Amiri"/>
          <w:color w:val="111111"/>
          <w:sz w:val="28"/>
          <w:sz w:val="28"/>
          <w:szCs w:val="28"/>
          <w:rtl w:val="true"/>
          <w:lang w:bidi="ar-SA"/>
        </w:rPr>
        <w:t xml:space="preserve">، ولا يمكن القلب بالاشتغال؛ لما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نفرض ما إذا قطع أولاً، ثم شك في بقائه وارتفاعه، فيستصحب الموضوع والحكم معاً، ويتم فيما عداه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إن الفرض الأول معارض بمثله، فبعد تعارض الاستصحابين بضمّ مركب الإجماع بقي الاشتغال سليماً عن المعارض، وكذلك الفرض الأخير، مضافاً فيه إلى أن استصحاب الانسداد حين الشك في بقائه لا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 عمل بالأصل قبل الفحص، أو لأنه شك في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بالتقرير الذي ذكرت عملا بالاشتغال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 أما في المعاملات فلأن الوقوف عن الفتوى</w:t>
      </w:r>
      <w:r>
        <w:rPr>
          <w:rStyle w:val="FootnoteAnchor"/>
          <w:rtl w:val="true"/>
        </w:rPr>
        <w:footnoteReference w:id="1518"/>
      </w:r>
      <w:r>
        <w:rPr>
          <w:rFonts w:ascii="Amiri" w:hAnsi="Amiri" w:eastAsia="Amiri" w:cs="Amiri"/>
          <w:color w:val="111111"/>
          <w:sz w:val="28"/>
          <w:sz w:val="28"/>
          <w:szCs w:val="28"/>
          <w:rtl w:val="true"/>
          <w:lang w:bidi="ar-SA"/>
        </w:rPr>
        <w:t>يحتمل الحرمة؛ لدوران الأمر بين وجوب الإفتاء</w:t>
      </w:r>
      <w:r>
        <w:rPr>
          <w:rStyle w:val="FootnoteAnchor"/>
          <w:rtl w:val="true"/>
        </w:rPr>
        <w:footnoteReference w:id="1519"/>
      </w:r>
      <w:r>
        <w:rPr>
          <w:rFonts w:ascii="Amiri" w:hAnsi="Amiri" w:eastAsia="Amiri" w:cs="Amiri"/>
          <w:color w:val="111111"/>
          <w:sz w:val="28"/>
          <w:sz w:val="28"/>
          <w:szCs w:val="28"/>
          <w:rtl w:val="true"/>
          <w:lang w:bidi="ar-SA"/>
        </w:rPr>
        <w:t>وحرمته، فلا احتياط مع الوقوف، وأما في العبادات فلأن مجرد الإتيان بمحتمل</w:t>
      </w:r>
      <w:r>
        <w:rPr>
          <w:rStyle w:val="FootnoteAnchor"/>
          <w:rtl w:val="true"/>
        </w:rPr>
        <w:footnoteReference w:id="1520"/>
      </w:r>
      <w:r>
        <w:rPr>
          <w:rFonts w:ascii="Amiri" w:hAnsi="Amiri" w:eastAsia="Amiri" w:cs="Amiri"/>
          <w:color w:val="111111"/>
          <w:sz w:val="28"/>
          <w:sz w:val="28"/>
          <w:szCs w:val="28"/>
          <w:rtl w:val="true"/>
          <w:lang w:bidi="ar-SA"/>
        </w:rPr>
        <w:t xml:space="preserve">الوجوب كغسل الجمعة لا يقطع معه بالبراءة؛ لاحتمال وجوب قصد الوجه </w:t>
      </w:r>
      <w:r>
        <w:rPr>
          <w:rStyle w:val="FootnoteAnchor"/>
          <w:rtl w:val="true"/>
        </w:rPr>
        <w:footnoteReference w:id="1521"/>
      </w:r>
      <w:r>
        <w:rPr>
          <w:rFonts w:ascii="Amiri" w:hAnsi="Amiri" w:eastAsia="Amiri" w:cs="Amiri"/>
          <w:color w:val="111111"/>
          <w:sz w:val="28"/>
          <w:sz w:val="28"/>
          <w:szCs w:val="28"/>
          <w:rtl w:val="true"/>
          <w:lang w:bidi="ar-SA"/>
        </w:rPr>
        <w:t>، أو اشتراط العلم به، والعلم به غير ممكن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العمل بالظن في تعيين الوجه فأمره</w:t>
      </w:r>
      <w:r>
        <w:rPr>
          <w:rStyle w:val="FootnoteAnchor"/>
          <w:rtl w:val="true"/>
        </w:rPr>
        <w:footnoteReference w:id="1522"/>
      </w:r>
      <w:r>
        <w:rPr>
          <w:rFonts w:ascii="Amiri" w:hAnsi="Amiri" w:eastAsia="Amiri" w:cs="Amiri"/>
          <w:color w:val="111111"/>
          <w:sz w:val="28"/>
          <w:sz w:val="28"/>
          <w:szCs w:val="28"/>
          <w:rtl w:val="true"/>
          <w:lang w:bidi="ar-SA"/>
        </w:rPr>
        <w:t>مردد بين الوجوب والحرمة، فلا يمكن الاحتياط في الفروع غالباً؛ لفقد المقتضي، وهو عدم إمكانه ذاتاً، لا لوجود المانع، والدليل الوارد حتى لا ينافي تأسيس الأصل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مخالفة الاحتياط مع الإفتاء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أزيد؛ لاحتمال مخالفة الواقع حينئذٍ في </w:t>
      </w:r>
    </w:p>
    <w:p>
      <w:pPr>
        <w:pStyle w:val="BookText"/>
        <w:rPr/>
      </w:pPr>
      <w:r>
        <w:rPr>
          <w:rFonts w:ascii="Amiri" w:hAnsi="Amiri" w:eastAsia="Amiri" w:cs="Amiri"/>
          <w:color w:val="111111"/>
          <w:sz w:val="28"/>
          <w:sz w:val="28"/>
          <w:szCs w:val="28"/>
          <w:rtl w:val="true"/>
          <w:lang w:bidi="ar-SA"/>
        </w:rPr>
        <w:t>كل من الإفتاء</w:t>
      </w:r>
      <w:r>
        <w:rPr>
          <w:rFonts w:eastAsia="Amiri" w:cs="Amiri" w:ascii="Amiri" w:hAnsi="Amiri"/>
          <w:color w:val="111111"/>
          <w:sz w:val="28"/>
          <w:szCs w:val="28"/>
          <w:rtl w:val="true"/>
          <w:lang w:bidi="ar-SA"/>
        </w:rPr>
        <w:t>)</w:t>
      </w:r>
      <w:r>
        <w:rPr>
          <w:rStyle w:val="FootnoteAnchor"/>
          <w:rtl w:val="true"/>
        </w:rPr>
        <w:footnoteReference w:id="1523"/>
      </w:r>
      <w:r>
        <w:rPr>
          <w:rFonts w:ascii="Amiri" w:hAnsi="Amiri" w:eastAsia="Amiri" w:cs="Amiri"/>
          <w:color w:val="111111"/>
          <w:sz w:val="28"/>
          <w:sz w:val="28"/>
          <w:szCs w:val="28"/>
          <w:rtl w:val="true"/>
          <w:lang w:bidi="ar-SA"/>
        </w:rPr>
        <w:t>والمفتى به، بخلاف الوقف، فهو أوثق وأحوط وأقل محذوراً، وأما اشتراط العلم بالوجه، فغير محتمل عندنا</w:t>
      </w:r>
      <w:r>
        <w:rPr>
          <w:rStyle w:val="FootnoteAnchor"/>
          <w:rtl w:val="true"/>
        </w:rPr>
        <w:footnoteReference w:id="1524"/>
      </w:r>
      <w:r>
        <w:rPr>
          <w:rFonts w:ascii="Amiri" w:hAnsi="Amiri" w:eastAsia="Amiri" w:cs="Amiri"/>
          <w:color w:val="111111"/>
          <w:sz w:val="28"/>
          <w:sz w:val="28"/>
          <w:szCs w:val="28"/>
          <w:rtl w:val="true"/>
          <w:lang w:bidi="ar-SA"/>
        </w:rPr>
        <w:t>؛ لبناء العقلاء، وإطلاق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 لكن ترك العمل </w:t>
      </w:r>
      <w:r>
        <w:rPr>
          <w:rStyle w:val="FootnoteAnchor"/>
          <w:rtl w:val="true"/>
        </w:rPr>
        <w:footnoteReference w:id="1525"/>
      </w:r>
      <w:r>
        <w:rPr>
          <w:rFonts w:ascii="IRNazanin" w:hAnsi="IRNazanin" w:eastAsia="IRNazanin"/>
          <w:color w:val="111111"/>
          <w:sz w:val="28"/>
          <w:sz w:val="28"/>
          <w:szCs w:val="28"/>
          <w:rtl w:val="true"/>
          <w:lang w:bidi="fa-IR"/>
        </w:rPr>
        <w:t>بالظنّ مستلزم</w:t>
      </w:r>
      <w:r>
        <w:rPr>
          <w:rStyle w:val="FootnoteAnchor"/>
          <w:rtl w:val="true"/>
        </w:rPr>
        <w:footnoteReference w:id="1526"/>
      </w:r>
      <w:r>
        <w:rPr>
          <w:rFonts w:ascii="IRNazanin" w:hAnsi="IRNazanin" w:eastAsia="IRNazanin"/>
          <w:color w:val="111111"/>
          <w:sz w:val="28"/>
          <w:sz w:val="28"/>
          <w:szCs w:val="28"/>
          <w:rtl w:val="true"/>
          <w:lang w:bidi="fa-IR"/>
        </w:rPr>
        <w:t>لارتكاب خلاف احتیاط واحد وهو احتمال حرمة تركه، والعمل به في تعيين وجه الفعل يوجب خلاف احتياطين إذا ظن بعدم الوجوب وترك الفعل، فترك العمل بالظن والإتيان بالفعل أوثق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سلّمنا الاشتراط، لكن يكفي العلم بالوجه الظاهري، وهو الوجوب المسبب من قاعدة الاشتغال، كما في سائر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الأمر بالصلاة مثلاً، ولا يمكن ذهاب الظن في</w:t>
      </w:r>
      <w:r>
        <w:rPr>
          <w:rStyle w:val="FootnoteAnchor"/>
          <w:rtl w:val="true"/>
        </w:rPr>
        <w:footnoteReference w:id="1527"/>
      </w:r>
      <w:r>
        <w:rPr>
          <w:rFonts w:ascii="Amiri" w:hAnsi="Amiri" w:eastAsia="Amiri" w:cs="Amiri"/>
          <w:color w:val="111111"/>
          <w:sz w:val="28"/>
          <w:sz w:val="28"/>
          <w:szCs w:val="28"/>
          <w:rtl w:val="true"/>
          <w:lang w:bidi="ar-SA"/>
        </w:rPr>
        <w:t>كل مقامات الشك إلى جانب الاحتياط واستصحاب بقاء التكاليف المعلومة بالإجمال في أبواب الفقه، وسلاسل الشكوك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القدح في</w:t>
      </w:r>
      <w:r>
        <w:rPr>
          <w:rStyle w:val="FootnoteAnchor"/>
          <w:rtl w:val="true"/>
        </w:rPr>
        <w:footnoteReference w:id="1528"/>
      </w:r>
      <w:r>
        <w:rPr>
          <w:rFonts w:ascii="Amiri" w:hAnsi="Amiri" w:eastAsia="Amiri" w:cs="Amiri"/>
          <w:color w:val="111111"/>
          <w:sz w:val="28"/>
          <w:sz w:val="28"/>
          <w:szCs w:val="28"/>
          <w:rtl w:val="true"/>
          <w:lang w:bidi="ar-SA"/>
        </w:rPr>
        <w:t>الاستصحاب بمنع جريانه؛ إذ المستصحب إن كان الأمر بالأقل فقد أتى به، أو بالأكثر</w:t>
      </w:r>
      <w:r>
        <w:rPr>
          <w:rStyle w:val="FootnoteAnchor"/>
          <w:rtl w:val="true"/>
        </w:rPr>
        <w:footnoteReference w:id="1529"/>
      </w:r>
      <w:r>
        <w:rPr>
          <w:rFonts w:ascii="Amiri" w:hAnsi="Amiri" w:eastAsia="Amiri" w:cs="Amiri"/>
          <w:color w:val="111111"/>
          <w:sz w:val="28"/>
          <w:sz w:val="28"/>
          <w:szCs w:val="28"/>
          <w:rtl w:val="true"/>
          <w:lang w:bidi="ar-SA"/>
        </w:rPr>
        <w:t>فالتكليف</w:t>
      </w:r>
      <w:r>
        <w:rPr>
          <w:rStyle w:val="FootnoteAnchor"/>
          <w:rtl w:val="true"/>
        </w:rPr>
        <w:footnoteReference w:id="1530"/>
      </w:r>
      <w:r>
        <w:rPr>
          <w:rFonts w:ascii="Amiri" w:hAnsi="Amiri" w:eastAsia="Amiri" w:cs="Amiri"/>
          <w:color w:val="111111"/>
          <w:sz w:val="28"/>
          <w:sz w:val="28"/>
          <w:szCs w:val="28"/>
          <w:rtl w:val="true"/>
          <w:lang w:bidi="ar-SA"/>
        </w:rPr>
        <w:t>به مشكوك من أول الأمر، أو الأمر النفس الأمري، فالقدر المعلوم منه مأتي به، ولا دليل على الزائد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بمنع اعتباره؛ لأن حجية الاستصحاب إما لأجل ظنية نفسه، أو ظنية ،مدركه، وهو الاخبار، وحيث نفيت بالاستصحاب اعتبار الظن، فقد نفيت اعتبار </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بوجود المعارض له</w:t>
      </w:r>
      <w:r>
        <w:rPr>
          <w:rStyle w:val="FootnoteAnchor"/>
          <w:rtl w:val="true"/>
        </w:rPr>
        <w:footnoteReference w:id="1531"/>
      </w:r>
      <w:r>
        <w:rPr>
          <w:rFonts w:ascii="Amiri" w:hAnsi="Amiri" w:eastAsia="Amiri" w:cs="Amiri"/>
          <w:color w:val="111111"/>
          <w:sz w:val="28"/>
          <w:sz w:val="28"/>
          <w:szCs w:val="28"/>
          <w:rtl w:val="true"/>
          <w:lang w:bidi="ar-SA"/>
        </w:rPr>
        <w:t>للاستصحابات السابقة، فواه جدّاً</w:t>
      </w:r>
      <w:r>
        <w:rPr>
          <w:rFonts w:eastAsia="Amiri" w:cs="Amiri" w:ascii="Amiri" w:hAnsi="Amiri"/>
          <w:color w:val="111111"/>
          <w:sz w:val="28"/>
          <w:szCs w:val="28"/>
          <w:rtl w:val="true"/>
          <w:lang w:bidi="ar-SA"/>
        </w:rPr>
        <w:t>.</w:t>
      </w:r>
      <w:r>
        <w:rPr>
          <w:rStyle w:val="FootnoteAnchor"/>
          <w:rtl w:val="true"/>
        </w:rPr>
        <w:footnoteReference w:id="15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المقدّمية</w:t>
      </w:r>
      <w:r>
        <w:rPr>
          <w:rStyle w:val="FootnoteAnchor"/>
          <w:rtl w:val="true"/>
        </w:rPr>
        <w:footnoteReference w:id="1533"/>
      </w:r>
      <w:r>
        <w:rPr>
          <w:rFonts w:ascii="Amiri" w:hAnsi="Amiri" w:eastAsia="Amiri" w:cs="Amiri"/>
          <w:color w:val="111111"/>
          <w:sz w:val="28"/>
          <w:sz w:val="28"/>
          <w:szCs w:val="28"/>
          <w:rtl w:val="true"/>
          <w:lang w:bidi="ar-SA"/>
        </w:rPr>
        <w:t xml:space="preserve">المقتضية لوجوب الإتيان بما يحتمل كونه مقدمة للواجب، بمعنى ترتب العقاب على ترك ذي المقدمة عند ترك المقدمات القطعية، أو الاحتمالية ، كما مر في مقدمة الواجب دليله، وهو </w:t>
      </w:r>
      <w:r>
        <w:rPr>
          <w:rStyle w:val="FootnoteAnchor"/>
          <w:rtl w:val="true"/>
        </w:rPr>
        <w:footnoteReference w:id="1534"/>
      </w:r>
      <w:r>
        <w:rPr>
          <w:rFonts w:ascii="IRNazanin" w:hAnsi="IRNazanin" w:eastAsia="IRNazanin"/>
          <w:color w:val="111111"/>
          <w:sz w:val="28"/>
          <w:sz w:val="28"/>
          <w:szCs w:val="28"/>
          <w:rtl w:val="true"/>
          <w:lang w:bidi="fa-IR"/>
        </w:rPr>
        <w:t>بناء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الأدلة الثلاثة إنما تتم فيما علم بالتكليف إجمالا في خصوص الواقعة، أو بين الوقائع المشتبهة، لا في السدّ</w:t>
      </w:r>
      <w:r>
        <w:rPr>
          <w:rStyle w:val="FootnoteAnchor"/>
          <w:rtl w:val="true"/>
        </w:rPr>
        <w:footnoteReference w:id="1535"/>
      </w:r>
      <w:r>
        <w:rPr>
          <w:rFonts w:ascii="Amiri" w:hAnsi="Amiri" w:eastAsia="Amiri" w:cs="Amiri"/>
          <w:color w:val="111111"/>
          <w:sz w:val="28"/>
          <w:sz w:val="28"/>
          <w:szCs w:val="28"/>
          <w:rtl w:val="true"/>
          <w:lang w:bidi="ar-SA"/>
        </w:rPr>
        <w:t>الجزئي مع فقد</w:t>
      </w:r>
      <w:r>
        <w:rPr>
          <w:rStyle w:val="FootnoteAnchor"/>
          <w:rtl w:val="true"/>
        </w:rPr>
        <w:footnoteReference w:id="1536"/>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حرم العمل بالظن في المعلوم بالإجمال، حرمه هنا أيضاً، فالإجماع المركب من جهة الجنس وهو الحرمة موجود، نعم الإجماع المركب من جهة الفصل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بالاحتياط لا البراءة بعد الحكم بالحرمة، كما اقتضته الأدلة المذكورة عند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لزوم دفع الضرر المحتمل، ولا يندفع الا بالاحتياط</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بوجوب العمل بالظن يحرم الاحتياط والحكم على مقتضاه، فاحتمال الضرر معارض بمثله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الأمر في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وجوب العمل بالظن وحرمته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كان دائراً بين المحذورين والضررين، إلّا أنه في المسألة الفرعية ومقام العمل يمكن الاحتياط، كترك محتمل التحريم، ففي العمل بالظن احتمال مخالفة الواقع من جهتين، بخلاف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عن</w:t>
      </w:r>
      <w:r>
        <w:rPr>
          <w:rStyle w:val="FootnoteAnchor"/>
          <w:rtl w:val="true"/>
        </w:rPr>
        <w:footnoteReference w:id="1537"/>
      </w:r>
      <w:r>
        <w:rPr>
          <w:rFonts w:ascii="Amiri" w:hAnsi="Amiri" w:eastAsia="Amiri" w:cs="Amiri"/>
          <w:color w:val="111111"/>
          <w:sz w:val="28"/>
          <w:sz w:val="28"/>
          <w:szCs w:val="28"/>
          <w:rtl w:val="true"/>
          <w:lang w:bidi="ar-SA"/>
        </w:rPr>
        <w:t xml:space="preserve">وجوب الفحص، إذا علم عند عروض المسألة بأنه لا يتمكن من العلم، بل يتمكن من الظن، ويتم فيما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ظانّاً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المركب، الا أن يردّ ذلك بأن </w:t>
      </w:r>
      <w:r>
        <w:rPr>
          <w:rStyle w:val="FootnoteAnchor"/>
          <w:rtl w:val="true"/>
        </w:rPr>
        <w:footnoteReference w:id="1538"/>
      </w:r>
      <w:r>
        <w:rPr>
          <w:rFonts w:ascii="Amiri" w:hAnsi="Amiri" w:eastAsia="Amiri" w:cs="Amiri"/>
          <w:color w:val="111111"/>
          <w:sz w:val="28"/>
          <w:sz w:val="28"/>
          <w:szCs w:val="28"/>
          <w:rtl w:val="true"/>
          <w:lang w:bidi="ar-SA"/>
        </w:rPr>
        <w:t>وجوب الفحص مقدّمي تبعي</w:t>
      </w:r>
      <w:r>
        <w:rPr>
          <w:rStyle w:val="FootnoteAnchor"/>
          <w:rtl w:val="true"/>
        </w:rPr>
        <w:footnoteReference w:id="1539"/>
      </w:r>
      <w:r>
        <w:rPr>
          <w:rFonts w:ascii="Amiri" w:hAnsi="Amiri" w:eastAsia="Amiri" w:cs="Amiri"/>
          <w:color w:val="111111"/>
          <w:sz w:val="28"/>
          <w:sz w:val="28"/>
          <w:szCs w:val="28"/>
          <w:rtl w:val="true"/>
          <w:lang w:bidi="ar-SA"/>
        </w:rPr>
        <w:t>، لا يجري فيه 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في اتحاد الأحكام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الواقعية وتبعيتها للصفات الكامنة، ولا في أن جعل تلك الأحكام</w:t>
      </w:r>
      <w:r>
        <w:rPr>
          <w:rFonts w:eastAsia="Amiri" w:cs="Amiri" w:ascii="Amiri" w:hAnsi="Amiri"/>
          <w:color w:val="111111"/>
          <w:sz w:val="28"/>
          <w:szCs w:val="28"/>
          <w:rtl w:val="true"/>
          <w:lang w:bidi="ar-SA"/>
        </w:rPr>
        <w:t>)</w:t>
      </w:r>
      <w:r>
        <w:rPr>
          <w:rStyle w:val="FootnoteAnchor"/>
          <w:rtl w:val="true"/>
        </w:rPr>
        <w:footnoteReference w:id="1540"/>
      </w:r>
      <w:r>
        <w:rPr>
          <w:rFonts w:ascii="Amiri" w:hAnsi="Amiri" w:eastAsia="Amiri" w:cs="Amiri"/>
          <w:color w:val="111111"/>
          <w:sz w:val="28"/>
          <w:sz w:val="28"/>
          <w:szCs w:val="28"/>
          <w:rtl w:val="true"/>
          <w:lang w:bidi="ar-SA"/>
        </w:rPr>
        <w:t>من الشارع إنما هو لإعلام العباد؛ حتى يعثروا على تلك المصالح والمفاسد، كما هو مقتضى اللطف الواجب، ولا في أن مقتضى اللطف الواجب نصب دليل علمي على تلك الأحكام المنبئة عن المصالح الواقعية إجمالاً، فإنّ الظن يخطئ ويصيب، فيوجب تحريم الحلال وعكسه، ويوجب لغوية جعل الأحكام بمقتضى المصالح الواقعية، وخلاف اللطف بالنسبة إلى العباد؛ لارتكابهم حينئذ الحرام الواقعي المهلك بمقتضى الصفة الكامنة</w:t>
      </w:r>
      <w:r>
        <w:rPr>
          <w:rStyle w:val="FootnoteAnchor"/>
          <w:rtl w:val="true"/>
        </w:rPr>
        <w:footnoteReference w:id="1541"/>
      </w:r>
      <w:r>
        <w:rPr>
          <w:rFonts w:ascii="Amiri" w:hAnsi="Amiri" w:eastAsia="Amiri" w:cs="Amiri"/>
          <w:color w:val="111111"/>
          <w:sz w:val="28"/>
          <w:sz w:val="28"/>
          <w:szCs w:val="28"/>
          <w:rtl w:val="true"/>
          <w:lang w:bidi="ar-SA"/>
        </w:rPr>
        <w:t>فيه، فلا بد من كون باب العلم القطعي مفتوحاً لكل أحد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إن كان مجرد نصب الدليل القطعي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يصب الواقع لزم ما لزم في الظن ، أو </w:t>
      </w:r>
      <w:r>
        <w:rPr>
          <w:rStyle w:val="FootnoteAnchor"/>
          <w:rtl w:val="true"/>
        </w:rPr>
        <w:footnoteReference w:id="1542"/>
      </w:r>
      <w:r>
        <w:rPr>
          <w:rFonts w:ascii="Amiri" w:hAnsi="Amiri" w:eastAsia="Amiri" w:cs="Amiri"/>
          <w:color w:val="111111"/>
          <w:sz w:val="28"/>
          <w:sz w:val="28"/>
          <w:szCs w:val="28"/>
          <w:rtl w:val="true"/>
          <w:lang w:bidi="ar-SA"/>
        </w:rPr>
        <w:t xml:space="preserve">القطع المطابق للواقع، فإن لم يكن ذلك لازما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كلام، أو لازماً عليه</w:t>
      </w:r>
      <w:r>
        <w:rPr>
          <w:rFonts w:eastAsia="Amiri" w:cs="Amiri" w:ascii="Amiri" w:hAnsi="Amiri"/>
          <w:color w:val="111111"/>
          <w:sz w:val="28"/>
          <w:szCs w:val="28"/>
          <w:rtl w:val="true"/>
          <w:lang w:bidi="ar-SA"/>
        </w:rPr>
        <w:t>)</w:t>
      </w:r>
      <w:r>
        <w:rPr>
          <w:rStyle w:val="FootnoteAnchor"/>
          <w:rtl w:val="true"/>
        </w:rPr>
        <w:footnoteReference w:id="1543"/>
      </w:r>
      <w:r>
        <w:rPr>
          <w:rFonts w:ascii="Amiri" w:hAnsi="Amiri" w:eastAsia="Amiri" w:cs="Amiri"/>
          <w:color w:val="111111"/>
          <w:sz w:val="28"/>
          <w:sz w:val="28"/>
          <w:szCs w:val="28"/>
          <w:rtl w:val="true"/>
          <w:lang w:bidi="ar-SA"/>
        </w:rPr>
        <w:t>ولم ينصب ، أو نصب لكن كان اختلاف العلماء عن تقصير منهم، فهو كما ترى، أو عن قصور فلم ينصب، فبطلان الدليل محسوس بوجداننا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لكنه ماذا يقول في الظنون الاتفاقية، كالحاصل من المتواترات اللفظية وفي الموضوعات الصرفة</w:t>
      </w:r>
      <w:r>
        <w:rPr>
          <w:rStyle w:val="FootnoteAnchor"/>
          <w:rtl w:val="true"/>
        </w:rPr>
        <w:footnoteReference w:id="1544"/>
      </w:r>
      <w:r>
        <w:rPr>
          <w:rFonts w:ascii="Amiri" w:hAnsi="Amiri" w:eastAsia="Amiri" w:cs="Amiri"/>
          <w:color w:val="111111"/>
          <w:sz w:val="28"/>
          <w:sz w:val="28"/>
          <w:szCs w:val="28"/>
          <w:rtl w:val="true"/>
          <w:lang w:bidi="ar-SA"/>
        </w:rPr>
        <w:t xml:space="preserve">المبنية على الظن، أو السبب </w:t>
      </w:r>
      <w:r>
        <w:rPr>
          <w:rStyle w:val="FootnoteAnchor"/>
          <w:rtl w:val="true"/>
        </w:rPr>
        <w:footnoteReference w:id="1545"/>
      </w:r>
      <w:r>
        <w:rPr>
          <w:rFonts w:ascii="Amiri" w:hAnsi="Amiri" w:eastAsia="Amiri" w:cs="Amiri"/>
          <w:color w:val="111111"/>
          <w:sz w:val="28"/>
          <w:sz w:val="28"/>
          <w:szCs w:val="28"/>
          <w:rtl w:val="true"/>
          <w:lang w:bidi="ar-SA"/>
        </w:rPr>
        <w:t>كيد المسلم، وأصالة الطهارة، مع أن محل كلامنا في تأسيس الأصل صورة الشك في حجية الظن، وهذا الدليل لو تم لأثبت الانفتاح المطلق، ومعه لاشك في حرمة العمل بالظن، ولا 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الخاصة على عدم جواز العمل بالظن ما لم يرد عليه دليل</w:t>
      </w:r>
      <w:r>
        <w:rPr>
          <w:rStyle w:val="FootnoteAnchor"/>
          <w:rtl w:val="true"/>
        </w:rPr>
        <w:footnoteReference w:id="1546"/>
      </w:r>
      <w:r>
        <w:rPr>
          <w:rFonts w:ascii="Amiri" w:hAnsi="Amiri" w:eastAsia="Amiri" w:cs="Amiri"/>
          <w:color w:val="111111"/>
          <w:sz w:val="28"/>
          <w:sz w:val="28"/>
          <w:szCs w:val="28"/>
          <w:rtl w:val="true"/>
          <w:lang w:bidi="ar-SA"/>
        </w:rPr>
        <w:t>، ولذالم نر احدا يقول بحجية الظن تمسكاً بعدم الدليل على حرمته، ولعل</w:t>
      </w:r>
      <w:r>
        <w:rPr>
          <w:rStyle w:val="FootnoteAnchor"/>
          <w:rtl w:val="true"/>
        </w:rPr>
        <w:footnoteReference w:id="1547"/>
      </w:r>
      <w:r>
        <w:rPr>
          <w:rStyle w:val="FootnoteAnchor"/>
          <w:rtl w:val="true"/>
        </w:rPr>
        <w:footnoteReference w:id="1548"/>
      </w:r>
      <w:r>
        <w:rPr>
          <w:rFonts w:ascii="Amiri" w:hAnsi="Amiri" w:eastAsia="Amiri" w:cs="Amiri"/>
          <w:color w:val="111111"/>
          <w:sz w:val="28"/>
          <w:sz w:val="28"/>
          <w:szCs w:val="28"/>
          <w:rtl w:val="true"/>
          <w:lang w:bidi="ar-SA"/>
        </w:rPr>
        <w:t xml:space="preserve">مراد المرتضى أيضاً من الإجماع على حرمة العمل بالواحد اندراجه تحت هذا هو الأصل المجمع عليه؛ لعدم عثوره على الدليل الوارد </w:t>
      </w:r>
      <w:r>
        <w:rPr>
          <w:rStyle w:val="FootnoteAnchor"/>
          <w:rtl w:val="true"/>
        </w:rPr>
        <w:footnoteReference w:id="1549"/>
      </w:r>
      <w:r>
        <w:rPr>
          <w:rFonts w:ascii="Amiri" w:hAnsi="Amiri" w:eastAsia="Amiri" w:cs="Amiri"/>
          <w:color w:val="111111"/>
          <w:sz w:val="28"/>
          <w:sz w:val="28"/>
          <w:szCs w:val="28"/>
          <w:rtl w:val="true"/>
          <w:lang w:bidi="ar-SA"/>
        </w:rPr>
        <w:t>، لا من أجل عثوره على حرمة العمل به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والتاسع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Style w:val="FootnoteAnchor"/>
          <w:rtl w:val="true"/>
        </w:rPr>
        <w:footnoteReference w:id="1550"/>
      </w:r>
      <w:r>
        <w:rPr>
          <w:rFonts w:ascii="IRNazanin" w:hAnsi="IRNazanin" w:eastAsia="IRNazanin"/>
          <w:color w:val="111111"/>
          <w:sz w:val="28"/>
          <w:sz w:val="28"/>
          <w:szCs w:val="28"/>
          <w:rtl w:val="true"/>
          <w:lang w:bidi="fa-IR"/>
        </w:rPr>
        <w:t>، والنصوص</w:t>
      </w:r>
      <w:r>
        <w:rPr>
          <w:rStyle w:val="FootnoteAnchor"/>
          <w:rtl w:val="true"/>
        </w:rPr>
        <w:footnoteReference w:id="1551"/>
      </w:r>
      <w:r>
        <w:rPr>
          <w:rFonts w:ascii="Amiri" w:hAnsi="Amiri" w:eastAsia="Amiri" w:cs="Amiri"/>
          <w:color w:val="111111"/>
          <w:sz w:val="28"/>
          <w:sz w:val="28"/>
          <w:szCs w:val="28"/>
          <w:rtl w:val="true"/>
          <w:lang w:bidi="ar-SA"/>
        </w:rPr>
        <w:t>القطعية</w:t>
      </w:r>
      <w:r>
        <w:rPr>
          <w:rFonts w:eastAsia="Amiri" w:cs="Amiri" w:ascii="Amiri" w:hAnsi="Amiri"/>
          <w:color w:val="111111"/>
          <w:sz w:val="28"/>
          <w:szCs w:val="28"/>
          <w:rtl w:val="true"/>
          <w:lang w:bidi="ar-SA"/>
        </w:rPr>
        <w:t>.</w:t>
      </w:r>
      <w:r>
        <w:rPr>
          <w:rStyle w:val="FootnoteAnchor"/>
          <w:rtl w:val="true"/>
        </w:rPr>
        <w:footnoteReference w:id="1552"/>
      </w:r>
      <w:bookmarkStart w:id="526" w:name="pg9015_97627"/>
    </w:p>
    <w:p>
      <w:pPr>
        <w:pStyle w:val="Heading2"/>
        <w:numPr>
          <w:ilvl w:val="1"/>
          <w:numId w:val="1"/>
        </w:numPr>
        <w:rPr/>
      </w:pPr>
      <w:bookmarkStart w:id="527" w:name="__RefHeading___Toc2001703_2870459653"/>
      <w:bookmarkStart w:id="528" w:name="_Toc201"/>
      <w:bookmarkEnd w:id="526"/>
      <w:bookmarkEnd w:id="527"/>
      <w:r>
        <w:rPr>
          <w:rtl w:val="true"/>
        </w:rPr>
        <w:t xml:space="preserve">أصل </w:t>
      </w:r>
      <w:r>
        <w:rPr>
          <w:rtl w:val="true"/>
        </w:rPr>
        <w:t>[</w:t>
      </w:r>
      <w:r>
        <w:rPr>
          <w:rtl w:val="true"/>
        </w:rPr>
        <w:t>في انقلاب الأصل الأولي في الجملة في الأحكام</w:t>
      </w:r>
      <w:r>
        <w:rPr>
          <w:rtl w:val="true"/>
        </w:rPr>
        <w:t>]</w:t>
      </w:r>
      <w:bookmarkEnd w:id="528"/>
    </w:p>
    <w:p>
      <w:pPr>
        <w:pStyle w:val="Heading3"/>
        <w:numPr>
          <w:ilvl w:val="2"/>
          <w:numId w:val="1"/>
        </w:numPr>
        <w:rPr/>
      </w:pPr>
      <w:bookmarkStart w:id="529" w:name="__RefHeading___Toc2001705_2870459653"/>
      <w:bookmarkStart w:id="530" w:name="_Toc202"/>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الحق انقلاب أصالة الحرمة إلى أصالة الجواز في الأحكام الفرعية في الجملة،</w:t>
      </w:r>
    </w:p>
    <w:p>
      <w:pPr>
        <w:pStyle w:val="BookText"/>
        <w:rPr/>
      </w:pPr>
      <w:r>
        <w:rPr>
          <w:rFonts w:ascii="Amiri" w:hAnsi="Amiri" w:eastAsia="Amiri" w:cs="Amiri"/>
          <w:color w:val="111111"/>
          <w:sz w:val="28"/>
          <w:sz w:val="28"/>
          <w:szCs w:val="28"/>
          <w:rtl w:val="true"/>
          <w:lang w:bidi="ar-SA"/>
        </w:rPr>
        <w:t>ويدل عليه البرهان العقلي، ويتم ذكره في طي مقدمات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w:t>
      </w:r>
      <w:r>
        <w:rPr>
          <w:rStyle w:val="FootnoteAnchor"/>
          <w:rtl w:val="true"/>
        </w:rPr>
        <w:footnoteReference w:id="1553"/>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التكاليف في حقنا بالضرورة، ووجوب تحصيل العلم بها، والفحص عنها</w:t>
      </w:r>
      <w:r>
        <w:rPr>
          <w:rFonts w:eastAsia="Amiri" w:cs="Amiri" w:ascii="Amiri" w:hAnsi="Amiri"/>
          <w:color w:val="111111"/>
          <w:sz w:val="28"/>
          <w:szCs w:val="28"/>
          <w:rtl w:val="true"/>
          <w:lang w:bidi="ar-SA"/>
        </w:rPr>
        <w:t>.</w:t>
      </w:r>
      <w:r>
        <w:rPr>
          <w:rStyle w:val="FootnoteAnchor"/>
          <w:rtl w:val="true"/>
        </w:rPr>
        <w:footnoteReference w:id="15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انسداد باب العلم بالمعنى الأعم من الظن الخاص في معظم الأحكام الفرعية؛ لأن أدلة الفقه غالباً أربعة العقل والإجماع، والكتاب والسنة</w:t>
      </w:r>
      <w:r>
        <w:rPr>
          <w:rStyle w:val="FootnoteAnchor"/>
          <w:rtl w:val="true"/>
        </w:rPr>
        <w:footnoteReference w:id="1555"/>
      </w:r>
      <w:r>
        <w:rPr>
          <w:rFonts w:ascii="Amiri" w:hAnsi="Amiri" w:eastAsia="Amiri" w:cs="Amiri"/>
          <w:color w:val="111111"/>
          <w:sz w:val="28"/>
          <w:sz w:val="28"/>
          <w:szCs w:val="28"/>
          <w:rtl w:val="true"/>
          <w:lang w:bidi="ar-SA"/>
        </w:rPr>
        <w:t>، وهي لا تفيد غالباً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العقل القطعي المستقل، على فرض إدراك العقل الحسن والقبح، والثواب والعقاب، والحجية، ووجود موضع </w:t>
      </w:r>
      <w:r>
        <w:rPr>
          <w:rStyle w:val="FootnoteAnchor"/>
          <w:rtl w:val="true"/>
        </w:rPr>
        <w:footnoteReference w:id="1556"/>
      </w:r>
      <w:r>
        <w:rPr>
          <w:rFonts w:ascii="Amiri" w:hAnsi="Amiri" w:eastAsia="Amiri" w:cs="Amiri"/>
          <w:color w:val="111111"/>
          <w:sz w:val="28"/>
          <w:sz w:val="28"/>
          <w:szCs w:val="28"/>
          <w:rtl w:val="true"/>
          <w:lang w:bidi="ar-SA"/>
        </w:rPr>
        <w:t>لم يصل حكمه من الشارع الا من جهة العقل، ففي غاية القلة في الفروع</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الإجماع القطعي النظري، الذي لا يحتاج مفاده إلى إعمال الظنون الاجتهادية؛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لإجماله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الكتاب فآيات أحكامه قليلة، ثم منها ما </w:t>
      </w:r>
      <w:r>
        <w:rPr>
          <w:rStyle w:val="FootnoteAnchor"/>
          <w:rtl w:val="true"/>
        </w:rPr>
        <w:footnoteReference w:id="1557"/>
      </w:r>
      <w:r>
        <w:rPr>
          <w:rFonts w:ascii="Amiri" w:hAnsi="Amiri" w:eastAsia="Amiri" w:cs="Amiri"/>
          <w:color w:val="111111"/>
          <w:sz w:val="28"/>
          <w:sz w:val="28"/>
          <w:szCs w:val="28"/>
          <w:rtl w:val="true"/>
          <w:lang w:bidi="ar-SA"/>
        </w:rPr>
        <w:t xml:space="preserve">هي مجملة بذاتها، ومنها ما </w:t>
      </w:r>
      <w:r>
        <w:rPr>
          <w:rStyle w:val="FootnoteAnchor"/>
          <w:rtl w:val="true"/>
        </w:rPr>
        <w:footnoteReference w:id="1558"/>
      </w:r>
      <w:r>
        <w:rPr>
          <w:rFonts w:ascii="Amiri" w:hAnsi="Amiri" w:eastAsia="Amiri" w:cs="Amiri"/>
          <w:color w:val="111111"/>
          <w:sz w:val="28"/>
          <w:sz w:val="28"/>
          <w:szCs w:val="28"/>
          <w:rtl w:val="true"/>
          <w:lang w:bidi="ar-SA"/>
        </w:rPr>
        <w:t>اختلف في إجمالها وبيانها، ومنها ما هي ظاهرة تثبت حكماً إجماعياً، أو ضرورياً، أو حكماً مجملاً يحتاج تفصيله إلى إعمال الظنون الاجتهادية</w:t>
      </w:r>
      <w:r>
        <w:rPr>
          <w:rFonts w:eastAsia="Amiri" w:cs="Amiri" w:ascii="Amiri" w:hAnsi="Amiri"/>
          <w:color w:val="111111"/>
          <w:sz w:val="28"/>
          <w:szCs w:val="28"/>
          <w:rtl w:val="true"/>
          <w:lang w:bidi="ar-SA"/>
        </w:rPr>
        <w:t>)</w:t>
      </w:r>
      <w:r>
        <w:rPr>
          <w:rStyle w:val="FootnoteAnchor"/>
          <w:rtl w:val="true"/>
        </w:rPr>
        <w:footnoteReference w:id="1559"/>
      </w:r>
      <w:r>
        <w:rPr>
          <w:rFonts w:ascii="Amiri" w:hAnsi="Amiri" w:eastAsia="Amiri" w:cs="Amiri"/>
          <w:color w:val="111111"/>
          <w:sz w:val="28"/>
          <w:sz w:val="28"/>
          <w:szCs w:val="28"/>
          <w:rtl w:val="true"/>
          <w:lang w:bidi="ar-SA"/>
        </w:rPr>
        <w:t>،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 وَآتُوا الزَّكَاةَ</w:t>
      </w:r>
      <w:r>
        <w:rPr>
          <w:rFonts w:eastAsia="Amiri" w:cs="Amiri" w:ascii="Amiri" w:hAnsi="Amiri"/>
          <w:color w:val="111111"/>
          <w:sz w:val="28"/>
          <w:szCs w:val="28"/>
          <w:rtl w:val="true"/>
          <w:lang w:bidi="ar-SA"/>
        </w:rPr>
        <w:t>».</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وأما السنة فما كان منها مقطوع الصدور فمن الظن الخاص، لكنه قليل كمقطوع اللب</w:t>
      </w:r>
      <w:r>
        <w:rPr>
          <w:rStyle w:val="FootnoteAnchor"/>
          <w:rtl w:val="true"/>
        </w:rPr>
        <w:footnoteReference w:id="1561"/>
      </w:r>
      <w:r>
        <w:rPr>
          <w:rFonts w:ascii="Amiri" w:hAnsi="Amiri" w:eastAsia="Amiri" w:cs="Amiri"/>
          <w:color w:val="111111"/>
          <w:sz w:val="28"/>
          <w:sz w:val="28"/>
          <w:szCs w:val="28"/>
          <w:rtl w:val="true"/>
          <w:lang w:bidi="ar-SA"/>
        </w:rPr>
        <w:t>، بل غالب الفرعيات تثبت بالواحد الذي لا قطع بصدوره، ولا مضمونه، ولا بحجية من دليل خاص قطعي، فباب العلم غالباً منسد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العلم الوجداني منفتح في الأحكام غالباً، أم دائماً، كما عليه ابن قبة؛ حذراً من تحريم الحلال وعكسه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تقريره وجوابه في تأسيس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إن الأخبار كلها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أغلبها</w:t>
      </w:r>
      <w:r>
        <w:rPr>
          <w:rFonts w:eastAsia="Amiri" w:cs="Amiri" w:ascii="Amiri" w:hAnsi="Amiri"/>
          <w:color w:val="111111"/>
          <w:sz w:val="28"/>
          <w:szCs w:val="28"/>
          <w:rtl w:val="true"/>
          <w:lang w:bidi="ar-SA"/>
        </w:rPr>
        <w:t>)</w:t>
      </w:r>
      <w:r>
        <w:rPr>
          <w:rStyle w:val="FootnoteAnchor"/>
          <w:rtl w:val="true"/>
        </w:rPr>
        <w:footnoteReference w:id="1562"/>
      </w:r>
      <w:r>
        <w:rPr>
          <w:rFonts w:ascii="Amiri" w:hAnsi="Amiri" w:eastAsia="Amiri" w:cs="Amiri"/>
          <w:color w:val="111111"/>
          <w:sz w:val="28"/>
          <w:sz w:val="28"/>
          <w:szCs w:val="28"/>
          <w:rtl w:val="true"/>
          <w:lang w:bidi="ar-SA"/>
        </w:rPr>
        <w:t xml:space="preserve">كأخبار الكتب الأربعة، مقطوعة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الصدور </w:t>
      </w:r>
      <w:r>
        <w:rPr>
          <w:rStyle w:val="FootnoteAnchor"/>
          <w:rtl w:val="true"/>
        </w:rPr>
        <w:footnoteReference w:id="1563"/>
      </w:r>
      <w:r>
        <w:rPr>
          <w:rFonts w:ascii="IRNazanin" w:hAnsi="IRNazanin" w:eastAsia="IRNazanin"/>
          <w:color w:val="111111"/>
          <w:sz w:val="28"/>
          <w:sz w:val="28"/>
          <w:szCs w:val="28"/>
          <w:rtl w:val="true"/>
          <w:lang w:bidi="fa-IR"/>
        </w:rPr>
        <w:t>، فالظن الحاصل منها ظن خاص، فباب العلم بالمعنى الأعم منفتح غالباً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ذلك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الأربعة من الثلاثة</w:t>
      </w:r>
      <w:r>
        <w:rPr>
          <w:rStyle w:val="FootnoteAnchor"/>
          <w:rtl w:val="true"/>
        </w:rPr>
        <w:footnoteReference w:id="1564"/>
      </w:r>
      <w:r>
        <w:rPr>
          <w:rFonts w:ascii="Amiri" w:hAnsi="Amiri" w:eastAsia="Amiri" w:cs="Amiri"/>
          <w:color w:val="111111"/>
          <w:sz w:val="28"/>
          <w:sz w:val="28"/>
          <w:szCs w:val="28"/>
          <w:rtl w:val="true"/>
          <w:lang w:bidi="ar-SA"/>
        </w:rPr>
        <w:t xml:space="preserve">بالتواتر ولو غالباً، سيما بعد اتفاق أكثر النسخ، وهي ماخوذة من الأصول الأربعمائة التي كانت </w:t>
      </w:r>
    </w:p>
    <w:p>
      <w:pPr>
        <w:pStyle w:val="BookText"/>
        <w:rPr/>
      </w:pPr>
      <w:r>
        <w:rPr>
          <w:rFonts w:ascii="Amiri" w:hAnsi="Amiri" w:eastAsia="Amiri" w:cs="Amiri"/>
          <w:color w:val="111111"/>
          <w:sz w:val="28"/>
          <w:sz w:val="28"/>
          <w:szCs w:val="28"/>
          <w:rtl w:val="true"/>
          <w:lang w:bidi="ar-SA"/>
        </w:rPr>
        <w:t>مشهورة بين الإمامية في زمن الأئمة معوّلاً عليها بينهم، كما يشهد بذلك التتبع</w:t>
      </w:r>
      <w:r>
        <w:rPr>
          <w:rStyle w:val="FootnoteAnchor"/>
          <w:rtl w:val="true"/>
        </w:rPr>
        <w:footnoteReference w:id="1565"/>
      </w:r>
      <w:r>
        <w:rPr>
          <w:rFonts w:ascii="Amiri" w:hAnsi="Amiri" w:eastAsia="Amiri" w:cs="Amiri"/>
          <w:color w:val="111111"/>
          <w:sz w:val="28"/>
          <w:sz w:val="28"/>
          <w:szCs w:val="28"/>
          <w:rtl w:val="true"/>
          <w:lang w:bidi="ar-SA"/>
        </w:rPr>
        <w:t>، وإخبار الثقة الموجب للعلم، إذا كان المخبر به أمراً جلياً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وأخبار تلك الأصول كلها من المعصوم، والا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الإمامية على العمل بها، والاعتماد عليها، بل لو </w:t>
      </w:r>
      <w:r>
        <w:rPr>
          <w:rFonts w:eastAsia="Amiri" w:cs="Amiri" w:ascii="Amiri" w:hAnsi="Amiri"/>
          <w:color w:val="111111"/>
          <w:sz w:val="28"/>
          <w:szCs w:val="28"/>
          <w:rtl w:val="true"/>
          <w:lang w:bidi="ar-SA"/>
        </w:rPr>
        <w:t xml:space="preserve">) </w:t>
      </w:r>
      <w:r>
        <w:rPr>
          <w:rStyle w:val="FootnoteAnchor"/>
          <w:rtl w:val="true"/>
        </w:rPr>
        <w:footnoteReference w:id="1566"/>
      </w:r>
      <w:r>
        <w:rPr>
          <w:rFonts w:ascii="IRNazanin" w:hAnsi="IRNazanin" w:eastAsia="IRNazanin"/>
          <w:color w:val="111111"/>
          <w:sz w:val="28"/>
          <w:sz w:val="28"/>
          <w:szCs w:val="28"/>
          <w:rtl w:val="true"/>
          <w:lang w:bidi="fa-IR"/>
        </w:rPr>
        <w:t>كان فيها كذب لردعهم المعصوم علیهم السلام عن العمل بها ؛ لاطلاعه على عملهم بها في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بأيدينا اليوم</w:t>
      </w:r>
      <w:r>
        <w:rPr>
          <w:rStyle w:val="FootnoteAnchor"/>
          <w:rtl w:val="true"/>
        </w:rPr>
        <w:footnoteReference w:id="1567"/>
      </w:r>
      <w:r>
        <w:rPr>
          <w:rFonts w:ascii="Amiri" w:hAnsi="Amiri" w:eastAsia="Amiri" w:cs="Amiri"/>
          <w:color w:val="111111"/>
          <w:sz w:val="28"/>
          <w:sz w:val="28"/>
          <w:szCs w:val="28"/>
          <w:rtl w:val="true"/>
          <w:lang w:bidi="ar-SA"/>
        </w:rPr>
        <w:t>، حتى نعلم بالتتبع أن أخبار الكتب الأربعة هي أخبار تلك الأصول</w:t>
      </w:r>
      <w:r>
        <w:rPr>
          <w:rFonts w:eastAsia="Amiri" w:cs="Amiri" w:ascii="Amiri" w:hAnsi="Amiri"/>
          <w:color w:val="111111"/>
          <w:sz w:val="28"/>
          <w:szCs w:val="28"/>
          <w:rtl w:val="true"/>
          <w:lang w:bidi="ar-SA"/>
        </w:rPr>
        <w:t>)</w:t>
      </w:r>
      <w:r>
        <w:rPr>
          <w:rStyle w:val="FootnoteAnchor"/>
          <w:rtl w:val="true"/>
        </w:rPr>
        <w:footnoteReference w:id="1568"/>
      </w:r>
      <w:r>
        <w:rPr>
          <w:rFonts w:ascii="Amiri" w:hAnsi="Amiri" w:eastAsia="Amiri" w:cs="Amiri"/>
          <w:color w:val="111111"/>
          <w:sz w:val="28"/>
          <w:sz w:val="28"/>
          <w:szCs w:val="28"/>
          <w:rtl w:val="true"/>
          <w:lang w:bidi="ar-SA"/>
        </w:rPr>
        <w:t>، والثقة المخبر بذلك لم نجده الا الفقيه بالنسبة إلى كتابه</w:t>
      </w:r>
      <w:r>
        <w:rPr>
          <w:rStyle w:val="FootnoteAnchor"/>
          <w:rtl w:val="true"/>
        </w:rPr>
        <w:footnoteReference w:id="1569"/>
      </w:r>
      <w:r>
        <w:rPr>
          <w:rFonts w:ascii="Amiri" w:hAnsi="Amiri" w:eastAsia="Amiri" w:cs="Amiri"/>
          <w:color w:val="111111"/>
          <w:sz w:val="28"/>
          <w:sz w:val="28"/>
          <w:szCs w:val="28"/>
          <w:rtl w:val="true"/>
          <w:lang w:bidi="ar-SA"/>
        </w:rPr>
        <w:t>، لا الكتب الأربعة، مع أن كون هذا الخبر مأخوذاً من الأصل المجمع عليه ليس أمراً جلياً حتى يفيد إخبار الثقة عنه العلم؛ إذ الاطلاع على الإجماع أمر صعب، سيما عند هذا الخصم، وهو الأخباري المنكر للإجماع من أصله</w:t>
      </w:r>
      <w:r>
        <w:rPr>
          <w:rStyle w:val="FootnoteAnchor"/>
          <w:rtl w:val="true"/>
        </w:rPr>
        <w:footnoteReference w:id="1570"/>
      </w:r>
      <w:r>
        <w:rPr>
          <w:rFonts w:ascii="IRNazanin" w:hAnsi="IRNazanin" w:eastAsia="IRNazanin"/>
          <w:color w:val="111111"/>
          <w:sz w:val="28"/>
          <w:sz w:val="28"/>
          <w:szCs w:val="28"/>
          <w:rtl w:val="true"/>
          <w:lang w:bidi="fa-IR"/>
        </w:rPr>
        <w:t>، واطلاع المعصوم علیهم السلام على أخبار تلك الأصول تفصيلاً أول الكلام، فكيف يكون تقريره هنا حجة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وإجماع الإمامية على العمل بها، لعله لأجل عملهم بالواحد، أو تبعضهم</w:t>
      </w:r>
      <w:r>
        <w:rPr>
          <w:rStyle w:val="FootnoteAnchor"/>
          <w:rtl w:val="true"/>
        </w:rPr>
        <w:footnoteReference w:id="1571"/>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جهة العمل، فلا يكشف عن قطعيتها عند جميعهم، بل لو قطعنا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المخبر عن الإمام ثقة لم نقطع بعدم سهوه؛ لكون</w:t>
      </w:r>
      <w:r>
        <w:rPr>
          <w:rFonts w:eastAsia="Amiri" w:cs="Amiri" w:ascii="Amiri" w:hAnsi="Amiri"/>
          <w:color w:val="111111"/>
          <w:sz w:val="28"/>
          <w:szCs w:val="28"/>
          <w:rtl w:val="true"/>
          <w:lang w:bidi="ar-SA"/>
        </w:rPr>
        <w:t xml:space="preserve">) </w:t>
      </w:r>
      <w:r>
        <w:rPr>
          <w:rStyle w:val="FootnoteAnchor"/>
          <w:rtl w:val="true"/>
        </w:rPr>
        <w:footnoteReference w:id="1572"/>
      </w:r>
      <w:r>
        <w:rPr>
          <w:rFonts w:ascii="Amiri" w:hAnsi="Amiri" w:eastAsia="Amiri" w:cs="Amiri"/>
          <w:color w:val="111111"/>
          <w:sz w:val="28"/>
          <w:sz w:val="28"/>
          <w:szCs w:val="28"/>
          <w:rtl w:val="true"/>
          <w:lang w:bidi="ar-SA"/>
        </w:rPr>
        <w:t>المخبر به أمراً 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تأليف المشايخ الأربعة إنما هو لفائدة هي</w:t>
      </w:r>
      <w:r>
        <w:rPr>
          <w:rStyle w:val="FootnoteAnchor"/>
          <w:rtl w:val="true"/>
        </w:rPr>
        <w:footnoteReference w:id="1573"/>
      </w:r>
      <w:r>
        <w:rPr>
          <w:rFonts w:ascii="Amiri" w:hAnsi="Amiri" w:eastAsia="Amiri" w:cs="Amiri"/>
          <w:color w:val="111111"/>
          <w:sz w:val="28"/>
          <w:sz w:val="28"/>
          <w:szCs w:val="28"/>
          <w:rtl w:val="true"/>
          <w:lang w:bidi="ar-SA"/>
        </w:rPr>
        <w:t>هداية الناس كلهم</w:t>
      </w:r>
      <w:r>
        <w:rPr>
          <w:rStyle w:val="FootnoteAnchor"/>
          <w:rtl w:val="true"/>
        </w:rPr>
        <w:footnoteReference w:id="1574"/>
      </w:r>
      <w:r>
        <w:rPr>
          <w:rFonts w:ascii="Amiri" w:hAnsi="Amiri" w:eastAsia="Amiri" w:cs="Amiri"/>
          <w:color w:val="111111"/>
          <w:sz w:val="28"/>
          <w:sz w:val="28"/>
          <w:szCs w:val="28"/>
          <w:rtl w:val="true"/>
          <w:lang w:bidi="ar-SA"/>
        </w:rPr>
        <w:t>، كما يظهر من حملهم تعديلات علماء الرجال على المعنى الاعلى</w:t>
      </w:r>
      <w:r>
        <w:rPr>
          <w:rStyle w:val="FootnoteAnchor"/>
          <w:rtl w:val="true"/>
        </w:rPr>
        <w:footnoteReference w:id="1575"/>
      </w:r>
      <w:r>
        <w:rPr>
          <w:rFonts w:ascii="Amiri" w:hAnsi="Amiri" w:eastAsia="Amiri" w:cs="Amiri"/>
          <w:color w:val="111111"/>
          <w:sz w:val="28"/>
          <w:sz w:val="28"/>
          <w:szCs w:val="28"/>
          <w:rtl w:val="true"/>
          <w:lang w:bidi="ar-SA"/>
        </w:rPr>
        <w:t>، وإجماعات الشيخ على مصطلح</w:t>
      </w:r>
      <w:r>
        <w:rPr>
          <w:rStyle w:val="FootnoteAnchor"/>
          <w:rtl w:val="true"/>
        </w:rPr>
        <w:footnoteReference w:id="1576"/>
      </w:r>
      <w:r>
        <w:rPr>
          <w:rFonts w:ascii="Amiri" w:hAnsi="Amiri" w:eastAsia="Amiri" w:cs="Amiri"/>
          <w:color w:val="111111"/>
          <w:sz w:val="28"/>
          <w:sz w:val="28"/>
          <w:szCs w:val="28"/>
          <w:rtl w:val="true"/>
          <w:lang w:bidi="ar-SA"/>
        </w:rPr>
        <w:t>المشهور ، وانتفاع الكل لا يكون الا بذكرهم الأخبار القطعية؛ ليعمل بها كل احد، حتى من لا يعمل بالواحد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القطعية عند المشايخ لا يوجب القطع عند غيرهم</w:t>
      </w:r>
      <w:r>
        <w:rPr>
          <w:rStyle w:val="FootnoteAnchor"/>
          <w:rtl w:val="true"/>
        </w:rPr>
        <w:footnoteReference w:id="1577"/>
      </w:r>
      <w:r>
        <w:rPr>
          <w:rFonts w:ascii="Amiri" w:hAnsi="Amiri" w:eastAsia="Amiri" w:cs="Amiri"/>
          <w:color w:val="111111"/>
          <w:sz w:val="28"/>
          <w:sz w:val="28"/>
          <w:szCs w:val="28"/>
          <w:rtl w:val="true"/>
          <w:lang w:bidi="ar-SA"/>
        </w:rPr>
        <w:t>، مع احتمال كون</w:t>
      </w:r>
      <w:r>
        <w:rPr>
          <w:rStyle w:val="FootnoteAnchor"/>
          <w:rtl w:val="true"/>
        </w:rPr>
        <w:footnoteReference w:id="1578"/>
      </w:r>
      <w:r>
        <w:rPr>
          <w:rFonts w:ascii="Amiri" w:hAnsi="Amiri" w:eastAsia="Amiri" w:cs="Amiri"/>
          <w:color w:val="111111"/>
          <w:sz w:val="28"/>
          <w:sz w:val="28"/>
          <w:szCs w:val="28"/>
          <w:rtl w:val="true"/>
          <w:lang w:bidi="ar-SA"/>
        </w:rPr>
        <w:t xml:space="preserve">غرضهم من التأليف انتفاع العاملين بالواحد مطلقاً، وغيره مع حصول العلم له، فذكروا الآحاد وغيرها، بل لا </w:t>
      </w:r>
      <w:r>
        <w:rPr>
          <w:rStyle w:val="FootnoteAnchor"/>
          <w:rtl w:val="true"/>
        </w:rPr>
        <w:footnoteReference w:id="1579"/>
      </w:r>
      <w:r>
        <w:rPr>
          <w:rFonts w:ascii="Amiri" w:hAnsi="Amiri" w:eastAsia="Amiri" w:cs="Amiri"/>
          <w:color w:val="111111"/>
          <w:sz w:val="28"/>
          <w:sz w:val="28"/>
          <w:szCs w:val="28"/>
          <w:rtl w:val="true"/>
          <w:lang w:bidi="ar-SA"/>
        </w:rPr>
        <w:t>يمكن قصدهم نفع الكل؛ لما عرفت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والقياس على التعديل، ونقل الإجماع مع الفارق؛ لأنهما لفظان</w:t>
      </w:r>
      <w:r>
        <w:rPr>
          <w:rStyle w:val="FootnoteAnchor"/>
          <w:rtl w:val="true"/>
        </w:rPr>
        <w:footnoteReference w:id="1580"/>
      </w:r>
      <w:r>
        <w:rPr>
          <w:rFonts w:ascii="Amiri" w:hAnsi="Amiri" w:eastAsia="Amiri" w:cs="Amiri"/>
          <w:color w:val="111111"/>
          <w:sz w:val="28"/>
          <w:sz w:val="28"/>
          <w:szCs w:val="28"/>
          <w:rtl w:val="true"/>
          <w:lang w:bidi="ar-SA"/>
        </w:rPr>
        <w:t>ينصر فان إلى الفرد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المشايخ حكموا بصحة ما في مؤلفاتهم هذه </w:t>
      </w:r>
      <w:r>
        <w:rPr>
          <w:rStyle w:val="FootnoteAnchor"/>
          <w:rtl w:val="true"/>
        </w:rPr>
        <w:footnoteReference w:id="1581"/>
      </w:r>
      <w:r>
        <w:rPr>
          <w:rFonts w:ascii="Amiri" w:hAnsi="Amiri" w:eastAsia="Amiri" w:cs="Amiri"/>
          <w:color w:val="111111"/>
          <w:sz w:val="28"/>
          <w:sz w:val="28"/>
          <w:szCs w:val="28"/>
          <w:rtl w:val="true"/>
          <w:lang w:bidi="ar-SA"/>
        </w:rPr>
        <w:t>، والصحيح عندهم هو المطابق للواقع؛ لأصالة عدم النقل عن المعنى اللغوي عندهم، والظاهر من حكمهم هو الحكم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إن كون مرادهم ما ذكرت ظني، وإن القطع عندهم لا يوجب القطع لنا</w:t>
      </w:r>
      <w:r>
        <w:rPr>
          <w:rFonts w:eastAsia="Amiri" w:cs="Amiri" w:ascii="Amiri" w:hAnsi="Amiri"/>
          <w:color w:val="111111"/>
          <w:sz w:val="28"/>
          <w:szCs w:val="28"/>
          <w:rtl w:val="true"/>
          <w:lang w:bidi="ar-SA"/>
        </w:rPr>
        <w:t>.</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وإن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الكافي عُرض على الإمام علیه السلام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كافٍ للشيعة</w:t>
      </w:r>
      <w:r>
        <w:rPr>
          <w:rFonts w:eastAsia="IRNazanin" w:cs="IRNazanin"/>
          <w:color w:val="111111"/>
          <w:sz w:val="28"/>
          <w:szCs w:val="28"/>
          <w:rtl w:val="true"/>
          <w:lang w:bidi="fa-IR"/>
        </w:rPr>
        <w:t>»</w:t>
      </w:r>
      <w:r>
        <w:rPr>
          <w:rStyle w:val="FootnoteAnchor"/>
          <w:rtl w:val="true"/>
        </w:rPr>
        <w:footnoteReference w:id="1583"/>
      </w:r>
      <w:r>
        <w:rPr>
          <w:rFonts w:ascii="Amiri" w:hAnsi="Amiri" w:eastAsia="Amiri" w:cs="Amiri"/>
          <w:color w:val="111111"/>
          <w:sz w:val="28"/>
          <w:sz w:val="28"/>
          <w:szCs w:val="28"/>
          <w:rtl w:val="true"/>
          <w:lang w:bidi="ar-SA"/>
        </w:rPr>
        <w:t>وسماه ، كافياً، وهذا يكشف عن صحة جميع اخباره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العرض غير معلوم، ثم التسمية غير معلومة، وإن في تقريره علیه السلام ما في التقرير السابق</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مضافاً إلى كثرة الأخبار في الأربعة، وكثرة الوسائط، وطول الزمان، ووجود الاختلاف الكثير بينها</w:t>
      </w:r>
      <w:r>
        <w:rPr>
          <w:rStyle w:val="FootnoteAnchor"/>
          <w:rtl w:val="true"/>
        </w:rPr>
        <w:footnoteReference w:id="1584"/>
      </w:r>
      <w:r>
        <w:rPr>
          <w:rFonts w:ascii="Amiri" w:hAnsi="Amiri" w:eastAsia="Amiri" w:cs="Amiri"/>
          <w:color w:val="111111"/>
          <w:sz w:val="28"/>
          <w:sz w:val="28"/>
          <w:szCs w:val="28"/>
          <w:rtl w:val="true"/>
          <w:lang w:bidi="ar-SA"/>
        </w:rPr>
        <w:t>، وأن الكذابة كثيراً ما دسّوا</w:t>
      </w:r>
      <w:r>
        <w:rPr>
          <w:rStyle w:val="FootnoteAnchor"/>
          <w:rtl w:val="true"/>
        </w:rPr>
        <w:footnoteReference w:id="1585"/>
      </w:r>
      <w:r>
        <w:rPr>
          <w:rFonts w:ascii="Amiri" w:hAnsi="Amiri" w:eastAsia="Amiri" w:cs="Amiri"/>
          <w:color w:val="111111"/>
          <w:sz w:val="28"/>
          <w:sz w:val="28"/>
          <w:szCs w:val="28"/>
          <w:rtl w:val="true"/>
          <w:lang w:bidi="ar-SA"/>
        </w:rPr>
        <w:t>في أخبارهم، مع احتمال السهو والنسيان في أصحاب</w:t>
      </w:r>
      <w:r>
        <w:rPr>
          <w:rStyle w:val="FootnoteAnchor"/>
          <w:rtl w:val="true"/>
        </w:rPr>
        <w:footnoteReference w:id="1586"/>
      </w:r>
      <w:r>
        <w:rPr>
          <w:rFonts w:ascii="Amiri" w:hAnsi="Amiri" w:eastAsia="Amiri" w:cs="Amiri"/>
          <w:color w:val="111111"/>
          <w:sz w:val="28"/>
          <w:sz w:val="28"/>
          <w:szCs w:val="28"/>
          <w:rtl w:val="true"/>
          <w:lang w:bidi="ar-SA"/>
        </w:rPr>
        <w:t xml:space="preserve">الأصول والمشايخ، سيما في المطالب العلمية، فمتى علم أو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واحد من أحد في مجموع تلك الكتب الأربعة، سرت الشبهة إلى كل خبر </w:t>
      </w:r>
      <w:r>
        <w:rPr>
          <w:rStyle w:val="FootnoteAnchor"/>
          <w:rtl w:val="true"/>
        </w:rPr>
        <w:footnoteReference w:id="1587"/>
      </w:r>
      <w:r>
        <w:rPr>
          <w:rFonts w:ascii="Amiri" w:hAnsi="Amiri" w:eastAsia="Amiri" w:cs="Amiri"/>
          <w:color w:val="111111"/>
          <w:sz w:val="28"/>
          <w:sz w:val="28"/>
          <w:szCs w:val="28"/>
          <w:rtl w:val="true"/>
          <w:lang w:bidi="ar-SA"/>
        </w:rPr>
        <w:t>فيها ، وخرج عن القطع ، فدعوى قطعية السند واهية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الأربعة قطعية الاعتبار بدليل خاص، وهو شهادة المحمدين</w:t>
      </w:r>
      <w:r>
        <w:rPr>
          <w:rStyle w:val="FootnoteAnchor"/>
          <w:rtl w:val="true"/>
        </w:rPr>
        <w:footnoteReference w:id="1588"/>
      </w:r>
      <w:r>
        <w:rPr>
          <w:rFonts w:ascii="Amiri" w:hAnsi="Amiri" w:eastAsia="Amiri" w:cs="Amiri"/>
          <w:color w:val="111111"/>
          <w:sz w:val="28"/>
          <w:sz w:val="28"/>
          <w:szCs w:val="28"/>
          <w:rtl w:val="true"/>
          <w:lang w:bidi="ar-SA"/>
        </w:rPr>
        <w:t>على صحة ما فيها</w:t>
      </w:r>
      <w:r>
        <w:rPr>
          <w:rStyle w:val="FootnoteAnchor"/>
          <w:rtl w:val="true"/>
        </w:rPr>
        <w:footnoteReference w:id="1589"/>
      </w:r>
      <w:r>
        <w:rPr>
          <w:rFonts w:ascii="Amiri" w:hAnsi="Amiri" w:eastAsia="Amiri" w:cs="Amiri"/>
          <w:color w:val="111111"/>
          <w:sz w:val="28"/>
          <w:sz w:val="28"/>
          <w:szCs w:val="28"/>
          <w:rtl w:val="true"/>
          <w:lang w:bidi="ar-SA"/>
        </w:rPr>
        <w:t>، وكل شهادة حجة شرعية، فباب العلم بالمعنى الأعم منفتح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شهادة لا إخباراً ممنوع ، ولا أقل من الشك فيه، مع أن كون 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الصحة قطعية الصدور، مظنون لا مقطوع، ولعل مرادهم</w:t>
      </w:r>
      <w:r>
        <w:rPr>
          <w:rFonts w:eastAsia="Amiri" w:cs="Amiri" w:ascii="Amiri" w:hAnsi="Amiri"/>
          <w:color w:val="111111"/>
          <w:sz w:val="28"/>
          <w:szCs w:val="28"/>
          <w:rtl w:val="true"/>
          <w:lang w:bidi="ar-SA"/>
        </w:rPr>
        <w:t>)</w:t>
      </w:r>
      <w:r>
        <w:rPr>
          <w:rStyle w:val="FootnoteAnchor"/>
          <w:rtl w:val="true"/>
        </w:rPr>
        <w:footnoteReference w:id="1590"/>
      </w:r>
      <w:r>
        <w:rPr>
          <w:rFonts w:ascii="Amiri" w:hAnsi="Amiri" w:eastAsia="Amiri" w:cs="Amiri"/>
          <w:color w:val="111111"/>
          <w:sz w:val="28"/>
          <w:sz w:val="28"/>
          <w:szCs w:val="28"/>
          <w:rtl w:val="true"/>
          <w:lang w:bidi="ar-SA"/>
        </w:rPr>
        <w:t>ما يعتمد عليه قطعياً، أم ظنياً</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عندهم القطعي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المعتمد، سواء كان قطعيّاً أو ظنّيّاً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مقطوع الحجّيّة، ولو لم يقطع بصدوره من المعصوم؛ بمعنى أنّ المراد به القطعي المصون</w:t>
      </w:r>
    </w:p>
    <w:p>
      <w:pPr>
        <w:pStyle w:val="BookText"/>
        <w:rPr/>
      </w:pPr>
      <w:r>
        <w:rPr>
          <w:rFonts w:ascii="Amiri" w:hAnsi="Amiri" w:eastAsia="Amiri" w:cs="Amiri"/>
          <w:color w:val="111111"/>
          <w:sz w:val="28"/>
          <w:sz w:val="28"/>
          <w:szCs w:val="28"/>
          <w:rtl w:val="true"/>
          <w:lang w:bidi="ar-SA"/>
        </w:rPr>
        <w:t>، فشهادتهم على قطعية تلك الأخبار غير قطعية لنا، حتى نعمل بشهادتهم، مع أنه لا دليل على حجية الشهادة في الأحكام الشرعية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Style w:val="FootnoteAnchor"/>
          <w:rtl w:val="true"/>
        </w:rPr>
        <w:footnoteReference w:id="1592"/>
      </w:r>
      <w:r>
        <w:rPr>
          <w:rFonts w:ascii="Amiri" w:hAnsi="Amiri" w:eastAsia="Amiri" w:cs="Amiri"/>
          <w:color w:val="111111"/>
          <w:sz w:val="28"/>
          <w:sz w:val="28"/>
          <w:szCs w:val="28"/>
          <w:rtl w:val="true"/>
          <w:lang w:bidi="ar-SA"/>
        </w:rPr>
        <w:t xml:space="preserve">الآحاد حجة من باب الظن الخاص ؛ للأدلة الدالة </w:t>
      </w:r>
      <w:r>
        <w:rPr>
          <w:rStyle w:val="FootnoteAnchor"/>
          <w:rtl w:val="true"/>
        </w:rPr>
        <w:footnoteReference w:id="1593"/>
      </w:r>
      <w:r>
        <w:rPr>
          <w:rFonts w:ascii="Amiri" w:hAnsi="Amiri" w:eastAsia="Amiri" w:cs="Amiri"/>
          <w:color w:val="111111"/>
          <w:sz w:val="28"/>
          <w:sz w:val="28"/>
          <w:szCs w:val="28"/>
          <w:rtl w:val="true"/>
          <w:lang w:bidi="ar-SA"/>
        </w:rPr>
        <w:t>على حجية خبر الواحد، كما عليه الأكثر</w:t>
      </w:r>
      <w:r>
        <w:rPr>
          <w:rStyle w:val="FootnoteAnchor"/>
          <w:rtl w:val="true"/>
        </w:rPr>
        <w:footnoteReference w:id="1594"/>
      </w:r>
      <w:r>
        <w:rPr>
          <w:rFonts w:ascii="Amiri" w:hAnsi="Amiri" w:eastAsia="Amiri" w:cs="Amiri"/>
          <w:color w:val="111111"/>
          <w:sz w:val="28"/>
          <w:sz w:val="28"/>
          <w:szCs w:val="28"/>
          <w:rtl w:val="true"/>
          <w:lang w:bidi="ar-SA"/>
        </w:rPr>
        <w:t>، فيكون باب العلم بالمعنى الأعم مفتوحاً</w:t>
      </w:r>
      <w:r>
        <w:rPr>
          <w:rStyle w:val="FootnoteAnchor"/>
          <w:rtl w:val="true"/>
        </w:rPr>
        <w:footnoteReference w:id="1595"/>
      </w:r>
      <w:r>
        <w:rPr>
          <w:rFonts w:ascii="Amiri" w:hAnsi="Amiri" w:eastAsia="Amiri" w:cs="Amiri"/>
          <w:color w:val="111111"/>
          <w:sz w:val="28"/>
          <w:sz w:val="28"/>
          <w:szCs w:val="28"/>
          <w:rtl w:val="true"/>
          <w:lang w:bidi="ar-SA"/>
        </w:rPr>
        <w:t>، فمن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المسلمين في زماننا على العمل بالآحاد التي تطمئن إليها النفس في </w:t>
      </w:r>
    </w:p>
    <w:p>
      <w:pPr>
        <w:pStyle w:val="BookText"/>
        <w:rPr/>
      </w:pPr>
      <w:r>
        <w:rPr>
          <w:rFonts w:ascii="Amiri" w:hAnsi="Amiri" w:eastAsia="Amiri" w:cs="Amiri"/>
          <w:color w:val="111111"/>
          <w:sz w:val="28"/>
          <w:sz w:val="28"/>
          <w:szCs w:val="28"/>
          <w:rtl w:val="true"/>
          <w:lang w:bidi="ar-SA"/>
        </w:rPr>
        <w:t>أخذ فتاوى المجتهدين، ولا يقتصرون على الشفاه، ولا</w:t>
      </w:r>
      <w:r>
        <w:rPr>
          <w:rStyle w:val="FootnoteAnchor"/>
          <w:rtl w:val="true"/>
        </w:rPr>
        <w:footnoteReference w:id="1596"/>
      </w:r>
      <w:r>
        <w:rPr>
          <w:rFonts w:ascii="IRNazanin" w:hAnsi="IRNazanin" w:eastAsia="IRNazanin"/>
          <w:color w:val="111111"/>
          <w:sz w:val="28"/>
          <w:sz w:val="28"/>
          <w:szCs w:val="28"/>
          <w:rtl w:val="true"/>
          <w:lang w:bidi="fa-IR"/>
        </w:rPr>
        <w:t>على الكتاب، وهذه الطريقة كانت مستمرة من زمن النبي صلی الله علیه و آله وسلم إلى زماننا، حتى إن أهل المدينة ما كان ديدنهم أخذ جميع أحكامهم مشافهة عن النبي علا الله ، بل الزوجة كانت</w:t>
      </w:r>
      <w:r>
        <w:rPr>
          <w:rStyle w:val="FootnoteAnchor"/>
          <w:rtl w:val="true"/>
        </w:rPr>
        <w:footnoteReference w:id="1597"/>
      </w:r>
      <w:r>
        <w:rPr>
          <w:rFonts w:ascii="Amiri" w:hAnsi="Amiri" w:eastAsia="Amiri" w:cs="Amiri"/>
          <w:color w:val="111111"/>
          <w:sz w:val="28"/>
          <w:sz w:val="28"/>
          <w:szCs w:val="28"/>
          <w:rtl w:val="true"/>
          <w:lang w:bidi="ar-SA"/>
        </w:rPr>
        <w:t>تراجع زوجها، والولد أباه، والطفل معلّمه ،وهكذا، ومن المعلوم عدم حصول القطع لهم في جميع تلك الآحاد، وهكذا أهل البلاد في زمن الأئمة عل ، بل وأهل بلدهم أيضاً، مع إمكان الأخذ منهم الله ، فسيرة المسلمين وإجماعهم على ذلك من قديم الزمان إلى زماننا تدل على حجية الواحد إما لتقرير المعصوم ، أو لكشف إجماعهم عن رضاه به، واذا ثبت الحجية للحاضرين، ثبت لنا بأدلة الاشتراك؛ لأن الداعي على اختلاف</w:t>
      </w:r>
      <w:r>
        <w:rPr>
          <w:rStyle w:val="FootnoteAnchor"/>
          <w:rtl w:val="true"/>
        </w:rPr>
        <w:footnoteReference w:id="1598"/>
      </w:r>
      <w:r>
        <w:rPr>
          <w:rFonts w:ascii="Amiri" w:hAnsi="Amiri" w:eastAsia="Amiri" w:cs="Amiri"/>
          <w:color w:val="111111"/>
          <w:sz w:val="28"/>
          <w:sz w:val="28"/>
          <w:szCs w:val="28"/>
          <w:rtl w:val="true"/>
          <w:lang w:bidi="ar-SA"/>
        </w:rPr>
        <w:t>حكمنا هنا مع الحاضرين إن كان اختلاف الزمان؛ لاحتمال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عروض النسخ في هذه المسألة، مع أن النسخ</w:t>
      </w:r>
      <w:r>
        <w:rPr>
          <w:rFonts w:eastAsia="Amiri" w:cs="Amiri" w:ascii="Amiri" w:hAnsi="Amiri"/>
          <w:color w:val="111111"/>
          <w:sz w:val="28"/>
          <w:szCs w:val="28"/>
          <w:rtl w:val="true"/>
          <w:lang w:bidi="ar-SA"/>
        </w:rPr>
        <w:t>)</w:t>
      </w:r>
      <w:r>
        <w:rPr>
          <w:rStyle w:val="FootnoteAnchor"/>
          <w:rtl w:val="true"/>
        </w:rPr>
        <w:footnoteReference w:id="1599"/>
      </w:r>
      <w:r>
        <w:rPr>
          <w:rFonts w:ascii="Amiri" w:hAnsi="Amiri" w:eastAsia="Amiri" w:cs="Amiri"/>
          <w:color w:val="111111"/>
          <w:sz w:val="28"/>
          <w:sz w:val="28"/>
          <w:szCs w:val="28"/>
          <w:rtl w:val="true"/>
          <w:lang w:bidi="ar-SA"/>
        </w:rPr>
        <w:t>بعد انقطاع الوحي لا وجه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لاحتمال</w:t>
      </w:r>
      <w:r>
        <w:rPr>
          <w:rStyle w:val="FootnoteAnchor"/>
          <w:rtl w:val="true"/>
        </w:rPr>
        <w:footnoteReference w:id="1600"/>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وسلم لا تقية عنده، مع أن هذا الاحتمال يرفع جهة التقرير لا الكشف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اختلاف</w:t>
      </w:r>
      <w:r>
        <w:rPr>
          <w:rStyle w:val="FootnoteAnchor"/>
          <w:rtl w:val="true"/>
        </w:rPr>
        <w:footnoteReference w:id="1601"/>
      </w:r>
      <w:r>
        <w:rPr>
          <w:rFonts w:ascii="IRNazanin" w:hAnsi="IRNazanin" w:eastAsia="IRNazanin"/>
          <w:color w:val="111111"/>
          <w:sz w:val="28"/>
          <w:sz w:val="28"/>
          <w:szCs w:val="28"/>
          <w:rtl w:val="true"/>
          <w:lang w:bidi="fa-IR"/>
        </w:rPr>
        <w:t>الأشخاص</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فينفيه أدلة الاشتراك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احتمال أن تقريرهم أهل زمانهم لعله</w:t>
      </w:r>
      <w:r>
        <w:rPr>
          <w:rStyle w:val="FootnoteAnchor"/>
          <w:rtl w:val="true"/>
        </w:rPr>
        <w:footnoteReference w:id="1602"/>
      </w:r>
      <w:r>
        <w:rPr>
          <w:rFonts w:ascii="Amiri" w:hAnsi="Amiri" w:eastAsia="Amiri" w:cs="Amiri"/>
          <w:color w:val="111111"/>
          <w:sz w:val="28"/>
          <w:sz w:val="28"/>
          <w:szCs w:val="28"/>
          <w:rtl w:val="true"/>
          <w:lang w:bidi="ar-SA"/>
        </w:rPr>
        <w:t>كان لأجل علمهم بمطابقة أخبار زمانهم للواقع، وإن لم يعلم العاملين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وجود الكذب في زمنهم في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العلم بالمطابقة لا يكفي في عدم المنع عن العمل بالخبر، باعتقاد أنه واحد يحتمل عند العاملين المطابقة وعدمها؛ لأنه إغراء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كثرة الوسائط لنا 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تصير فارقة، بل هم كانوا يعملون</w:t>
      </w:r>
      <w:r>
        <w:rPr>
          <w:rStyle w:val="FootnoteAnchor"/>
          <w:rtl w:val="true"/>
        </w:rPr>
        <w:footnoteReference w:id="1603"/>
      </w:r>
      <w:r>
        <w:rPr>
          <w:rFonts w:ascii="Amiri" w:hAnsi="Amiri" w:eastAsia="Amiri" w:cs="Amiri"/>
          <w:color w:val="111111"/>
          <w:sz w:val="28"/>
          <w:sz w:val="28"/>
          <w:szCs w:val="28"/>
          <w:rtl w:val="true"/>
          <w:lang w:bidi="ar-SA"/>
        </w:rPr>
        <w:t>بالواحد حتى مع كثرة الوسائط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نصب النبي صلی الله علیه و آله وسلم والأئمة علیهم السلام الولاة في البلاد لتبليغ الأحكام والسياسات، يدل على حجية اخبار الوالي لهم مع وحدتها؛ للاستقراء، والتقرير، ولغوية النصب لولا حجيَّة قوله لهم، ونحوه ارسالهم الرسل إلى الأطراف لتبليغ الأحكام، بالتقريب المذكور</w:t>
      </w:r>
      <w:r>
        <w:rPr>
          <w:rFonts w:eastAsia="IRNazanin" w:cs="IRNazanin"/>
          <w:color w:val="111111"/>
          <w:sz w:val="28"/>
          <w:szCs w:val="28"/>
          <w:rtl w:val="true"/>
          <w:lang w:bidi="fa-IR"/>
        </w:rPr>
        <w:t>.</w:t>
      </w:r>
      <w:r>
        <w:rPr>
          <w:rStyle w:val="FootnoteAnchor"/>
          <w:rtl w:val="true"/>
        </w:rPr>
        <w:footnoteReference w:id="160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دونوا كتباً كثيرة تبلغ ستة آلاف،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أربعة آلاف</w:t>
      </w:r>
      <w:r>
        <w:rPr>
          <w:rFonts w:eastAsia="IRNazanin" w:cs="IRNazanin"/>
          <w:color w:val="111111"/>
          <w:sz w:val="28"/>
          <w:szCs w:val="28"/>
          <w:rtl w:val="true"/>
          <w:lang w:bidi="fa-IR"/>
        </w:rPr>
        <w:t>)</w:t>
      </w:r>
      <w:r>
        <w:rPr>
          <w:rStyle w:val="FootnoteAnchor"/>
          <w:rtl w:val="true"/>
        </w:rPr>
        <w:footnoteReference w:id="1605"/>
      </w:r>
      <w:r>
        <w:rPr>
          <w:rFonts w:ascii="IRNazanin" w:hAnsi="IRNazanin" w:eastAsia="IRNazanin"/>
          <w:color w:val="111111"/>
          <w:sz w:val="28"/>
          <w:sz w:val="28"/>
          <w:szCs w:val="28"/>
          <w:rtl w:val="true"/>
          <w:lang w:bidi="fa-IR"/>
        </w:rPr>
        <w:t>، وأهل عصرهم كانوا يعملون بجملة منها، والحال أن العلم غير حاصل غالباً لغالب هؤلاء، فإجماع أهل ذلك العصر، وتقرير الأئمة علیهم السلام</w:t>
      </w:r>
      <w:r>
        <w:rPr>
          <w:rFonts w:eastAsia="IRNazanin" w:cs="IRNazanin"/>
          <w:color w:val="111111"/>
          <w:sz w:val="28"/>
          <w:szCs w:val="28"/>
          <w:rtl w:val="true"/>
          <w:lang w:bidi="fa-IR"/>
        </w:rPr>
        <w:t>)</w:t>
      </w:r>
      <w:r>
        <w:rPr>
          <w:rStyle w:val="FootnoteAnchor"/>
          <w:rtl w:val="true"/>
        </w:rPr>
        <w:footnoteReference w:id="1606"/>
      </w:r>
      <w:r>
        <w:rPr>
          <w:rFonts w:ascii="Amiri" w:hAnsi="Amiri" w:eastAsia="Amiri" w:cs="Amiri"/>
          <w:color w:val="111111"/>
          <w:sz w:val="28"/>
          <w:sz w:val="28"/>
          <w:szCs w:val="28"/>
          <w:rtl w:val="true"/>
          <w:lang w:bidi="ar-SA"/>
        </w:rPr>
        <w:t>إياهم، يدلان على حجية الآحاد لهم، ولم نجد مفصلاً بين أفراد الواحد، وأدلة الاشتراك تعمّ الحكم بالنسبة إلينا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علماء الإمامية على العمل بأخبار الأربعة</w:t>
      </w:r>
      <w:r>
        <w:rPr>
          <w:rStyle w:val="FootnoteAnchor"/>
          <w:rtl w:val="true"/>
        </w:rPr>
        <w:footnoteReference w:id="1607"/>
      </w:r>
      <w:r>
        <w:rPr>
          <w:rFonts w:ascii="Amiri" w:hAnsi="Amiri" w:eastAsia="Amiri" w:cs="Amiri"/>
          <w:color w:val="111111"/>
          <w:sz w:val="28"/>
          <w:sz w:val="28"/>
          <w:szCs w:val="28"/>
          <w:rtl w:val="true"/>
          <w:lang w:bidi="ar-SA"/>
        </w:rPr>
        <w:t xml:space="preserve">، وإن كان </w:t>
      </w:r>
      <w:r>
        <w:rPr>
          <w:rStyle w:val="FootnoteAnchor"/>
          <w:rtl w:val="true"/>
        </w:rPr>
        <w:footnoteReference w:id="1608"/>
      </w:r>
      <w:r>
        <w:rPr>
          <w:rFonts w:ascii="Amiri" w:hAnsi="Amiri" w:eastAsia="Amiri" w:cs="Amiri"/>
          <w:color w:val="111111"/>
          <w:sz w:val="28"/>
          <w:sz w:val="28"/>
          <w:szCs w:val="28"/>
          <w:rtl w:val="true"/>
          <w:lang w:bidi="ar-SA"/>
        </w:rPr>
        <w:t>عمل بعض لأجل كون أغلبها</w:t>
      </w:r>
      <w:r>
        <w:rPr>
          <w:rStyle w:val="FootnoteAnchor"/>
          <w:rtl w:val="true"/>
        </w:rPr>
        <w:footnoteReference w:id="1609"/>
      </w:r>
      <w:r>
        <w:rPr>
          <w:rFonts w:ascii="Amiri" w:hAnsi="Amiri" w:eastAsia="Amiri" w:cs="Amiri"/>
          <w:color w:val="111111"/>
          <w:sz w:val="28"/>
          <w:sz w:val="28"/>
          <w:szCs w:val="28"/>
          <w:rtl w:val="true"/>
          <w:lang w:bidi="ar-SA"/>
        </w:rPr>
        <w:t>أو كلها قطعية عندهم، وآخر من باب الظن الخاص، وآخر من باب الظن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الكافي دوّن في الغيبة الصغرى، وهي زمان حضور الإمام علیه السلام وتمكنه من الردع </w:t>
      </w:r>
      <w:r>
        <w:rPr>
          <w:rStyle w:val="FootnoteAnchor"/>
          <w:rtl w:val="true"/>
        </w:rPr>
        <w:footnoteReference w:id="1610"/>
      </w:r>
      <w:r>
        <w:rPr>
          <w:rFonts w:ascii="Amiri" w:hAnsi="Amiri" w:eastAsia="Amiri" w:cs="Amiri"/>
          <w:color w:val="111111"/>
          <w:sz w:val="28"/>
          <w:sz w:val="28"/>
          <w:szCs w:val="28"/>
          <w:rtl w:val="true"/>
          <w:lang w:bidi="ar-SA"/>
        </w:rPr>
        <w:t>، وكان هذا الكتاب مشتهراً ذلك اليوم بين الإمامية؛ لكونهم يومئذ طائفة قليلة، ومؤلّفه من المشاهير، مع حكم</w:t>
      </w:r>
      <w:r>
        <w:rPr>
          <w:rStyle w:val="FootnoteAnchor"/>
          <w:rtl w:val="true"/>
        </w:rPr>
        <w:footnoteReference w:id="1611"/>
      </w:r>
      <w:r>
        <w:rPr>
          <w:rFonts w:ascii="Amiri" w:hAnsi="Amiri" w:eastAsia="Amiri" w:cs="Amiri"/>
          <w:color w:val="111111"/>
          <w:sz w:val="28"/>
          <w:sz w:val="28"/>
          <w:szCs w:val="28"/>
          <w:rtl w:val="true"/>
          <w:lang w:bidi="ar-SA"/>
        </w:rPr>
        <w:t xml:space="preserve">العادة بعدم حصول العلم غالباً للعاملين به </w:t>
      </w:r>
      <w:r>
        <w:rPr>
          <w:rStyle w:val="FootnoteAnchor"/>
          <w:rtl w:val="true"/>
        </w:rPr>
        <w:footnoteReference w:id="1612"/>
      </w:r>
      <w:r>
        <w:rPr>
          <w:rFonts w:ascii="IRNazanin" w:hAnsi="IRNazanin" w:eastAsia="IRNazanin"/>
          <w:color w:val="111111"/>
          <w:sz w:val="28"/>
          <w:sz w:val="28"/>
          <w:szCs w:val="28"/>
          <w:rtl w:val="true"/>
          <w:lang w:bidi="fa-IR"/>
        </w:rPr>
        <w:t xml:space="preserve">، فتقريره علیه السلام إياهم كاشف عن الحجية، ويتم في سائر </w:t>
      </w:r>
      <w:r>
        <w:rPr>
          <w:rStyle w:val="FootnoteAnchor"/>
          <w:rtl w:val="true"/>
        </w:rPr>
        <w:footnoteReference w:id="1613"/>
      </w:r>
      <w:r>
        <w:rPr>
          <w:rFonts w:ascii="Amiri" w:hAnsi="Amiri" w:eastAsia="Amiri" w:cs="Amiri"/>
          <w:color w:val="111111"/>
          <w:sz w:val="28"/>
          <w:sz w:val="28"/>
          <w:szCs w:val="28"/>
          <w:rtl w:val="true"/>
          <w:lang w:bidi="ar-SA"/>
        </w:rPr>
        <w:t>الآحاد بالإجماع المركب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أمر قطعي مركب من أمور ظنية، يحصل من مجموعها العلم، وهي ذهاب المعظم إلى ذلك، حتى الشيخ بل الكليني والصدوق أيضاً </w:t>
      </w:r>
      <w:r>
        <w:rPr>
          <w:rStyle w:val="FootnoteAnchor"/>
          <w:rtl w:val="true"/>
        </w:rPr>
        <w:footnoteReference w:id="1614"/>
      </w:r>
      <w:r>
        <w:rPr>
          <w:rFonts w:ascii="Amiri" w:hAnsi="Amiri" w:eastAsia="Amiri" w:cs="Amiri"/>
          <w:color w:val="111111"/>
          <w:sz w:val="28"/>
          <w:sz w:val="28"/>
          <w:szCs w:val="28"/>
          <w:rtl w:val="true"/>
          <w:lang w:bidi="ar-SA"/>
        </w:rPr>
        <w:t xml:space="preserve">لأنهما ذكر </w:t>
      </w:r>
      <w:r>
        <w:rPr>
          <w:rStyle w:val="FootnoteAnchor"/>
          <w:rtl w:val="true"/>
        </w:rPr>
        <w:footnoteReference w:id="1615"/>
      </w:r>
      <w:r>
        <w:rPr>
          <w:rFonts w:ascii="Amiri" w:hAnsi="Amiri" w:eastAsia="Amiri" w:cs="Amiri"/>
          <w:color w:val="111111"/>
          <w:sz w:val="28"/>
          <w:sz w:val="28"/>
          <w:szCs w:val="28"/>
          <w:rtl w:val="true"/>
          <w:lang w:bidi="ar-SA"/>
        </w:rPr>
        <w:t xml:space="preserve">حديث الأخذ بالأعدل عند تعارض الخبرين في كتابهما، وتدوين العلماء كتب الأخبار ، والإجماع المنقول عن العلّامة والشيخ </w:t>
      </w:r>
      <w:r>
        <w:rPr>
          <w:rStyle w:val="FootnoteAnchor"/>
          <w:rtl w:val="true"/>
        </w:rPr>
        <w:footnoteReference w:id="1616"/>
      </w:r>
      <w:r>
        <w:rPr>
          <w:rFonts w:ascii="Amiri" w:hAnsi="Amiri" w:eastAsia="Amiri" w:cs="Amiri"/>
          <w:color w:val="111111"/>
          <w:sz w:val="28"/>
          <w:sz w:val="28"/>
          <w:szCs w:val="28"/>
          <w:rtl w:val="true"/>
          <w:lang w:bidi="ar-SA"/>
        </w:rPr>
        <w:t xml:space="preserve">، وغيرهم على الحجية المقدم </w:t>
      </w:r>
      <w:r>
        <w:rPr>
          <w:rStyle w:val="FootnoteAnchor"/>
          <w:rtl w:val="true"/>
        </w:rPr>
        <w:footnoteReference w:id="1617"/>
      </w:r>
      <w:r>
        <w:rPr>
          <w:rFonts w:ascii="IRNazanin" w:hAnsi="IRNazanin" w:eastAsia="IRNazanin"/>
          <w:color w:val="111111"/>
          <w:sz w:val="28"/>
          <w:sz w:val="28"/>
          <w:szCs w:val="28"/>
          <w:rtl w:val="true"/>
          <w:lang w:bidi="fa-IR"/>
        </w:rPr>
        <w:t xml:space="preserve">على إجماع </w:t>
      </w:r>
    </w:p>
    <w:p>
      <w:pPr>
        <w:pStyle w:val="BookText"/>
        <w:rPr/>
      </w:pPr>
      <w:r>
        <w:rPr>
          <w:rFonts w:ascii="IRNazanin" w:hAnsi="IRNazanin" w:eastAsia="IRNazanin"/>
          <w:color w:val="111111"/>
          <w:sz w:val="28"/>
          <w:sz w:val="28"/>
          <w:szCs w:val="28"/>
          <w:rtl w:val="true"/>
          <w:lang w:bidi="fa-IR"/>
        </w:rPr>
        <w:t xml:space="preserve">المرتضى بوجوه </w:t>
      </w:r>
      <w:r>
        <w:rPr>
          <w:rFonts w:eastAsia="IRNazanin" w:cs="IRNazanin"/>
          <w:color w:val="111111"/>
          <w:sz w:val="28"/>
          <w:szCs w:val="28"/>
          <w:rtl w:val="true"/>
          <w:lang w:bidi="fa-IR"/>
        </w:rPr>
        <w:t>.</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والأخبار العلاجية، وتدوين العلماء علم الرجال، وظاهر بناء العقلاء على اعتبار الواحد في أمور دينهم ودنياهم، الا ما خرج وتحريض المعصوم</w:t>
      </w:r>
      <w:r>
        <w:rPr>
          <w:rStyle w:val="FootnoteAnchor"/>
          <w:rtl w:val="true"/>
        </w:rPr>
        <w:footnoteReference w:id="1619"/>
      </w:r>
      <w:r>
        <w:rPr>
          <w:rFonts w:ascii="Amiri" w:hAnsi="Amiri" w:eastAsia="Amiri" w:cs="Amiri"/>
          <w:color w:val="111111"/>
          <w:sz w:val="28"/>
          <w:sz w:val="28"/>
          <w:szCs w:val="28"/>
          <w:rtl w:val="true"/>
          <w:lang w:bidi="ar-SA"/>
        </w:rPr>
        <w:t>أصحابه بتدوين الأخبار، وعدم تدوين القائم كتاباً للشيعة يغنيهم عن العمل بالآحاد مع علمه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آية النبأ، والنفر، والسؤال، والكتمان</w:t>
      </w:r>
      <w:r>
        <w:rPr>
          <w:rFonts w:eastAsia="Amiri" w:cs="Amiri" w:ascii="Amiri" w:hAnsi="Amiri"/>
          <w:color w:val="111111"/>
          <w:sz w:val="28"/>
          <w:szCs w:val="28"/>
          <w:rtl w:val="true"/>
          <w:lang w:bidi="ar-SA"/>
        </w:rPr>
        <w:t>.</w:t>
      </w:r>
      <w:r>
        <w:rPr>
          <w:rStyle w:val="FootnoteAnchor"/>
          <w:rtl w:val="true"/>
        </w:rPr>
        <w:footnoteReference w:id="162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 محل الكلام حجية الآحاد على فرض انفتاح باب العلم ،غالباً، كز من المرتضى على زعمه، حيث اجتمعت فيه الأخبار والأصول، وجمعت</w:t>
      </w:r>
      <w:r>
        <w:rPr>
          <w:rStyle w:val="FootnoteAnchor"/>
          <w:rtl w:val="true"/>
        </w:rPr>
        <w:footnoteReference w:id="1621"/>
      </w:r>
      <w:r>
        <w:rPr>
          <w:rFonts w:ascii="IRNazanin" w:hAnsi="IRNazanin" w:eastAsia="IRNazanin"/>
          <w:color w:val="111111"/>
          <w:sz w:val="28"/>
          <w:sz w:val="28"/>
          <w:szCs w:val="28"/>
          <w:rtl w:val="true"/>
          <w:lang w:bidi="fa-IR"/>
        </w:rPr>
        <w:t>بحيث كان الشخص يتمكن غالباً من الإجماعات، والمتواترات اللفظية، والآحاد القطعية للقرائن الخارجية، وأما أصحاب النبي صلی الله علیه و آله وسلم والأئمة علیهم السلام فكان باب العلم منسداً لهم في الأغلب؛ لعدم تمكن المعصوم عال من قضاء حوائج جميع أهل زمانه رجالاً ونساء قريباً ،ونائياً مشافهة وبلا واسطة، وعدم تمكن كل الناس من أخذ</w:t>
      </w:r>
      <w:r>
        <w:rPr>
          <w:rStyle w:val="FootnoteAnchor"/>
          <w:rtl w:val="true"/>
        </w:rPr>
        <w:footnoteReference w:id="1622"/>
      </w:r>
      <w:r>
        <w:rPr>
          <w:rFonts w:ascii="IRNazanin" w:hAnsi="IRNazanin" w:eastAsia="IRNazanin"/>
          <w:color w:val="111111"/>
          <w:sz w:val="28"/>
          <w:sz w:val="28"/>
          <w:szCs w:val="28"/>
          <w:rtl w:val="true"/>
          <w:lang w:bidi="fa-IR"/>
        </w:rPr>
        <w:t>شتات مسائلهم عنه علیه السلام شفاهاً، ولا بالأخبار القطعية غالباً، كمقلدي زماننا بالنسبة إلى فتاوى المجتهدين فلعل جواز العمل لأصحاب الأئمة علیهم السلام بالآحاد الظنية إنما كان لسدّ</w:t>
      </w:r>
      <w:r>
        <w:rPr>
          <w:rStyle w:val="FootnoteAnchor"/>
          <w:rtl w:val="true"/>
        </w:rPr>
        <w:footnoteReference w:id="1623"/>
      </w:r>
      <w:r>
        <w:rPr>
          <w:rFonts w:ascii="IRNazanin" w:hAnsi="IRNazanin" w:eastAsia="IRNazanin"/>
          <w:color w:val="111111"/>
          <w:sz w:val="28"/>
          <w:sz w:val="28"/>
          <w:szCs w:val="28"/>
          <w:rtl w:val="true"/>
          <w:lang w:bidi="fa-IR"/>
        </w:rPr>
        <w:t xml:space="preserve">باب العلم لهم غالباً بحسب النوع كما عرفت، وأما إذا فرضنا الانفتاح الأغلبي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إجماع حينئذ في حق أصحاب الأئمة علیهم السلامحتى يثبت لنا بأدلة الاشتراك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سلّمنا وجود الإجماع في حقهم، لكن الفارق بيننا وبينهم موجود؛ لأنا نعلم غالباً علماً إجمالياً بوجود المعارض، والأخبار الكاذبة 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ملتفتون إلى ذلك دونهم</w:t>
      </w:r>
      <w:r>
        <w:rPr>
          <w:rFonts w:eastAsia="Amiri" w:cs="Amiri" w:ascii="Amiri" w:hAnsi="Amiri"/>
          <w:color w:val="111111"/>
          <w:sz w:val="28"/>
          <w:szCs w:val="28"/>
          <w:rtl w:val="true"/>
          <w:lang w:bidi="ar-SA"/>
        </w:rPr>
        <w:t>)</w:t>
      </w:r>
      <w:r>
        <w:rPr>
          <w:rStyle w:val="FootnoteAnchor"/>
          <w:rtl w:val="true"/>
        </w:rPr>
        <w:footnoteReference w:id="1624"/>
      </w:r>
      <w:r>
        <w:rPr>
          <w:rFonts w:ascii="Amiri" w:hAnsi="Amiri" w:eastAsia="Amiri" w:cs="Amiri"/>
          <w:color w:val="111111"/>
          <w:sz w:val="28"/>
          <w:sz w:val="28"/>
          <w:szCs w:val="28"/>
          <w:rtl w:val="true"/>
          <w:lang w:bidi="ar-SA"/>
        </w:rPr>
        <w:t xml:space="preserve">، ولو التفتوا إلى ذلك لكان ذلك الالتفات منهم في غاية الندرة، بخلافنا، وهذا العلم الإجمالي أوجب الفحص علينا، ولم يكن واجباً عليهم، بل كانوا كمقلدي المجتهدين في زماننا، وأوجب اختصاص العمل بالأخبار </w:t>
      </w:r>
      <w:r>
        <w:rPr>
          <w:rStyle w:val="FootnoteAnchor"/>
          <w:rtl w:val="true"/>
        </w:rPr>
        <w:footnoteReference w:id="1625"/>
      </w:r>
      <w:r>
        <w:rPr>
          <w:rFonts w:ascii="Amiri" w:hAnsi="Amiri" w:eastAsia="Amiri" w:cs="Amiri"/>
          <w:color w:val="111111"/>
          <w:sz w:val="28"/>
          <w:sz w:val="28"/>
          <w:szCs w:val="28"/>
          <w:rtl w:val="true"/>
          <w:lang w:bidi="ar-SA"/>
        </w:rPr>
        <w:t>بالفقيه دون العامي في زماننا</w:t>
      </w:r>
      <w:r>
        <w:rPr>
          <w:rFonts w:eastAsia="Amiri" w:cs="Amiri" w:ascii="Amiri" w:hAnsi="Amiri"/>
          <w:color w:val="111111"/>
          <w:sz w:val="28"/>
          <w:szCs w:val="28"/>
          <w:rtl w:val="true"/>
          <w:lang w:bidi="ar-SA"/>
        </w:rPr>
        <w:t>)</w:t>
      </w:r>
      <w:r>
        <w:rPr>
          <w:rStyle w:val="FootnoteAnchor"/>
          <w:rtl w:val="true"/>
        </w:rPr>
        <w:footnoteReference w:id="1626"/>
      </w:r>
      <w:r>
        <w:rPr>
          <w:rFonts w:ascii="Amiri" w:hAnsi="Amiri" w:eastAsia="Amiri" w:cs="Amiri"/>
          <w:color w:val="111111"/>
          <w:sz w:val="28"/>
          <w:sz w:val="28"/>
          <w:szCs w:val="28"/>
          <w:rtl w:val="true"/>
          <w:lang w:bidi="ar-SA"/>
        </w:rPr>
        <w:t>بخلاف زمانهم فلعله أوجب فرقاً آخر، وهو حجيَّة الخبر لهم لا لنا، فالموضوع مختلف، فلا يتم الدليل على حجية الآحاد مع الفتح الأغلبي حتى صحيح</w:t>
      </w:r>
      <w:r>
        <w:rPr>
          <w:rStyle w:val="FootnoteAnchor"/>
          <w:rtl w:val="true"/>
        </w:rPr>
        <w:footnoteReference w:id="1627"/>
      </w:r>
      <w:r>
        <w:rPr>
          <w:rFonts w:ascii="Amiri" w:hAnsi="Amiri" w:eastAsia="Amiri" w:cs="Amiri"/>
          <w:color w:val="111111"/>
          <w:sz w:val="28"/>
          <w:sz w:val="28"/>
          <w:szCs w:val="28"/>
          <w:rtl w:val="true"/>
          <w:lang w:bidi="ar-SA"/>
        </w:rPr>
        <w:t xml:space="preserve">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والصحيح الأعلى </w:t>
      </w:r>
      <w:r>
        <w:rPr>
          <w:rStyle w:val="FootnoteAnchor"/>
          <w:rtl w:val="true"/>
        </w:rPr>
        <w:footnoteReference w:id="1628"/>
      </w:r>
      <w:r>
        <w:rPr>
          <w:rFonts w:ascii="Amiri" w:hAnsi="Amiri" w:eastAsia="Amiri" w:cs="Amiri"/>
          <w:color w:val="111111"/>
          <w:sz w:val="28"/>
          <w:sz w:val="28"/>
          <w:szCs w:val="28"/>
          <w:rtl w:val="true"/>
          <w:lang w:bidi="ar-SA"/>
        </w:rPr>
        <w:t>، والصحيح المشهوري</w:t>
      </w:r>
      <w:r>
        <w:rPr>
          <w:rStyle w:val="FootnoteAnchor"/>
          <w:rtl w:val="true"/>
        </w:rPr>
        <w:footnoteReference w:id="1629"/>
      </w:r>
      <w:r>
        <w:rPr>
          <w:rStyle w:val="FootnoteAnchor"/>
          <w:rtl w:val="true"/>
        </w:rPr>
        <w:footnoteReference w:id="1630"/>
      </w:r>
      <w:r>
        <w:rPr>
          <w:rFonts w:ascii="Amiri" w:hAnsi="Amiri" w:eastAsia="Amiri" w:cs="Amiri"/>
          <w:color w:val="111111"/>
          <w:sz w:val="28"/>
          <w:sz w:val="28"/>
          <w:szCs w:val="28"/>
          <w:rtl w:val="true"/>
          <w:lang w:bidi="ar-SA"/>
        </w:rPr>
        <w:t>، فكيف بما عدا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 القدر</w:t>
      </w:r>
      <w:r>
        <w:rPr>
          <w:rStyle w:val="FootnoteAnchor"/>
          <w:rtl w:val="true"/>
        </w:rPr>
        <w:footnoteReference w:id="1631"/>
      </w:r>
      <w:r>
        <w:rPr>
          <w:rFonts w:ascii="Amiri" w:hAnsi="Amiri" w:eastAsia="Amiri" w:cs="Amiri"/>
          <w:color w:val="111111"/>
          <w:sz w:val="28"/>
          <w:sz w:val="28"/>
          <w:szCs w:val="28"/>
          <w:rtl w:val="true"/>
          <w:lang w:bidi="ar-SA"/>
        </w:rPr>
        <w:t>المعلوم من إجماعهم إنما هو الخبر الصحيح الصادر من العدل الإمامي الضابط الخالي عن المعارض المساوي والأقوى، وهو نادر سيما في أبواب المعاملات، فباب العلم منسدّ غالبا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الصحاح العامة كافية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العلم الإجمالي بتخصيصها بعد ملاحظة معارضاتها من الظنون المطلقة، كالاستقراء، والشهرة، وعدم الخلاف والإجماع الظني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تقدر على استخراج أجوبة سائر أدلتهم، وإن شئت البسط فراجع رسالتنا</w:t>
      </w:r>
      <w:r>
        <w:rPr>
          <w:rStyle w:val="FootnoteAnchor"/>
          <w:rtl w:val="true"/>
        </w:rPr>
        <w:footnoteReference w:id="1632"/>
      </w:r>
      <w:r>
        <w:rPr>
          <w:rFonts w:ascii="Amiri" w:hAnsi="Amiri" w:eastAsia="Amiri" w:cs="Amiri"/>
          <w:color w:val="111111"/>
          <w:sz w:val="28"/>
          <w:sz w:val="28"/>
          <w:szCs w:val="28"/>
          <w:rtl w:val="true"/>
          <w:lang w:bidi="ar-SA"/>
        </w:rPr>
        <w:t>المفردة في حجيّة الظن فإنها قد بلغت الغاية، وتجاوزت النهاية</w:t>
      </w:r>
      <w:r>
        <w:rPr>
          <w:rFonts w:eastAsia="Amiri" w:cs="Amiri" w:ascii="Amiri" w:hAnsi="Amiri"/>
          <w:color w:val="111111"/>
          <w:sz w:val="28"/>
          <w:szCs w:val="28"/>
          <w:rtl w:val="true"/>
          <w:lang w:bidi="ar-SA"/>
        </w:rPr>
        <w:t>.</w:t>
      </w:r>
      <w:r>
        <w:rPr>
          <w:rStyle w:val="FootnoteAnchor"/>
          <w:rtl w:val="true"/>
        </w:rPr>
        <w:footnoteReference w:id="16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Style w:val="FootnoteAnchor"/>
          <w:rtl w:val="true"/>
        </w:rPr>
        <w:footnoteReference w:id="1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الانسداد الأغلبي في أبواب الفروع، فهل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حينئذ العمل بالظن من حيث إنه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هذه الصغرى ، أم اللازم حينئذ</w:t>
      </w:r>
      <w:r>
        <w:rPr>
          <w:rFonts w:eastAsia="Amiri" w:cs="Amiri" w:ascii="Amiri" w:hAnsi="Amiri"/>
          <w:color w:val="111111"/>
          <w:sz w:val="28"/>
          <w:szCs w:val="28"/>
          <w:rtl w:val="true"/>
          <w:lang w:bidi="ar-SA"/>
        </w:rPr>
        <w:t>)</w:t>
      </w:r>
      <w:r>
        <w:rPr>
          <w:rStyle w:val="FootnoteAnchor"/>
          <w:rtl w:val="true"/>
        </w:rPr>
        <w:footnoteReference w:id="1635"/>
      </w:r>
      <w:r>
        <w:rPr>
          <w:rFonts w:ascii="Amiri" w:hAnsi="Amiri" w:eastAsia="Amiri" w:cs="Amiri"/>
          <w:color w:val="111111"/>
          <w:sz w:val="28"/>
          <w:sz w:val="28"/>
          <w:szCs w:val="28"/>
          <w:rtl w:val="true"/>
          <w:lang w:bidi="ar-SA"/>
        </w:rPr>
        <w:t xml:space="preserve">تحصيل العلم، أو العمل بالاحتياط، أو </w:t>
      </w:r>
      <w:r>
        <w:rPr>
          <w:rStyle w:val="FootnoteAnchor"/>
          <w:rtl w:val="true"/>
        </w:rPr>
        <w:footnoteReference w:id="1636"/>
      </w:r>
      <w:r>
        <w:rPr>
          <w:rFonts w:ascii="Amiri" w:hAnsi="Amiri" w:eastAsia="Amiri" w:cs="Amiri"/>
          <w:color w:val="111111"/>
          <w:sz w:val="28"/>
          <w:sz w:val="28"/>
          <w:szCs w:val="28"/>
          <w:rtl w:val="true"/>
          <w:lang w:bidi="ar-SA"/>
        </w:rPr>
        <w:t xml:space="preserve">البراءة، أو التخيير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لظن والاحتياط، أو بين</w:t>
      </w:r>
      <w:r>
        <w:rPr>
          <w:rFonts w:eastAsia="Amiri" w:cs="Amiri" w:ascii="Amiri" w:hAnsi="Amiri"/>
          <w:color w:val="111111"/>
          <w:sz w:val="28"/>
          <w:szCs w:val="28"/>
          <w:rtl w:val="true"/>
          <w:lang w:bidi="ar-SA"/>
        </w:rPr>
        <w:t>)</w:t>
      </w:r>
      <w:r>
        <w:rPr>
          <w:rStyle w:val="FootnoteAnchor"/>
          <w:rtl w:val="true"/>
        </w:rPr>
        <w:footnoteReference w:id="1637"/>
      </w:r>
      <w:r>
        <w:rPr>
          <w:rFonts w:ascii="Amiri" w:hAnsi="Amiri" w:eastAsia="Amiri" w:cs="Amiri"/>
          <w:color w:val="111111"/>
          <w:sz w:val="28"/>
          <w:sz w:val="28"/>
          <w:szCs w:val="28"/>
          <w:rtl w:val="true"/>
          <w:lang w:bidi="ar-SA"/>
        </w:rPr>
        <w:t>الظن ،والبراءة، أو بين البراءة والاحتياط، أو التبعيض مكان التخييرات المذكورة، أو الرجوع إلى الأصول العملية كالاستصحاب، وأصل</w:t>
      </w:r>
      <w:r>
        <w:rPr>
          <w:rStyle w:val="FootnoteAnchor"/>
          <w:rtl w:val="true"/>
        </w:rPr>
        <w:footnoteReference w:id="1638"/>
      </w:r>
      <w:r>
        <w:rPr>
          <w:rFonts w:ascii="Amiri" w:hAnsi="Amiri" w:eastAsia="Amiri" w:cs="Amiri"/>
          <w:color w:val="111111"/>
          <w:sz w:val="28"/>
          <w:sz w:val="28"/>
          <w:szCs w:val="28"/>
          <w:rtl w:val="true"/>
          <w:lang w:bidi="ar-SA"/>
        </w:rPr>
        <w:t>الاشتغال، وأصل البراءة والاحتياط، وأصل الإباحة، كلّ في مقامه، أو غير ذلك من الاحتمالات؟،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لزوم تحصيل العلم، فيدفعه التكليف</w:t>
      </w:r>
      <w:r>
        <w:rPr>
          <w:rStyle w:val="FootnoteAnchor"/>
          <w:rtl w:val="true"/>
        </w:rPr>
        <w:footnoteReference w:id="1639"/>
      </w:r>
      <w:r>
        <w:rPr>
          <w:rFonts w:ascii="Amiri" w:hAnsi="Amiri" w:eastAsia="Amiri" w:cs="Amiri"/>
          <w:color w:val="111111"/>
          <w:sz w:val="28"/>
          <w:sz w:val="28"/>
          <w:szCs w:val="28"/>
          <w:rtl w:val="true"/>
          <w:lang w:bidi="ar-SA"/>
        </w:rPr>
        <w:t>بما لا يطاق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المكلفين سدّوا باب العلم على انفسهم، وصاروا سبباً لغيبة </w:t>
      </w:r>
    </w:p>
    <w:p>
      <w:pPr>
        <w:pStyle w:val="BookText"/>
        <w:rPr/>
      </w:pPr>
      <w:r>
        <w:rPr>
          <w:rFonts w:ascii="IRNazanin" w:hAnsi="IRNazanin" w:eastAsia="IRNazanin"/>
          <w:color w:val="111111"/>
          <w:sz w:val="28"/>
          <w:sz w:val="28"/>
          <w:szCs w:val="28"/>
          <w:rtl w:val="true"/>
          <w:lang w:bidi="fa-IR"/>
        </w:rPr>
        <w:t>الحجة علیه السلام</w:t>
      </w:r>
      <w:r>
        <w:rPr>
          <w:rStyle w:val="FootnoteAnchor"/>
          <w:rtl w:val="true"/>
        </w:rPr>
        <w:footnoteReference w:id="1640"/>
      </w:r>
      <w:r>
        <w:rPr>
          <w:rFonts w:ascii="Amiri" w:hAnsi="Amiri" w:eastAsia="Amiri" w:cs="Amiri"/>
          <w:color w:val="111111"/>
          <w:sz w:val="28"/>
          <w:sz w:val="28"/>
          <w:szCs w:val="28"/>
          <w:rtl w:val="true"/>
          <w:lang w:bidi="ar-SA"/>
        </w:rPr>
        <w:t xml:space="preserve">، فلا مانع من عقابهم على عدم إتيانهم </w:t>
      </w:r>
      <w:r>
        <w:rPr>
          <w:rStyle w:val="FootnoteAnchor"/>
          <w:rtl w:val="true"/>
        </w:rPr>
        <w:footnoteReference w:id="1641"/>
      </w:r>
      <w:r>
        <w:rPr>
          <w:rFonts w:ascii="Amiri" w:hAnsi="Amiri" w:eastAsia="Amiri" w:cs="Amiri"/>
          <w:color w:val="111111"/>
          <w:sz w:val="28"/>
          <w:sz w:val="28"/>
          <w:szCs w:val="28"/>
          <w:rtl w:val="true"/>
          <w:lang w:bidi="ar-SA"/>
        </w:rPr>
        <w:t>بالواجبات الواقعية؛ لأن الامتناع بالاختيار لا ينافي الاختيار خطاباً وعقاباً</w:t>
      </w:r>
      <w:r>
        <w:rPr>
          <w:rStyle w:val="FootnoteAnchor"/>
          <w:rtl w:val="true"/>
        </w:rPr>
        <w:footnoteReference w:id="1642"/>
      </w:r>
      <w:r>
        <w:rPr>
          <w:rFonts w:ascii="Amiri" w:hAnsi="Amiri" w:eastAsia="Amiri" w:cs="Amiri"/>
          <w:color w:val="111111"/>
          <w:sz w:val="28"/>
          <w:sz w:val="28"/>
          <w:szCs w:val="28"/>
          <w:rtl w:val="true"/>
          <w:lang w:bidi="ar-SA"/>
        </w:rPr>
        <w:t>، أو عقاباً</w:t>
      </w:r>
      <w:r>
        <w:rPr>
          <w:rFonts w:eastAsia="Amiri" w:cs="Amiri" w:ascii="Amiri" w:hAnsi="Amiri"/>
          <w:color w:val="111111"/>
          <w:sz w:val="28"/>
          <w:szCs w:val="28"/>
          <w:rtl w:val="true"/>
          <w:lang w:bidi="ar-SA"/>
        </w:rPr>
        <w:t>.</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Style w:val="FootnoteAnchor"/>
          <w:rtl w:val="true"/>
        </w:rPr>
        <w:footnoteReference w:id="1644"/>
      </w:r>
      <w:r>
        <w:rPr>
          <w:rFonts w:ascii="Amiri" w:hAnsi="Amiri" w:eastAsia="Amiri" w:cs="Amiri"/>
          <w:color w:val="111111"/>
          <w:sz w:val="28"/>
          <w:sz w:val="28"/>
          <w:szCs w:val="28"/>
          <w:rtl w:val="true"/>
          <w:lang w:bidi="ar-SA"/>
        </w:rPr>
        <w:t>تسليم ذلك في حق كل العباد، إنهم وإن صاروا سبباً للامتناع، لكنهم غير معتقدين بالسببية،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حصول التفويت فعلاً من المعدومين، مع عدم صدور الخطاب</w:t>
      </w:r>
      <w:r>
        <w:rPr>
          <w:rStyle w:val="FootnoteAnchor"/>
          <w:rtl w:val="true"/>
        </w:rPr>
        <w:footnoteReference w:id="1645"/>
      </w:r>
      <w:r>
        <w:rPr>
          <w:rFonts w:ascii="Amiri" w:hAnsi="Amiri" w:eastAsia="Amiri" w:cs="Amiri"/>
          <w:color w:val="111111"/>
          <w:sz w:val="28"/>
          <w:sz w:val="28"/>
          <w:szCs w:val="28"/>
          <w:rtl w:val="true"/>
          <w:lang w:bidi="ar-SA"/>
        </w:rPr>
        <w:t>بالنسبة اليهم في زمن تمكنهم فشرط الامتناع بالاختيار منتف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الاقتصار على المعلومات والأخذ بالبراءة فيما عداه، فمستلزم للخروج عن الدين، وهدم الشريعة؛ لمكان العلم الإجمالي كثيراً في كثير ، ومناف لأدلة الاشتراك، بل مخالف للإجماع </w:t>
      </w:r>
      <w:r>
        <w:rPr>
          <w:rStyle w:val="FootnoteAnchor"/>
          <w:rtl w:val="true"/>
        </w:rPr>
        <w:footnoteReference w:id="1646"/>
      </w:r>
      <w:r>
        <w:rPr>
          <w:rFonts w:ascii="IRNazanin" w:hAnsi="IRNazanin" w:eastAsia="IRNazanin"/>
          <w:color w:val="111111"/>
          <w:sz w:val="28"/>
          <w:sz w:val="28"/>
          <w:szCs w:val="28"/>
          <w:rtl w:val="true"/>
          <w:lang w:bidi="fa-IR"/>
        </w:rPr>
        <w:t>، بعد فرض هذه الصغرى</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بعض المحققين ذلك في هذا المقام</w:t>
      </w:r>
      <w:r>
        <w:rPr>
          <w:rStyle w:val="FootnoteAnchor"/>
          <w:rtl w:val="true"/>
        </w:rPr>
        <w:footnoteReference w:id="1647"/>
      </w:r>
      <w:r>
        <w:rPr>
          <w:rFonts w:ascii="Amiri" w:hAnsi="Amiri" w:eastAsia="Amiri" w:cs="Amiri"/>
          <w:color w:val="111111"/>
          <w:sz w:val="28"/>
          <w:sz w:val="28"/>
          <w:szCs w:val="28"/>
          <w:rtl w:val="true"/>
          <w:lang w:bidi="ar-SA"/>
        </w:rPr>
        <w:t xml:space="preserve">إنما هو للمناقشة لا الاعتقاد، مع أن مخالفته لا تضر بالإجماع، مضافاً إلى أن </w:t>
      </w:r>
      <w:r>
        <w:rPr>
          <w:rStyle w:val="FootnoteAnchor"/>
          <w:rtl w:val="true"/>
        </w:rPr>
        <w:footnoteReference w:id="1648"/>
      </w:r>
      <w:r>
        <w:rPr>
          <w:rFonts w:ascii="Amiri" w:hAnsi="Amiri" w:eastAsia="Amiri" w:cs="Amiri"/>
          <w:color w:val="111111"/>
          <w:sz w:val="28"/>
          <w:sz w:val="28"/>
          <w:szCs w:val="28"/>
          <w:rtl w:val="true"/>
          <w:lang w:bidi="ar-SA"/>
        </w:rPr>
        <w:t>مقتضى البراءة التوقف عن الإفتاء في المعاملات والمرافعات فيما لا يمكن فيه الاحتياط، فيلزم اختلال النظم، ويتم الأمر فيما عداها بالإجماع المركب، ولا يمكن قلبه؛ لقوة ضميمته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سلّمنا ان لا دليل على بطلان البراءة، لكن لا دليل عليها أيضاً، فسلّم أصل الاشتغال عن المعارض</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يجز مخالفة المعلوم بالإجمال والحكم بالبراءة، فلم حكم بعضهم بجواز ارتكاب الجميع في الشبهة </w:t>
      </w:r>
      <w:r>
        <w:rPr>
          <w:rStyle w:val="FootnoteAnchor"/>
          <w:rtl w:val="true"/>
        </w:rPr>
        <w:footnoteReference w:id="1649"/>
      </w:r>
      <w:r>
        <w:rPr>
          <w:rFonts w:ascii="Amiri" w:hAnsi="Amiri" w:eastAsia="Amiri" w:cs="Amiri"/>
          <w:color w:val="111111"/>
          <w:sz w:val="28"/>
          <w:sz w:val="28"/>
          <w:szCs w:val="28"/>
          <w:rtl w:val="true"/>
          <w:lang w:bidi="ar-SA"/>
        </w:rPr>
        <w:t>المحصورة</w:t>
      </w:r>
      <w:r>
        <w:rPr>
          <w:rStyle w:val="FootnoteAnchor"/>
          <w:rtl w:val="true"/>
        </w:rPr>
        <w:footnoteReference w:id="1650"/>
      </w:r>
      <w:r>
        <w:rPr>
          <w:rFonts w:ascii="Amiri" w:hAnsi="Amiri" w:eastAsia="Amiri" w:cs="Amiri"/>
          <w:color w:val="111111"/>
          <w:sz w:val="28"/>
          <w:sz w:val="28"/>
          <w:szCs w:val="28"/>
          <w:rtl w:val="true"/>
          <w:lang w:bidi="ar-SA"/>
        </w:rPr>
        <w:t>، وحكم العلّامة بجواز طرح الأمرين في ما اجتمعت الأمة فيه على قولين</w:t>
      </w:r>
      <w:r>
        <w:rPr>
          <w:rStyle w:val="FootnoteAnchor"/>
          <w:rtl w:val="true"/>
        </w:rPr>
        <w:footnoteReference w:id="1651"/>
      </w:r>
      <w:r>
        <w:rPr>
          <w:rFonts w:ascii="Amiri" w:hAnsi="Amiri" w:eastAsia="Amiri" w:cs="Amiri"/>
          <w:color w:val="111111"/>
          <w:sz w:val="28"/>
          <w:sz w:val="28"/>
          <w:szCs w:val="28"/>
          <w:rtl w:val="true"/>
          <w:lang w:bidi="ar-SA"/>
        </w:rPr>
        <w:t>، بل العادة قاضية</w:t>
      </w:r>
      <w:r>
        <w:rPr>
          <w:rStyle w:val="FootnoteAnchor"/>
          <w:rtl w:val="true"/>
        </w:rPr>
        <w:footnoteReference w:id="1652"/>
      </w:r>
      <w:r>
        <w:rPr>
          <w:rFonts w:ascii="IRNazanin" w:hAnsi="IRNazanin" w:eastAsia="IRNazanin"/>
          <w:color w:val="111111"/>
          <w:sz w:val="28"/>
          <w:sz w:val="28"/>
          <w:szCs w:val="28"/>
          <w:rtl w:val="true"/>
          <w:lang w:bidi="fa-IR"/>
        </w:rPr>
        <w:t>بخطأ المجتهد</w:t>
      </w:r>
      <w:r>
        <w:rPr>
          <w:rStyle w:val="FootnoteAnchor"/>
          <w:rtl w:val="true"/>
        </w:rPr>
        <w:footnoteReference w:id="1653"/>
      </w:r>
      <w:r>
        <w:rPr>
          <w:rFonts w:ascii="Amiri" w:hAnsi="Amiri" w:eastAsia="Amiri" w:cs="Amiri"/>
          <w:color w:val="111111"/>
          <w:sz w:val="28"/>
          <w:sz w:val="28"/>
          <w:szCs w:val="28"/>
          <w:rtl w:val="true"/>
          <w:lang w:bidi="ar-SA"/>
        </w:rPr>
        <w:t>في بعض ظنونه في مجموع أبواب</w:t>
      </w:r>
      <w:r>
        <w:rPr>
          <w:rStyle w:val="FootnoteAnchor"/>
          <w:rtl w:val="true"/>
        </w:rPr>
        <w:footnoteReference w:id="1654"/>
      </w:r>
      <w:r>
        <w:rPr>
          <w:rFonts w:ascii="IRNazanin" w:hAnsi="IRNazanin" w:eastAsia="IRNazanin"/>
          <w:color w:val="111111"/>
          <w:sz w:val="28"/>
          <w:sz w:val="28"/>
          <w:szCs w:val="28"/>
          <w:rtl w:val="true"/>
          <w:lang w:bidi="fa-IR"/>
        </w:rPr>
        <w:t>الفقه</w:t>
      </w:r>
      <w:r>
        <w:rPr>
          <w:rStyle w:val="FootnoteAnchor"/>
          <w:rtl w:val="true"/>
        </w:rPr>
        <w:footnoteReference w:id="1655"/>
      </w:r>
      <w:r>
        <w:rPr>
          <w:rFonts w:ascii="Amiri" w:hAnsi="Amiri" w:eastAsia="Amiri" w:cs="Amiri"/>
          <w:color w:val="111111"/>
          <w:sz w:val="28"/>
          <w:sz w:val="28"/>
          <w:szCs w:val="28"/>
          <w:rtl w:val="true"/>
          <w:lang w:bidi="ar-SA"/>
        </w:rPr>
        <w:t xml:space="preserve">، ومع ذلك يعمل بمظنوناته في كل أبواب الفقه، سواء العامل بالظن الخاص أو </w:t>
      </w:r>
      <w:r>
        <w:rPr>
          <w:rStyle w:val="FootnoteAnchor"/>
          <w:rtl w:val="true"/>
        </w:rPr>
        <w:footnoteReference w:id="1656"/>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المقيس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وجوب الاحتياط الكلي فيما عدا المعلومات، فمستلزم للعسر والحرج الشديد، وموجب للتوقف عن الإفتاء في المعاملات</w:t>
      </w:r>
      <w:r>
        <w:rPr>
          <w:rStyle w:val="FootnoteAnchor"/>
          <w:rtl w:val="true"/>
        </w:rPr>
        <w:footnoteReference w:id="1657"/>
      </w:r>
      <w:r>
        <w:rPr>
          <w:rFonts w:ascii="Amiri" w:hAnsi="Amiri" w:eastAsia="Amiri" w:cs="Amiri"/>
          <w:color w:val="111111"/>
          <w:sz w:val="28"/>
          <w:sz w:val="28"/>
          <w:szCs w:val="28"/>
          <w:rtl w:val="true"/>
          <w:lang w:bidi="ar-SA"/>
        </w:rPr>
        <w:t xml:space="preserve">، المستلزم لاختلال النظم، مع أنه في دوران الأمر </w:t>
      </w:r>
      <w:r>
        <w:rPr>
          <w:rStyle w:val="FootnoteAnchor"/>
          <w:rtl w:val="true"/>
        </w:rPr>
        <w:footnoteReference w:id="1658"/>
      </w:r>
      <w:r>
        <w:rPr>
          <w:rFonts w:ascii="Amiri" w:hAnsi="Amiri" w:eastAsia="Amiri" w:cs="Amiri"/>
          <w:color w:val="111111"/>
          <w:sz w:val="28"/>
          <w:sz w:val="28"/>
          <w:szCs w:val="28"/>
          <w:rtl w:val="true"/>
          <w:lang w:bidi="ar-SA"/>
        </w:rPr>
        <w:t>بين الوجوب والحرمة كيف يمكن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حكمت بالتخيير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يحصل من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الأخذ باحد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من العمل بالظن أيضاً ، فكيف بعد</w:t>
      </w:r>
      <w:r>
        <w:rPr>
          <w:rStyle w:val="FootnoteAnchor"/>
          <w:rtl w:val="true"/>
        </w:rPr>
        <w:footnoteReference w:id="1659"/>
      </w:r>
      <w:r>
        <w:rPr>
          <w:rFonts w:ascii="Amiri" w:hAnsi="Amiri" w:eastAsia="Amiri" w:cs="Amiri"/>
          <w:color w:val="111111"/>
          <w:sz w:val="28"/>
          <w:sz w:val="28"/>
          <w:szCs w:val="28"/>
          <w:rtl w:val="true"/>
          <w:lang w:bidi="ar-SA"/>
        </w:rPr>
        <w:t xml:space="preserve">الظن بأحد الطرفين يحكم بالتخيير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نفي العسر إنما يعمل بها مالم يرد دليل على العسر، وهنا قد ورد؛ للآيات الناهية عن العمل بالظن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Style w:val="FootnoteAnchor"/>
          <w:rtl w:val="true"/>
        </w:rPr>
        <w:footnoteReference w:id="1660"/>
      </w:r>
      <w:r>
        <w:rPr>
          <w:rFonts w:ascii="Amiri" w:hAnsi="Amiri" w:eastAsia="Amiri" w:cs="Amiri"/>
          <w:color w:val="111111"/>
          <w:sz w:val="28"/>
          <w:sz w:val="28"/>
          <w:szCs w:val="28"/>
          <w:rtl w:val="true"/>
          <w:lang w:bidi="ar-SA"/>
        </w:rPr>
        <w:t xml:space="preserve">انصرافها إلى صورة العسر ممنوع ، مع أن آيات نفي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من آيات النهي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تعارض الآيتين وتساقطها، ويبقى إجماعهم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قاعدة نفي العسر</w:t>
      </w:r>
      <w:r>
        <w:rPr>
          <w:rFonts w:eastAsia="Amiri" w:cs="Amiri" w:ascii="Amiri" w:hAnsi="Amiri"/>
          <w:color w:val="111111"/>
          <w:sz w:val="28"/>
          <w:szCs w:val="28"/>
          <w:rtl w:val="true"/>
          <w:lang w:bidi="ar-SA"/>
        </w:rPr>
        <w:t>)</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ما لم يرد دليل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 عن المعارض ، الا أن يعارض بأصالة حرمة العمل بالظن،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بما إذا انجرّ ظن المجتهد في جميع أبواب الفقه إلى طبق الاحتياط </w:t>
      </w:r>
      <w:r>
        <w:rPr>
          <w:rStyle w:val="FootnoteAnchor"/>
          <w:rtl w:val="true"/>
        </w:rPr>
        <w:footnoteReference w:id="1662"/>
      </w:r>
      <w:r>
        <w:rPr>
          <w:rFonts w:ascii="Amiri" w:hAnsi="Amiri" w:eastAsia="Amiri" w:cs="Amiri"/>
          <w:color w:val="111111"/>
          <w:sz w:val="28"/>
          <w:sz w:val="28"/>
          <w:szCs w:val="28"/>
          <w:rtl w:val="true"/>
          <w:lang w:bidi="ar-SA"/>
        </w:rPr>
        <w:t>، فالعسر والاختلال لازم على العامل بالظن أيضاً، واه</w:t>
      </w:r>
      <w:r>
        <w:rPr>
          <w:rStyle w:val="FootnoteAnchor"/>
          <w:rtl w:val="true"/>
        </w:rPr>
        <w:footnoteReference w:id="1663"/>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التبعيض بين الاحتياط والبراءة فهو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 بالاحتياط في مظنون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وبالبراءة في موهوم التكليف</w:t>
      </w:r>
      <w:r>
        <w:rPr>
          <w:rFonts w:eastAsia="Amiri" w:cs="Amiri" w:ascii="Amiri" w:hAnsi="Amiri"/>
          <w:color w:val="111111"/>
          <w:sz w:val="28"/>
          <w:szCs w:val="28"/>
          <w:rtl w:val="true"/>
          <w:lang w:bidi="ar-SA"/>
        </w:rPr>
        <w:t>)</w:t>
      </w:r>
      <w:r>
        <w:rPr>
          <w:rStyle w:val="FootnoteAnchor"/>
          <w:rtl w:val="true"/>
        </w:rPr>
        <w:footnoteReference w:id="1664"/>
      </w:r>
      <w:r>
        <w:rPr>
          <w:rFonts w:ascii="Amiri" w:hAnsi="Amiri" w:eastAsia="Amiri" w:cs="Amiri"/>
          <w:color w:val="111111"/>
          <w:sz w:val="28"/>
          <w:sz w:val="28"/>
          <w:szCs w:val="28"/>
          <w:rtl w:val="true"/>
          <w:lang w:bidi="ar-SA"/>
        </w:rPr>
        <w:t>، وليس هذا الا عملاً بالظن، وإن عمل بالاحتياط</w:t>
      </w:r>
      <w:r>
        <w:rPr>
          <w:rFonts w:eastAsia="Amiri" w:cs="Amiri" w:ascii="Amiri" w:hAnsi="Amiri"/>
          <w:color w:val="111111"/>
          <w:sz w:val="28"/>
          <w:szCs w:val="28"/>
          <w:rtl w:val="true"/>
          <w:lang w:bidi="ar-SA"/>
        </w:rPr>
        <w:t>)</w:t>
      </w:r>
      <w:r>
        <w:rPr>
          <w:rStyle w:val="FootnoteAnchor"/>
          <w:rtl w:val="true"/>
        </w:rPr>
        <w:footnoteReference w:id="1665"/>
      </w:r>
      <w:r>
        <w:rPr>
          <w:rFonts w:ascii="Amiri" w:hAnsi="Amiri" w:eastAsia="Amiri" w:cs="Amiri"/>
          <w:color w:val="111111"/>
          <w:sz w:val="28"/>
          <w:sz w:val="28"/>
          <w:szCs w:val="28"/>
          <w:rtl w:val="true"/>
          <w:lang w:bidi="ar-SA"/>
        </w:rPr>
        <w:t xml:space="preserve">في موهوم التكليف، فهو مستلزم للاحتياط في مظنون التكليف بطريق </w:t>
      </w:r>
    </w:p>
    <w:p>
      <w:pPr>
        <w:pStyle w:val="BookText"/>
        <w:rPr/>
      </w:pPr>
      <w:r>
        <w:rPr>
          <w:rFonts w:ascii="Amiri" w:hAnsi="Amiri" w:eastAsia="Amiri" w:cs="Amiri"/>
          <w:color w:val="111111"/>
          <w:sz w:val="28"/>
          <w:sz w:val="28"/>
          <w:szCs w:val="28"/>
          <w:rtl w:val="true"/>
          <w:lang w:bidi="ar-SA"/>
        </w:rPr>
        <w:t>أولى، وإن عمل بالبراءة في مظنون التكليف فهو مستلزم للبراءة في موهوم التكليف بطريق أولى</w:t>
      </w:r>
      <w:r>
        <w:rPr>
          <w:rStyle w:val="FootnoteAnchor"/>
          <w:rtl w:val="true"/>
        </w:rPr>
        <w:footnoteReference w:id="1666"/>
      </w:r>
      <w:r>
        <w:rPr>
          <w:rFonts w:ascii="Amiri" w:hAnsi="Amiri" w:eastAsia="Amiri" w:cs="Amiri"/>
          <w:color w:val="111111"/>
          <w:sz w:val="28"/>
          <w:sz w:val="28"/>
          <w:szCs w:val="28"/>
          <w:rtl w:val="true"/>
          <w:lang w:bidi="ar-SA"/>
        </w:rPr>
        <w:t>، فتعين</w:t>
      </w:r>
      <w:r>
        <w:rPr>
          <w:rStyle w:val="FootnoteAnchor"/>
          <w:rtl w:val="true"/>
        </w:rPr>
        <w:footnoteReference w:id="1667"/>
      </w:r>
      <w:r>
        <w:rPr>
          <w:rFonts w:ascii="Amiri" w:hAnsi="Amiri" w:eastAsia="Amiri" w:cs="Amiri"/>
          <w:color w:val="111111"/>
          <w:sz w:val="28"/>
          <w:sz w:val="28"/>
          <w:szCs w:val="28"/>
          <w:rtl w:val="true"/>
          <w:lang w:bidi="ar-SA"/>
        </w:rPr>
        <w:t>التبعيض بنحو ما ذكرناه، ففي العمل بالظن جمع بين البراءة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بالاحتياط إلى حد لا يلزم العسر، واعمل</w:t>
      </w:r>
      <w:r>
        <w:rPr>
          <w:rStyle w:val="FootnoteAnchor"/>
          <w:rtl w:val="true"/>
        </w:rPr>
        <w:footnoteReference w:id="1668"/>
      </w:r>
      <w:r>
        <w:rPr>
          <w:rFonts w:ascii="Amiri" w:hAnsi="Amiri" w:eastAsia="Amiri" w:cs="Amiri"/>
          <w:color w:val="111111"/>
          <w:sz w:val="28"/>
          <w:sz w:val="28"/>
          <w:szCs w:val="28"/>
          <w:rtl w:val="true"/>
          <w:lang w:bidi="ar-SA"/>
        </w:rPr>
        <w:t>بالظن فيما عداه، ولازمه التبعيض في موارد الفقه بين الاحتياط والظن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 لا يمكنه هذا التحديد في جميع أبواب الفقه، بحيث لا يلزم عسر عليه ولا</w:t>
      </w:r>
      <w:r>
        <w:rPr>
          <w:rStyle w:val="FootnoteAnchor"/>
          <w:rtl w:val="true"/>
        </w:rPr>
        <w:footnoteReference w:id="1669"/>
      </w:r>
      <w:r>
        <w:rPr>
          <w:rFonts w:ascii="Amiri" w:hAnsi="Amiri" w:eastAsia="Amiri" w:cs="Amiri"/>
          <w:color w:val="111111"/>
          <w:sz w:val="28"/>
          <w:sz w:val="28"/>
          <w:szCs w:val="28"/>
          <w:rtl w:val="true"/>
          <w:lang w:bidi="ar-SA"/>
        </w:rPr>
        <w:t xml:space="preserve">على مقلديه؛ لاختلاف دواعي الناس وأحوالهم، فهذا التحديد لا يمكن من أصله عادة أولاً؛ لاختلاف الدواعي، ولو أمكن فلا يمكن اطلاع المجتهد عليه ثانياً، ولو أمكنه فهو عسر عليه ثالثاً، منفي بأدلة العسر، مع أنه يقبح من الحكيم أن لا يجعل سبيلاً جلياً لعباده، ويأمرهم بالتبعيض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لعدم الانتظام، مضافاً إلى الإجماع على نفي هذا التبعيض</w:t>
      </w:r>
      <w:r>
        <w:rPr>
          <w:rFonts w:eastAsia="Amiri" w:cs="Amiri" w:ascii="Amiri" w:hAnsi="Amiri"/>
          <w:color w:val="111111"/>
          <w:sz w:val="28"/>
          <w:szCs w:val="28"/>
          <w:rtl w:val="true"/>
          <w:lang w:bidi="ar-SA"/>
        </w:rPr>
        <w:t>)</w:t>
      </w:r>
      <w:r>
        <w:rPr>
          <w:rStyle w:val="FootnoteAnchor"/>
          <w:rtl w:val="true"/>
        </w:rPr>
        <w:footnoteReference w:id="1670"/>
      </w:r>
      <w:r>
        <w:rPr>
          <w:rFonts w:ascii="Amiri" w:hAnsi="Amiri" w:eastAsia="Amiri" w:cs="Amiri"/>
          <w:color w:val="111111"/>
          <w:sz w:val="28"/>
          <w:sz w:val="28"/>
          <w:szCs w:val="28"/>
          <w:rtl w:val="true"/>
          <w:lang w:bidi="ar-SA"/>
        </w:rPr>
        <w:t>، بل على نفي التبعيض بأقسامه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تقدر على إبطال سائر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أردت التفصيل فراجع رسالتنا المفردة </w:t>
      </w:r>
      <w:r>
        <w:rPr>
          <w:rStyle w:val="FootnoteAnchor"/>
          <w:rtl w:val="true"/>
        </w:rPr>
        <w:footnoteReference w:id="1671"/>
      </w:r>
      <w:r>
        <w:rPr>
          <w:rFonts w:ascii="Amiri" w:hAnsi="Amiri" w:eastAsia="Amiri" w:cs="Amiri"/>
          <w:color w:val="111111"/>
          <w:sz w:val="28"/>
          <w:sz w:val="28"/>
          <w:szCs w:val="28"/>
          <w:rtl w:val="true"/>
          <w:lang w:bidi="ar-SA"/>
        </w:rPr>
        <w:t xml:space="preserve">، فانا قد بلغنا فيها ابعد </w:t>
      </w:r>
      <w:r>
        <w:rPr>
          <w:rStyle w:val="FootnoteAnchor"/>
          <w:rtl w:val="true"/>
        </w:rPr>
        <w:footnoteReference w:id="1672"/>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Style w:val="FootnoteAnchor"/>
          <w:rtl w:val="true"/>
        </w:rPr>
        <w:footnoteReference w:id="1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حجية الظن من حيث إنه ظن في جميع أبواب الفقه في الجملة، فهل يعمّ الحكم جميع أسباب الظن أو يختص ببعض دون بعض؟ </w:t>
      </w:r>
    </w:p>
    <w:p>
      <w:pPr>
        <w:pStyle w:val="BookText"/>
        <w:rPr/>
      </w:pPr>
      <w:r>
        <w:rPr>
          <w:rFonts w:ascii="Amiri" w:hAnsi="Amiri" w:eastAsia="Amiri" w:cs="Amiri"/>
          <w:color w:val="111111"/>
          <w:sz w:val="28"/>
          <w:sz w:val="28"/>
          <w:szCs w:val="28"/>
          <w:rtl w:val="true"/>
          <w:lang w:bidi="ar-SA"/>
        </w:rPr>
        <w:t>فاعلم أن الظنون المشكوكة بالمعنى الأعم التي هي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هو مظنون الاعتبار ؛ لذهاب الأكثر إلى اعتباره، كالصحاح والضعاف</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المنجبرة بالشهرة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r>
        <w:rPr>
          <w:rStyle w:val="FootnoteAnchor"/>
          <w:rtl w:val="true"/>
        </w:rPr>
        <w:footnoteReference w:id="1675"/>
      </w:r>
      <w:r>
        <w:rPr>
          <w:rFonts w:ascii="Amiri" w:hAnsi="Amiri" w:eastAsia="Amiri" w:cs="Amiri"/>
          <w:color w:val="111111"/>
          <w:sz w:val="28"/>
          <w:sz w:val="28"/>
          <w:szCs w:val="28"/>
          <w:rtl w:val="true"/>
          <w:lang w:bidi="ar-SA"/>
        </w:rPr>
        <w:t>مشكوك الاعتبار ؛ لعدم ذهاب الأكثر إلى أحد طرفيه بحيث يوجب ظناً على أحد طرفيه، كالحسان والموثقات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موهوم الاعتبار</w:t>
      </w:r>
      <w:r>
        <w:rPr>
          <w:rStyle w:val="FootnoteAnchor"/>
          <w:rtl w:val="true"/>
        </w:rPr>
        <w:footnoteReference w:id="1676"/>
      </w:r>
      <w:r>
        <w:rPr>
          <w:rFonts w:ascii="Amiri" w:hAnsi="Amiri" w:eastAsia="Amiri" w:cs="Amiri"/>
          <w:color w:val="111111"/>
          <w:sz w:val="28"/>
          <w:sz w:val="28"/>
          <w:szCs w:val="28"/>
          <w:rtl w:val="true"/>
          <w:lang w:bidi="ar-SA"/>
        </w:rPr>
        <w:t>؛ لذهاب الأكثر إلى عدم اعتباره، كالشهرة والاستقراء، وعدم الخلاف، والإجماع الظني، والأولوية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الأصل والاقتصار فيما خالفه على القدر المتيقن، الاقتصار في مقام العمل على قسم من القسم الأول، وهو الصحيح الأعلى، كما عليه صاحب المعالم</w:t>
      </w:r>
      <w:r>
        <w:rPr>
          <w:rStyle w:val="FootnoteAnchor"/>
          <w:rtl w:val="true"/>
        </w:rPr>
        <w:footnoteReference w:id="1677"/>
      </w:r>
      <w:r>
        <w:rPr>
          <w:rFonts w:ascii="Amiri" w:hAnsi="Amiri" w:eastAsia="Amiri" w:cs="Amiri"/>
          <w:color w:val="111111"/>
          <w:sz w:val="28"/>
          <w:sz w:val="28"/>
          <w:szCs w:val="28"/>
          <w:rtl w:val="true"/>
          <w:lang w:bidi="ar-SA"/>
        </w:rPr>
        <w:t>والمدارك</w:t>
      </w:r>
      <w:r>
        <w:rPr>
          <w:rStyle w:val="FootnoteAnchor"/>
          <w:rtl w:val="true"/>
        </w:rPr>
        <w:footnoteReference w:id="1678"/>
      </w:r>
      <w:r>
        <w:rPr>
          <w:rFonts w:ascii="Amiri" w:hAnsi="Amiri" w:eastAsia="Amiri" w:cs="Amiri"/>
          <w:color w:val="111111"/>
          <w:sz w:val="28"/>
          <w:sz w:val="28"/>
          <w:szCs w:val="28"/>
          <w:rtl w:val="true"/>
          <w:lang w:bidi="ar-SA"/>
        </w:rPr>
        <w:t>، فلا يتعدّيان حتى إلى الصحيح المشهوري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w:t>
      </w:r>
      <w:r>
        <w:rPr>
          <w:rStyle w:val="FootnoteAnchor"/>
          <w:rtl w:val="true"/>
        </w:rPr>
        <w:footnoteReference w:id="1679"/>
      </w:r>
      <w:r>
        <w:rPr>
          <w:rFonts w:ascii="Amiri" w:hAnsi="Amiri" w:eastAsia="Amiri" w:cs="Amiri"/>
          <w:color w:val="111111"/>
          <w:sz w:val="28"/>
          <w:sz w:val="28"/>
          <w:szCs w:val="28"/>
          <w:rtl w:val="true"/>
          <w:lang w:bidi="ar-SA"/>
        </w:rPr>
        <w:t>عمل الفقيه بالصحيح الأعلى</w:t>
      </w:r>
      <w:r>
        <w:rPr>
          <w:rStyle w:val="FootnoteAnchor"/>
          <w:rtl w:val="true"/>
        </w:rPr>
        <w:footnoteReference w:id="1680"/>
      </w:r>
      <w:r>
        <w:rPr>
          <w:rFonts w:ascii="Amiri" w:hAnsi="Amiri" w:eastAsia="Amiri" w:cs="Amiri"/>
          <w:color w:val="111111"/>
          <w:sz w:val="28"/>
          <w:sz w:val="28"/>
          <w:szCs w:val="28"/>
          <w:rtl w:val="true"/>
          <w:lang w:bidi="ar-SA"/>
        </w:rPr>
        <w:t xml:space="preserve">، وإن كان الظن على خلافه؛ لمعارضة شهرة، أو صحيح مشهوري منجبر بالعمل، أو حسن، أو موثق، </w:t>
      </w:r>
    </w:p>
    <w:p>
      <w:pPr>
        <w:pStyle w:val="BookText"/>
        <w:rPr/>
      </w:pPr>
      <w:r>
        <w:rPr>
          <w:rFonts w:ascii="Amiri" w:hAnsi="Amiri" w:eastAsia="Amiri" w:cs="Amiri"/>
          <w:color w:val="111111"/>
          <w:sz w:val="28"/>
          <w:sz w:val="28"/>
          <w:szCs w:val="28"/>
          <w:rtl w:val="true"/>
          <w:lang w:bidi="ar-SA"/>
        </w:rPr>
        <w:t>أو نحوها من الظنون، كما هو ظاهر صاحب المعالم</w:t>
      </w:r>
      <w:r>
        <w:rPr>
          <w:rStyle w:val="FootnoteAnchor"/>
          <w:rtl w:val="true"/>
        </w:rPr>
        <w:footnoteReference w:id="1681"/>
      </w:r>
      <w:r>
        <w:rPr>
          <w:rFonts w:ascii="Amiri" w:hAnsi="Amiri" w:eastAsia="Amiri" w:cs="Amiri"/>
          <w:color w:val="111111"/>
          <w:sz w:val="28"/>
          <w:sz w:val="28"/>
          <w:szCs w:val="28"/>
          <w:rtl w:val="true"/>
          <w:lang w:bidi="ar-SA"/>
        </w:rPr>
        <w:t xml:space="preserve">، فلا مقتضى له؛ لوجود العلم الإجمالي بمطابقة شطر كثير من تلك الظنون الشخصية المعارضة مع تلك الصحاح الأعلائية في مجموع أبواب الفقه للواقع، فالعمل بتلك الصحاح بعد هذا </w:t>
      </w:r>
      <w:r>
        <w:rPr>
          <w:rStyle w:val="FootnoteAnchor"/>
          <w:rtl w:val="true"/>
        </w:rPr>
        <w:footnoteReference w:id="1682"/>
      </w:r>
      <w:r>
        <w:rPr>
          <w:rFonts w:ascii="Amiri" w:hAnsi="Amiri" w:eastAsia="Amiri" w:cs="Amiri"/>
          <w:color w:val="111111"/>
          <w:sz w:val="28"/>
          <w:sz w:val="28"/>
          <w:szCs w:val="28"/>
          <w:rtl w:val="true"/>
          <w:lang w:bidi="ar-SA"/>
        </w:rPr>
        <w:t>العلم الإجمالي لا دليل عليه، بل مخالف للإجماع، ولبناء العقلاء، بل للعقل</w:t>
      </w:r>
      <w:r>
        <w:rPr>
          <w:rStyle w:val="FootnoteAnchor"/>
          <w:rtl w:val="true"/>
        </w:rPr>
        <w:footnoteReference w:id="1683"/>
      </w:r>
      <w:r>
        <w:rPr>
          <w:rFonts w:ascii="Amiri" w:hAnsi="Amiri" w:eastAsia="Amiri" w:cs="Amiri"/>
          <w:color w:val="111111"/>
          <w:sz w:val="28"/>
          <w:sz w:val="28"/>
          <w:szCs w:val="28"/>
          <w:rtl w:val="true"/>
          <w:lang w:bidi="ar-SA"/>
        </w:rPr>
        <w:t>لأنه ترجيح للمرجوح، أو للمساوي؛ إذ ليس العمل بها مع هذا الفرض قدراً متيقناً في مقام العمل</w:t>
      </w:r>
      <w:r>
        <w:rPr>
          <w:rStyle w:val="FootnoteAnchor"/>
          <w:rtl w:val="true"/>
        </w:rPr>
        <w:footnoteReference w:id="168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 لم يكن</w:t>
      </w:r>
      <w:r>
        <w:rPr>
          <w:rFonts w:eastAsia="Amiri" w:cs="Amiri" w:ascii="Amiri" w:hAnsi="Amiri"/>
          <w:color w:val="111111"/>
          <w:sz w:val="28"/>
          <w:szCs w:val="28"/>
          <w:rtl w:val="true"/>
          <w:lang w:bidi="ar-SA"/>
        </w:rPr>
        <w:t xml:space="preserve">) </w:t>
      </w:r>
      <w:r>
        <w:rPr>
          <w:rStyle w:val="FootnoteAnchor"/>
          <w:rtl w:val="true"/>
        </w:rPr>
        <w:footnoteReference w:id="1685"/>
      </w:r>
      <w:r>
        <w:rPr>
          <w:rFonts w:ascii="Amiri" w:hAnsi="Amiri" w:eastAsia="Amiri" w:cs="Amiri"/>
          <w:color w:val="111111"/>
          <w:sz w:val="28"/>
          <w:sz w:val="28"/>
          <w:szCs w:val="28"/>
          <w:rtl w:val="true"/>
          <w:lang w:bidi="ar-SA"/>
        </w:rPr>
        <w:t>الظن على خلافه، كما هو ظاهر صاحب المدارك</w:t>
      </w:r>
      <w:r>
        <w:rPr>
          <w:rStyle w:val="FootnoteAnchor"/>
          <w:rtl w:val="true"/>
        </w:rPr>
        <w:footnoteReference w:id="1686"/>
      </w:r>
      <w:r>
        <w:rPr>
          <w:rFonts w:ascii="Amiri" w:hAnsi="Amiri" w:eastAsia="Amiri" w:cs="Amiri"/>
          <w:color w:val="111111"/>
          <w:sz w:val="28"/>
          <w:sz w:val="28"/>
          <w:szCs w:val="28"/>
          <w:rtl w:val="true"/>
          <w:lang w:bidi="ar-SA"/>
        </w:rPr>
        <w:t>، فهو مسلم ، لكن الصحاح الأعلائية بهذا الوصف في أبواب الفقه نادرة لا تكفي؛ إذ مع الاقتصار عليها يلزم العسر فيما عدا تلك الموارد إن احتاط، والخروج</w:t>
      </w:r>
      <w:r>
        <w:rPr>
          <w:rStyle w:val="FootnoteAnchor"/>
          <w:rtl w:val="true"/>
        </w:rPr>
        <w:footnoteReference w:id="1687"/>
      </w:r>
      <w:r>
        <w:rPr>
          <w:rFonts w:ascii="Amiri" w:hAnsi="Amiri" w:eastAsia="Amiri" w:cs="Amiri"/>
          <w:color w:val="111111"/>
          <w:sz w:val="28"/>
          <w:sz w:val="28"/>
          <w:szCs w:val="28"/>
          <w:rtl w:val="true"/>
          <w:lang w:bidi="ar-SA"/>
        </w:rPr>
        <w:t xml:space="preserve">عن الدين إن عمل بالبراءة، فعاد المحذور ، فلا بد من التعدي من تلك الصحاح المذكورة إلى غيرها من الظنون، فإن تعدّى إلى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 المعارضة</w:t>
      </w:r>
      <w:r>
        <w:rPr>
          <w:rFonts w:eastAsia="Amiri" w:cs="Amiri" w:ascii="Amiri" w:hAnsi="Amiri"/>
          <w:color w:val="111111"/>
          <w:sz w:val="28"/>
          <w:szCs w:val="28"/>
          <w:rtl w:val="true"/>
          <w:lang w:bidi="ar-SA"/>
        </w:rPr>
        <w:t>)</w:t>
      </w:r>
      <w:r>
        <w:rPr>
          <w:rStyle w:val="FootnoteAnchor"/>
          <w:rtl w:val="true"/>
        </w:rPr>
        <w:footnoteReference w:id="1688"/>
      </w:r>
      <w:r>
        <w:rPr>
          <w:rFonts w:ascii="Amiri" w:hAnsi="Amiri" w:eastAsia="Amiri" w:cs="Amiri"/>
          <w:color w:val="111111"/>
          <w:sz w:val="28"/>
          <w:sz w:val="28"/>
          <w:szCs w:val="28"/>
          <w:rtl w:val="true"/>
          <w:lang w:bidi="ar-SA"/>
        </w:rPr>
        <w:t>مع الصحاح الأعلائية والواجدة للعلم</w:t>
      </w:r>
      <w:r>
        <w:rPr>
          <w:rStyle w:val="FootnoteAnchor"/>
          <w:rtl w:val="true"/>
        </w:rPr>
        <w:footnoteReference w:id="1689"/>
      </w:r>
      <w:r>
        <w:rPr>
          <w:rFonts w:ascii="Amiri" w:hAnsi="Amiri" w:eastAsia="Amiri" w:cs="Amiri"/>
          <w:color w:val="111111"/>
          <w:sz w:val="28"/>
          <w:sz w:val="28"/>
          <w:szCs w:val="28"/>
          <w:rtl w:val="true"/>
          <w:lang w:bidi="ar-SA"/>
        </w:rPr>
        <w:t>الإجمالي لزمه التعدّي إلى ما ليس معارضاً معها</w:t>
      </w:r>
      <w:r>
        <w:rPr>
          <w:rStyle w:val="FootnoteAnchor"/>
          <w:rtl w:val="true"/>
        </w:rPr>
        <w:footnoteReference w:id="1690"/>
      </w:r>
      <w:r>
        <w:rPr>
          <w:rFonts w:ascii="Amiri" w:hAnsi="Amiri" w:eastAsia="Amiri" w:cs="Amiri"/>
          <w:color w:val="111111"/>
          <w:sz w:val="28"/>
          <w:sz w:val="28"/>
          <w:szCs w:val="28"/>
          <w:rtl w:val="true"/>
          <w:lang w:bidi="ar-SA"/>
        </w:rPr>
        <w:t xml:space="preserve">من تلك الظنون للأولوية، والإجماع المركب، وإن تعدى إلى الخالية عن معارضة </w:t>
      </w:r>
      <w:r>
        <w:rPr>
          <w:rStyle w:val="FootnoteAnchor"/>
          <w:rtl w:val="true"/>
        </w:rPr>
        <w:footnoteReference w:id="1691"/>
      </w:r>
      <w:r>
        <w:rPr>
          <w:rFonts w:ascii="Amiri" w:hAnsi="Amiri" w:eastAsia="Amiri" w:cs="Amiri"/>
          <w:color w:val="111111"/>
          <w:sz w:val="28"/>
          <w:sz w:val="28"/>
          <w:szCs w:val="28"/>
          <w:rtl w:val="true"/>
          <w:lang w:bidi="ar-SA"/>
        </w:rPr>
        <w:t xml:space="preserve">الصّحاح </w:t>
      </w:r>
    </w:p>
    <w:p>
      <w:pPr>
        <w:pStyle w:val="BookText"/>
        <w:rPr/>
      </w:pPr>
      <w:r>
        <w:rPr>
          <w:rFonts w:ascii="Amiri" w:hAnsi="Amiri" w:eastAsia="Amiri" w:cs="Amiri"/>
          <w:color w:val="111111"/>
          <w:sz w:val="28"/>
          <w:sz w:val="28"/>
          <w:szCs w:val="28"/>
          <w:rtl w:val="true"/>
          <w:lang w:bidi="ar-SA"/>
        </w:rPr>
        <w:t>خاصة ، ثبت</w:t>
      </w:r>
      <w:r>
        <w:rPr>
          <w:rStyle w:val="FootnoteAnchor"/>
          <w:rtl w:val="true"/>
        </w:rPr>
        <w:footnoteReference w:id="1692"/>
      </w:r>
      <w:r>
        <w:rPr>
          <w:rFonts w:ascii="Amiri" w:hAnsi="Amiri" w:eastAsia="Amiri" w:cs="Amiri"/>
          <w:color w:val="111111"/>
          <w:sz w:val="28"/>
          <w:sz w:val="28"/>
          <w:szCs w:val="28"/>
          <w:rtl w:val="true"/>
          <w:lang w:bidi="ar-SA"/>
        </w:rPr>
        <w:t>لزوم التعدي في الجملة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الصحاح الأعلائية لو عمل بها أجمع حتى ما له معارض منها</w:t>
      </w:r>
      <w:r>
        <w:rPr>
          <w:rStyle w:val="FootnoteAnchor"/>
          <w:rtl w:val="true"/>
        </w:rPr>
        <w:footnoteReference w:id="1693"/>
      </w:r>
      <w:r>
        <w:rPr>
          <w:rFonts w:ascii="Amiri" w:hAnsi="Amiri" w:eastAsia="Amiri" w:cs="Amiri"/>
          <w:color w:val="111111"/>
          <w:sz w:val="28"/>
          <w:sz w:val="28"/>
          <w:szCs w:val="28"/>
          <w:rtl w:val="true"/>
          <w:lang w:bidi="ar-SA"/>
        </w:rPr>
        <w:t xml:space="preserve">لم تكف في أبواب الفقه، سيما أبواب المعاملات، وليت شعري ماذا يفعل المقتصر على الصّحاح الأعلائية في أبواب الفقه عند فقدها، فإن تمسّك بالإطلاقات والعمومات، مخصّصة بالمجمل كما عرفت فلا مفرّ من التعدي إلى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1694"/>
      </w:r>
      <w:r>
        <w:rPr>
          <w:rFonts w:ascii="Amiri" w:hAnsi="Amiri" w:eastAsia="Amiri" w:cs="Amiri"/>
          <w:color w:val="111111"/>
          <w:sz w:val="28"/>
          <w:sz w:val="28"/>
          <w:szCs w:val="28"/>
          <w:rtl w:val="true"/>
          <w:lang w:bidi="ar-SA"/>
        </w:rPr>
        <w:t xml:space="preserve">لصاحب المعالم دليلا على عدم اعتبار الصحيح المشهوري بل مطلق الخبر ما عدا الصحيح الأعلى </w:t>
      </w:r>
      <w:r>
        <w:rPr>
          <w:rStyle w:val="FootnoteAnchor"/>
          <w:rtl w:val="true"/>
        </w:rPr>
        <w:footnoteReference w:id="1695"/>
      </w:r>
      <w:r>
        <w:rPr>
          <w:rFonts w:ascii="Amiri" w:hAnsi="Amiri" w:eastAsia="Amiri" w:cs="Amiri"/>
          <w:color w:val="111111"/>
          <w:sz w:val="28"/>
          <w:sz w:val="28"/>
          <w:szCs w:val="28"/>
          <w:rtl w:val="true"/>
          <w:lang w:bidi="ar-SA"/>
        </w:rPr>
        <w:t>، وهو آية النبأ، فإنها تدل بمنطوقها على التبيّن عن خبر هذا الراوي الذي زكّاه عدل واحد ؛ لعدم حصول العلم بعدالته بتزكية الواحد، والفاسق موضوع للأمر النفس الأمري، فلا بد من التبين؛ لاحتمال الفسق، فلا يكون خبره حجة، والمفهوم وإن دل على حجية قول العدل المزكي له الملازمة لحجيّة قول المزكّى، لكن المنطوق عند التعارض أقوى من المفهوم</w:t>
      </w:r>
      <w:r>
        <w:rPr>
          <w:rFonts w:eastAsia="Amiri" w:cs="Amiri" w:ascii="Amiri" w:hAnsi="Amiri"/>
          <w:color w:val="111111"/>
          <w:sz w:val="28"/>
          <w:szCs w:val="28"/>
          <w:rtl w:val="true"/>
          <w:lang w:bidi="ar-SA"/>
        </w:rPr>
        <w:t>.</w:t>
      </w:r>
      <w:r>
        <w:rPr>
          <w:rStyle w:val="FootnoteAnchor"/>
          <w:rtl w:val="true"/>
        </w:rPr>
        <w:footnoteReference w:id="169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Style w:val="FootnoteAnchor"/>
          <w:rtl w:val="true"/>
        </w:rPr>
        <w:footnoteReference w:id="1697"/>
      </w:r>
      <w:r>
        <w:rPr>
          <w:rFonts w:ascii="Amiri" w:hAnsi="Amiri" w:eastAsia="Amiri" w:cs="Amiri"/>
          <w:color w:val="111111"/>
          <w:sz w:val="28"/>
          <w:sz w:val="28"/>
          <w:szCs w:val="28"/>
          <w:rtl w:val="true"/>
          <w:lang w:bidi="ar-SA"/>
        </w:rPr>
        <w:t xml:space="preserve">تسليم كون المراد هو التبين العلمي لا الظني وتسليم عدم انصراف الفاسق إلى المعلوم التفصيلي، أنّ </w:t>
      </w:r>
      <w:r>
        <w:rPr>
          <w:rStyle w:val="FootnoteAnchor"/>
          <w:rtl w:val="true"/>
        </w:rPr>
        <w:footnoteReference w:id="1698"/>
      </w:r>
      <w:r>
        <w:rPr>
          <w:rFonts w:ascii="Amiri" w:hAnsi="Amiri" w:eastAsia="Amiri" w:cs="Amiri"/>
          <w:color w:val="111111"/>
          <w:sz w:val="28"/>
          <w:sz w:val="28"/>
          <w:szCs w:val="28"/>
          <w:rtl w:val="true"/>
          <w:lang w:bidi="ar-SA"/>
        </w:rPr>
        <w:t>دلالة المنطوق هنا دلالة عقلية مقدّميّة، ودلالة المفهوم على قبول تزكية المزكي دلالة أصلية، فيقدم المفهوم لذلك، بل العرف يفهم هنا وروده على المنطوق، مضافاً إلى أن آية النبأ لا تعارض الدليل العقلي الذي اقمناه على التعدّي، كما لا تعارضه آيات النهي عن الظن</w:t>
      </w:r>
      <w:r>
        <w:rPr>
          <w:rFonts w:eastAsia="Amiri" w:cs="Amiri" w:ascii="Amiri" w:hAnsi="Amiri"/>
          <w:color w:val="111111"/>
          <w:sz w:val="28"/>
          <w:szCs w:val="28"/>
          <w:rtl w:val="true"/>
          <w:lang w:bidi="ar-SA"/>
        </w:rPr>
        <w:t xml:space="preserve">. </w:t>
      </w:r>
      <w:bookmarkStart w:id="531" w:name="pg9015_97646"/>
    </w:p>
    <w:p>
      <w:pPr>
        <w:pStyle w:val="Heading3"/>
        <w:numPr>
          <w:ilvl w:val="2"/>
          <w:numId w:val="1"/>
        </w:numPr>
        <w:rPr/>
      </w:pPr>
      <w:bookmarkStart w:id="532" w:name="__RefHeading___Toc2001707_2870459653"/>
      <w:bookmarkStart w:id="533" w:name="_Toc203"/>
      <w:bookmarkEnd w:id="531"/>
      <w:bookmarkEnd w:id="532"/>
      <w:r>
        <w:rPr>
          <w:rtl w:val="true"/>
        </w:rPr>
        <w:t>[</w:t>
      </w:r>
      <w:r>
        <w:rPr>
          <w:rtl w:val="true"/>
        </w:rPr>
        <w:t>نتيجة دليل الانسداد قضية مهملة وليست كلية</w:t>
      </w:r>
      <w:r>
        <w:rPr>
          <w:rtl w:val="true"/>
        </w:rPr>
        <w:t>]</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دليل الانسداد قضية مهملة وليست كلية</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ذكرنا تقدر على استخراج دليل التعدي إلى سائر الأقسام، سيما بعد ملاحظة ان الظن الحاصل من مثل الشهرة أقوى من الصحيح الأعلى، وأنّ كون الأعلى قدراً متيقناً بعد الانسداد الأغلبي أول الكلام، وأن ذهاب المعظم إلى عدم حجية الشهرة </w:t>
      </w:r>
      <w:r>
        <w:rPr>
          <w:rStyle w:val="FootnoteAnchor"/>
          <w:rtl w:val="true"/>
        </w:rPr>
        <w:footnoteReference w:id="1700"/>
      </w:r>
      <w:r>
        <w:rPr>
          <w:rFonts w:ascii="Amiri" w:hAnsi="Amiri" w:eastAsia="Amiri" w:cs="Amiri"/>
          <w:color w:val="111111"/>
          <w:sz w:val="28"/>
          <w:sz w:val="28"/>
          <w:szCs w:val="28"/>
          <w:rtl w:val="true"/>
          <w:lang w:bidi="ar-SA"/>
        </w:rPr>
        <w:t xml:space="preserve">لا يصيرها موهوم الاعتبار ؛ لعدم حصول الظن من ذهابهم إلى عدم الحجية، سيما إذا كان حكمهم بعدم حجيتها لعدم الدليل؛ عملاً بالأصل، لا للدليل على العدم، وملاحظة قبح ترجيح المرجوح، أو الترجيح بلا مرجّح، أو الإجماع المركب في بعض المقامات، لكنا نقتصر في العمل بالظنون على كل ظن أدخله أحد </w:t>
      </w:r>
      <w:r>
        <w:rPr>
          <w:rStyle w:val="FootnoteAnchor"/>
          <w:rtl w:val="true"/>
        </w:rPr>
        <w:footnoteReference w:id="1701"/>
      </w:r>
      <w:r>
        <w:rPr>
          <w:rFonts w:ascii="Amiri" w:hAnsi="Amiri" w:eastAsia="Amiri" w:cs="Amiri"/>
          <w:color w:val="111111"/>
          <w:sz w:val="28"/>
          <w:sz w:val="28"/>
          <w:szCs w:val="28"/>
          <w:rtl w:val="true"/>
          <w:lang w:bidi="ar-SA"/>
        </w:rPr>
        <w:t xml:space="preserve">المعمّمات، ونعمل فيما عداه بأصالة الحرمة ، فلا نقول بانقلاب الأصل كلية فمثل الظنّ الحاصل من النوم لا نعمل به؛ للأصل، وعدم جريان المعمّمات فيه، لا للدليل على 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أمكن وجوده </w:t>
      </w:r>
      <w:r>
        <w:rPr>
          <w:rStyle w:val="FootnoteAnchor"/>
          <w:rtl w:val="true"/>
        </w:rPr>
        <w:footnoteReference w:id="170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مثل القياس، والاستحسان</w:t>
      </w:r>
      <w:r>
        <w:rPr>
          <w:rStyle w:val="FootnoteAnchor"/>
          <w:rtl w:val="true"/>
        </w:rPr>
        <w:footnoteReference w:id="1703"/>
      </w:r>
      <w:r>
        <w:rPr>
          <w:rFonts w:ascii="Amiri" w:hAnsi="Amiri" w:eastAsia="Amiri" w:cs="Amiri"/>
          <w:color w:val="111111"/>
          <w:sz w:val="28"/>
          <w:sz w:val="28"/>
          <w:szCs w:val="28"/>
          <w:rtl w:val="true"/>
          <w:lang w:bidi="ar-SA"/>
        </w:rPr>
        <w:t xml:space="preserve">، والمصالح المرسلة، فمما نقطع بعدم </w:t>
      </w:r>
    </w:p>
    <w:p>
      <w:pPr>
        <w:pStyle w:val="BookText"/>
        <w:rPr/>
      </w:pPr>
      <w:r>
        <w:rPr>
          <w:rFonts w:ascii="Amiri" w:hAnsi="Amiri" w:eastAsia="Amiri" w:cs="Amiri"/>
          <w:color w:val="111111"/>
          <w:sz w:val="28"/>
          <w:sz w:val="28"/>
          <w:szCs w:val="28"/>
          <w:rtl w:val="true"/>
          <w:lang w:bidi="ar-SA"/>
        </w:rPr>
        <w:t xml:space="preserve">اعتبارها؛ للدليل، فليست هي </w:t>
      </w:r>
      <w:r>
        <w:rPr>
          <w:rStyle w:val="FootnoteAnchor"/>
          <w:rtl w:val="true"/>
        </w:rPr>
        <w:footnoteReference w:id="1704"/>
      </w:r>
      <w:r>
        <w:rPr>
          <w:rFonts w:ascii="Amiri" w:hAnsi="Amiri" w:eastAsia="Amiri" w:cs="Amiri"/>
          <w:color w:val="111111"/>
          <w:sz w:val="28"/>
          <w:sz w:val="28"/>
          <w:szCs w:val="28"/>
          <w:rtl w:val="true"/>
          <w:lang w:bidi="ar-SA"/>
        </w:rPr>
        <w:t xml:space="preserve">من الظنون المشكوكة ، ولا داخلة في محل النزاع ولا خروجها موجباً لتخصيص الدليل العقلي؛ لما عرفت من أن مورد الدليل العقلي الظنون المشكوكة، لا ما قطع </w:t>
      </w:r>
      <w:r>
        <w:rPr>
          <w:rStyle w:val="FootnoteAnchor"/>
          <w:rtl w:val="true"/>
        </w:rPr>
        <w:footnoteReference w:id="1705"/>
      </w:r>
      <w:r>
        <w:rPr>
          <w:rFonts w:ascii="Amiri" w:hAnsi="Amiri" w:eastAsia="Amiri" w:cs="Amiri"/>
          <w:color w:val="111111"/>
          <w:sz w:val="28"/>
          <w:sz w:val="28"/>
          <w:szCs w:val="28"/>
          <w:rtl w:val="true"/>
          <w:lang w:bidi="ar-SA"/>
        </w:rPr>
        <w:t xml:space="preserve">بعدم اعتباره، فليس ذلك تخصيصاً، بل اختصاص؛ لعدم جريان المقدمة المعمّمة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وأما الظنّ الحاصل من خبر المجنون، والصبي الغير المميز، فليس حجة</w:t>
      </w:r>
      <w:r>
        <w:rPr>
          <w:rStyle w:val="FootnoteAnchor"/>
          <w:rtl w:val="true"/>
        </w:rPr>
        <w:footnoteReference w:id="1707"/>
      </w:r>
      <w:r>
        <w:rPr>
          <w:rFonts w:ascii="IRNazanin" w:hAnsi="IRNazanin" w:eastAsia="IRNazanin"/>
          <w:color w:val="111111"/>
          <w:sz w:val="28"/>
          <w:sz w:val="28"/>
          <w:szCs w:val="28"/>
          <w:rtl w:val="true"/>
          <w:lang w:bidi="fa-IR"/>
        </w:rPr>
        <w:t>للإجماع ظاهراً</w:t>
      </w:r>
      <w:r>
        <w:rPr>
          <w:rStyle w:val="FootnoteAnchor"/>
          <w:rtl w:val="true"/>
        </w:rPr>
        <w:footnoteReference w:id="1708"/>
      </w:r>
      <w:r>
        <w:rPr>
          <w:rFonts w:ascii="IRNazanin" w:hAnsi="IRNazanin" w:eastAsia="IRNazanin"/>
          <w:color w:val="111111"/>
          <w:sz w:val="28"/>
          <w:sz w:val="28"/>
          <w:szCs w:val="28"/>
          <w:rtl w:val="true"/>
          <w:lang w:bidi="fa-IR"/>
        </w:rPr>
        <w:t>، وبناء العقلاء</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الصبّي المميز وجهان</w:t>
      </w:r>
      <w:r>
        <w:rPr>
          <w:rFonts w:eastAsia="Amiri" w:cs="Amiri" w:ascii="Amiri" w:hAnsi="Amiri"/>
          <w:color w:val="111111"/>
          <w:sz w:val="28"/>
          <w:szCs w:val="28"/>
          <w:rtl w:val="true"/>
          <w:lang w:bidi="ar-SA"/>
        </w:rPr>
        <w:t xml:space="preserve">. </w:t>
      </w:r>
      <w:bookmarkStart w:id="534" w:name="pg9015_97648"/>
    </w:p>
    <w:p>
      <w:pPr>
        <w:pStyle w:val="Heading2"/>
        <w:numPr>
          <w:ilvl w:val="1"/>
          <w:numId w:val="1"/>
        </w:numPr>
        <w:rPr/>
      </w:pPr>
      <w:bookmarkStart w:id="535" w:name="__RefHeading___Toc2001709_2870459653"/>
      <w:bookmarkStart w:id="536" w:name="_Toc204"/>
      <w:bookmarkEnd w:id="534"/>
      <w:bookmarkEnd w:id="535"/>
      <w:r>
        <w:rPr>
          <w:rtl w:val="true"/>
        </w:rPr>
        <w:t xml:space="preserve">أصل </w:t>
      </w:r>
      <w:r>
        <w:rPr>
          <w:rtl w:val="true"/>
        </w:rPr>
        <w:t>[</w:t>
      </w:r>
      <w:r>
        <w:rPr>
          <w:rtl w:val="true"/>
        </w:rPr>
        <w:t>في أن حجية الظن مشروطة بعدم التمكن من العلم</w:t>
      </w:r>
      <w:r>
        <w:rPr>
          <w:rtl w:val="true"/>
        </w:rPr>
        <w:t>]</w:t>
      </w:r>
      <w:bookmarkEnd w:id="536"/>
    </w:p>
    <w:p>
      <w:pPr>
        <w:pStyle w:val="BookText"/>
        <w:rPr/>
      </w:pPr>
      <w:r>
        <w:rPr>
          <w:rFonts w:ascii="Amiri" w:hAnsi="Amiri" w:eastAsia="Amiri" w:cs="Amiri"/>
          <w:color w:val="111111"/>
          <w:sz w:val="28"/>
          <w:sz w:val="28"/>
          <w:szCs w:val="28"/>
          <w:rtl w:val="true"/>
          <w:lang w:bidi="ar-SA"/>
        </w:rPr>
        <w:t>حجية الظن المطلق مشروطة بعدم التمكن من العلم في المسألة العارضة</w:t>
      </w:r>
      <w:r>
        <w:rPr>
          <w:rStyle w:val="FootnoteAnchor"/>
          <w:rtl w:val="true"/>
        </w:rPr>
        <w:footnoteReference w:id="1709"/>
      </w:r>
      <w:r>
        <w:rPr>
          <w:rStyle w:val="FootnoteAnchor"/>
          <w:rtl w:val="true"/>
        </w:rPr>
        <w:footnoteReference w:id="1710"/>
      </w:r>
      <w:r>
        <w:rPr>
          <w:rFonts w:ascii="Amiri" w:hAnsi="Amiri" w:eastAsia="Amiri" w:cs="Amiri"/>
          <w:color w:val="111111"/>
          <w:sz w:val="28"/>
          <w:sz w:val="28"/>
          <w:szCs w:val="28"/>
          <w:rtl w:val="true"/>
          <w:lang w:bidi="ar-SA"/>
        </w:rPr>
        <w:t xml:space="preserve">للأصل، وعدم جريان المقدّمة الثانية من الدليل السابق حينئذ، فلو علم التمكن من العلم في تلك المسألة تفحّص عنه ، وكذا مع الشك؛ للأصل، وعدم جريان المقدّمة الثالثة من الدليل السابق حينئذ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w:t>
      </w:r>
      <w:r>
        <w:rPr>
          <w:rStyle w:val="FootnoteAnchor"/>
          <w:rtl w:val="true"/>
        </w:rPr>
        <w:footnoteReference w:id="1711"/>
      </w:r>
      <w:r>
        <w:rPr>
          <w:rFonts w:ascii="Amiri" w:hAnsi="Amiri" w:eastAsia="Amiri" w:cs="Amiri"/>
          <w:color w:val="111111"/>
          <w:sz w:val="28"/>
          <w:sz w:val="28"/>
          <w:szCs w:val="28"/>
          <w:rtl w:val="true"/>
          <w:lang w:bidi="ar-SA"/>
        </w:rPr>
        <w:t xml:space="preserve">علم بعدم التمكن منه، وحصل له الظن بالمسألة ابتداء من غير فحص وجب عليه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المعارض</w:t>
      </w:r>
      <w:r>
        <w:rPr>
          <w:rFonts w:eastAsia="Amiri" w:cs="Amiri" w:ascii="Amiri" w:hAnsi="Amiri"/>
          <w:color w:val="111111"/>
          <w:sz w:val="28"/>
          <w:szCs w:val="28"/>
          <w:rtl w:val="true"/>
          <w:lang w:bidi="ar-SA"/>
        </w:rPr>
        <w:t>)</w:t>
      </w:r>
      <w:r>
        <w:rPr>
          <w:rStyle w:val="FootnoteAnchor"/>
          <w:rtl w:val="true"/>
        </w:rPr>
        <w:footnoteReference w:id="1712"/>
      </w:r>
      <w:r>
        <w:rPr>
          <w:rFonts w:ascii="IRNazanin" w:hAnsi="IRNazanin" w:eastAsia="IRNazanin"/>
          <w:color w:val="111111"/>
          <w:sz w:val="28"/>
          <w:sz w:val="28"/>
          <w:szCs w:val="28"/>
          <w:rtl w:val="true"/>
          <w:lang w:bidi="fa-IR"/>
        </w:rPr>
        <w:t>؛ لاحتمال حصول الظن بعد الفحص على الخلاف، والأصل لا معارض له</w:t>
      </w:r>
      <w:r>
        <w:rPr>
          <w:rStyle w:val="FootnoteAnchor"/>
          <w:rtl w:val="true"/>
        </w:rPr>
        <w:footnoteReference w:id="1713"/>
      </w:r>
      <w:r>
        <w:rPr>
          <w:rFonts w:ascii="Amiri" w:hAnsi="Amiri" w:eastAsia="Amiri" w:cs="Amiri"/>
          <w:color w:val="111111"/>
          <w:sz w:val="28"/>
          <w:sz w:val="28"/>
          <w:szCs w:val="28"/>
          <w:rtl w:val="true"/>
          <w:lang w:bidi="ar-SA"/>
        </w:rPr>
        <w:t xml:space="preserve">حينئذ ؛ لعدم جريان المقدمة الثالثة، بل ولا الرابعة حينئذ </w:t>
      </w:r>
      <w:r>
        <w:rPr>
          <w:rStyle w:val="FootnoteAnchor"/>
          <w:rtl w:val="true"/>
        </w:rPr>
        <w:footnoteReference w:id="17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يتمكن من الفحص حينئذ لم يعمل بهذا الظن أيضاً؛ للأصل</w:t>
      </w:r>
      <w:r>
        <w:rPr>
          <w:rFonts w:eastAsia="Amiri" w:cs="Amiri" w:ascii="Amiri" w:hAnsi="Amiri"/>
          <w:color w:val="111111"/>
          <w:sz w:val="28"/>
          <w:szCs w:val="28"/>
          <w:rtl w:val="true"/>
          <w:lang w:bidi="ar-SA"/>
        </w:rPr>
        <w:t>).</w:t>
      </w:r>
      <w:r>
        <w:rPr>
          <w:rStyle w:val="FootnoteAnchor"/>
          <w:rtl w:val="true"/>
        </w:rPr>
        <w:footnoteReference w:id="1715"/>
      </w:r>
      <w:r>
        <w:rPr>
          <w:rStyle w:val="FootnoteAnchor"/>
          <w:rtl w:val="true"/>
        </w:rPr>
        <w:footnoteReference w:id="1716"/>
      </w:r>
      <w:bookmarkStart w:id="537" w:name="pg9015_97649"/>
    </w:p>
    <w:p>
      <w:pPr>
        <w:pStyle w:val="Heading2"/>
        <w:numPr>
          <w:ilvl w:val="1"/>
          <w:numId w:val="1"/>
        </w:numPr>
        <w:rPr/>
      </w:pPr>
      <w:bookmarkStart w:id="538" w:name="__RefHeading___Toc2001711_2870459653"/>
      <w:bookmarkStart w:id="539" w:name="_Toc205"/>
      <w:bookmarkEnd w:id="537"/>
      <w:bookmarkEnd w:id="538"/>
      <w:r>
        <w:rPr>
          <w:rtl w:val="true"/>
        </w:rPr>
        <w:t xml:space="preserve">أصل </w:t>
      </w:r>
      <w:r>
        <w:rPr>
          <w:rtl w:val="true"/>
        </w:rPr>
        <w:t>[</w:t>
      </w:r>
      <w:r>
        <w:rPr>
          <w:rtl w:val="true"/>
        </w:rPr>
        <w:t>في ميزان مقدار الفحص</w:t>
      </w:r>
      <w:r>
        <w:rPr>
          <w:rtl w:val="true"/>
        </w:rPr>
        <w:t>]</w:t>
      </w:r>
      <w:bookmarkEnd w:id="539"/>
    </w:p>
    <w:p>
      <w:pPr>
        <w:pStyle w:val="BookText"/>
        <w:rPr/>
      </w:pPr>
      <w:r>
        <w:rPr>
          <w:rFonts w:ascii="Amiri" w:hAnsi="Amiri" w:eastAsia="Amiri" w:cs="Amiri"/>
          <w:color w:val="111111"/>
          <w:sz w:val="28"/>
          <w:sz w:val="28"/>
          <w:szCs w:val="28"/>
          <w:rtl w:val="true"/>
          <w:lang w:bidi="ar-SA"/>
        </w:rPr>
        <w:t>الميزان في مقدار</w:t>
      </w:r>
      <w:r>
        <w:rPr>
          <w:rStyle w:val="FootnoteAnchor"/>
          <w:rtl w:val="true"/>
        </w:rPr>
        <w:footnoteReference w:id="1717"/>
      </w:r>
      <w:r>
        <w:rPr>
          <w:rFonts w:ascii="Amiri" w:hAnsi="Amiri" w:eastAsia="Amiri" w:cs="Amiri"/>
          <w:color w:val="111111"/>
          <w:sz w:val="28"/>
          <w:sz w:val="28"/>
          <w:szCs w:val="28"/>
          <w:rtl w:val="true"/>
          <w:lang w:bidi="ar-SA"/>
        </w:rPr>
        <w:t xml:space="preserve">الفحص الواجب استفراغ الوسع فيه، إلا أن يلزم العسر والحرج، فلا يجب الزائد وإن جاز، أو يلزم تعطيل </w:t>
      </w:r>
      <w:r>
        <w:rPr>
          <w:rStyle w:val="FootnoteAnchor"/>
          <w:rtl w:val="true"/>
        </w:rPr>
        <w:footnoteReference w:id="1718"/>
      </w:r>
      <w:r>
        <w:rPr>
          <w:rFonts w:ascii="Amiri" w:hAnsi="Amiri" w:eastAsia="Amiri" w:cs="Amiri"/>
          <w:color w:val="111111"/>
          <w:sz w:val="28"/>
          <w:sz w:val="28"/>
          <w:szCs w:val="28"/>
          <w:rtl w:val="true"/>
          <w:lang w:bidi="ar-SA"/>
        </w:rPr>
        <w:t>الأحكام، فيحرم الزائد، ويكفي صول الظن بلزوم التعطيل؛ إذ القطع به</w:t>
      </w:r>
      <w:r>
        <w:rPr>
          <w:rStyle w:val="FootnoteAnchor"/>
          <w:rtl w:val="true"/>
        </w:rPr>
        <w:footnoteReference w:id="1719"/>
      </w:r>
      <w:r>
        <w:rPr>
          <w:rFonts w:ascii="Amiri" w:hAnsi="Amiri" w:eastAsia="Amiri" w:cs="Amiri"/>
          <w:color w:val="111111"/>
          <w:sz w:val="28"/>
          <w:sz w:val="28"/>
          <w:szCs w:val="28"/>
          <w:rtl w:val="true"/>
          <w:lang w:bidi="ar-SA"/>
        </w:rPr>
        <w:t>غالباً لا يحصل إلا بعد حصوله</w:t>
      </w:r>
      <w:r>
        <w:rPr>
          <w:rFonts w:eastAsia="Amiri" w:cs="Amiri" w:ascii="Amiri" w:hAnsi="Amiri"/>
          <w:color w:val="111111"/>
          <w:sz w:val="28"/>
          <w:szCs w:val="28"/>
          <w:rtl w:val="true"/>
          <w:lang w:bidi="ar-SA"/>
        </w:rPr>
        <w:t>.</w:t>
      </w:r>
    </w:p>
    <w:p>
      <w:pPr>
        <w:pStyle w:val="Heading2"/>
        <w:numPr>
          <w:ilvl w:val="1"/>
          <w:numId w:val="1"/>
        </w:numPr>
        <w:rPr/>
      </w:pPr>
      <w:bookmarkStart w:id="540" w:name="__RefHeading___Toc2001713_2870459653"/>
      <w:bookmarkStart w:id="541" w:name="_Toc206"/>
      <w:bookmarkEnd w:id="540"/>
      <w:r>
        <w:rPr>
          <w:rtl w:val="true"/>
        </w:rPr>
        <w:t xml:space="preserve">أصل </w:t>
      </w:r>
      <w:r>
        <w:rPr>
          <w:rtl w:val="true"/>
        </w:rPr>
        <w:t>[</w:t>
      </w:r>
      <w:r>
        <w:rPr>
          <w:rtl w:val="true"/>
        </w:rPr>
        <w:t>في عدم وجوب تحصيل الظن الأقوى على المجتهد</w:t>
      </w:r>
      <w:r>
        <w:rPr>
          <w:rtl w:val="true"/>
        </w:rPr>
        <w:t>]</w:t>
      </w:r>
      <w:bookmarkEnd w:id="541"/>
    </w:p>
    <w:p>
      <w:pPr>
        <w:pStyle w:val="BookText"/>
        <w:rPr/>
      </w:pPr>
      <w:r>
        <w:rPr>
          <w:rFonts w:ascii="Amiri" w:hAnsi="Amiri" w:eastAsia="Amiri" w:cs="Amiri"/>
          <w:color w:val="111111"/>
          <w:sz w:val="28"/>
          <w:sz w:val="28"/>
          <w:szCs w:val="28"/>
          <w:rtl w:val="true"/>
          <w:lang w:bidi="ar-SA"/>
        </w:rPr>
        <w:t>لا يجب على المجتهد تحصيل الظن الأقوى فالأقوى</w:t>
      </w:r>
      <w:r>
        <w:rPr>
          <w:rStyle w:val="FootnoteAnchor"/>
          <w:rtl w:val="true"/>
        </w:rPr>
        <w:footnoteReference w:id="1720"/>
      </w:r>
      <w:r>
        <w:rPr>
          <w:rStyle w:val="FootnoteAnchor"/>
          <w:rtl w:val="true"/>
        </w:rPr>
        <w:footnoteReference w:id="1721"/>
      </w:r>
      <w:r>
        <w:rPr>
          <w:rFonts w:ascii="Amiri" w:hAnsi="Amiri" w:eastAsia="Amiri" w:cs="Amiri"/>
          <w:color w:val="111111"/>
          <w:sz w:val="28"/>
          <w:sz w:val="28"/>
          <w:szCs w:val="28"/>
          <w:rtl w:val="true"/>
          <w:lang w:bidi="ar-SA"/>
        </w:rPr>
        <w:t>بازدياد الفحص والدليل؛ حذراً من لزوم العسر، أو تعطيل الأحكام، أو هما معاً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إنا إن</w:t>
      </w:r>
      <w:r>
        <w:rPr>
          <w:rStyle w:val="FootnoteAnchor"/>
          <w:rtl w:val="true"/>
        </w:rPr>
        <w:footnoteReference w:id="1722"/>
      </w:r>
      <w:r>
        <w:rPr>
          <w:rFonts w:ascii="Amiri" w:hAnsi="Amiri" w:eastAsia="Amiri" w:cs="Amiri"/>
          <w:color w:val="111111"/>
          <w:sz w:val="28"/>
          <w:sz w:val="28"/>
          <w:szCs w:val="28"/>
          <w:rtl w:val="true"/>
          <w:lang w:bidi="ar-SA"/>
        </w:rPr>
        <w:t>أو جبنا أعلى درجات الظن، فغير ممكن غالباً، أو درجة من الدرجات المتوسطة، فلا دليل عليه، فهو تعيين بلا معيّن، أو تحصيل الأقوى فالأقوى ما أمكن، بحيث لا يلزم معه تعطيل ولا عسر، فتحديده غير ممكن للفقيه، فتعين الاكتفاء بمطلق الظن بعد فحص مظانّ الأدلة ومعارضاتها</w:t>
      </w:r>
      <w:r>
        <w:rPr>
          <w:rFonts w:eastAsia="Amiri" w:cs="Amiri" w:ascii="Amiri" w:hAnsi="Amiri"/>
          <w:color w:val="111111"/>
          <w:sz w:val="28"/>
          <w:szCs w:val="28"/>
          <w:rtl w:val="true"/>
          <w:lang w:bidi="ar-SA"/>
        </w:rPr>
        <w:t xml:space="preserve">. </w:t>
      </w:r>
      <w:bookmarkStart w:id="542" w:name="pg9015_97650"/>
    </w:p>
    <w:p>
      <w:pPr>
        <w:pStyle w:val="Heading2"/>
        <w:numPr>
          <w:ilvl w:val="1"/>
          <w:numId w:val="1"/>
        </w:numPr>
        <w:rPr/>
      </w:pPr>
      <w:bookmarkStart w:id="543" w:name="__RefHeading___Toc2001715_2870459653"/>
      <w:bookmarkStart w:id="544" w:name="_Toc207"/>
      <w:bookmarkEnd w:id="542"/>
      <w:bookmarkEnd w:id="543"/>
      <w:r>
        <w:rPr>
          <w:rtl w:val="true"/>
        </w:rPr>
        <w:t xml:space="preserve">أصل </w:t>
      </w:r>
      <w:r>
        <w:rPr>
          <w:rtl w:val="true"/>
        </w:rPr>
        <w:t>[</w:t>
      </w:r>
      <w:r>
        <w:rPr>
          <w:rtl w:val="true"/>
        </w:rPr>
        <w:t>في تعارض الظنين</w:t>
      </w:r>
      <w:r>
        <w:rPr>
          <w:rtl w:val="true"/>
        </w:rPr>
        <w:t>]</w:t>
      </w:r>
      <w:bookmarkEnd w:id="544"/>
    </w:p>
    <w:p>
      <w:pPr>
        <w:pStyle w:val="BookText"/>
        <w:rPr/>
      </w:pPr>
      <w:r>
        <w:rPr>
          <w:rFonts w:ascii="Amiri" w:hAnsi="Amiri" w:eastAsia="Amiri" w:cs="Amiri"/>
          <w:color w:val="111111"/>
          <w:sz w:val="28"/>
          <w:sz w:val="28"/>
          <w:szCs w:val="28"/>
          <w:rtl w:val="true"/>
          <w:lang w:bidi="ar-SA"/>
        </w:rPr>
        <w:t xml:space="preserve">اذا تعارض ظنّان أحدهما أقوى اعتباراً من الآخر، كالصحيح مع الشهرة، وكان الظن الشخصي في جانب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اعتبارا ، عمل به لرجحانه</w:t>
      </w:r>
      <w:r>
        <w:rPr>
          <w:rFonts w:eastAsia="Amiri" w:cs="Amiri" w:ascii="Amiri" w:hAnsi="Amiri"/>
          <w:color w:val="111111"/>
          <w:sz w:val="28"/>
          <w:szCs w:val="28"/>
          <w:rtl w:val="true"/>
          <w:lang w:bidi="ar-SA"/>
        </w:rPr>
        <w:t>)</w:t>
      </w:r>
      <w:r>
        <w:rPr>
          <w:rStyle w:val="FootnoteAnchor"/>
          <w:rtl w:val="true"/>
        </w:rPr>
        <w:footnoteReference w:id="1723"/>
      </w:r>
      <w:r>
        <w:rPr>
          <w:rFonts w:ascii="Amiri" w:hAnsi="Amiri" w:eastAsia="Amiri" w:cs="Amiri"/>
          <w:color w:val="111111"/>
          <w:sz w:val="28"/>
          <w:sz w:val="28"/>
          <w:szCs w:val="28"/>
          <w:rtl w:val="true"/>
          <w:lang w:bidi="ar-SA"/>
        </w:rPr>
        <w:t>اعتباراً و</w:t>
      </w:r>
      <w:r>
        <w:rPr>
          <w:rStyle w:val="FootnoteAnchor"/>
          <w:rtl w:val="true"/>
        </w:rPr>
        <w:footnoteReference w:id="1724"/>
      </w:r>
      <w:r>
        <w:rPr>
          <w:rFonts w:ascii="Amiri" w:hAnsi="Amiri" w:eastAsia="Amiri" w:cs="Amiri"/>
          <w:color w:val="111111"/>
          <w:sz w:val="28"/>
          <w:sz w:val="28"/>
          <w:szCs w:val="28"/>
          <w:rtl w:val="true"/>
          <w:lang w:bidi="ar-SA"/>
        </w:rPr>
        <w:t>وصفاً، و في جانب الاضعف اعتباراً، عمل</w:t>
      </w:r>
      <w:r>
        <w:rPr>
          <w:rStyle w:val="FootnoteAnchor"/>
          <w:rtl w:val="true"/>
        </w:rPr>
        <w:footnoteReference w:id="1725"/>
      </w:r>
      <w:r>
        <w:rPr>
          <w:rFonts w:ascii="Amiri" w:hAnsi="Amiri" w:eastAsia="Amiri" w:cs="Amiri"/>
          <w:color w:val="111111"/>
          <w:sz w:val="28"/>
          <w:sz w:val="28"/>
          <w:szCs w:val="28"/>
          <w:rtl w:val="true"/>
          <w:lang w:bidi="ar-SA"/>
        </w:rPr>
        <w:t>به على الأصح ؛ لوجود العلم الإجمالي بين الظنون الشخصية بمطابقة جملة منها للواقع، فتترجّح، مع إمكان منع كون الصحيح في مثل الصورة المفروضة مظنون الاعتبار؛ إذ لا يورث عمل الأكثر الظن بالاعتبار حينئذ، ولوحصل ظن فهو ابتدائي، يرتفع بملاحظة أن الظن الشخصي</w:t>
      </w:r>
      <w:r>
        <w:rPr>
          <w:rStyle w:val="FootnoteAnchor"/>
          <w:rtl w:val="true"/>
        </w:rPr>
        <w:footnoteReference w:id="1726"/>
      </w:r>
      <w:r>
        <w:rPr>
          <w:rFonts w:ascii="Amiri" w:hAnsi="Amiri" w:eastAsia="Amiri" w:cs="Amiri"/>
          <w:color w:val="111111"/>
          <w:sz w:val="28"/>
          <w:sz w:val="28"/>
          <w:szCs w:val="28"/>
          <w:rtl w:val="true"/>
          <w:lang w:bidi="ar-SA"/>
        </w:rPr>
        <w:t>بالحكم الفرعي الواقعي إنما هو مع الشهرة بالفرض ، وأن الغائب يشارك المشافه، وأن العمل بالأدلة لإصابة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فقد الظن الشخصي من الجانبين طرحنا الثالث باتفاق الدليلين، ورجّحنا العمل بالصحيح؛ لسلامة قوة اعتباره عن المعارض، مع أن ما يحصل من الحكم بالتخيير حاصل من تقدّم</w:t>
      </w:r>
      <w:r>
        <w:rPr>
          <w:rStyle w:val="FootnoteAnchor"/>
          <w:rtl w:val="true"/>
        </w:rPr>
        <w:footnoteReference w:id="1727"/>
      </w:r>
      <w:r>
        <w:rPr>
          <w:rFonts w:ascii="Amiri" w:hAnsi="Amiri" w:eastAsia="Amiri" w:cs="Amiri"/>
          <w:color w:val="111111"/>
          <w:sz w:val="28"/>
          <w:sz w:val="28"/>
          <w:szCs w:val="28"/>
          <w:rtl w:val="true"/>
          <w:lang w:bidi="ar-SA"/>
        </w:rPr>
        <w:t xml:space="preserve">الصحيح أيضاً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تعارض ظن </w:t>
      </w:r>
      <w:r>
        <w:rPr>
          <w:rStyle w:val="FootnoteAnchor"/>
          <w:rtl w:val="true"/>
        </w:rPr>
        <w:footnoteReference w:id="1728"/>
      </w:r>
      <w:r>
        <w:rPr>
          <w:rFonts w:ascii="Amiri" w:hAnsi="Amiri" w:eastAsia="Amiri" w:cs="Amiri"/>
          <w:color w:val="111111"/>
          <w:sz w:val="28"/>
          <w:sz w:val="28"/>
          <w:szCs w:val="28"/>
          <w:rtl w:val="true"/>
          <w:lang w:bidi="ar-SA"/>
        </w:rPr>
        <w:t xml:space="preserve">لا يعتبر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كالحسن والصحيح والشهرة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الظن</w:t>
      </w:r>
      <w:r>
        <w:rPr>
          <w:rFonts w:eastAsia="Amiri" w:cs="Amiri" w:ascii="Amiri" w:hAnsi="Amiri"/>
          <w:color w:val="111111"/>
          <w:sz w:val="28"/>
          <w:szCs w:val="28"/>
          <w:rtl w:val="true"/>
          <w:lang w:bidi="ar-SA"/>
        </w:rPr>
        <w:t>)</w:t>
      </w:r>
      <w:r>
        <w:rPr>
          <w:rStyle w:val="FootnoteAnchor"/>
          <w:rtl w:val="true"/>
        </w:rPr>
        <w:footnoteReference w:id="1729"/>
      </w:r>
      <w:r>
        <w:rPr>
          <w:rFonts w:ascii="Amiri" w:hAnsi="Amiri" w:eastAsia="Amiri" w:cs="Amiri"/>
          <w:color w:val="111111"/>
          <w:sz w:val="28"/>
          <w:sz w:val="28"/>
          <w:szCs w:val="28"/>
          <w:rtl w:val="true"/>
          <w:lang w:bidi="ar-SA"/>
        </w:rPr>
        <w:t xml:space="preserve">الشخصي في جانب القياس مثلاً، عملنا بالظن </w:t>
      </w:r>
    </w:p>
    <w:p>
      <w:pPr>
        <w:pStyle w:val="BookText"/>
        <w:rPr/>
      </w:pPr>
      <w:r>
        <w:rPr>
          <w:rFonts w:ascii="Amiri" w:hAnsi="Amiri" w:eastAsia="Amiri" w:cs="Amiri"/>
          <w:color w:val="111111"/>
          <w:sz w:val="28"/>
          <w:sz w:val="28"/>
          <w:szCs w:val="28"/>
          <w:rtl w:val="true"/>
          <w:lang w:bidi="ar-SA"/>
        </w:rPr>
        <w:t>المعتبر؛ للإجماع، وما تراه من نفيهم العمل بالخبر</w:t>
      </w:r>
      <w:r>
        <w:rPr>
          <w:rStyle w:val="FootnoteAnchor"/>
          <w:rtl w:val="true"/>
        </w:rPr>
        <w:footnoteReference w:id="1730"/>
      </w:r>
      <w:r>
        <w:rPr>
          <w:rFonts w:ascii="Amiri" w:hAnsi="Amiri" w:eastAsia="Amiri" w:cs="Amiri"/>
          <w:color w:val="111111"/>
          <w:sz w:val="28"/>
          <w:sz w:val="28"/>
          <w:szCs w:val="28"/>
          <w:rtl w:val="true"/>
          <w:lang w:bidi="ar-SA"/>
        </w:rPr>
        <w:t>تعبّداً رداً على الحشوية، فإنما هو التعبّد طبعاً، لا التعبد لأجل المانع، ولو سلّمنا عدم الإجماع،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العمل بالظن القياسي مطلقاً إجماعية، والثالث منفي بتعاضد الظنين، فتعين العمل بالظن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 الظن الذي لا يعتبر للأصل في حكم الظن الذي يقطع بعدم اعتباره كالقياس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تعارض الظن</w:t>
      </w:r>
      <w:r>
        <w:rPr>
          <w:rFonts w:eastAsia="IRNazanin" w:cs="IRNazanin"/>
          <w:color w:val="111111"/>
          <w:sz w:val="28"/>
          <w:szCs w:val="28"/>
          <w:rtl w:val="true"/>
          <w:lang w:bidi="fa-IR"/>
        </w:rPr>
        <w:t>)</w:t>
      </w:r>
      <w:r>
        <w:rPr>
          <w:rStyle w:val="FootnoteAnchor"/>
          <w:rtl w:val="true"/>
        </w:rPr>
        <w:footnoteReference w:id="1731"/>
      </w:r>
      <w:r>
        <w:rPr>
          <w:rFonts w:ascii="Amiri" w:hAnsi="Amiri" w:eastAsia="Amiri" w:cs="Amiri"/>
          <w:color w:val="111111"/>
          <w:sz w:val="28"/>
          <w:sz w:val="28"/>
          <w:szCs w:val="28"/>
          <w:rtl w:val="true"/>
          <w:lang w:bidi="ar-SA"/>
        </w:rPr>
        <w:t xml:space="preserve">المطلق، كالخبر الواحد، أو </w:t>
      </w:r>
      <w:r>
        <w:rPr>
          <w:rStyle w:val="FootnoteAnchor"/>
          <w:rtl w:val="true"/>
        </w:rPr>
        <w:footnoteReference w:id="1732"/>
      </w:r>
      <w:r>
        <w:rPr>
          <w:rFonts w:ascii="Amiri" w:hAnsi="Amiri" w:eastAsia="Amiri" w:cs="Amiri"/>
          <w:color w:val="111111"/>
          <w:sz w:val="28"/>
          <w:sz w:val="28"/>
          <w:szCs w:val="28"/>
          <w:rtl w:val="true"/>
          <w:lang w:bidi="ar-SA"/>
        </w:rPr>
        <w:t>الشهرة، مع الظن الخاص كالكتاب والخبر المقطوع السند، فإن كان الظن الشخصي في جانب الظن الخاص قدّم بلا ريب، والوجه واضح، أو لا في شيء من الجانبين</w:t>
      </w:r>
      <w:r>
        <w:rPr>
          <w:rStyle w:val="FootnoteAnchor"/>
          <w:rtl w:val="true"/>
        </w:rPr>
        <w:footnoteReference w:id="1733"/>
      </w:r>
      <w:r>
        <w:rPr>
          <w:rFonts w:ascii="Amiri" w:hAnsi="Amiri" w:eastAsia="Amiri" w:cs="Amiri"/>
          <w:color w:val="111111"/>
          <w:sz w:val="28"/>
          <w:sz w:val="28"/>
          <w:szCs w:val="28"/>
          <w:rtl w:val="true"/>
          <w:lang w:bidi="ar-SA"/>
        </w:rPr>
        <w:t xml:space="preserve">فكذلك، والثالث منفي باتفاق الدليلين، أو في جانب الظن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إذ لو لم يكن كذلك لزم عدم العمل بالظن المطلق</w:t>
      </w:r>
      <w:r>
        <w:rPr>
          <w:rFonts w:eastAsia="Amiri" w:cs="Amiri" w:ascii="Amiri" w:hAnsi="Amiri"/>
          <w:color w:val="111111"/>
          <w:sz w:val="28"/>
          <w:szCs w:val="28"/>
          <w:rtl w:val="true"/>
          <w:lang w:bidi="ar-SA"/>
        </w:rPr>
        <w:t>)</w:t>
      </w:r>
      <w:r>
        <w:rPr>
          <w:rStyle w:val="FootnoteAnchor"/>
          <w:rtl w:val="true"/>
        </w:rPr>
        <w:footnoteReference w:id="1734"/>
      </w:r>
      <w:r>
        <w:rPr>
          <w:rFonts w:ascii="Amiri" w:hAnsi="Amiri" w:eastAsia="Amiri" w:cs="Amiri"/>
          <w:color w:val="111111"/>
          <w:sz w:val="28"/>
          <w:sz w:val="28"/>
          <w:szCs w:val="28"/>
          <w:rtl w:val="true"/>
          <w:lang w:bidi="ar-SA"/>
        </w:rPr>
        <w:t>غالباً؛ لمعارضته مع العمومات الكتابية غالباً، فيلزم من طرحه الخروج عن الدين،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الظنان المتعارضان من صنف واحد </w:t>
      </w:r>
      <w:r>
        <w:rPr>
          <w:rStyle w:val="FootnoteAnchor"/>
          <w:rtl w:val="true"/>
        </w:rPr>
        <w:footnoteReference w:id="1735"/>
      </w:r>
      <w:r>
        <w:rPr>
          <w:rFonts w:ascii="Amiri" w:hAnsi="Amiri" w:eastAsia="Amiri" w:cs="Amiri"/>
          <w:color w:val="111111"/>
          <w:sz w:val="28"/>
          <w:sz w:val="28"/>
          <w:szCs w:val="28"/>
          <w:rtl w:val="true"/>
          <w:lang w:bidi="ar-SA"/>
        </w:rPr>
        <w:t>، فحكمه موكول إلى باب التعارض والتراجيح</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،خاص أو مطلق، ثم إمّا لا معارض له، أو له معارض معتبر من صنفه، أو من غير صنفه، مساوياً معه، أو أقوى ولو من جهة، أو اضعف، أو غير معتبر قطعاً، أم أصلاً</w:t>
      </w:r>
      <w:r>
        <w:rPr>
          <w:rFonts w:eastAsia="Amiri" w:cs="Amiri" w:ascii="Amiri" w:hAnsi="Amiri"/>
          <w:color w:val="111111"/>
          <w:sz w:val="28"/>
          <w:szCs w:val="28"/>
          <w:rtl w:val="true"/>
          <w:lang w:bidi="ar-SA"/>
        </w:rPr>
        <w:t xml:space="preserve">. </w:t>
      </w:r>
      <w:bookmarkStart w:id="545" w:name="pg9015_97652"/>
    </w:p>
    <w:p>
      <w:pPr>
        <w:pStyle w:val="BookText"/>
        <w:rPr/>
      </w:pPr>
      <w:bookmarkEnd w:id="545"/>
      <w:r>
        <w:rPr>
          <w:rFonts w:ascii="Amiri" w:hAnsi="Amiri" w:eastAsia="Amiri" w:cs="Amiri"/>
          <w:color w:val="111111"/>
          <w:sz w:val="28"/>
          <w:sz w:val="28"/>
          <w:szCs w:val="28"/>
          <w:rtl w:val="true"/>
          <w:lang w:bidi="ar-SA"/>
        </w:rPr>
        <w:t>ثم الظن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مفقود من الجانبين أو في أحد الطرفين وأحكامها تظهر بتأمّل ما</w:t>
      </w:r>
      <w:r>
        <w:rPr>
          <w:rFonts w:eastAsia="Amiri" w:cs="Amiri" w:ascii="Amiri" w:hAnsi="Amiri"/>
          <w:color w:val="111111"/>
          <w:sz w:val="28"/>
          <w:szCs w:val="28"/>
          <w:rtl w:val="true"/>
          <w:lang w:bidi="ar-SA"/>
        </w:rPr>
        <w:t>.</w:t>
      </w:r>
      <w:r>
        <w:rPr>
          <w:rStyle w:val="FootnoteAnchor"/>
          <w:rtl w:val="true"/>
        </w:rPr>
        <w:footnoteReference w:id="1736"/>
      </w:r>
    </w:p>
    <w:p>
      <w:pPr>
        <w:pStyle w:val="Heading2"/>
        <w:numPr>
          <w:ilvl w:val="1"/>
          <w:numId w:val="1"/>
        </w:numPr>
        <w:rPr/>
      </w:pPr>
      <w:bookmarkStart w:id="546" w:name="__RefHeading___Toc2001717_2870459653"/>
      <w:bookmarkStart w:id="547" w:name="_Toc208"/>
      <w:bookmarkEnd w:id="546"/>
      <w:r>
        <w:rPr>
          <w:rtl w:val="true"/>
        </w:rPr>
        <w:t xml:space="preserve">أصل </w:t>
      </w:r>
      <w:r>
        <w:rPr>
          <w:rtl w:val="true"/>
        </w:rPr>
        <w:t>[</w:t>
      </w:r>
      <w:r>
        <w:rPr>
          <w:rtl w:val="true"/>
        </w:rPr>
        <w:t>في عدم حجية الظن في المسائل الأصولية العملية</w:t>
      </w:r>
      <w:r>
        <w:rPr>
          <w:rtl w:val="true"/>
        </w:rPr>
        <w:t>]</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حجية الظن في المسائل الأصولية العملية</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الأصح عدم حجية الظن في المسائل الأصولية العملية</w:t>
      </w:r>
      <w:r>
        <w:rPr>
          <w:rStyle w:val="FootnoteAnchor"/>
          <w:rtl w:val="true"/>
        </w:rPr>
        <w:footnoteReference w:id="1738"/>
      </w:r>
      <w:r>
        <w:rPr>
          <w:rFonts w:ascii="Amiri" w:hAnsi="Amiri" w:eastAsia="Amiri" w:cs="Amiri"/>
          <w:color w:val="111111"/>
          <w:sz w:val="28"/>
          <w:sz w:val="28"/>
          <w:szCs w:val="28"/>
          <w:rtl w:val="true"/>
          <w:lang w:bidi="ar-SA"/>
        </w:rPr>
        <w:t>لسلامة الأصل الاصيل فيها عن الدليل الوارد؛ إذ باب العلم بالمعنى الأعم منفتح في أغلب مسائلها، والسد في نادرها لا يوجب حجية الظن فيها؛ إذ لا يلزم من الرجوع إلى الاحتياط، أو البراءة فيها عسر ، ولا خروج عن الدين؛ لفقد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بعض الأحكام الإلهية أصولية، وبعضها فرعية، مجرد اصطلاح</w:t>
      </w:r>
      <w:r>
        <w:rPr>
          <w:rFonts w:eastAsia="Amiri" w:cs="Amiri" w:ascii="Amiri" w:hAnsi="Amiri"/>
          <w:color w:val="111111"/>
          <w:sz w:val="28"/>
          <w:szCs w:val="28"/>
          <w:rtl w:val="true"/>
          <w:lang w:bidi="ar-SA"/>
        </w:rPr>
        <w:t>.</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العلم في معظم الأحكام الإلهية منسد ، فيجري البرهان المتقدم في مجموع الأحكام من حيث المجموع، بجميع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المرجح موجود؛ للقطع بالمخالفة لو اقتصرنا على المعلومات في الفروع، وليس كذلك في الأصول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مجرد التسمية غير مجد، فلنا ضمّ بعض الأحكام الفرعية إلى </w:t>
      </w:r>
    </w:p>
    <w:p>
      <w:pPr>
        <w:pStyle w:val="BookText"/>
        <w:rPr/>
      </w:pPr>
      <w:r>
        <w:rPr>
          <w:rFonts w:ascii="Amiri" w:hAnsi="Amiri" w:eastAsia="Amiri" w:cs="Amiri"/>
          <w:color w:val="111111"/>
          <w:sz w:val="28"/>
          <w:sz w:val="28"/>
          <w:szCs w:val="28"/>
          <w:rtl w:val="true"/>
          <w:lang w:bidi="ar-SA"/>
        </w:rPr>
        <w:t>الأصولية، وترك بعض آخر منها، حتى لا</w:t>
      </w:r>
      <w:r>
        <w:rPr>
          <w:rStyle w:val="FootnoteAnchor"/>
          <w:rtl w:val="true"/>
        </w:rPr>
        <w:footnoteReference w:id="1740"/>
      </w:r>
      <w:r>
        <w:rPr>
          <w:rFonts w:ascii="Amiri" w:hAnsi="Amiri" w:eastAsia="Amiri" w:cs="Amiri"/>
          <w:color w:val="111111"/>
          <w:sz w:val="28"/>
          <w:sz w:val="28"/>
          <w:szCs w:val="28"/>
          <w:rtl w:val="true"/>
          <w:lang w:bidi="ar-SA"/>
        </w:rPr>
        <w:t>يحصل العلم بالمخالفة في هذا الشطر دون باقي الفرعيات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مدفوع بالإجماع المركب</w:t>
      </w:r>
      <w:r>
        <w:rPr>
          <w:rStyle w:val="FootnoteAnchor"/>
          <w:rtl w:val="true"/>
        </w:rPr>
        <w:footnoteReference w:id="1741"/>
      </w:r>
      <w:r>
        <w:rPr>
          <w:rFonts w:ascii="Amiri" w:hAnsi="Amiri" w:eastAsia="Amiri" w:cs="Amiri"/>
          <w:color w:val="111111"/>
          <w:sz w:val="28"/>
          <w:sz w:val="28"/>
          <w:szCs w:val="28"/>
          <w:rtl w:val="true"/>
          <w:lang w:bidi="ar-SA"/>
        </w:rPr>
        <w:t xml:space="preserve">، وبعد رعايته يدور الأمر بين حجية الظن في 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والأصول، وحجيته في الفروع</w:t>
      </w:r>
      <w:r>
        <w:rPr>
          <w:rFonts w:eastAsia="Amiri" w:cs="Amiri" w:ascii="Amiri" w:hAnsi="Amiri"/>
          <w:color w:val="111111"/>
          <w:sz w:val="28"/>
          <w:szCs w:val="28"/>
          <w:rtl w:val="true"/>
          <w:lang w:bidi="ar-SA"/>
        </w:rPr>
        <w:t>)</w:t>
      </w:r>
      <w:r>
        <w:rPr>
          <w:rStyle w:val="FootnoteAnchor"/>
          <w:rtl w:val="true"/>
        </w:rPr>
        <w:footnoteReference w:id="1742"/>
      </w:r>
      <w:r>
        <w:rPr>
          <w:rFonts w:ascii="Amiri" w:hAnsi="Amiri" w:eastAsia="Amiri" w:cs="Amiri"/>
          <w:color w:val="111111"/>
          <w:sz w:val="28"/>
          <w:sz w:val="28"/>
          <w:szCs w:val="28"/>
          <w:rtl w:val="true"/>
          <w:lang w:bidi="ar-SA"/>
        </w:rPr>
        <w:t>خاصة، ولما كان الأخير قدراً متيقناً اقتصرنا في مخالفة الأصل عليه،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بالمسألة الأصولية مستلزم للظن بالحكم الفرعي،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ولازمه الحجية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بالحكم الأصولي يستلزم</w:t>
      </w:r>
      <w:r>
        <w:rPr>
          <w:rStyle w:val="FootnoteAnchor"/>
          <w:rtl w:val="true"/>
        </w:rPr>
        <w:footnoteReference w:id="1743"/>
      </w:r>
      <w:r>
        <w:rPr>
          <w:rFonts w:ascii="Amiri" w:hAnsi="Amiri" w:eastAsia="Amiri" w:cs="Amiri"/>
          <w:color w:val="111111"/>
          <w:sz w:val="28"/>
          <w:sz w:val="28"/>
          <w:szCs w:val="28"/>
          <w:rtl w:val="true"/>
          <w:lang w:bidi="ar-SA"/>
        </w:rPr>
        <w:t>الظن بالحكم الفرعي</w:t>
      </w:r>
      <w:r>
        <w:rPr>
          <w:rFonts w:eastAsia="Amiri" w:cs="Amiri" w:ascii="Amiri" w:hAnsi="Amiri"/>
          <w:color w:val="111111"/>
          <w:sz w:val="28"/>
          <w:szCs w:val="28"/>
          <w:rtl w:val="true"/>
          <w:lang w:bidi="ar-SA"/>
        </w:rPr>
        <w:t>)</w:t>
      </w:r>
      <w:r>
        <w:rPr>
          <w:rStyle w:val="FootnoteAnchor"/>
          <w:rtl w:val="true"/>
        </w:rPr>
        <w:footnoteReference w:id="1744"/>
      </w:r>
      <w:r>
        <w:rPr>
          <w:rFonts w:ascii="Amiri" w:hAnsi="Amiri" w:eastAsia="Amiri" w:cs="Amiri"/>
          <w:color w:val="111111"/>
          <w:sz w:val="28"/>
          <w:sz w:val="28"/>
          <w:szCs w:val="28"/>
          <w:rtl w:val="true"/>
          <w:lang w:bidi="ar-SA"/>
        </w:rPr>
        <w:t xml:space="preserve">الظاهري، لا الواقعي، والنسبة بينهما </w:t>
      </w:r>
      <w:r>
        <w:rPr>
          <w:rStyle w:val="FootnoteAnchor"/>
          <w:rtl w:val="true"/>
        </w:rPr>
        <w:footnoteReference w:id="1745"/>
      </w:r>
      <w:r>
        <w:rPr>
          <w:rFonts w:ascii="IRNazanin" w:hAnsi="IRNazanin" w:eastAsia="IRNazanin"/>
          <w:color w:val="111111"/>
          <w:sz w:val="28"/>
          <w:sz w:val="28"/>
          <w:szCs w:val="28"/>
          <w:rtl w:val="true"/>
          <w:lang w:bidi="fa-IR"/>
        </w:rPr>
        <w:t xml:space="preserve">عموم من وجه </w:t>
      </w:r>
      <w:r>
        <w:rPr>
          <w:rStyle w:val="FootnoteAnchor"/>
          <w:rtl w:val="true"/>
        </w:rPr>
        <w:footnoteReference w:id="1746"/>
      </w:r>
      <w:r>
        <w:rPr>
          <w:rFonts w:ascii="Amiri" w:hAnsi="Amiri" w:eastAsia="Amiri" w:cs="Amiri"/>
          <w:color w:val="111111"/>
          <w:sz w:val="28"/>
          <w:sz w:val="28"/>
          <w:szCs w:val="28"/>
          <w:rtl w:val="true"/>
          <w:lang w:bidi="ar-SA"/>
        </w:rPr>
        <w:t xml:space="preserve">، والذي ثبت من البرهان السابق حجية الظن المسبب عن الظن بالحكم الفرعي الواقعي؛ لأنه القدر المتيقن، لا الظاهري، </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الظن حجة في ذي المقدمة، وهو الفروع، ففي المقدمة وهي الأصول العملية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الأولوية ظنية، لا تثبت حجية الظن مع إمكان منع الأولوية؛ لأن الأصول مبان وأس للفروع، فينبغي الاهتمام فيها أزيد</w:t>
      </w:r>
      <w:r>
        <w:rPr>
          <w:rFonts w:eastAsia="Amiri" w:cs="Amiri" w:ascii="Amiri" w:hAnsi="Amiri"/>
          <w:color w:val="111111"/>
          <w:sz w:val="28"/>
          <w:szCs w:val="28"/>
          <w:rtl w:val="true"/>
          <w:lang w:bidi="ar-SA"/>
        </w:rPr>
        <w:t>.</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نتمسك بقاعدة الاشتغال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وجود العلم الإجمالي</w:t>
      </w:r>
      <w:r>
        <w:rPr>
          <w:rFonts w:eastAsia="Amiri" w:cs="Amiri" w:ascii="Amiri" w:hAnsi="Amiri"/>
          <w:color w:val="111111"/>
          <w:sz w:val="28"/>
          <w:szCs w:val="28"/>
          <w:rtl w:val="true"/>
          <w:lang w:bidi="ar-SA"/>
        </w:rPr>
        <w:t xml:space="preserve">. </w:t>
      </w:r>
      <w:bookmarkStart w:id="548" w:name="pg9015_97655"/>
    </w:p>
    <w:p>
      <w:pPr>
        <w:pStyle w:val="Heading2"/>
        <w:numPr>
          <w:ilvl w:val="1"/>
          <w:numId w:val="1"/>
        </w:numPr>
        <w:rPr/>
      </w:pPr>
      <w:bookmarkStart w:id="549" w:name="__RefHeading___Toc2001719_2870459653"/>
      <w:bookmarkStart w:id="550" w:name="_Toc209"/>
      <w:bookmarkEnd w:id="548"/>
      <w:bookmarkEnd w:id="549"/>
      <w:r>
        <w:rPr>
          <w:rtl w:val="true"/>
        </w:rPr>
        <w:t xml:space="preserve">أصل </w:t>
      </w:r>
      <w:r>
        <w:rPr>
          <w:rtl w:val="true"/>
        </w:rPr>
        <w:t>[</w:t>
      </w:r>
      <w:r>
        <w:rPr>
          <w:rtl w:val="true"/>
        </w:rPr>
        <w:t>في الظن في الموضوع الصرف</w:t>
      </w:r>
      <w:r>
        <w:rPr>
          <w:rtl w:val="true"/>
        </w:rPr>
        <w:t>]</w:t>
      </w:r>
      <w:bookmarkEnd w:id="550"/>
    </w:p>
    <w:p>
      <w:pPr>
        <w:pStyle w:val="BookText"/>
        <w:rPr/>
      </w:pPr>
      <w:r>
        <w:rPr>
          <w:rFonts w:ascii="Amiri" w:hAnsi="Amiri" w:eastAsia="Amiri" w:cs="Amiri"/>
          <w:color w:val="111111"/>
          <w:sz w:val="28"/>
          <w:sz w:val="28"/>
          <w:szCs w:val="28"/>
          <w:rtl w:val="true"/>
          <w:lang w:bidi="ar-SA"/>
        </w:rPr>
        <w:t>الظن في الموضوع الصرف</w:t>
      </w:r>
      <w:r>
        <w:rPr>
          <w:rStyle w:val="FootnoteAnchor"/>
          <w:rtl w:val="true"/>
        </w:rPr>
        <w:footnoteReference w:id="1748"/>
      </w:r>
      <w:r>
        <w:rPr>
          <w:rFonts w:ascii="Amiri" w:hAnsi="Amiri" w:eastAsia="Amiri" w:cs="Amiri"/>
          <w:color w:val="111111"/>
          <w:sz w:val="28"/>
          <w:sz w:val="28"/>
          <w:szCs w:val="28"/>
          <w:rtl w:val="true"/>
          <w:lang w:bidi="ar-SA"/>
        </w:rPr>
        <w:t>إن كان موافقاً للأصل، كالظن</w:t>
      </w:r>
      <w:r>
        <w:rPr>
          <w:rStyle w:val="FootnoteAnchor"/>
          <w:rtl w:val="true"/>
        </w:rPr>
        <w:footnoteReference w:id="1749"/>
      </w:r>
      <w:r>
        <w:rPr>
          <w:rFonts w:ascii="Amiri" w:hAnsi="Amiri" w:eastAsia="Amiri" w:cs="Amiri"/>
          <w:color w:val="111111"/>
          <w:sz w:val="28"/>
          <w:sz w:val="28"/>
          <w:szCs w:val="28"/>
          <w:rtl w:val="true"/>
          <w:lang w:bidi="ar-SA"/>
        </w:rPr>
        <w:t>بعدم دخول الوقت، أو مرجّحاً لأحد طرفي المحذورين فيما دار الأمر بينهما</w:t>
      </w:r>
      <w:r>
        <w:rPr>
          <w:rStyle w:val="FootnoteAnchor"/>
          <w:rtl w:val="true"/>
        </w:rPr>
        <w:footnoteReference w:id="1750"/>
      </w:r>
      <w:r>
        <w:rPr>
          <w:rFonts w:ascii="Amiri" w:hAnsi="Amiri" w:eastAsia="Amiri" w:cs="Amiri"/>
          <w:color w:val="111111"/>
          <w:sz w:val="28"/>
          <w:sz w:val="28"/>
          <w:szCs w:val="28"/>
          <w:rtl w:val="true"/>
          <w:lang w:bidi="ar-SA"/>
        </w:rPr>
        <w:t xml:space="preserve">، أو مخالفاً للأصل ولكن لا يتمكن المكلف من العمل بالأصل، ولا من تحصيل العلم ولو امتناعاً عرضياً مسبّباً من لزوم الاختلال في إلزام مجموع المكلفين وإن لم يلزم في كل واحد واحد، كالظن باجتهاد شخص لمن وجب عليه التقليد مثلاً </w:t>
      </w:r>
      <w:r>
        <w:rPr>
          <w:rStyle w:val="FootnoteAnchor"/>
          <w:rtl w:val="true"/>
        </w:rPr>
        <w:footnoteReference w:id="1751"/>
      </w:r>
      <w:r>
        <w:rPr>
          <w:rFonts w:ascii="Amiri" w:hAnsi="Amiri" w:eastAsia="Amiri" w:cs="Amiri"/>
          <w:color w:val="111111"/>
          <w:sz w:val="28"/>
          <w:sz w:val="28"/>
          <w:szCs w:val="28"/>
          <w:rtl w:val="true"/>
          <w:lang w:bidi="ar-SA"/>
        </w:rPr>
        <w:t>، فلا كلام</w:t>
      </w:r>
      <w:r>
        <w:rPr>
          <w:rStyle w:val="FootnoteAnchor"/>
          <w:rtl w:val="true"/>
        </w:rPr>
        <w:footnoteReference w:id="1752"/>
      </w:r>
      <w:r>
        <w:rPr>
          <w:rFonts w:ascii="IRNazanin" w:hAnsi="IRNazanin" w:eastAsia="IRNazanin"/>
          <w:color w:val="111111"/>
          <w:sz w:val="28"/>
          <w:sz w:val="28"/>
          <w:szCs w:val="28"/>
          <w:rtl w:val="true"/>
          <w:lang w:bidi="fa-IR"/>
        </w:rPr>
        <w:t>، والّا فلا عمل</w:t>
      </w:r>
      <w:r>
        <w:rPr>
          <w:rStyle w:val="FootnoteAnchor"/>
          <w:rtl w:val="true"/>
        </w:rPr>
        <w:footnoteReference w:id="1753"/>
      </w:r>
      <w:r>
        <w:rPr>
          <w:rFonts w:ascii="Amiri" w:hAnsi="Amiri" w:eastAsia="Amiri" w:cs="Amiri"/>
          <w:color w:val="111111"/>
          <w:sz w:val="28"/>
          <w:sz w:val="28"/>
          <w:szCs w:val="28"/>
          <w:rtl w:val="true"/>
          <w:lang w:bidi="ar-SA"/>
        </w:rPr>
        <w:t xml:space="preserve">على الظن المخالف للأصل في الموضوع </w:t>
      </w:r>
      <w:r>
        <w:rPr>
          <w:rStyle w:val="FootnoteAnchor"/>
          <w:rtl w:val="true"/>
        </w:rPr>
        <w:footnoteReference w:id="1754"/>
      </w:r>
      <w:r>
        <w:rPr>
          <w:rFonts w:ascii="Amiri" w:hAnsi="Amiri" w:eastAsia="Amiri" w:cs="Amiri"/>
          <w:color w:val="111111"/>
          <w:sz w:val="28"/>
          <w:sz w:val="28"/>
          <w:szCs w:val="28"/>
          <w:rtl w:val="true"/>
          <w:lang w:bidi="ar-SA"/>
        </w:rPr>
        <w:t>الصرف؛ لأصالة حرمة العمل بما وراء العلم ، وللأصل الذي هو</w:t>
      </w:r>
      <w:r>
        <w:rPr>
          <w:rStyle w:val="FootnoteAnchor"/>
          <w:rtl w:val="true"/>
        </w:rPr>
        <w:footnoteReference w:id="1755"/>
      </w:r>
      <w:r>
        <w:rPr>
          <w:rFonts w:ascii="Amiri" w:hAnsi="Amiri" w:eastAsia="Amiri" w:cs="Amiri"/>
          <w:color w:val="111111"/>
          <w:sz w:val="28"/>
          <w:sz w:val="28"/>
          <w:szCs w:val="28"/>
          <w:rtl w:val="true"/>
          <w:lang w:bidi="ar-SA"/>
        </w:rPr>
        <w:t xml:space="preserve">في خصوص المسألة؛ إذ الفرض أن الظن </w:t>
      </w:r>
      <w:r>
        <w:rPr>
          <w:rStyle w:val="FootnoteAnchor"/>
          <w:rtl w:val="true"/>
        </w:rPr>
        <w:footnoteReference w:id="1756"/>
      </w:r>
      <w:r>
        <w:rPr>
          <w:rFonts w:ascii="Amiri" w:hAnsi="Amiri" w:eastAsia="Amiri" w:cs="Amiri"/>
          <w:color w:val="111111"/>
          <w:sz w:val="28"/>
          <w:sz w:val="28"/>
          <w:szCs w:val="28"/>
          <w:rtl w:val="true"/>
          <w:lang w:bidi="ar-SA"/>
        </w:rPr>
        <w:t>على خلاف الأصل، كالظن بنجاسة غسالة الحمام</w:t>
      </w:r>
      <w:r>
        <w:rPr>
          <w:rFonts w:eastAsia="Amiri" w:cs="Amiri" w:ascii="Amiri" w:hAnsi="Amiri"/>
          <w:color w:val="111111"/>
          <w:sz w:val="28"/>
          <w:szCs w:val="28"/>
          <w:rtl w:val="true"/>
          <w:lang w:bidi="ar-SA"/>
        </w:rPr>
        <w:t>.</w:t>
      </w:r>
      <w:r>
        <w:rPr>
          <w:rStyle w:val="FootnoteAnchor"/>
          <w:rtl w:val="true"/>
        </w:rPr>
        <w:footnoteReference w:id="175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w:t>
      </w:r>
      <w:r>
        <w:rPr>
          <w:rStyle w:val="FootnoteAnchor"/>
          <w:rtl w:val="true"/>
        </w:rPr>
        <w:footnoteReference w:id="1758"/>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ترك الظنون في الموضوعات الصرفة المخالفة القطعية </w:t>
      </w:r>
    </w:p>
    <w:p>
      <w:pPr>
        <w:pStyle w:val="BookText"/>
        <w:rPr/>
      </w:pPr>
      <w:r>
        <w:rPr>
          <w:rFonts w:ascii="Amiri" w:hAnsi="Amiri" w:eastAsia="Amiri" w:cs="Amiri"/>
          <w:color w:val="111111"/>
          <w:sz w:val="28"/>
          <w:sz w:val="28"/>
          <w:szCs w:val="28"/>
          <w:rtl w:val="true"/>
          <w:lang w:bidi="ar-SA"/>
        </w:rPr>
        <w:t>الإجمالية، كما كانت تلزم في الفروع، فدليل الحجية 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القطعية الإجمالية إنما تضر في الفروع لا الموضوعات؛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علمنا بتكليف المشافهين بالأحكام الواقعية الفرعية، وباشتراكنا معهم في التكليف، فوجب الاحتراز عن المخالفة القطعية، بخلاف الموضوعات</w:t>
      </w:r>
      <w:r>
        <w:rPr>
          <w:rStyle w:val="FootnoteAnchor"/>
          <w:rtl w:val="true"/>
        </w:rPr>
        <w:footnoteReference w:id="1759"/>
      </w:r>
      <w:r>
        <w:rPr>
          <w:rFonts w:ascii="Amiri" w:hAnsi="Amiri" w:eastAsia="Amiri" w:cs="Amiri"/>
          <w:color w:val="111111"/>
          <w:sz w:val="28"/>
          <w:sz w:val="28"/>
          <w:szCs w:val="28"/>
          <w:rtl w:val="true"/>
          <w:lang w:bidi="ar-SA"/>
        </w:rPr>
        <w:t xml:space="preserve">إذ كما أن باب العلم منسد لنا في بعض الموضوعات الصرفة، فكذا كان منسداً للمشافهين، والتكليف للمشافه في مظنونات </w:t>
      </w:r>
      <w:r>
        <w:rPr>
          <w:rStyle w:val="FootnoteAnchor"/>
          <w:rtl w:val="true"/>
        </w:rPr>
        <w:footnoteReference w:id="1760"/>
      </w:r>
      <w:r>
        <w:rPr>
          <w:rFonts w:ascii="Amiri" w:hAnsi="Amiri" w:eastAsia="Amiri" w:cs="Amiri"/>
          <w:color w:val="111111"/>
          <w:sz w:val="28"/>
          <w:sz w:val="28"/>
          <w:szCs w:val="28"/>
          <w:rtl w:val="true"/>
          <w:lang w:bidi="ar-SA"/>
        </w:rPr>
        <w:t xml:space="preserve">الموضوعات الصرفة الغير المحصورة ليس ثابتاً حتى يثبت لنا بأدلة الاشتراك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بالموضوع مستلزم للظن بالأحكام الشرعية، والظن في الأحكام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من البرهان المتقدم حجية الظن في الأحكام الكلية الإلهية، لا الأحكام الجزئية الشخصية التابعة للموضوعات الخاصة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الظنون الرجالية الموجبة للظن بصدور الحديث عن الإمام علیه السلام </w:t>
      </w:r>
      <w:r>
        <w:rPr>
          <w:rStyle w:val="FootnoteAnchor"/>
          <w:rtl w:val="true"/>
        </w:rPr>
        <w:footnoteReference w:id="1761"/>
      </w:r>
      <w:r>
        <w:rPr>
          <w:rFonts w:ascii="Amiri" w:hAnsi="Amiri" w:eastAsia="Amiri" w:cs="Amiri"/>
          <w:color w:val="111111"/>
          <w:sz w:val="28"/>
          <w:sz w:val="28"/>
          <w:szCs w:val="28"/>
          <w:rtl w:val="true"/>
          <w:lang w:bidi="ar-SA"/>
        </w:rPr>
        <w:t>وإن كانت من الظن في الموضوع الصرف، وذلك لاستلزام هذا الظن الظن بالحكم الفرعي الواقعي، ولأنه لولا ذلك لزم عدم حجية الأخبار</w:t>
      </w:r>
      <w:r>
        <w:rPr>
          <w:rStyle w:val="FootnoteAnchor"/>
          <w:rtl w:val="true"/>
        </w:rPr>
        <w:footnoteReference w:id="1762"/>
      </w:r>
      <w:r>
        <w:rPr>
          <w:rFonts w:ascii="Amiri" w:hAnsi="Amiri" w:eastAsia="Amiri" w:cs="Amiri"/>
          <w:color w:val="111111"/>
          <w:sz w:val="28"/>
          <w:sz w:val="28"/>
          <w:szCs w:val="28"/>
          <w:rtl w:val="true"/>
          <w:lang w:bidi="ar-SA"/>
        </w:rPr>
        <w:t>الآحاد؛ لأن معظم الآحاد أحوال رجالها مظنونة، فينسد الباب، ولزم</w:t>
      </w:r>
      <w:r>
        <w:rPr>
          <w:rStyle w:val="FootnoteAnchor"/>
          <w:rtl w:val="true"/>
        </w:rPr>
        <w:footnoteReference w:id="1763"/>
      </w:r>
      <w:r>
        <w:rPr>
          <w:rFonts w:ascii="Amiri" w:hAnsi="Amiri" w:eastAsia="Amiri" w:cs="Amiri"/>
          <w:color w:val="111111"/>
          <w:sz w:val="28"/>
          <w:sz w:val="28"/>
          <w:szCs w:val="28"/>
          <w:rtl w:val="true"/>
          <w:lang w:bidi="ar-SA"/>
        </w:rPr>
        <w:t xml:space="preserve">ما لزم من هدم الشريعة، مع أن مثل هذه الظنون أقوى من ظن الشهرة ونحوها ، لكن في الاكتفاء بالظن الحاصل من تصحيح العلماء </w:t>
      </w:r>
      <w:bookmarkStart w:id="551" w:name="pg9015_97657"/>
    </w:p>
    <w:p>
      <w:pPr>
        <w:pStyle w:val="BookText"/>
        <w:rPr/>
      </w:pPr>
      <w:bookmarkEnd w:id="551"/>
      <w:r>
        <w:rPr>
          <w:rFonts w:ascii="Amiri" w:hAnsi="Amiri" w:eastAsia="Amiri" w:cs="Amiri"/>
          <w:color w:val="111111"/>
          <w:sz w:val="28"/>
          <w:sz w:val="28"/>
          <w:szCs w:val="28"/>
          <w:rtl w:val="true"/>
          <w:lang w:bidi="ar-SA"/>
        </w:rPr>
        <w:t>السند وتضعيفهم، وجهان، مقتضى الأصل عدمه</w:t>
      </w:r>
      <w:r>
        <w:rPr>
          <w:rStyle w:val="FootnoteAnchor"/>
          <w:rtl w:val="true"/>
        </w:rPr>
        <w:footnoteReference w:id="1764"/>
      </w:r>
      <w:r>
        <w:rPr>
          <w:rFonts w:ascii="Amiri" w:hAnsi="Amiri" w:eastAsia="Amiri" w:cs="Amiri"/>
          <w:color w:val="111111"/>
          <w:sz w:val="28"/>
          <w:sz w:val="28"/>
          <w:szCs w:val="28"/>
          <w:rtl w:val="true"/>
          <w:lang w:bidi="ar-SA"/>
        </w:rPr>
        <w:t>، إلا أن يلزم من الفحص عسر، فلا يجب، أو تعطيل فيحرم</w:t>
      </w:r>
      <w:r>
        <w:rPr>
          <w:rFonts w:eastAsia="Amiri" w:cs="Amiri" w:ascii="Amiri" w:hAnsi="Amiri"/>
          <w:color w:val="111111"/>
          <w:sz w:val="28"/>
          <w:szCs w:val="28"/>
          <w:rtl w:val="true"/>
          <w:lang w:bidi="ar-SA"/>
        </w:rPr>
        <w:t>.</w:t>
      </w:r>
    </w:p>
    <w:p>
      <w:pPr>
        <w:pStyle w:val="Heading2"/>
        <w:numPr>
          <w:ilvl w:val="1"/>
          <w:numId w:val="1"/>
        </w:numPr>
        <w:rPr/>
      </w:pPr>
      <w:bookmarkStart w:id="552" w:name="__RefHeading___Toc2001721_2870459653"/>
      <w:bookmarkStart w:id="553" w:name="_Toc210"/>
      <w:bookmarkEnd w:id="552"/>
      <w:r>
        <w:rPr>
          <w:rtl w:val="true"/>
        </w:rPr>
        <w:t xml:space="preserve">أصل </w:t>
      </w:r>
      <w:r>
        <w:rPr>
          <w:rtl w:val="true"/>
        </w:rPr>
        <w:t>[</w:t>
      </w:r>
      <w:r>
        <w:rPr>
          <w:rtl w:val="true"/>
        </w:rPr>
        <w:t>في الظن في الموضوع المستنبط</w:t>
      </w:r>
      <w:r>
        <w:rPr>
          <w:rtl w:val="true"/>
        </w:rPr>
        <w:t>]</w:t>
      </w:r>
      <w:bookmarkEnd w:id="553"/>
    </w:p>
    <w:p>
      <w:pPr>
        <w:pStyle w:val="Heading3"/>
        <w:numPr>
          <w:ilvl w:val="2"/>
          <w:numId w:val="1"/>
        </w:numPr>
        <w:rPr/>
      </w:pPr>
      <w:bookmarkStart w:id="554" w:name="__RefHeading___Toc2001723_2870459653"/>
      <w:bookmarkStart w:id="555" w:name="_Toc211"/>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 xml:space="preserve">الحق أن الظن في الموضوع المستنبط ،حجة، والمراد به </w:t>
      </w:r>
      <w:r>
        <w:rPr>
          <w:rStyle w:val="FootnoteAnchor"/>
          <w:rtl w:val="true"/>
        </w:rPr>
        <w:footnoteReference w:id="1765"/>
      </w:r>
      <w:r>
        <w:rPr>
          <w:rFonts w:ascii="Amiri" w:hAnsi="Amiri" w:eastAsia="Amiri" w:cs="Amiri"/>
          <w:color w:val="111111"/>
          <w:sz w:val="28"/>
          <w:sz w:val="28"/>
          <w:szCs w:val="28"/>
          <w:rtl w:val="true"/>
          <w:lang w:bidi="ar-SA"/>
        </w:rPr>
        <w:t>هنا ألفاظ الكتاب والسنة، بقرينة النزاع في الحجية</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2001725_2870459653"/>
      <w:bookmarkStart w:id="557" w:name="_Toc212"/>
      <w:bookmarkEnd w:id="556"/>
      <w:r>
        <w:rPr>
          <w:rtl w:val="true"/>
        </w:rPr>
        <w:t>[</w:t>
      </w:r>
      <w:r>
        <w:rPr>
          <w:rtl w:val="true"/>
        </w:rPr>
        <w:t>تحرير محل النزاع</w:t>
      </w:r>
      <w:r>
        <w:rPr>
          <w:rtl w:val="true"/>
        </w:rPr>
        <w:t>]</w:t>
      </w:r>
      <w:bookmarkEnd w:id="557"/>
    </w:p>
    <w:p>
      <w:pPr>
        <w:pStyle w:val="BookText"/>
        <w:rPr/>
      </w:pPr>
      <w:r>
        <w:rPr>
          <w:rFonts w:ascii="Amiri" w:hAnsi="Amiri" w:eastAsia="Amiri" w:cs="Amiri"/>
          <w:color w:val="111111"/>
          <w:sz w:val="28"/>
          <w:sz w:val="28"/>
          <w:szCs w:val="28"/>
          <w:rtl w:val="true"/>
          <w:lang w:bidi="ar-SA"/>
        </w:rPr>
        <w:t>والنزاع ليس فيما علم عدم حجيته فيه كالقياس والاستحسان والمصالح المرسلة؛ ولا فيما علم حجيته</w:t>
      </w:r>
      <w:r>
        <w:rPr>
          <w:rStyle w:val="FootnoteAnchor"/>
          <w:rtl w:val="true"/>
        </w:rPr>
        <w:footnoteReference w:id="1766"/>
      </w:r>
      <w:r>
        <w:rPr>
          <w:rFonts w:ascii="Amiri" w:hAnsi="Amiri" w:eastAsia="Amiri" w:cs="Amiri"/>
          <w:color w:val="111111"/>
          <w:sz w:val="28"/>
          <w:sz w:val="28"/>
          <w:szCs w:val="28"/>
          <w:rtl w:val="true"/>
          <w:lang w:bidi="ar-SA"/>
        </w:rPr>
        <w:t xml:space="preserve">فيه، كقول اللغوي، وإن كان واحداً، والأصول العدمية كأصالة عدم النقل، فإن حجيتهما اجماعية والأمارات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كالتبادر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المثبتة </w:t>
      </w:r>
      <w:r>
        <w:rPr>
          <w:rStyle w:val="FootnoteAnchor"/>
          <w:rtl w:val="true"/>
        </w:rPr>
        <w:footnoteReference w:id="1767"/>
      </w:r>
      <w:r>
        <w:rPr>
          <w:rFonts w:ascii="Amiri" w:hAnsi="Amiri" w:eastAsia="Amiri" w:cs="Amiri"/>
          <w:color w:val="111111"/>
          <w:sz w:val="28"/>
          <w:sz w:val="28"/>
          <w:szCs w:val="28"/>
          <w:rtl w:val="true"/>
          <w:lang w:bidi="ar-SA"/>
        </w:rPr>
        <w:t xml:space="preserve">للمعنى بضميمة الأصول الإجماعية </w:t>
      </w:r>
      <w:r>
        <w:rPr>
          <w:rStyle w:val="FootnoteAnchor"/>
          <w:rtl w:val="true"/>
        </w:rPr>
        <w:footnoteReference w:id="1768"/>
      </w:r>
      <w:r>
        <w:rPr>
          <w:rFonts w:ascii="Amiri" w:hAnsi="Amiri" w:eastAsia="Amiri" w:cs="Amiri"/>
          <w:color w:val="111111"/>
          <w:sz w:val="28"/>
          <w:sz w:val="28"/>
          <w:szCs w:val="28"/>
          <w:rtl w:val="true"/>
          <w:lang w:bidi="ar-SA"/>
        </w:rPr>
        <w:t>، بل فيما شك في حجيته فيه، كالاستقراء والخبر الواحد الظني، وذهاب الأكثر</w:t>
      </w:r>
      <w:r>
        <w:rPr>
          <w:rFonts w:eastAsia="Amiri" w:cs="Amiri" w:ascii="Amiri" w:hAnsi="Amiri"/>
          <w:color w:val="111111"/>
          <w:sz w:val="28"/>
          <w:szCs w:val="28"/>
          <w:rtl w:val="true"/>
          <w:lang w:bidi="ar-SA"/>
        </w:rPr>
        <w:t>.</w:t>
      </w:r>
      <w:r>
        <w:rPr>
          <w:rStyle w:val="FootnoteAnchor"/>
          <w:rtl w:val="true"/>
        </w:rPr>
        <w:footnoteReference w:id="1769"/>
      </w:r>
    </w:p>
    <w:p>
      <w:pPr>
        <w:pStyle w:val="Heading3"/>
        <w:numPr>
          <w:ilvl w:val="2"/>
          <w:numId w:val="1"/>
        </w:numPr>
        <w:rPr/>
      </w:pPr>
      <w:bookmarkStart w:id="558" w:name="__RefHeading___Toc2001727_2870459653"/>
      <w:bookmarkStart w:id="559" w:name="_Toc213"/>
      <w:bookmarkEnd w:id="558"/>
      <w:r>
        <w:rPr>
          <w:rtl w:val="true"/>
        </w:rPr>
        <w:t>[</w:t>
      </w:r>
      <w:r>
        <w:rPr>
          <w:rtl w:val="true"/>
        </w:rPr>
        <w:t>تأسيس الأصل</w:t>
      </w:r>
      <w:r>
        <w:rPr>
          <w:rtl w:val="true"/>
        </w:rPr>
        <w:t>]</w:t>
      </w:r>
      <w:bookmarkEnd w:id="55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الأصل فيه مع نافي الحجية </w:t>
      </w:r>
      <w:r>
        <w:rPr>
          <w:rStyle w:val="FootnoteAnchor"/>
          <w:rtl w:val="true"/>
        </w:rPr>
        <w:footnoteReference w:id="1770"/>
      </w:r>
      <w:r>
        <w:rPr>
          <w:rFonts w:ascii="Amiri" w:hAnsi="Amiri" w:eastAsia="Amiri" w:cs="Amiri"/>
          <w:color w:val="111111"/>
          <w:sz w:val="28"/>
          <w:sz w:val="28"/>
          <w:szCs w:val="28"/>
          <w:rtl w:val="true"/>
          <w:lang w:bidi="ar-SA"/>
        </w:rPr>
        <w:t xml:space="preserve">، سيما مع انفتاح باب العلم الوجداني، أو </w:t>
      </w:r>
    </w:p>
    <w:p>
      <w:pPr>
        <w:pStyle w:val="BookText"/>
        <w:rPr/>
      </w:pPr>
      <w:r>
        <w:rPr>
          <w:rFonts w:ascii="Amiri" w:hAnsi="Amiri" w:eastAsia="Amiri" w:cs="Amiri"/>
          <w:color w:val="111111"/>
          <w:sz w:val="28"/>
          <w:sz w:val="28"/>
          <w:szCs w:val="28"/>
          <w:rtl w:val="true"/>
          <w:lang w:bidi="ar-SA"/>
        </w:rPr>
        <w:t>الظن المقطوع الحجية فيه غالباً، بحيث لا يلزم من</w:t>
      </w:r>
      <w:r>
        <w:rPr>
          <w:rStyle w:val="FootnoteAnchor"/>
          <w:rtl w:val="true"/>
        </w:rPr>
        <w:footnoteReference w:id="1771"/>
      </w:r>
      <w:r>
        <w:rPr>
          <w:rFonts w:ascii="Amiri" w:hAnsi="Amiri" w:eastAsia="Amiri" w:cs="Amiri"/>
          <w:color w:val="111111"/>
          <w:sz w:val="28"/>
          <w:sz w:val="28"/>
          <w:szCs w:val="28"/>
          <w:rtl w:val="true"/>
          <w:lang w:bidi="ar-SA"/>
        </w:rPr>
        <w:t xml:space="preserve">طرح الظن المشكوك ، والرجوع في المواضع النادرة إلى الأصول الفقاهتية مخالفة قطعية </w:t>
      </w:r>
      <w:r>
        <w:rPr>
          <w:rFonts w:eastAsia="Amiri" w:cs="Amiri" w:ascii="Amiri" w:hAnsi="Amiri"/>
          <w:color w:val="111111"/>
          <w:sz w:val="28"/>
          <w:szCs w:val="28"/>
          <w:rtl w:val="true"/>
          <w:lang w:bidi="ar-SA"/>
        </w:rPr>
        <w:t>.</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لكن الحق الحجية، وفاقاً للأكثر ، بل ادعي عليه الإجماع</w:t>
      </w:r>
      <w:r>
        <w:rPr>
          <w:rStyle w:val="FootnoteAnchor"/>
          <w:rtl w:val="true"/>
        </w:rPr>
        <w:footnoteReference w:id="1773"/>
      </w:r>
      <w:r>
        <w:rPr>
          <w:rFonts w:ascii="Amiri" w:hAnsi="Amiri" w:eastAsia="Amiri" w:cs="Amiri"/>
          <w:color w:val="111111"/>
          <w:sz w:val="28"/>
          <w:sz w:val="28"/>
          <w:szCs w:val="28"/>
          <w:rtl w:val="true"/>
          <w:lang w:bidi="ar-SA"/>
        </w:rPr>
        <w:t xml:space="preserve">وذلك لأن الظن به مستلزم للظن بالحكم الفرعي الواقعي </w:t>
      </w:r>
      <w:r>
        <w:rPr>
          <w:rStyle w:val="FootnoteAnchor"/>
          <w:rtl w:val="true"/>
        </w:rPr>
        <w:footnoteReference w:id="1774"/>
      </w:r>
      <w:r>
        <w:rPr>
          <w:rFonts w:ascii="Amiri" w:hAnsi="Amiri" w:eastAsia="Amiri" w:cs="Amiri"/>
          <w:color w:val="111111"/>
          <w:sz w:val="28"/>
          <w:sz w:val="28"/>
          <w:szCs w:val="28"/>
          <w:rtl w:val="true"/>
          <w:lang w:bidi="ar-SA"/>
        </w:rPr>
        <w:t>، وللزوم المخالفة القطعية عند ترك هذه الظنون</w:t>
      </w:r>
      <w:r>
        <w:rPr>
          <w:rStyle w:val="FootnoteAnchor"/>
          <w:rtl w:val="true"/>
        </w:rPr>
        <w:footnoteReference w:id="1775"/>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ولأنا نفرض آية من الكتاب أو المتواتر مشتملة على لفظ ظني الوضع وخبراً واحداً صحيحاً مشتملاً على ألفاظ كلها قطعية الوضع، فلكل جهة رجحان ومرجوحية، فالمقدمة الرابعة تثبت</w:t>
      </w:r>
      <w:r>
        <w:rPr>
          <w:rStyle w:val="FootnoteAnchor"/>
          <w:rtl w:val="true"/>
        </w:rPr>
        <w:footnoteReference w:id="1777"/>
      </w:r>
      <w:r>
        <w:rPr>
          <w:rFonts w:ascii="Amiri" w:hAnsi="Amiri" w:eastAsia="Amiri" w:cs="Amiri"/>
          <w:color w:val="111111"/>
          <w:sz w:val="28"/>
          <w:sz w:val="28"/>
          <w:szCs w:val="28"/>
          <w:rtl w:val="true"/>
          <w:lang w:bidi="ar-SA"/>
        </w:rPr>
        <w:t>حجيتهما معاً؛ لعدم كون أحدهما قدراً متيقناً حينئذ ؛ لوجود القائل بحجية الأول دون الثاني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يدّعى أن أغلب الألفاظ وإن كانت معلومة، إلا أن وجود آية أو حديث، تكون جميع ألفاظها، مفرداتها ومركباتها، معلومة نادر فيلزم السد الأغلبي </w:t>
      </w:r>
      <w:bookmarkStart w:id="560" w:name="pg9015_97659"/>
    </w:p>
    <w:p>
      <w:pPr>
        <w:pStyle w:val="BookText"/>
        <w:rPr/>
      </w:pPr>
      <w:bookmarkEnd w:id="560"/>
      <w:r>
        <w:rPr>
          <w:rFonts w:ascii="Amiri" w:hAnsi="Amiri" w:eastAsia="Amiri" w:cs="Amiri"/>
          <w:color w:val="111111"/>
          <w:sz w:val="28"/>
          <w:sz w:val="28"/>
          <w:szCs w:val="28"/>
          <w:rtl w:val="true"/>
          <w:lang w:bidi="ar-SA"/>
        </w:rPr>
        <w:t>أيضاً عند طرح الظنون،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كان مثل الكتاب، أو المتواتر المشتمل على لفظ ظني الوضع، مثبتاً لحكم أصولي ،عملي عملنا به أيضاً لا للاستلزام؛ إذ الظن في الأصول ليس حجة، بل لبناء العرف والعقلاء على الاكتفاء بالظن في وضع الألفاظ</w:t>
      </w:r>
      <w:r>
        <w:rPr>
          <w:rFonts w:eastAsia="Amiri" w:cs="Amiri" w:ascii="Amiri" w:hAnsi="Amiri"/>
          <w:color w:val="111111"/>
          <w:sz w:val="28"/>
          <w:szCs w:val="28"/>
          <w:rtl w:val="true"/>
          <w:lang w:bidi="ar-SA"/>
        </w:rPr>
        <w:t>.</w:t>
      </w:r>
    </w:p>
    <w:p>
      <w:pPr>
        <w:pStyle w:val="Heading2"/>
        <w:numPr>
          <w:ilvl w:val="1"/>
          <w:numId w:val="1"/>
        </w:numPr>
        <w:rPr/>
      </w:pPr>
      <w:bookmarkStart w:id="561" w:name="__RefHeading___Toc2001729_2870459653"/>
      <w:bookmarkStart w:id="562" w:name="_Toc214"/>
      <w:bookmarkEnd w:id="561"/>
      <w:r>
        <w:rPr>
          <w:rtl w:val="true"/>
        </w:rPr>
        <w:t xml:space="preserve">أصل </w:t>
      </w:r>
      <w:r>
        <w:rPr>
          <w:rtl w:val="true"/>
        </w:rPr>
        <w:t>[</w:t>
      </w:r>
      <w:r>
        <w:rPr>
          <w:rtl w:val="true"/>
        </w:rPr>
        <w:t>في الظن في المسائل المشتبهة</w:t>
      </w:r>
      <w:r>
        <w:rPr>
          <w:rtl w:val="true"/>
        </w:rPr>
        <w:t>]</w:t>
      </w:r>
      <w:bookmarkEnd w:id="562"/>
    </w:p>
    <w:p>
      <w:pPr>
        <w:pStyle w:val="Heading3"/>
        <w:numPr>
          <w:ilvl w:val="2"/>
          <w:numId w:val="1"/>
        </w:numPr>
        <w:rPr/>
      </w:pPr>
      <w:bookmarkStart w:id="563" w:name="__RefHeading___Toc2001731_2870459653"/>
      <w:bookmarkStart w:id="564" w:name="_Toc215"/>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اذا اشتبه على المجتهد بعض المسائل، ولم يعلم أنها مسألة فقهية، أم أصولية، أم كلامية، كما يتفق ذلك في بعض مسائل الاجتهاد والتقليد ونحوها، فهل يعمل فيها بالظن، أم النتيجة تتبع أخس المقدمات؟</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2001733_2870459653"/>
      <w:bookmarkStart w:id="566" w:name="_Toc216"/>
      <w:bookmarkEnd w:id="565"/>
      <w:r>
        <w:rPr>
          <w:rtl w:val="true"/>
        </w:rPr>
        <w:t>[</w:t>
      </w:r>
      <w:r>
        <w:rPr>
          <w:rtl w:val="true"/>
        </w:rPr>
        <w:t>المختار في المسألة</w:t>
      </w:r>
      <w:r>
        <w:rPr>
          <w:rtl w:val="true"/>
        </w:rPr>
        <w:t>]</w:t>
      </w:r>
      <w:bookmarkEnd w:id="566"/>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778"/>
      </w:r>
      <w:r>
        <w:rPr>
          <w:rFonts w:ascii="Amiri" w:hAnsi="Amiri" w:eastAsia="Amiri" w:cs="Amiri"/>
          <w:color w:val="111111"/>
          <w:sz w:val="28"/>
          <w:sz w:val="28"/>
          <w:szCs w:val="28"/>
          <w:rtl w:val="true"/>
          <w:lang w:bidi="ar-SA"/>
        </w:rPr>
        <w:t xml:space="preserve">الحق ان الظن فيها إن كان موافقاً للأصل، كما لو ظن بعدم جواز تقليد المفضول مع وجود الأفضل، أو بعدم جواز تقليد الميت ابتداء مع وجود حيّ أعلم منه، أو مساو له كما يقتضيه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الشغل، أو ظنّ بعدم جواز الرجوع عن التقليد كما يقتضيه</w:t>
      </w:r>
      <w:r>
        <w:rPr>
          <w:rFonts w:eastAsia="Amiri" w:cs="Amiri" w:ascii="Amiri" w:hAnsi="Amiri"/>
          <w:color w:val="111111"/>
          <w:sz w:val="28"/>
          <w:szCs w:val="28"/>
          <w:rtl w:val="true"/>
          <w:lang w:bidi="ar-SA"/>
        </w:rPr>
        <w:t xml:space="preserve">) </w:t>
      </w:r>
      <w:r>
        <w:rPr>
          <w:rStyle w:val="FootnoteAnchor"/>
          <w:rtl w:val="true"/>
        </w:rPr>
        <w:footnoteReference w:id="1779"/>
      </w:r>
      <w:r>
        <w:rPr>
          <w:rFonts w:ascii="Amiri" w:hAnsi="Amiri" w:eastAsia="Amiri" w:cs="Amiri"/>
          <w:color w:val="111111"/>
          <w:sz w:val="28"/>
          <w:sz w:val="28"/>
          <w:szCs w:val="28"/>
          <w:rtl w:val="true"/>
          <w:lang w:bidi="ar-SA"/>
        </w:rPr>
        <w:t>الاستصحاب، فلا كلام؛ إذ الواقع لا يخلو من اعتبار الظنّ أو الأصل، وهما متوافقان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كان الظن في أحد طرفي المحذورين عند دوران الأمر بينهما، كما لو ظن بوجوب عمل المتجزئ بظنه؛ إذ كما أن الأصل حرمة العمل بالظن، فكذا الأصل حرمة التقليد، وكما أن الاستصحاب يقتضي جواز التقليد في المسبوق به، فكذا يقتضي جواز الاجتهاد في المسبوق به، فلا أصل في البين وكما لو ظن بجواز تقليد الميت </w:t>
      </w:r>
      <w:bookmarkStart w:id="567" w:name="pg9015_97660"/>
    </w:p>
    <w:p>
      <w:pPr>
        <w:pStyle w:val="BookText"/>
        <w:rPr/>
      </w:pPr>
      <w:bookmarkEnd w:id="567"/>
      <w:r>
        <w:rPr>
          <w:rFonts w:ascii="Amiri" w:hAnsi="Amiri" w:eastAsia="Amiri" w:cs="Amiri"/>
          <w:color w:val="111111"/>
          <w:sz w:val="28"/>
          <w:sz w:val="28"/>
          <w:szCs w:val="28"/>
          <w:rtl w:val="true"/>
          <w:lang w:bidi="ar-SA"/>
        </w:rPr>
        <w:t>الأعلم مع وجود حيّ أدون، فلا إشكال في الأخذ على طبق الظن؛ لجريان البرهان العقلي فيه؛ إذ التكليف ثابت وباب العلم منسد والاحتياط غير ممكن، وترجيح الموهوم أو التخيير بينه وبين المظنون غير 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الظن مخالفاً للأصل، كما لو ظن بجواز الرجوع عن التقليد، أو</w:t>
      </w:r>
      <w:r>
        <w:rPr>
          <w:rStyle w:val="FootnoteAnchor"/>
          <w:rtl w:val="true"/>
        </w:rPr>
        <w:footnoteReference w:id="1780"/>
      </w:r>
      <w:r>
        <w:rPr>
          <w:rFonts w:ascii="Amiri" w:hAnsi="Amiri" w:eastAsia="Amiri" w:cs="Amiri"/>
          <w:color w:val="111111"/>
          <w:sz w:val="28"/>
          <w:sz w:val="28"/>
          <w:szCs w:val="28"/>
          <w:rtl w:val="true"/>
          <w:lang w:bidi="ar-SA"/>
        </w:rPr>
        <w:t xml:space="preserve">بجواز تقليد المفضول مع وجود الأفضل، فلا عبرة بالظن؛ للأصلين أصالة الحرمة العامة، والأصل الذي في خصوص المقام، ولا يلزم المخالفة القطعية في العمل بالأصل؛ لقلة </w:t>
      </w:r>
      <w:r>
        <w:rPr>
          <w:rStyle w:val="FootnoteAnchor"/>
          <w:rtl w:val="true"/>
        </w:rPr>
        <w:footnoteReference w:id="1781"/>
      </w:r>
      <w:r>
        <w:rPr>
          <w:rFonts w:ascii="IRNazanin" w:hAnsi="IRNazanin" w:eastAsia="IRNazanin"/>
          <w:color w:val="111111"/>
          <w:sz w:val="28"/>
          <w:sz w:val="28"/>
          <w:szCs w:val="28"/>
          <w:rtl w:val="true"/>
          <w:lang w:bidi="fa-IR"/>
        </w:rPr>
        <w:t>المشتبهات</w:t>
      </w:r>
      <w:r>
        <w:rPr>
          <w:rFonts w:eastAsia="IRNazanin" w:cs="IRNazanin"/>
          <w:color w:val="111111"/>
          <w:sz w:val="28"/>
          <w:szCs w:val="28"/>
          <w:rtl w:val="true"/>
          <w:lang w:bidi="fa-IR"/>
        </w:rPr>
        <w:t>.</w:t>
      </w:r>
    </w:p>
    <w:p>
      <w:pPr>
        <w:pStyle w:val="Heading2"/>
        <w:numPr>
          <w:ilvl w:val="1"/>
          <w:numId w:val="1"/>
        </w:numPr>
        <w:rPr/>
      </w:pPr>
      <w:bookmarkStart w:id="568" w:name="__RefHeading___Toc2001735_2870459653"/>
      <w:bookmarkStart w:id="569" w:name="_Toc217"/>
      <w:bookmarkEnd w:id="568"/>
      <w:r>
        <w:rPr>
          <w:rtl w:val="true"/>
        </w:rPr>
        <w:t xml:space="preserve">أصل </w:t>
      </w:r>
      <w:r>
        <w:rPr>
          <w:rtl w:val="true"/>
        </w:rPr>
        <w:t>[</w:t>
      </w:r>
      <w:r>
        <w:rPr>
          <w:rtl w:val="true"/>
        </w:rPr>
        <w:t>في المسائل الاعتقادية</w:t>
      </w:r>
      <w:r>
        <w:rPr>
          <w:rtl w:val="true"/>
        </w:rPr>
        <w:t>]</w:t>
      </w:r>
      <w:bookmarkEnd w:id="569"/>
    </w:p>
    <w:p>
      <w:pPr>
        <w:pStyle w:val="BookText"/>
        <w:rPr/>
      </w:pPr>
      <w:r>
        <w:rPr>
          <w:rFonts w:ascii="Amiri" w:hAnsi="Amiri" w:eastAsia="Amiri" w:cs="Amiri"/>
          <w:color w:val="111111"/>
          <w:sz w:val="28"/>
          <w:sz w:val="28"/>
          <w:szCs w:val="28"/>
          <w:rtl w:val="true"/>
          <w:lang w:bidi="ar-SA"/>
        </w:rPr>
        <w:t>في حجيّة الظن في المسائل الاعتقادية وجهان، ومقتضى القاعدة الحجية إن انسد باب العلم فيها؛ حذراً من التكليف بما لا يطاق بعد ثبوت أصل التكليف، أو</w:t>
      </w:r>
      <w:r>
        <w:rPr>
          <w:rStyle w:val="FootnoteAnchor"/>
          <w:rtl w:val="true"/>
        </w:rPr>
        <w:footnoteReference w:id="1782"/>
      </w:r>
      <w:r>
        <w:rPr>
          <w:rFonts w:ascii="Amiri" w:hAnsi="Amiri" w:eastAsia="Amiri" w:cs="Amiri"/>
          <w:color w:val="111111"/>
          <w:sz w:val="28"/>
          <w:sz w:val="28"/>
          <w:szCs w:val="28"/>
          <w:rtl w:val="true"/>
          <w:lang w:bidi="ar-SA"/>
        </w:rPr>
        <w:t xml:space="preserve">إن استلزم تكليف كل الناس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والاستدلال</w:t>
      </w:r>
      <w:r>
        <w:rPr>
          <w:rFonts w:eastAsia="Amiri" w:cs="Amiri" w:ascii="Amiri" w:hAnsi="Amiri"/>
          <w:color w:val="111111"/>
          <w:sz w:val="28"/>
          <w:szCs w:val="28"/>
          <w:rtl w:val="true"/>
          <w:lang w:bidi="ar-SA"/>
        </w:rPr>
        <w:t>)</w:t>
      </w:r>
      <w:r>
        <w:rPr>
          <w:rStyle w:val="FootnoteAnchor"/>
          <w:rtl w:val="true"/>
        </w:rPr>
        <w:footnoteReference w:id="1783"/>
      </w:r>
      <w:r>
        <w:rPr>
          <w:rFonts w:ascii="Amiri" w:hAnsi="Amiri" w:eastAsia="Amiri" w:cs="Amiri"/>
          <w:color w:val="111111"/>
          <w:sz w:val="28"/>
          <w:sz w:val="28"/>
          <w:szCs w:val="28"/>
          <w:rtl w:val="true"/>
          <w:lang w:bidi="ar-SA"/>
        </w:rPr>
        <w:t>اختلال النظم، وإن تمكن آحاد الناس منه، وإن لم يلزم أحد المحذورين فمقتضى الأصل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الشأن في تشخيص الصغرى</w:t>
      </w:r>
      <w:r>
        <w:rPr>
          <w:rFonts w:eastAsia="Amiri" w:cs="Amiri" w:ascii="Amiri" w:hAnsi="Amiri"/>
          <w:color w:val="111111"/>
          <w:sz w:val="28"/>
          <w:szCs w:val="28"/>
          <w:rtl w:val="true"/>
          <w:lang w:bidi="ar-SA"/>
        </w:rPr>
        <w:t>.</w:t>
      </w:r>
      <w:r>
        <w:rPr>
          <w:rStyle w:val="FootnoteAnchor"/>
          <w:rtl w:val="true"/>
        </w:rPr>
        <w:footnoteReference w:id="178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عدم لزوم شيء من المحذورين في المسائل الواجبة؛ إذ القوة العاقلة حاكمة في جملة منها حكما قطعياً يدركه العقلاء بفطرتهم، مع قيام الضرورة في جملة منها</w:t>
      </w:r>
      <w:r>
        <w:rPr>
          <w:rFonts w:eastAsia="Amiri" w:cs="Amiri" w:ascii="Amiri" w:hAnsi="Amiri"/>
          <w:color w:val="111111"/>
          <w:sz w:val="28"/>
          <w:szCs w:val="28"/>
          <w:rtl w:val="true"/>
          <w:lang w:bidi="ar-SA"/>
        </w:rPr>
        <w:t xml:space="preserve">. </w:t>
      </w:r>
      <w:bookmarkStart w:id="570" w:name="pg9015_97661"/>
    </w:p>
    <w:p>
      <w:pPr>
        <w:pStyle w:val="Heading2"/>
        <w:numPr>
          <w:ilvl w:val="1"/>
          <w:numId w:val="1"/>
        </w:numPr>
        <w:rPr/>
      </w:pPr>
      <w:bookmarkStart w:id="571" w:name="__RefHeading___Toc2001737_2870459653"/>
      <w:bookmarkStart w:id="572" w:name="_Toc218"/>
      <w:bookmarkEnd w:id="570"/>
      <w:bookmarkEnd w:id="571"/>
      <w:r>
        <w:rPr>
          <w:rtl w:val="true"/>
        </w:rPr>
        <w:t xml:space="preserve">أصل </w:t>
      </w:r>
      <w:r>
        <w:rPr>
          <w:rtl w:val="true"/>
        </w:rPr>
        <w:t>[</w:t>
      </w:r>
      <w:r>
        <w:rPr>
          <w:rtl w:val="true"/>
        </w:rPr>
        <w:t>في التسامح في السنن والكراهة</w:t>
      </w:r>
      <w:r>
        <w:rPr>
          <w:rtl w:val="true"/>
        </w:rPr>
        <w:t>]</w:t>
      </w:r>
      <w:bookmarkEnd w:id="572"/>
    </w:p>
    <w:p>
      <w:pPr>
        <w:pStyle w:val="BookText"/>
        <w:rPr/>
      </w:pPr>
      <w:r>
        <w:rPr>
          <w:rFonts w:ascii="Amiri" w:hAnsi="Amiri" w:eastAsia="Amiri" w:cs="Amiri"/>
          <w:color w:val="111111"/>
          <w:sz w:val="28"/>
          <w:sz w:val="28"/>
          <w:szCs w:val="28"/>
          <w:rtl w:val="true"/>
          <w:lang w:bidi="ar-SA"/>
        </w:rPr>
        <w:t>كل ما جعلناه دليلاً على إثبات الوجوب والحرمة في الأحكام الشرعية الفرعية، فهو دليل لما عداهما من الأحكام الخمسة إجماعاً ، وهل يثبت الاستحباب أو الكراهة بما لا يثبت به الوجوب والحرمة من الأدلة الضعيفة؟ ، وجهان مقتضى أصالة حرمة العمل بما وراء العلم واستصحاب عدم المطلوبية،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الحق جواز التسامح في السنن فيما لا يحتمل المرجوحية </w:t>
      </w:r>
      <w:r>
        <w:rPr>
          <w:rStyle w:val="FootnoteAnchor"/>
          <w:rtl w:val="true"/>
        </w:rPr>
        <w:footnoteReference w:id="1785"/>
      </w:r>
      <w:r>
        <w:rPr>
          <w:rFonts w:ascii="Amiri" w:hAnsi="Amiri" w:eastAsia="Amiri" w:cs="Amiri"/>
          <w:color w:val="111111"/>
          <w:sz w:val="28"/>
          <w:sz w:val="28"/>
          <w:szCs w:val="28"/>
          <w:rtl w:val="true"/>
          <w:lang w:bidi="ar-SA"/>
        </w:rPr>
        <w:t xml:space="preserve">، وكان الدال على الاستحباب الخبر، 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الإجماع </w:t>
      </w:r>
      <w:r>
        <w:rPr>
          <w:rStyle w:val="FootnoteAnchor"/>
          <w:rtl w:val="true"/>
        </w:rPr>
        <w:footnoteReference w:id="1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القوة العاقلة بحسن الإقدام على ما</w:t>
      </w:r>
      <w:r>
        <w:rPr>
          <w:rStyle w:val="FootnoteAnchor"/>
          <w:rtl w:val="true"/>
        </w:rPr>
        <w:footnoteReference w:id="1787"/>
      </w:r>
      <w:r>
        <w:rPr>
          <w:rFonts w:ascii="Amiri" w:hAnsi="Amiri" w:eastAsia="Amiri" w:cs="Amiri"/>
          <w:color w:val="111111"/>
          <w:sz w:val="28"/>
          <w:sz w:val="28"/>
          <w:szCs w:val="28"/>
          <w:rtl w:val="true"/>
          <w:lang w:bidi="ar-SA"/>
        </w:rPr>
        <w:t>لا يحتمل الا الرجحان، المعتضد أو المؤيد بنصوص الباب</w:t>
      </w:r>
      <w:r>
        <w:rPr>
          <w:rStyle w:val="FootnoteAnchor"/>
          <w:rtl w:val="true"/>
        </w:rPr>
        <w:footnoteReference w:id="1788"/>
      </w:r>
      <w:r>
        <w:rPr>
          <w:rFonts w:ascii="Amiri" w:hAnsi="Amiri" w:eastAsia="Amiri" w:cs="Amiri"/>
          <w:color w:val="111111"/>
          <w:sz w:val="28"/>
          <w:sz w:val="28"/>
          <w:szCs w:val="28"/>
          <w:rtl w:val="true"/>
          <w:lang w:bidi="ar-SA"/>
        </w:rPr>
        <w:t xml:space="preserve">، ونصوص الاحتياط </w:t>
      </w:r>
      <w:r>
        <w:rPr>
          <w:rStyle w:val="FootnoteAnchor"/>
          <w:rtl w:val="true"/>
        </w:rPr>
        <w:footnoteReference w:id="1789"/>
      </w:r>
      <w:r>
        <w:rPr>
          <w:rFonts w:ascii="Amiri" w:hAnsi="Amiri" w:eastAsia="Amiri" w:cs="Amiri"/>
          <w:color w:val="111111"/>
          <w:sz w:val="28"/>
          <w:sz w:val="28"/>
          <w:szCs w:val="28"/>
          <w:rtl w:val="true"/>
          <w:lang w:bidi="ar-SA"/>
        </w:rPr>
        <w:t>، ومنه يظهر الكلام في الكراهة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إذا كان الدليل فيه</w:t>
      </w:r>
      <w:r>
        <w:rPr>
          <w:rStyle w:val="FootnoteAnchor"/>
          <w:rtl w:val="true"/>
        </w:rPr>
        <w:footnoteReference w:id="1790"/>
      </w:r>
      <w:r>
        <w:rPr>
          <w:rFonts w:ascii="Amiri" w:hAnsi="Amiri" w:eastAsia="Amiri" w:cs="Amiri"/>
          <w:color w:val="111111"/>
          <w:sz w:val="28"/>
          <w:sz w:val="28"/>
          <w:szCs w:val="28"/>
          <w:rtl w:val="true"/>
          <w:lang w:bidi="ar-SA"/>
        </w:rPr>
        <w:t xml:space="preserve">فتوى الفقيه مجردة </w:t>
      </w:r>
      <w:r>
        <w:rPr>
          <w:rStyle w:val="FootnoteAnchor"/>
          <w:rtl w:val="true"/>
        </w:rPr>
        <w:footnoteReference w:id="1791"/>
      </w:r>
      <w:r>
        <w:rPr>
          <w:rFonts w:ascii="Amiri" w:hAnsi="Amiri" w:eastAsia="Amiri" w:cs="Amiri"/>
          <w:color w:val="111111"/>
          <w:sz w:val="28"/>
          <w:sz w:val="28"/>
          <w:szCs w:val="28"/>
          <w:rtl w:val="true"/>
          <w:lang w:bidi="ar-SA"/>
        </w:rPr>
        <w:t xml:space="preserve">، وجهان، والأقوى جواز التسامح عندي حينئذ، بل وفي مجرد الاحتمال العقلائي وإن خلا عن الفتوى، كما لو </w:t>
      </w:r>
      <w:bookmarkStart w:id="573" w:name="pg9015_97662"/>
    </w:p>
    <w:p>
      <w:pPr>
        <w:pStyle w:val="BookText"/>
        <w:rPr/>
      </w:pPr>
      <w:bookmarkEnd w:id="573"/>
      <w:r>
        <w:rPr>
          <w:rFonts w:ascii="Amiri" w:hAnsi="Amiri" w:eastAsia="Amiri" w:cs="Amiri"/>
          <w:color w:val="111111"/>
          <w:sz w:val="28"/>
          <w:sz w:val="28"/>
          <w:szCs w:val="28"/>
          <w:rtl w:val="true"/>
          <w:lang w:bidi="ar-SA"/>
        </w:rPr>
        <w:t>كان النص المجمل أو المطلق المشكك مورثاً لاحتمال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جواز التسامح للعامي وجهان ، كما في اشتراط الفحص وعدمه</w:t>
      </w:r>
      <w:r>
        <w:rPr>
          <w:rFonts w:eastAsia="Amiri" w:cs="Amiri" w:ascii="Amiri" w:hAnsi="Amiri"/>
          <w:color w:val="111111"/>
          <w:sz w:val="28"/>
          <w:szCs w:val="28"/>
          <w:rtl w:val="true"/>
          <w:lang w:bidi="ar-SA"/>
        </w:rPr>
        <w:t>.</w:t>
      </w:r>
      <w:r>
        <w:rPr>
          <w:rStyle w:val="FootnoteAnchor"/>
          <w:rtl w:val="true"/>
        </w:rPr>
        <w:footnoteReference w:id="1792"/>
      </w:r>
    </w:p>
    <w:p>
      <w:pPr>
        <w:pStyle w:val="Heading2"/>
        <w:numPr>
          <w:ilvl w:val="1"/>
          <w:numId w:val="1"/>
        </w:numPr>
        <w:rPr/>
      </w:pPr>
      <w:bookmarkStart w:id="574" w:name="__RefHeading___Toc2001739_2870459653"/>
      <w:bookmarkStart w:id="575" w:name="_Toc219"/>
      <w:bookmarkEnd w:id="574"/>
      <w:r>
        <w:rPr>
          <w:rtl w:val="true"/>
        </w:rPr>
        <w:t xml:space="preserve">أصل </w:t>
      </w:r>
      <w:r>
        <w:rPr>
          <w:rtl w:val="true"/>
        </w:rPr>
        <w:t>[</w:t>
      </w:r>
      <w:r>
        <w:rPr>
          <w:rtl w:val="true"/>
        </w:rPr>
        <w:t>في حجيّة الخبر المرسل</w:t>
      </w:r>
      <w:r>
        <w:rPr>
          <w:rtl w:val="true"/>
        </w:rPr>
        <w:t>]</w:t>
      </w:r>
      <w:bookmarkEnd w:id="575"/>
    </w:p>
    <w:p>
      <w:pPr>
        <w:pStyle w:val="BookText"/>
        <w:rPr/>
      </w:pPr>
      <w:r>
        <w:rPr>
          <w:rFonts w:ascii="Amiri" w:hAnsi="Amiri" w:eastAsia="Amiri" w:cs="Amiri"/>
          <w:color w:val="111111"/>
          <w:sz w:val="28"/>
          <w:sz w:val="28"/>
          <w:szCs w:val="28"/>
          <w:rtl w:val="true"/>
          <w:lang w:bidi="ar-SA"/>
        </w:rPr>
        <w:t>في حجيَّة الخبر المرسل مطلقاً</w:t>
      </w:r>
      <w:r>
        <w:rPr>
          <w:rStyle w:val="FootnoteAnchor"/>
          <w:rtl w:val="true"/>
        </w:rPr>
        <w:footnoteReference w:id="1793"/>
      </w:r>
      <w:r>
        <w:rPr>
          <w:rFonts w:ascii="IRNazanin" w:hAnsi="IRNazanin" w:eastAsia="IRNazanin"/>
          <w:color w:val="111111"/>
          <w:sz w:val="28"/>
          <w:sz w:val="28"/>
          <w:szCs w:val="28"/>
          <w:rtl w:val="true"/>
          <w:lang w:bidi="fa-IR"/>
        </w:rPr>
        <w:t xml:space="preserve">، أو </w:t>
      </w:r>
      <w:r>
        <w:rPr>
          <w:rStyle w:val="FootnoteAnchor"/>
          <w:rtl w:val="true"/>
        </w:rPr>
        <w:footnoteReference w:id="1794"/>
      </w:r>
      <w:r>
        <w:rPr>
          <w:rFonts w:ascii="Amiri" w:hAnsi="Amiri" w:eastAsia="Amiri" w:cs="Amiri"/>
          <w:color w:val="111111"/>
          <w:sz w:val="28"/>
          <w:sz w:val="28"/>
          <w:szCs w:val="28"/>
          <w:rtl w:val="true"/>
          <w:lang w:bidi="ar-SA"/>
        </w:rPr>
        <w:t xml:space="preserve">إذا كان الراوى لا يرسل الّا عن ثقة </w:t>
      </w:r>
      <w:r>
        <w:rPr>
          <w:rStyle w:val="FootnoteAnchor"/>
          <w:rtl w:val="true"/>
        </w:rPr>
        <w:footnoteReference w:id="1795"/>
      </w:r>
      <w:r>
        <w:rPr>
          <w:rFonts w:ascii="IRNazanin" w:hAnsi="IRNazanin" w:eastAsia="IRNazanin"/>
          <w:color w:val="111111"/>
          <w:sz w:val="28"/>
          <w:sz w:val="28"/>
          <w:szCs w:val="28"/>
          <w:rtl w:val="true"/>
          <w:lang w:bidi="fa-IR"/>
        </w:rPr>
        <w:t>، أو عدمها مطلقاً</w:t>
      </w:r>
      <w:r>
        <w:rPr>
          <w:rStyle w:val="FootnoteAnchor"/>
          <w:rtl w:val="true"/>
        </w:rPr>
        <w:footnoteReference w:id="1796"/>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 xml:space="preserve">مقتضى الأصل عدم الحجية، سواء علمنا انه لا يرسل الّا عن ثقة معلوم الوثاقة عند الكل باعتقاده أم </w:t>
      </w:r>
      <w:r>
        <w:rPr>
          <w:rStyle w:val="FootnoteAnchor"/>
          <w:rtl w:val="true"/>
        </w:rPr>
        <w:footnoteReference w:id="1798"/>
      </w:r>
      <w:r>
        <w:rPr>
          <w:rFonts w:ascii="Amiri" w:hAnsi="Amiri" w:eastAsia="Amiri" w:cs="Amiri"/>
          <w:color w:val="111111"/>
          <w:sz w:val="28"/>
          <w:sz w:val="28"/>
          <w:szCs w:val="28"/>
          <w:rtl w:val="true"/>
          <w:lang w:bidi="ar-SA"/>
        </w:rPr>
        <w:t>ظننا بذلك، أم شككنا فيه؛ إذ العلماء مختلفون في الجرح والتعديل، فلعلّ ما فهمه المرسل ثقة عند الكل لا يكون كذلك، أو له معارض في التزكية، فوجب الفحص والعلم بكونه ثقة عند الكل إجمالاً أو تفصيلا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w:t>
      </w:r>
      <w:r>
        <w:rPr>
          <w:rStyle w:val="FootnoteAnchor"/>
          <w:rtl w:val="true"/>
        </w:rPr>
        <w:footnoteReference w:id="1799"/>
      </w:r>
      <w:r>
        <w:rPr>
          <w:rFonts w:ascii="Amiri" w:hAnsi="Amiri" w:eastAsia="Amiri" w:cs="Amiri"/>
          <w:color w:val="111111"/>
          <w:sz w:val="28"/>
          <w:sz w:val="28"/>
          <w:szCs w:val="28"/>
          <w:rtl w:val="true"/>
          <w:lang w:bidi="ar-SA"/>
        </w:rPr>
        <w:t>القول بالظن المطلق العمل بمثل ذلك عند حصول الظن منه، مع كون ديدن المرسل انه لا يرسل الا عن ثقة، سيما مع تصريحه بذلك</w:t>
      </w:r>
      <w:r>
        <w:rPr>
          <w:rFonts w:eastAsia="Amiri" w:cs="Amiri" w:ascii="Amiri" w:hAnsi="Amiri"/>
          <w:color w:val="111111"/>
          <w:sz w:val="28"/>
          <w:szCs w:val="28"/>
          <w:rtl w:val="true"/>
          <w:lang w:bidi="ar-SA"/>
        </w:rPr>
        <w:t xml:space="preserve">. </w:t>
      </w:r>
      <w:bookmarkStart w:id="576" w:name="pg9015_97663"/>
    </w:p>
    <w:p>
      <w:pPr>
        <w:pStyle w:val="BookText"/>
        <w:rPr/>
      </w:pPr>
      <w:bookmarkEnd w:id="5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الأدلة العقلية</w:t>
      </w:r>
      <w:r>
        <w:rPr>
          <w:rFonts w:eastAsia="Amiri" w:cs="Amiri" w:ascii="Amiri" w:hAnsi="Amiri"/>
          <w:color w:val="111111"/>
          <w:sz w:val="28"/>
          <w:szCs w:val="28"/>
          <w:rtl w:val="true"/>
          <w:lang w:bidi="ar-SA"/>
        </w:rPr>
        <w:t>]</w:t>
      </w:r>
    </w:p>
    <w:p>
      <w:pPr>
        <w:pStyle w:val="Heading2"/>
        <w:numPr>
          <w:ilvl w:val="1"/>
          <w:numId w:val="1"/>
        </w:numPr>
        <w:rPr/>
      </w:pPr>
      <w:bookmarkStart w:id="577" w:name="__RefHeading___Toc2001741_2870459653"/>
      <w:bookmarkStart w:id="578" w:name="_Toc220"/>
      <w:bookmarkEnd w:id="577"/>
      <w:r>
        <w:rPr>
          <w:rtl w:val="true"/>
        </w:rPr>
        <w:t xml:space="preserve">أصل </w:t>
      </w:r>
      <w:r>
        <w:rPr>
          <w:rtl w:val="true"/>
        </w:rPr>
        <w:t>[</w:t>
      </w:r>
      <w:r>
        <w:rPr>
          <w:rtl w:val="true"/>
        </w:rPr>
        <w:t>في إدراك العقل للحسن و القبح بطريق الإيجاب الجزئي</w:t>
      </w:r>
      <w:r>
        <w:rPr>
          <w:rtl w:val="true"/>
        </w:rPr>
        <w:t>]</w:t>
      </w:r>
      <w:bookmarkEnd w:id="578"/>
    </w:p>
    <w:p>
      <w:pPr>
        <w:pStyle w:val="Heading3"/>
        <w:numPr>
          <w:ilvl w:val="2"/>
          <w:numId w:val="1"/>
        </w:numPr>
        <w:rPr/>
      </w:pPr>
      <w:bookmarkStart w:id="579" w:name="__RefHeading___Toc2001743_2870459653"/>
      <w:bookmarkStart w:id="580" w:name="_Toc221"/>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الحق إدراك العقل الحسن والقبح بطريق الإيجاب الجزئي</w:t>
      </w:r>
      <w:r>
        <w:rPr>
          <w:rFonts w:eastAsia="Amiri" w:cs="Amiri" w:ascii="Amiri" w:hAnsi="Amiri"/>
          <w:color w:val="111111"/>
          <w:sz w:val="28"/>
          <w:szCs w:val="28"/>
          <w:rtl w:val="true"/>
          <w:lang w:bidi="ar-SA"/>
        </w:rPr>
        <w:t>.</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وتفصيله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يطلق على ما يوافق ،الغرض، وعلى ما يلائم الطبع، وهذان يتفاوتان بحسب الأشخاص والطباع فهما إضافيان، قد يجتمعان وقد يفترقان، وعلى صفة الكمال، وعلى ما يمدح فاعله في العاجل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مطلقاً بحيث يشمل فعله تعالى، أو مع استحقاق فاعله الثواب في الآجل، فيختص بغيره تعالى، وعلى ما لا حرج في فعله، فيشمل ما عدا الحرام، أو ما عدا المرجوح تحريماً وكراهة</w:t>
      </w:r>
      <w:r>
        <w:rPr>
          <w:rFonts w:eastAsia="Amiri" w:cs="Amiri" w:ascii="Amiri" w:hAnsi="Amiri"/>
          <w:color w:val="111111"/>
          <w:sz w:val="28"/>
          <w:szCs w:val="28"/>
          <w:rtl w:val="true"/>
          <w:lang w:bidi="ar-SA"/>
        </w:rPr>
        <w:t>.</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والقبيح يقابله في كل هذه، وهو مجاز في الأخير؛ للتبادر، وصحة السلب عن مثل المباح</w:t>
      </w:r>
      <w:r>
        <w:rPr>
          <w:rStyle w:val="FootnoteAnchor"/>
          <w:rtl w:val="true"/>
        </w:rPr>
        <w:footnoteReference w:id="1802"/>
      </w:r>
      <w:r>
        <w:rPr>
          <w:rFonts w:ascii="Amiri" w:hAnsi="Amiri" w:eastAsia="Amiri" w:cs="Amiri"/>
          <w:color w:val="111111"/>
          <w:sz w:val="28"/>
          <w:sz w:val="28"/>
          <w:szCs w:val="28"/>
          <w:rtl w:val="true"/>
          <w:lang w:bidi="ar-SA"/>
        </w:rPr>
        <w:t xml:space="preserve">، وحقيقة في البواقي </w:t>
      </w:r>
      <w:r>
        <w:rPr>
          <w:rStyle w:val="FootnoteAnchor"/>
          <w:rtl w:val="true"/>
        </w:rPr>
        <w:footnoteReference w:id="1803"/>
      </w:r>
      <w:r>
        <w:rPr>
          <w:rFonts w:ascii="Amiri" w:hAnsi="Amiri" w:eastAsia="Amiri" w:cs="Amiri"/>
          <w:color w:val="111111"/>
          <w:sz w:val="28"/>
          <w:sz w:val="28"/>
          <w:szCs w:val="28"/>
          <w:rtl w:val="true"/>
          <w:lang w:bidi="ar-SA"/>
        </w:rPr>
        <w:t xml:space="preserve">؛ لعدم صحة السّلب ، بنحو الاشتراك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القدر المشترك مشكوكاً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اللفظي </w:t>
      </w:r>
      <w:r>
        <w:rPr>
          <w:rStyle w:val="FootnoteAnchor"/>
          <w:rtl w:val="true"/>
        </w:rPr>
        <w:footnoteReference w:id="1804"/>
      </w:r>
      <w:r>
        <w:rPr>
          <w:rFonts w:ascii="Amiri" w:hAnsi="Amiri" w:eastAsia="Amiri" w:cs="Amiri"/>
          <w:color w:val="111111"/>
          <w:sz w:val="28"/>
          <w:sz w:val="28"/>
          <w:szCs w:val="28"/>
          <w:rtl w:val="true"/>
          <w:lang w:bidi="ar-SA"/>
        </w:rPr>
        <w:t>لأصالة عدم تعدد الوضع المقدمة على أصالة عدم وجود القدر المشترك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أصالة عدم الاستعمال فيه المستلزم للمجاز بلا حقيقة، فمعارضة بمثلها، ومدفوعة بالقطع بأن إطلاقه على تلك المعاني من باب إطلاق الكلي على الفرد، مع كون المتبادر هو الأمر المجمل القدر المشترك ، بل الأمر المبين وهو مطلق المرغوب إليه، </w:t>
      </w:r>
      <w:bookmarkStart w:id="581" w:name="pg9015_97664"/>
    </w:p>
    <w:p>
      <w:pPr>
        <w:pStyle w:val="BookText"/>
        <w:rPr/>
      </w:pPr>
      <w:bookmarkEnd w:id="581"/>
      <w:r>
        <w:rPr>
          <w:rFonts w:ascii="Amiri" w:hAnsi="Amiri" w:eastAsia="Amiri" w:cs="Amiri"/>
          <w:color w:val="111111"/>
          <w:sz w:val="28"/>
          <w:sz w:val="28"/>
          <w:szCs w:val="28"/>
          <w:rtl w:val="true"/>
          <w:lang w:bidi="ar-SA"/>
        </w:rPr>
        <w:t>ولو من جهة عكس القبيح، بل يصح سلبه عن الخصوصيات</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2001745_2870459653"/>
      <w:bookmarkStart w:id="583" w:name="_Toc222"/>
      <w:bookmarkEnd w:id="582"/>
      <w:r>
        <w:rPr>
          <w:rtl w:val="true"/>
        </w:rPr>
        <w:t>[</w:t>
      </w:r>
      <w:r>
        <w:rPr>
          <w:rtl w:val="true"/>
        </w:rPr>
        <w:t>تحرير محل النزاع</w:t>
      </w:r>
      <w:r>
        <w:rPr>
          <w:rtl w:val="true"/>
        </w:rPr>
        <w:t>]</w:t>
      </w:r>
      <w:bookmarkEnd w:id="583"/>
    </w:p>
    <w:p>
      <w:pPr>
        <w:pStyle w:val="BookText"/>
        <w:rPr/>
      </w:pPr>
      <w:r>
        <w:rPr>
          <w:rFonts w:ascii="Amiri" w:hAnsi="Amiri" w:eastAsia="Amiri" w:cs="Amiri"/>
          <w:color w:val="111111"/>
          <w:sz w:val="28"/>
          <w:sz w:val="28"/>
          <w:szCs w:val="28"/>
          <w:rtl w:val="true"/>
          <w:lang w:bidi="ar-SA"/>
        </w:rPr>
        <w:t xml:space="preserve">والنزاع مع الأشعري انما هو في المعنى الرابع، حيث ان ظاهر قدماء الاشاعرة عدم إدراك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 والذم</w:t>
      </w:r>
      <w:r>
        <w:rPr>
          <w:rStyle w:val="FootnoteAnchor"/>
          <w:rtl w:val="true"/>
        </w:rPr>
        <w:footnoteReference w:id="1805"/>
      </w:r>
      <w:r>
        <w:rPr>
          <w:rFonts w:ascii="IRNazanin" w:hAnsi="IRNazanin" w:eastAsia="IRNazanin"/>
          <w:color w:val="111111"/>
          <w:sz w:val="28"/>
          <w:sz w:val="28"/>
          <w:szCs w:val="28"/>
          <w:rtl w:val="true"/>
          <w:lang w:bidi="fa-IR"/>
        </w:rPr>
        <w:t>، والأولان</w:t>
      </w:r>
      <w:r>
        <w:rPr>
          <w:rStyle w:val="FootnoteAnchor"/>
          <w:rtl w:val="true"/>
        </w:rPr>
        <w:footnoteReference w:id="1806"/>
      </w:r>
      <w:r>
        <w:rPr>
          <w:rFonts w:ascii="Amiri" w:hAnsi="Amiri" w:eastAsia="Amiri" w:cs="Amiri"/>
          <w:color w:val="111111"/>
          <w:sz w:val="28"/>
          <w:sz w:val="28"/>
          <w:szCs w:val="28"/>
          <w:rtl w:val="true"/>
          <w:lang w:bidi="ar-SA"/>
        </w:rPr>
        <w:t>لا كلام في إدراك العقل</w:t>
      </w:r>
      <w:r>
        <w:rPr>
          <w:rFonts w:eastAsia="Amiri" w:cs="Amiri" w:ascii="Amiri" w:hAnsi="Amiri"/>
          <w:color w:val="111111"/>
          <w:sz w:val="28"/>
          <w:szCs w:val="28"/>
          <w:rtl w:val="true"/>
          <w:lang w:bidi="ar-SA"/>
        </w:rPr>
        <w:t>)</w:t>
      </w:r>
      <w:r>
        <w:rPr>
          <w:rStyle w:val="FootnoteAnchor"/>
          <w:rtl w:val="true"/>
        </w:rPr>
        <w:footnoteReference w:id="1807"/>
      </w:r>
      <w:r>
        <w:rPr>
          <w:rFonts w:ascii="Amiri" w:hAnsi="Amiri" w:eastAsia="Amiri" w:cs="Amiri"/>
          <w:color w:val="111111"/>
          <w:sz w:val="28"/>
          <w:sz w:val="28"/>
          <w:szCs w:val="28"/>
          <w:rtl w:val="true"/>
          <w:lang w:bidi="ar-SA"/>
        </w:rPr>
        <w:t>إياهما بحكم البداهة</w:t>
      </w:r>
      <w:r>
        <w:rPr>
          <w:rStyle w:val="FootnoteAnchor"/>
          <w:rtl w:val="true"/>
        </w:rPr>
        <w:footnoteReference w:id="1808"/>
      </w:r>
      <w:r>
        <w:rPr>
          <w:rFonts w:ascii="Amiri" w:hAnsi="Amiri" w:eastAsia="Amiri" w:cs="Amiri"/>
          <w:color w:val="111111"/>
          <w:sz w:val="28"/>
          <w:sz w:val="28"/>
          <w:szCs w:val="28"/>
          <w:rtl w:val="true"/>
          <w:lang w:bidi="ar-SA"/>
        </w:rPr>
        <w:t xml:space="preserve">، وكذا الثالث </w:t>
      </w:r>
      <w:r>
        <w:rPr>
          <w:rStyle w:val="FootnoteAnchor"/>
          <w:rtl w:val="true"/>
        </w:rPr>
        <w:footnoteReference w:id="1809"/>
      </w:r>
      <w:r>
        <w:rPr>
          <w:rFonts w:ascii="Amiri" w:hAnsi="Amiri" w:eastAsia="Amiri" w:cs="Amiri"/>
          <w:color w:val="111111"/>
          <w:sz w:val="28"/>
          <w:sz w:val="28"/>
          <w:szCs w:val="28"/>
          <w:rtl w:val="true"/>
          <w:lang w:bidi="ar-SA"/>
        </w:rPr>
        <w:t xml:space="preserve">وإن كان يظهر من التهذيب </w:t>
      </w:r>
      <w:r>
        <w:rPr>
          <w:rStyle w:val="FootnoteAnchor"/>
          <w:rtl w:val="true"/>
        </w:rPr>
        <w:footnoteReference w:id="1810"/>
      </w:r>
      <w:r>
        <w:rPr>
          <w:rFonts w:ascii="Amiri" w:hAnsi="Amiri" w:eastAsia="Amiri" w:cs="Amiri"/>
          <w:color w:val="111111"/>
          <w:sz w:val="28"/>
          <w:sz w:val="28"/>
          <w:szCs w:val="28"/>
          <w:rtl w:val="true"/>
          <w:lang w:bidi="ar-SA"/>
        </w:rPr>
        <w:t xml:space="preserve">إنكار بعض الأشاعرة إدراك العقل اياه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والأخير داخل في النزاع </w:t>
      </w:r>
      <w:r>
        <w:rPr>
          <w:rStyle w:val="FootnoteAnchor"/>
          <w:rtl w:val="true"/>
        </w:rPr>
        <w:footnoteReference w:id="1811"/>
      </w:r>
      <w:r>
        <w:rPr>
          <w:rFonts w:ascii="Amiri" w:hAnsi="Amiri" w:eastAsia="Amiri" w:cs="Amiri"/>
          <w:color w:val="111111"/>
          <w:sz w:val="28"/>
          <w:sz w:val="28"/>
          <w:szCs w:val="28"/>
          <w:rtl w:val="true"/>
          <w:lang w:bidi="ar-SA"/>
        </w:rPr>
        <w:t xml:space="preserve">إن كان المراد الحرج الأخروي لا خصوص الدنيوي، ومحل الكلام إدراكه المدح والذم في نظر الكل حتى الحكيم على الإطلاق، لا في الجملة، والّا لجاء الخلاف في الإطلاقات الأول، ولخرج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مقاصد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الإدراك في موضع النزاع</w:t>
      </w:r>
      <w:r>
        <w:rPr>
          <w:rFonts w:eastAsia="Amiri" w:cs="Amiri" w:ascii="Amiri" w:hAnsi="Amiri"/>
          <w:color w:val="111111"/>
          <w:sz w:val="28"/>
          <w:szCs w:val="28"/>
          <w:rtl w:val="true"/>
          <w:lang w:bidi="ar-SA"/>
        </w:rPr>
        <w:t>)</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الذم عند كل عاقل على الظلم والعدوان، والمدح لفاعل الإحسان </w:t>
      </w:r>
      <w:r>
        <w:rPr>
          <w:rStyle w:val="FootnoteAnchor"/>
          <w:rtl w:val="true"/>
        </w:rPr>
        <w:footnoteReference w:id="1813"/>
      </w:r>
      <w:r>
        <w:rPr>
          <w:rFonts w:ascii="Amiri" w:hAnsi="Amiri" w:eastAsia="Amiri" w:cs="Amiri"/>
          <w:color w:val="111111"/>
          <w:sz w:val="28"/>
          <w:sz w:val="28"/>
          <w:szCs w:val="28"/>
          <w:rtl w:val="true"/>
          <w:lang w:bidi="ar-SA"/>
        </w:rPr>
        <w:t xml:space="preserve">، وتوهم كونه ناشئاً عن الأنس بالشرع كمدح المصلي، أو عن العادة كذمّ الرجل المتلبس بلباس النساء، أو عن كونه صفة نقص أو كمال، أو عن موافقة الغرض ومخالفته </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كقبح قتل زيد عند أوليائه، أو عن ملائمة الطبع ومنافرته</w:t>
      </w:r>
      <w:r>
        <w:rPr>
          <w:rFonts w:eastAsia="Amiri" w:cs="Amiri" w:ascii="Amiri" w:hAnsi="Amiri"/>
          <w:color w:val="111111"/>
          <w:sz w:val="28"/>
          <w:szCs w:val="28"/>
          <w:rtl w:val="true"/>
          <w:lang w:bidi="ar-SA"/>
        </w:rPr>
        <w:t>.</w:t>
      </w:r>
      <w:r>
        <w:rPr>
          <w:rStyle w:val="FootnoteAnchor"/>
          <w:rtl w:val="true"/>
        </w:rPr>
        <w:footnoteReference w:id="1815"/>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نرى قبح</w:t>
      </w:r>
      <w:r>
        <w:rPr>
          <w:rStyle w:val="FootnoteAnchor"/>
          <w:rtl w:val="true"/>
        </w:rPr>
        <w:footnoteReference w:id="1816"/>
      </w:r>
      <w:r>
        <w:rPr>
          <w:rFonts w:ascii="Amiri" w:hAnsi="Amiri" w:eastAsia="Amiri" w:cs="Amiri"/>
          <w:color w:val="111111"/>
          <w:sz w:val="28"/>
          <w:sz w:val="28"/>
          <w:szCs w:val="28"/>
          <w:rtl w:val="true"/>
          <w:lang w:bidi="ar-SA"/>
        </w:rPr>
        <w:t xml:space="preserve">الظلم وإن قطعنا النظر عن الشرع، بل عندنا في الأديان </w:t>
      </w:r>
      <w:r>
        <w:rPr>
          <w:rStyle w:val="FootnoteAnchor"/>
          <w:rtl w:val="true"/>
        </w:rPr>
        <w:footnoteReference w:id="1817"/>
      </w:r>
      <w:r>
        <w:rPr>
          <w:rFonts w:ascii="Amiri" w:hAnsi="Amiri" w:eastAsia="Amiri" w:cs="Amiri"/>
          <w:color w:val="111111"/>
          <w:sz w:val="28"/>
          <w:sz w:val="28"/>
          <w:szCs w:val="28"/>
          <w:rtl w:val="true"/>
          <w:lang w:bidi="ar-SA"/>
        </w:rPr>
        <w:t>وإن فرضنا اعتياد الناس به، بل عدو زيد يذم قاتله ظلما؛ لأجل ظلمه وإن كان موافقاً لغرضه، أو ملائماً لطبعه</w:t>
      </w:r>
      <w:r>
        <w:rPr>
          <w:rFonts w:eastAsia="Amiri" w:cs="Amiri" w:ascii="Amiri" w:hAnsi="Amiri"/>
          <w:color w:val="111111"/>
          <w:sz w:val="28"/>
          <w:szCs w:val="28"/>
          <w:rtl w:val="true"/>
          <w:lang w:bidi="ar-SA"/>
        </w:rPr>
        <w:t>.</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وأما جعله من صفة النقص</w:t>
      </w:r>
      <w:r>
        <w:rPr>
          <w:rStyle w:val="FootnoteAnchor"/>
          <w:rtl w:val="true"/>
        </w:rPr>
        <w:footnoteReference w:id="1819"/>
      </w:r>
      <w:r>
        <w:rPr>
          <w:rFonts w:ascii="Amiri" w:hAnsi="Amiri" w:eastAsia="Amiri" w:cs="Amiri"/>
          <w:color w:val="111111"/>
          <w:sz w:val="28"/>
          <w:sz w:val="28"/>
          <w:szCs w:val="28"/>
          <w:rtl w:val="true"/>
          <w:lang w:bidi="ar-SA"/>
        </w:rPr>
        <w:t>، فلا وجه له؛ لأنه من الأفعال لا السجايا، فيذمّ فاعله ولو فعل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ولوسلّمنا،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غرضنا إثبات القبح بمعنى الذم، وإن تسبّب عن صفة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Style w:val="FootnoteAnchor"/>
          <w:rtl w:val="true"/>
        </w:rPr>
        <w:footnoteReference w:id="1820"/>
      </w:r>
      <w:r>
        <w:rPr>
          <w:rFonts w:ascii="Amiri" w:hAnsi="Amiri" w:eastAsia="Amiri" w:cs="Amiri"/>
          <w:color w:val="111111"/>
          <w:sz w:val="28"/>
          <w:sz w:val="28"/>
          <w:szCs w:val="28"/>
          <w:rtl w:val="true"/>
          <w:lang w:bidi="ar-SA"/>
        </w:rPr>
        <w:t xml:space="preserve">لولاه لما امتثل المكلفون بأوامر الله تعالى ونواهيه؛ لاحتمال كذبه؛ إذ حكم العقل بامتناعه </w:t>
      </w:r>
      <w:r>
        <w:rPr>
          <w:rStyle w:val="FootnoteAnchor"/>
          <w:rtl w:val="true"/>
        </w:rPr>
        <w:footnoteReference w:id="1821"/>
      </w:r>
      <w:r>
        <w:rPr>
          <w:rFonts w:ascii="Amiri" w:hAnsi="Amiri" w:eastAsia="Amiri" w:cs="Amiri"/>
          <w:color w:val="111111"/>
          <w:sz w:val="28"/>
          <w:sz w:val="28"/>
          <w:szCs w:val="28"/>
          <w:rtl w:val="true"/>
          <w:lang w:bidi="ar-SA"/>
        </w:rPr>
        <w:t>منه تعالى إنما هو لقبحه، لا لعدم قدرته، فإذا لم يحكم العقل بقبحه لم يحكم امتناعه، فلا يوثق بوعده ووعيده، فلا يمتثل المكلف، وهو باطل باتفاق الخصم، ويكون التكليف حينئذ سفها</w:t>
      </w:r>
      <w:r>
        <w:rPr>
          <w:rFonts w:eastAsia="Amiri" w:cs="Amiri" w:ascii="Amiri" w:hAnsi="Amiri"/>
          <w:color w:val="111111"/>
          <w:sz w:val="28"/>
          <w:szCs w:val="28"/>
          <w:rtl w:val="true"/>
          <w:lang w:bidi="ar-SA"/>
        </w:rPr>
        <w:t>.</w:t>
      </w:r>
      <w:r>
        <w:rPr>
          <w:rStyle w:val="FootnoteAnchor"/>
          <w:rtl w:val="true"/>
        </w:rPr>
        <w:footnoteReference w:id="182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823"/>
      </w:r>
      <w:r>
        <w:rPr>
          <w:rFonts w:ascii="Amiri" w:hAnsi="Amiri" w:eastAsia="Amiri" w:cs="Amiri"/>
          <w:color w:val="111111"/>
          <w:sz w:val="28"/>
          <w:sz w:val="28"/>
          <w:szCs w:val="28"/>
          <w:rtl w:val="true"/>
          <w:lang w:bidi="ar-SA"/>
        </w:rPr>
        <w:t>التمسك في إثبات العلم بعدم صدوره عنه تعالى بجريان عادته على الصدق</w:t>
      </w:r>
      <w:r>
        <w:rPr>
          <w:rStyle w:val="FootnoteAnchor"/>
          <w:rtl w:val="true"/>
        </w:rPr>
        <w:footnoteReference w:id="1824"/>
      </w:r>
      <w:r>
        <w:rPr>
          <w:rFonts w:ascii="Amiri" w:hAnsi="Amiri" w:eastAsia="Amiri" w:cs="Amiri"/>
          <w:color w:val="111111"/>
          <w:sz w:val="28"/>
          <w:sz w:val="28"/>
          <w:szCs w:val="28"/>
          <w:rtl w:val="true"/>
          <w:lang w:bidi="ar-SA"/>
        </w:rPr>
        <w:t xml:space="preserve">، مردود بنقل الكلام إلى بدو الأمر حيث لم يكن عادة، فمن أين 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العلم بالصدق الأغلبي حتى يحصل العلم العادي حتى يحصل العلم العادي </w:t>
      </w:r>
      <w:r>
        <w:rPr>
          <w:rStyle w:val="FootnoteAnchor"/>
          <w:rtl w:val="true"/>
        </w:rPr>
        <w:footnoteReference w:id="1825"/>
      </w:r>
      <w:r>
        <w:rPr>
          <w:rFonts w:ascii="IRNazanin" w:hAnsi="IRNazanin" w:eastAsia="IRNazanin"/>
          <w:color w:val="111111"/>
          <w:sz w:val="28"/>
          <w:sz w:val="28"/>
          <w:szCs w:val="28"/>
          <w:rtl w:val="true"/>
          <w:lang w:bidi="fa-IR"/>
        </w:rPr>
        <w:t>؟ مع انه</w:t>
      </w:r>
      <w:r>
        <w:rPr>
          <w:rStyle w:val="FootnoteAnchor"/>
          <w:rtl w:val="true"/>
        </w:rPr>
        <w:footnoteReference w:id="1826"/>
      </w:r>
      <w:r>
        <w:rPr>
          <w:rFonts w:ascii="Amiri" w:hAnsi="Amiri" w:eastAsia="Amiri" w:cs="Amiri"/>
          <w:color w:val="111111"/>
          <w:sz w:val="28"/>
          <w:sz w:val="28"/>
          <w:szCs w:val="28"/>
          <w:rtl w:val="true"/>
          <w:lang w:bidi="ar-SA"/>
        </w:rPr>
        <w:t>لا يتم الا في حق قليل من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بكون الصدق موافقاً لغرضه</w:t>
      </w:r>
      <w:r>
        <w:rPr>
          <w:rStyle w:val="FootnoteAnchor"/>
          <w:rtl w:val="true"/>
        </w:rPr>
        <w:footnoteReference w:id="1827"/>
      </w:r>
      <w:r>
        <w:rPr>
          <w:rFonts w:ascii="Amiri" w:hAnsi="Amiri" w:eastAsia="Amiri" w:cs="Amiri"/>
          <w:color w:val="111111"/>
          <w:sz w:val="28"/>
          <w:sz w:val="28"/>
          <w:szCs w:val="28"/>
          <w:rtl w:val="true"/>
          <w:lang w:bidi="ar-SA"/>
        </w:rPr>
        <w:t>، مدفوع بأن الكذب لعله موافق لغرضه كما عليه بعض المتصوفة، وبأنه لا يقول بكون أحكامه معللة بالأغراض، وبأنه ما الدليل على امتناع صدور مناف الغرض عنه</w:t>
      </w:r>
      <w:r>
        <w:rPr>
          <w:rFonts w:eastAsia="Amiri" w:cs="Amiri" w:ascii="Amiri" w:hAnsi="Amiri"/>
          <w:color w:val="111111"/>
          <w:sz w:val="28"/>
          <w:szCs w:val="28"/>
          <w:rtl w:val="true"/>
          <w:lang w:bidi="ar-SA"/>
        </w:rPr>
        <w:t>.</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 xml:space="preserve">أو بكونه ملائماً لطبعه، مزيف بكونه منزهاً عن الطبع، وبأنه من أين علم منافرة الكذب لطبعه ولا معاشرة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ما الدليل على عدم صدور منافر الطبع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بكون الكذب صفة نقص والصدق صفة كمال، وهو منزه عن النقائص، مستجمع للكمالات</w:t>
      </w:r>
      <w:r>
        <w:rPr>
          <w:rStyle w:val="FootnoteAnchor"/>
          <w:rtl w:val="true"/>
        </w:rPr>
        <w:footnoteReference w:id="1829"/>
      </w:r>
      <w:r>
        <w:rPr>
          <w:rFonts w:ascii="IRNazanin" w:hAnsi="IRNazanin" w:eastAsia="IRNazanin"/>
          <w:color w:val="111111"/>
          <w:sz w:val="28"/>
          <w:sz w:val="28"/>
          <w:szCs w:val="28"/>
          <w:rtl w:val="true"/>
          <w:lang w:bidi="fa-IR"/>
        </w:rPr>
        <w:t>، مضعف بأن الصدق أو</w:t>
      </w:r>
      <w:r>
        <w:rPr>
          <w:rStyle w:val="FootnoteAnchor"/>
          <w:rtl w:val="true"/>
        </w:rPr>
        <w:footnoteReference w:id="1830"/>
      </w:r>
      <w:r>
        <w:rPr>
          <w:rFonts w:ascii="Amiri" w:hAnsi="Amiri" w:eastAsia="Amiri" w:cs="Amiri"/>
          <w:color w:val="111111"/>
          <w:sz w:val="28"/>
          <w:sz w:val="28"/>
          <w:szCs w:val="28"/>
          <w:rtl w:val="true"/>
          <w:lang w:bidi="ar-SA"/>
        </w:rPr>
        <w:t>الكذب من أوصاف الأفعال الظاهرة، وهو الكلام، لا الأوصاف الباطنة كالعلم والجهل، حتى يسمى صفة، فالتسمية بالصفة خلاف المصطلح</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النقص في صفات </w:t>
      </w:r>
      <w:r>
        <w:rPr>
          <w:rStyle w:val="FootnoteAnchor"/>
          <w:rtl w:val="true"/>
        </w:rPr>
        <w:footnoteReference w:id="1831"/>
      </w:r>
      <w:r>
        <w:rPr>
          <w:rFonts w:ascii="Amiri" w:hAnsi="Amiri" w:eastAsia="Amiri" w:cs="Amiri"/>
          <w:color w:val="111111"/>
          <w:sz w:val="28"/>
          <w:sz w:val="28"/>
          <w:szCs w:val="28"/>
          <w:rtl w:val="true"/>
          <w:lang w:bidi="ar-SA"/>
        </w:rPr>
        <w:t>الأفعال ليس الا القبح، وبأن مجرد كونه صفة نقص لا يوجب عدم صدوره منه، بل لا بد من إدراك العقل أنها ليست من صفاته تعالى، فإن ادعيت أنه يدرك ذلك أيضاً فقد ثبت المطلوب، فتأمل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دلّ على تنزهه عن صفات النقص</w:t>
      </w:r>
      <w:r>
        <w:rPr>
          <w:rFonts w:eastAsia="IRNazanin" w:cs="IRNazanin"/>
          <w:color w:val="111111"/>
          <w:sz w:val="28"/>
          <w:szCs w:val="28"/>
          <w:rtl w:val="true"/>
          <w:lang w:bidi="fa-IR"/>
        </w:rPr>
        <w:t>.</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الكلام إلى الإجماع، فإن كان حجيته بنفسه، فهو ممنوع، أو لأجل الكشف عن الشرع ، فلعله كذب، أو العقل، فالمطلوب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لزوم الامتثال احتمال صدقه؛ دفعا للضرر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 وعده في محل الوعيد وعكسه، فاحتمال الضرر مشترك، وأيضاً لزوم دفع الضرر المحتمل إن كان بالشرع، فلعله كذب، أو بالعقل، فالمطلوب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للأشعري أن يقول بناء على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حصول الوثوق اضطراري</w:t>
      </w:r>
      <w:r>
        <w:rPr>
          <w:rStyle w:val="FootnoteAnchor"/>
          <w:rtl w:val="true"/>
        </w:rPr>
        <w:footnoteReference w:id="1833"/>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ضير في تكليف السفه عند عدم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لولاه لم يعلم الفرق بين النبي والمتنبي، ولم</w:t>
      </w:r>
      <w:r>
        <w:rPr>
          <w:rStyle w:val="FootnoteAnchor"/>
          <w:rtl w:val="true"/>
        </w:rPr>
        <w:footnoteReference w:id="1834"/>
      </w:r>
      <w:r>
        <w:rPr>
          <w:rFonts w:ascii="Amiri" w:hAnsi="Amiri" w:eastAsia="Amiri" w:cs="Amiri"/>
          <w:color w:val="111111"/>
          <w:sz w:val="28"/>
          <w:sz w:val="28"/>
          <w:szCs w:val="28"/>
          <w:rtl w:val="true"/>
          <w:lang w:bidi="ar-SA"/>
        </w:rPr>
        <w:t>يعلم صدق النبي المعلوم نبوته؛ لاحتمال إظهار المعجزة على يد</w:t>
      </w:r>
      <w:r>
        <w:rPr>
          <w:rStyle w:val="FootnoteAnchor"/>
          <w:rtl w:val="true"/>
        </w:rPr>
        <w:footnoteReference w:id="1835"/>
      </w:r>
      <w:r>
        <w:rPr>
          <w:rFonts w:ascii="Amiri" w:hAnsi="Amiri" w:eastAsia="Amiri" w:cs="Amiri"/>
          <w:color w:val="111111"/>
          <w:sz w:val="28"/>
          <w:sz w:val="28"/>
          <w:szCs w:val="28"/>
          <w:rtl w:val="true"/>
          <w:lang w:bidi="ar-SA"/>
        </w:rPr>
        <w:t>الكاذب، أو إرساله رسولاً كاذباً</w:t>
      </w:r>
      <w:r>
        <w:rPr>
          <w:rStyle w:val="FootnoteAnchor"/>
          <w:rtl w:val="true"/>
        </w:rPr>
        <w:footnoteReference w:id="1836"/>
      </w:r>
      <w:r>
        <w:rPr>
          <w:rFonts w:ascii="Amiri" w:hAnsi="Amiri" w:eastAsia="Amiri" w:cs="Amiri"/>
          <w:color w:val="111111"/>
          <w:sz w:val="28"/>
          <w:sz w:val="28"/>
          <w:szCs w:val="28"/>
          <w:rtl w:val="true"/>
          <w:lang w:bidi="ar-SA"/>
        </w:rPr>
        <w:t xml:space="preserve">، والتاليان باطلان باتفاق الخصم ، وبكون بناء المسلمين </w:t>
      </w:r>
      <w:r>
        <w:rPr>
          <w:rStyle w:val="FootnoteAnchor"/>
          <w:rtl w:val="true"/>
        </w:rPr>
        <w:footnoteReference w:id="1837"/>
      </w:r>
      <w:r>
        <w:rPr>
          <w:rFonts w:ascii="Amiri" w:hAnsi="Amiri" w:eastAsia="Amiri" w:cs="Amiri"/>
          <w:color w:val="111111"/>
          <w:sz w:val="28"/>
          <w:sz w:val="28"/>
          <w:szCs w:val="28"/>
          <w:rtl w:val="true"/>
          <w:lang w:bidi="ar-SA"/>
        </w:rPr>
        <w:t>على إمكان العلم بهما</w:t>
      </w:r>
      <w:r>
        <w:rPr>
          <w:rStyle w:val="FootnoteAnchor"/>
          <w:rtl w:val="true"/>
        </w:rPr>
        <w:footnoteReference w:id="1838"/>
      </w:r>
      <w:r>
        <w:rPr>
          <w:rFonts w:ascii="Amiri" w:hAnsi="Amiri" w:eastAsia="Amiri" w:cs="Amiri"/>
          <w:color w:val="111111"/>
          <w:sz w:val="28"/>
          <w:sz w:val="28"/>
          <w:szCs w:val="28"/>
          <w:rtl w:val="true"/>
          <w:lang w:bidi="ar-SA"/>
        </w:rPr>
        <w:t xml:space="preserve">، وبلزوم كون إرسال الرسل </w:t>
      </w:r>
      <w:r>
        <w:rPr>
          <w:rStyle w:val="FootnoteAnchor"/>
          <w:rtl w:val="true"/>
        </w:rPr>
        <w:footnoteReference w:id="1839"/>
      </w:r>
      <w:r>
        <w:rPr>
          <w:rFonts w:ascii="Amiri" w:hAnsi="Amiri" w:eastAsia="Amiri" w:cs="Amiri"/>
          <w:color w:val="111111"/>
          <w:sz w:val="28"/>
          <w:sz w:val="28"/>
          <w:szCs w:val="28"/>
          <w:rtl w:val="true"/>
          <w:lang w:bidi="ar-SA"/>
        </w:rPr>
        <w:t>والتكليف سفهاً وعبثاً</w:t>
      </w:r>
      <w:r>
        <w:rPr>
          <w:rFonts w:eastAsia="Amiri" w:cs="Amiri" w:ascii="Amiri" w:hAnsi="Amiri"/>
          <w:color w:val="111111"/>
          <w:sz w:val="28"/>
          <w:szCs w:val="28"/>
          <w:rtl w:val="true"/>
          <w:lang w:bidi="ar-SA"/>
        </w:rPr>
        <w:t>.</w:t>
      </w:r>
      <w:r>
        <w:rPr>
          <w:rStyle w:val="FootnoteAnchor"/>
          <w:rtl w:val="true"/>
        </w:rPr>
        <w:footnoteReference w:id="184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بمجرد الاطلاع على صدور الخوارق منه يحصل العلم </w:t>
      </w:r>
    </w:p>
    <w:p>
      <w:pPr>
        <w:pStyle w:val="BookText"/>
        <w:rPr/>
      </w:pPr>
      <w:r>
        <w:rPr>
          <w:rFonts w:ascii="IRNazanin" w:hAnsi="IRNazanin" w:eastAsia="IRNazanin"/>
          <w:color w:val="111111"/>
          <w:sz w:val="28"/>
          <w:sz w:val="28"/>
          <w:szCs w:val="28"/>
          <w:rtl w:val="true"/>
          <w:lang w:bidi="fa-IR"/>
        </w:rPr>
        <w:t xml:space="preserve">بنبوته </w:t>
      </w:r>
      <w:r>
        <w:rPr>
          <w:rStyle w:val="FootnoteAnchor"/>
          <w:rtl w:val="true"/>
        </w:rPr>
        <w:footnoteReference w:id="1841"/>
      </w:r>
      <w:r>
        <w:rPr>
          <w:rFonts w:ascii="Amiri" w:hAnsi="Amiri" w:eastAsia="Amiri" w:cs="Amiri"/>
          <w:color w:val="111111"/>
          <w:sz w:val="28"/>
          <w:sz w:val="28"/>
          <w:szCs w:val="28"/>
          <w:rtl w:val="true"/>
          <w:lang w:bidi="ar-SA"/>
        </w:rPr>
        <w:t>، وإن ديدن الناس على ذلك، وليس اتكالهم في حصول العلم على الدليل</w:t>
      </w:r>
      <w:r>
        <w:rPr>
          <w:rStyle w:val="FootnoteAnchor"/>
          <w:rtl w:val="true"/>
        </w:rPr>
        <w:footnoteReference w:id="1842"/>
      </w:r>
      <w:r>
        <w:rPr>
          <w:rFonts w:ascii="Amiri" w:hAnsi="Amiri" w:eastAsia="Amiri" w:cs="Amiri"/>
          <w:color w:val="111111"/>
          <w:sz w:val="28"/>
          <w:sz w:val="28"/>
          <w:szCs w:val="28"/>
          <w:rtl w:val="true"/>
          <w:lang w:bidi="ar-SA"/>
        </w:rPr>
        <w:t>العقلي المذكور، الذي لا يفهمه الا الأقل من المكلفين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إن العلم بالأمرين اضطراري، ولمكان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w:t>
      </w:r>
      <w:r>
        <w:rPr>
          <w:rFonts w:eastAsia="Amiri" w:cs="Amiri" w:ascii="Amiri" w:hAnsi="Amiri"/>
          <w:color w:val="111111"/>
          <w:sz w:val="28"/>
          <w:szCs w:val="28"/>
          <w:rtl w:val="true"/>
          <w:lang w:bidi="ar-SA"/>
        </w:rPr>
        <w:t xml:space="preserve">) </w:t>
      </w:r>
      <w:r>
        <w:rPr>
          <w:rStyle w:val="FootnoteAnchor"/>
          <w:rtl w:val="true"/>
        </w:rPr>
        <w:footnoteReference w:id="1843"/>
      </w:r>
      <w:r>
        <w:rPr>
          <w:rFonts w:ascii="Amiri" w:hAnsi="Amiri" w:eastAsia="Amiri" w:cs="Amiri"/>
          <w:color w:val="111111"/>
          <w:sz w:val="28"/>
          <w:sz w:val="28"/>
          <w:szCs w:val="28"/>
          <w:rtl w:val="true"/>
          <w:lang w:bidi="ar-SA"/>
        </w:rPr>
        <w:t xml:space="preserve">، لكنك خبير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w:t>
      </w:r>
      <w:r>
        <w:rPr>
          <w:rFonts w:eastAsia="Amiri" w:cs="Amiri" w:ascii="Amiri" w:hAnsi="Amiri"/>
          <w:color w:val="111111"/>
          <w:sz w:val="28"/>
          <w:szCs w:val="28"/>
          <w:rtl w:val="true"/>
          <w:lang w:bidi="ar-SA"/>
        </w:rPr>
        <w:t>)</w:t>
      </w:r>
      <w:r>
        <w:rPr>
          <w:rStyle w:val="FootnoteAnchor"/>
          <w:rtl w:val="true"/>
        </w:rPr>
        <w:footnoteReference w:id="1844"/>
      </w:r>
      <w:r>
        <w:rPr>
          <w:rFonts w:ascii="Amiri" w:hAnsi="Amiri" w:eastAsia="Amiri" w:cs="Amiri"/>
          <w:color w:val="111111"/>
          <w:sz w:val="28"/>
          <w:sz w:val="28"/>
          <w:szCs w:val="28"/>
          <w:rtl w:val="true"/>
          <w:lang w:bidi="ar-SA"/>
        </w:rPr>
        <w:t xml:space="preserve">مخالف للعيان، مع أن الخصم يعترف بحقية شريعتنا </w:t>
      </w:r>
      <w:r>
        <w:rPr>
          <w:rStyle w:val="FootnoteAnchor"/>
          <w:rtl w:val="true"/>
        </w:rPr>
        <w:footnoteReference w:id="1845"/>
      </w:r>
      <w:r>
        <w:rPr>
          <w:rFonts w:ascii="Amiri" w:hAnsi="Amiri" w:eastAsia="Amiri" w:cs="Amiri"/>
          <w:color w:val="111111"/>
          <w:sz w:val="28"/>
          <w:sz w:val="28"/>
          <w:szCs w:val="28"/>
          <w:rtl w:val="true"/>
          <w:lang w:bidi="ar-SA"/>
        </w:rPr>
        <w:t xml:space="preserve">، وببطلان التكليف بما لا يطاق شرعاً؛ للآية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1846"/>
      </w:r>
      <w:r>
        <w:rPr>
          <w:rFonts w:ascii="Amiri" w:hAnsi="Amiri" w:eastAsia="Amiri" w:cs="Amiri"/>
          <w:color w:val="111111"/>
          <w:sz w:val="28"/>
          <w:sz w:val="28"/>
          <w:szCs w:val="28"/>
          <w:rtl w:val="true"/>
          <w:lang w:bidi="ar-SA"/>
        </w:rPr>
        <w:t>، ولازم ذلك بقاء التكاليف، وفقد التكليف بما لا يطاق، فلا جبر حينئذ، بل ظاهر الآية الشريفة أن للمكلف حالة وسع، وحالة عدم ،وسع والجبر يستلزم حصر الحالة في واحدة</w:t>
      </w:r>
      <w:r>
        <w:rPr>
          <w:rFonts w:eastAsia="Amiri" w:cs="Amiri" w:ascii="Amiri" w:hAnsi="Amiri"/>
          <w:color w:val="111111"/>
          <w:sz w:val="28"/>
          <w:szCs w:val="28"/>
          <w:rtl w:val="true"/>
          <w:lang w:bidi="ar-SA"/>
        </w:rPr>
        <w:t>.</w:t>
      </w:r>
      <w:r>
        <w:rPr>
          <w:rStyle w:val="FootnoteAnchor"/>
          <w:rtl w:val="true"/>
        </w:rPr>
        <w:footnoteReference w:id="1847"/>
      </w:r>
      <w:bookmarkStart w:id="584" w:name="pg9015_97669"/>
    </w:p>
    <w:p>
      <w:pPr>
        <w:pStyle w:val="Heading2"/>
        <w:numPr>
          <w:ilvl w:val="1"/>
          <w:numId w:val="1"/>
        </w:numPr>
        <w:rPr/>
      </w:pPr>
      <w:bookmarkStart w:id="585" w:name="__RefHeading___Toc2001747_2870459653"/>
      <w:bookmarkStart w:id="586" w:name="_Toc223"/>
      <w:bookmarkEnd w:id="584"/>
      <w:bookmarkEnd w:id="585"/>
      <w:r>
        <w:rPr>
          <w:rtl w:val="true"/>
        </w:rPr>
        <w:t xml:space="preserve">أصل </w:t>
      </w:r>
      <w:r>
        <w:rPr>
          <w:rtl w:val="true"/>
        </w:rPr>
        <w:t>[</w:t>
      </w:r>
      <w:r>
        <w:rPr>
          <w:rtl w:val="true"/>
        </w:rPr>
        <w:t>في إدراك العقل الثواب والعقاب</w:t>
      </w:r>
      <w:r>
        <w:rPr>
          <w:rtl w:val="true"/>
        </w:rPr>
        <w:t>]</w:t>
      </w:r>
      <w:bookmarkEnd w:id="586"/>
    </w:p>
    <w:p>
      <w:pPr>
        <w:pStyle w:val="BookText"/>
        <w:rPr/>
      </w:pPr>
      <w:r>
        <w:rPr>
          <w:rFonts w:ascii="Amiri" w:hAnsi="Amiri" w:eastAsia="Amiri" w:cs="Amiri"/>
          <w:color w:val="111111"/>
          <w:sz w:val="28"/>
          <w:sz w:val="28"/>
          <w:szCs w:val="28"/>
          <w:rtl w:val="true"/>
          <w:lang w:bidi="ar-SA"/>
        </w:rPr>
        <w:t>الحق أن العقل كما يدرك المدح والذم ، كذا</w:t>
      </w:r>
      <w:r>
        <w:rPr>
          <w:rStyle w:val="FootnoteAnchor"/>
          <w:rtl w:val="true"/>
        </w:rPr>
        <w:footnoteReference w:id="1848"/>
      </w:r>
      <w:r>
        <w:rPr>
          <w:rFonts w:ascii="Amiri" w:hAnsi="Amiri" w:eastAsia="Amiri" w:cs="Amiri"/>
          <w:color w:val="111111"/>
          <w:sz w:val="28"/>
          <w:sz w:val="28"/>
          <w:szCs w:val="28"/>
          <w:rtl w:val="true"/>
          <w:lang w:bidi="ar-SA"/>
        </w:rPr>
        <w:t xml:space="preserve">يدرك استحقاق الثواب والعقاب بنحو الإيجاب الجزئي، كما عليه الإمامية </w:t>
      </w:r>
      <w:r>
        <w:rPr>
          <w:rStyle w:val="FootnoteAnchor"/>
          <w:rtl w:val="true"/>
        </w:rPr>
        <w:footnoteReference w:id="1849"/>
      </w:r>
      <w:r>
        <w:rPr>
          <w:rFonts w:ascii="Amiri" w:hAnsi="Amiri" w:eastAsia="Amiri" w:cs="Amiri"/>
          <w:color w:val="111111"/>
          <w:sz w:val="28"/>
          <w:sz w:val="28"/>
          <w:szCs w:val="28"/>
          <w:rtl w:val="true"/>
          <w:lang w:bidi="ar-SA"/>
        </w:rPr>
        <w:t xml:space="preserve">، إلا القاصرين منهم </w:t>
      </w:r>
      <w:r>
        <w:rPr>
          <w:rStyle w:val="FootnoteAnchor"/>
          <w:rtl w:val="true"/>
        </w:rPr>
        <w:footnoteReference w:id="1850"/>
      </w:r>
      <w:r>
        <w:rPr>
          <w:rFonts w:ascii="Amiri" w:hAnsi="Amiri" w:eastAsia="Amiri" w:cs="Amiri"/>
          <w:color w:val="111111"/>
          <w:sz w:val="28"/>
          <w:sz w:val="28"/>
          <w:szCs w:val="28"/>
          <w:rtl w:val="true"/>
          <w:lang w:bidi="ar-SA"/>
        </w:rPr>
        <w:t>، خلافاً للأشاعرة حتى الزركشي</w:t>
      </w:r>
      <w:r>
        <w:rPr>
          <w:rStyle w:val="FootnoteAnchor"/>
          <w:rtl w:val="true"/>
        </w:rPr>
        <w:footnoteReference w:id="1851"/>
      </w:r>
      <w:r>
        <w:rPr>
          <w:rFonts w:ascii="Amiri" w:hAnsi="Amiri" w:eastAsia="Amiri" w:cs="Amiri"/>
          <w:color w:val="111111"/>
          <w:sz w:val="28"/>
          <w:sz w:val="28"/>
          <w:szCs w:val="28"/>
          <w:rtl w:val="true"/>
          <w:lang w:bidi="ar-SA"/>
        </w:rPr>
        <w:t>فالمنع مطلقاً، وللتوني</w:t>
      </w:r>
      <w:r>
        <w:rPr>
          <w:rStyle w:val="FootnoteAnchor"/>
          <w:rtl w:val="true"/>
        </w:rPr>
        <w:footnoteReference w:id="1852"/>
      </w:r>
      <w:r>
        <w:rPr>
          <w:rFonts w:ascii="Amiri" w:hAnsi="Amiri" w:eastAsia="Amiri" w:cs="Amiri"/>
          <w:color w:val="111111"/>
          <w:sz w:val="28"/>
          <w:sz w:val="28"/>
          <w:szCs w:val="28"/>
          <w:rtl w:val="true"/>
          <w:lang w:bidi="ar-SA"/>
        </w:rPr>
        <w:t>فالمنع في العمليات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w:t>
      </w:r>
      <w:r>
        <w:rPr>
          <w:rStyle w:val="FootnoteAnchor"/>
          <w:rtl w:val="true"/>
        </w:rPr>
        <w:footnoteReference w:id="1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الضرورة، وحكم العقلاء بأن المولى ليس عادلاً إذا لم ينتقم من عبده الظالم لعبده المظلوم، وبذم من ترك إنقاذ الغريق المحسن إليه مع قدرته عليه، معلّلين بأن جزاء الإحسان هو الإحسان</w:t>
      </w:r>
      <w:r>
        <w:rPr>
          <w:rStyle w:val="FootnoteAnchor"/>
          <w:rtl w:val="true"/>
        </w:rPr>
        <w:footnoteReference w:id="1854"/>
      </w:r>
      <w:r>
        <w:rPr>
          <w:rFonts w:ascii="Amiri" w:hAnsi="Amiri" w:eastAsia="Amiri" w:cs="Amiri"/>
          <w:color w:val="111111"/>
          <w:sz w:val="28"/>
          <w:sz w:val="28"/>
          <w:szCs w:val="28"/>
          <w:rtl w:val="true"/>
          <w:lang w:bidi="ar-SA"/>
        </w:rPr>
        <w:t xml:space="preserve">، مع تنقيح المناط القطعي بملاحظة طريقة العقلاء، فإن ترتّب الثواب والعقاب على الأمر والنهي اللفظيين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الواجب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لأجل محبوبية المأمور به ومبغوضية المنهي عنه، المعلومتين</w:t>
      </w:r>
      <w:r>
        <w:rPr>
          <w:rStyle w:val="FootnoteAnchor"/>
          <w:rtl w:val="true"/>
        </w:rPr>
        <w:footnoteReference w:id="1855"/>
      </w:r>
      <w:r>
        <w:rPr>
          <w:rFonts w:ascii="Amiri" w:hAnsi="Amiri" w:eastAsia="Amiri" w:cs="Amiri"/>
          <w:color w:val="111111"/>
          <w:sz w:val="28"/>
          <w:sz w:val="28"/>
          <w:szCs w:val="28"/>
          <w:rtl w:val="true"/>
          <w:lang w:bidi="ar-SA"/>
        </w:rPr>
        <w:t>بخطاب الشرع الكاشف عنها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قطعنا من العقل بالمحبوبية و</w:t>
      </w:r>
      <w:r>
        <w:rPr>
          <w:rStyle w:val="FootnoteAnchor"/>
          <w:rtl w:val="true"/>
        </w:rPr>
        <w:footnoteReference w:id="1856"/>
      </w:r>
      <w:r>
        <w:rPr>
          <w:rFonts w:ascii="Amiri" w:hAnsi="Amiri" w:eastAsia="Amiri" w:cs="Amiri"/>
          <w:color w:val="111111"/>
          <w:sz w:val="28"/>
          <w:sz w:val="28"/>
          <w:szCs w:val="28"/>
          <w:rtl w:val="true"/>
          <w:lang w:bidi="ar-SA"/>
        </w:rPr>
        <w:t xml:space="preserve">المبغوضية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الأصل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القطع بترتب الثواب والعقاب، ولا خصوصية للأمر اللفظي بحكم العقلاء باستحقاق العبد القاتل لولد المولى ظلماً الذم والعقاب، وإن لم يكن نهاه عنه، بل وإن </w:t>
      </w:r>
    </w:p>
    <w:p>
      <w:pPr>
        <w:pStyle w:val="BookText"/>
        <w:rPr/>
      </w:pPr>
      <w:r>
        <w:rPr>
          <w:rFonts w:ascii="IRNazanin" w:hAnsi="IRNazanin" w:eastAsia="IRNazanin"/>
          <w:color w:val="111111"/>
          <w:sz w:val="28"/>
          <w:sz w:val="28"/>
          <w:szCs w:val="28"/>
          <w:rtl w:val="true"/>
          <w:lang w:bidi="fa-IR"/>
        </w:rPr>
        <w:t>قال له</w:t>
      </w:r>
      <w:r>
        <w:rPr>
          <w:rStyle w:val="FootnoteAnchor"/>
          <w:rtl w:val="true"/>
        </w:rPr>
        <w:footnoteReference w:id="1857"/>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مطلق حتى أنهاك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أنه لولا ذلك لما كان تحصيل معرفة الله سبحانه، ولا معرفة النبي صلی الله علیه و آله وسلم ، ولاالنظر إلى المعجزة واجباً؛ إذ الدال عليه إن كان العقل فهو معزول، أو الشرع بعد حصول المعرفة فتحصيل للحاصل، أو قبله فهو فرع ثبوت لزوم إطاعته، فيدور، أو يتسلسل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لا يرد على المفصل </w:t>
      </w:r>
      <w:r>
        <w:rPr>
          <w:rStyle w:val="FootnoteAnchor"/>
          <w:rtl w:val="true"/>
        </w:rPr>
        <w:footnoteReference w:id="1858"/>
      </w:r>
      <w:r>
        <w:rPr>
          <w:rFonts w:ascii="Amiri" w:hAnsi="Amiri" w:eastAsia="Amiri" w:cs="Amiri"/>
          <w:color w:val="111111"/>
          <w:sz w:val="28"/>
          <w:sz w:val="28"/>
          <w:szCs w:val="28"/>
          <w:rtl w:val="true"/>
          <w:lang w:bidi="ar-SA"/>
        </w:rPr>
        <w:t xml:space="preserve">، لكن 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لو لم يدرك في العمليات البديهية كقبح الظلم والعقاب عليه، لم يدرك في العقائد النظرية بطريق أولى</w:t>
      </w:r>
      <w:r>
        <w:rPr>
          <w:rFonts w:eastAsia="Amiri" w:cs="Amiri" w:ascii="Amiri" w:hAnsi="Amiri"/>
          <w:color w:val="111111"/>
          <w:sz w:val="28"/>
          <w:szCs w:val="28"/>
          <w:rtl w:val="true"/>
          <w:lang w:bidi="ar-SA"/>
        </w:rPr>
        <w:t>.</w:t>
      </w:r>
      <w:r>
        <w:rPr>
          <w:rStyle w:val="FootnoteAnchor"/>
          <w:rtl w:val="true"/>
        </w:rPr>
        <w:footnoteReference w:id="1859"/>
      </w:r>
    </w:p>
    <w:p>
      <w:pPr>
        <w:pStyle w:val="BookText"/>
        <w:rPr/>
      </w:pPr>
      <w:r>
        <w:rPr>
          <w:rFonts w:ascii="IRNazanin" w:hAnsi="IRNazanin" w:eastAsia="IRNazanin"/>
          <w:color w:val="111111"/>
          <w:sz w:val="28"/>
          <w:sz w:val="28"/>
          <w:szCs w:val="28"/>
          <w:rtl w:val="true"/>
          <w:lang w:bidi="fa-IR"/>
        </w:rPr>
        <w:t>ثم نظره</w:t>
      </w:r>
      <w:r>
        <w:rPr>
          <w:rStyle w:val="FootnoteAnchor"/>
          <w:rtl w:val="true"/>
        </w:rPr>
        <w:footnoteReference w:id="1860"/>
      </w:r>
      <w:r>
        <w:rPr>
          <w:rFonts w:ascii="Amiri" w:hAnsi="Amiri" w:eastAsia="Amiri" w:cs="Amiri"/>
          <w:color w:val="111111"/>
          <w:sz w:val="28"/>
          <w:sz w:val="28"/>
          <w:szCs w:val="28"/>
          <w:rtl w:val="true"/>
          <w:lang w:bidi="ar-SA"/>
        </w:rPr>
        <w:t>في التفصيل</w:t>
      </w:r>
      <w:r>
        <w:rPr>
          <w:rStyle w:val="FootnoteAnchor"/>
          <w:rtl w:val="true"/>
        </w:rPr>
        <w:footnoteReference w:id="1861"/>
      </w:r>
      <w:r>
        <w:rPr>
          <w:rFonts w:ascii="Amiri" w:hAnsi="Amiri" w:eastAsia="Amiri" w:cs="Amiri"/>
          <w:color w:val="111111"/>
          <w:sz w:val="28"/>
          <w:sz w:val="28"/>
          <w:szCs w:val="28"/>
          <w:rtl w:val="true"/>
          <w:lang w:bidi="ar-SA"/>
        </w:rPr>
        <w:t>إلى ما دلّ على تعذيب عبدة الأوثان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جعل سبباً لإدراك عقولهم في العقائد فهو غير معقول</w:t>
      </w:r>
      <w:r>
        <w:rPr>
          <w:rStyle w:val="FootnoteAnchor"/>
          <w:rtl w:val="true"/>
        </w:rPr>
        <w:footnoteReference w:id="1862"/>
      </w:r>
      <w:r>
        <w:rPr>
          <w:rFonts w:ascii="Amiri" w:hAnsi="Amiri" w:eastAsia="Amiri" w:cs="Amiri"/>
          <w:color w:val="111111"/>
          <w:sz w:val="28"/>
          <w:sz w:val="28"/>
          <w:szCs w:val="28"/>
          <w:rtl w:val="true"/>
          <w:lang w:bidi="ar-SA"/>
        </w:rPr>
        <w:t>، أو كاشفاً عنه جاءت الأولوية</w:t>
      </w:r>
      <w:r>
        <w:rPr>
          <w:rFonts w:eastAsia="Amiri" w:cs="Amiri" w:ascii="Amiri" w:hAnsi="Amiri"/>
          <w:color w:val="111111"/>
          <w:sz w:val="28"/>
          <w:szCs w:val="28"/>
          <w:rtl w:val="true"/>
          <w:lang w:bidi="ar-SA"/>
        </w:rPr>
        <w:t>.</w:t>
      </w:r>
      <w:r>
        <w:rPr>
          <w:rStyle w:val="FootnoteAnchor"/>
          <w:rtl w:val="true"/>
        </w:rPr>
        <w:footnoteReference w:id="1863"/>
      </w:r>
      <w:bookmarkStart w:id="587" w:name="pg9015_97671"/>
    </w:p>
    <w:p>
      <w:pPr>
        <w:pStyle w:val="Heading2"/>
        <w:numPr>
          <w:ilvl w:val="1"/>
          <w:numId w:val="1"/>
        </w:numPr>
        <w:rPr/>
      </w:pPr>
      <w:bookmarkStart w:id="588" w:name="__RefHeading___Toc2001749_2870459653"/>
      <w:bookmarkStart w:id="589" w:name="_Toc224"/>
      <w:bookmarkEnd w:id="587"/>
      <w:bookmarkEnd w:id="588"/>
      <w:r>
        <w:rPr>
          <w:rtl w:val="true"/>
        </w:rPr>
        <w:t xml:space="preserve">أصل </w:t>
      </w:r>
      <w:r>
        <w:rPr>
          <w:rtl w:val="true"/>
        </w:rPr>
        <w:t>[</w:t>
      </w:r>
      <w:r>
        <w:rPr>
          <w:rtl w:val="true"/>
        </w:rPr>
        <w:t>في حجيّة العقل</w:t>
      </w:r>
      <w:r>
        <w:rPr>
          <w:rtl w:val="true"/>
        </w:rPr>
        <w:t>]</w:t>
      </w:r>
      <w:bookmarkEnd w:id="589"/>
    </w:p>
    <w:p>
      <w:pPr>
        <w:pStyle w:val="Heading3"/>
        <w:numPr>
          <w:ilvl w:val="2"/>
          <w:numId w:val="1"/>
        </w:numPr>
        <w:rPr/>
      </w:pPr>
      <w:bookmarkStart w:id="590" w:name="__RefHeading___Toc2001751_2870459653"/>
      <w:bookmarkStart w:id="591" w:name="_Toc225"/>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به العقل حكم به الشرع</w:t>
      </w:r>
      <w:r>
        <w:rPr>
          <w:rFonts w:eastAsia="Amiri" w:cs="Amiri" w:ascii="Amiri" w:hAnsi="Amiri"/>
          <w:color w:val="111111"/>
          <w:sz w:val="28"/>
          <w:szCs w:val="28"/>
          <w:rtl w:val="true"/>
          <w:lang w:bidi="ar-SA"/>
        </w:rPr>
        <w:t>)</w:t>
      </w:r>
      <w:r>
        <w:rPr>
          <w:rStyle w:val="FootnoteAnchor"/>
          <w:rtl w:val="true"/>
        </w:rPr>
        <w:footnoteReference w:id="1864"/>
      </w:r>
      <w:r>
        <w:rPr>
          <w:rFonts w:ascii="Amiri" w:hAnsi="Amiri" w:eastAsia="Amiri" w:cs="Amiri"/>
          <w:color w:val="111111"/>
          <w:sz w:val="28"/>
          <w:sz w:val="28"/>
          <w:szCs w:val="28"/>
          <w:rtl w:val="true"/>
          <w:lang w:bidi="ar-SA"/>
        </w:rPr>
        <w:t>، والمراد أنه كل ما حكم به</w:t>
      </w:r>
    </w:p>
    <w:p>
      <w:pPr>
        <w:pStyle w:val="BookText"/>
        <w:rPr/>
      </w:pPr>
      <w:r>
        <w:rPr>
          <w:rFonts w:ascii="Amiri" w:hAnsi="Amiri" w:eastAsia="Amiri" w:cs="Amiri"/>
          <w:color w:val="111111"/>
          <w:sz w:val="28"/>
          <w:sz w:val="28"/>
          <w:szCs w:val="28"/>
          <w:rtl w:val="true"/>
          <w:lang w:bidi="ar-SA"/>
        </w:rPr>
        <w:t>العقل فهو كذلك في متن الواقع، وإن لم يجعل الشارع له حكماً</w:t>
      </w:r>
      <w:r>
        <w:rPr>
          <w:rStyle w:val="FootnoteAnchor"/>
          <w:rtl w:val="true"/>
        </w:rPr>
        <w:footnoteReference w:id="1865"/>
      </w:r>
      <w:r>
        <w:rPr>
          <w:rFonts w:ascii="Amiri" w:hAnsi="Amiri" w:eastAsia="Amiri" w:cs="Amiri"/>
          <w:color w:val="111111"/>
          <w:sz w:val="28"/>
          <w:sz w:val="28"/>
          <w:szCs w:val="28"/>
          <w:rtl w:val="true"/>
          <w:lang w:bidi="ar-SA"/>
        </w:rPr>
        <w:t>، إذا قلنا بجواز خلو الواقعة عن الحكم</w:t>
      </w:r>
      <w:r>
        <w:rPr>
          <w:rStyle w:val="FootnoteAnchor"/>
          <w:rtl w:val="true"/>
        </w:rPr>
        <w:footnoteReference w:id="1866"/>
      </w:r>
      <w:r>
        <w:rPr>
          <w:rFonts w:ascii="IRNazanin" w:hAnsi="IRNazanin" w:eastAsia="IRNazanin"/>
          <w:color w:val="111111"/>
          <w:sz w:val="28"/>
          <w:sz w:val="28"/>
          <w:szCs w:val="28"/>
          <w:rtl w:val="true"/>
          <w:lang w:bidi="fa-IR"/>
        </w:rPr>
        <w:t>، أو جعله ولم يبينه لنبيه صلی الله علیه و آله وسلم، أو بیّنه له</w:t>
      </w:r>
      <w:r>
        <w:rPr>
          <w:rStyle w:val="FootnoteAnchor"/>
          <w:rtl w:val="true"/>
        </w:rPr>
        <w:footnoteReference w:id="1867"/>
      </w:r>
      <w:r>
        <w:rPr>
          <w:rFonts w:ascii="Amiri" w:hAnsi="Amiri" w:eastAsia="Amiri" w:cs="Amiri"/>
          <w:color w:val="111111"/>
          <w:sz w:val="28"/>
          <w:sz w:val="28"/>
          <w:szCs w:val="28"/>
          <w:rtl w:val="true"/>
          <w:lang w:bidi="ar-SA"/>
        </w:rPr>
        <w:t xml:space="preserve">لم يبين السفراء لعباده </w:t>
      </w:r>
      <w:r>
        <w:rPr>
          <w:rStyle w:val="FootnoteAnchor"/>
          <w:rtl w:val="true"/>
        </w:rPr>
        <w:footnoteReference w:id="1868"/>
      </w:r>
      <w:r>
        <w:rPr>
          <w:rFonts w:ascii="Amiri" w:hAnsi="Amiri" w:eastAsia="Amiri" w:cs="Amiri"/>
          <w:color w:val="111111"/>
          <w:sz w:val="28"/>
          <w:sz w:val="28"/>
          <w:szCs w:val="28"/>
          <w:rtl w:val="true"/>
          <w:lang w:bidi="ar-SA"/>
        </w:rPr>
        <w:t>، فانّ كل هذه المراتب خارجة عن هذا النزاع</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2001753_2870459653"/>
      <w:bookmarkStart w:id="593" w:name="_Toc226"/>
      <w:bookmarkEnd w:id="592"/>
      <w:r>
        <w:rPr>
          <w:rtl w:val="true"/>
        </w:rPr>
        <w:t>[</w:t>
      </w:r>
      <w:r>
        <w:rPr>
          <w:rtl w:val="true"/>
        </w:rPr>
        <w:t>المختار في المسألة</w:t>
      </w:r>
      <w:r>
        <w:rPr>
          <w:rtl w:val="true"/>
        </w:rPr>
        <w:t>]</w:t>
      </w:r>
      <w:bookmarkEnd w:id="593"/>
    </w:p>
    <w:p>
      <w:pPr>
        <w:pStyle w:val="BookText"/>
        <w:rPr/>
      </w:pPr>
      <w:r>
        <w:rPr>
          <w:rFonts w:ascii="Amiri" w:hAnsi="Amiri" w:eastAsia="Amiri" w:cs="Amiri"/>
          <w:color w:val="111111"/>
          <w:sz w:val="28"/>
          <w:sz w:val="28"/>
          <w:szCs w:val="28"/>
          <w:rtl w:val="true"/>
          <w:lang w:bidi="ar-SA"/>
        </w:rPr>
        <w:t xml:space="preserve">والحق حجية العقل القاطع حتى في الفروع، خلافاً للأخباريين كما يظهر من صدر الدين </w:t>
      </w:r>
      <w:r>
        <w:rPr>
          <w:rStyle w:val="FootnoteAnchor"/>
          <w:rtl w:val="true"/>
        </w:rPr>
        <w:footnoteReference w:id="1869"/>
      </w:r>
      <w:r>
        <w:rPr>
          <w:rFonts w:ascii="Amiri" w:hAnsi="Amiri" w:eastAsia="Amiri" w:cs="Amiri"/>
          <w:color w:val="111111"/>
          <w:sz w:val="28"/>
          <w:sz w:val="28"/>
          <w:szCs w:val="28"/>
          <w:rtl w:val="true"/>
          <w:lang w:bidi="ar-SA"/>
        </w:rPr>
        <w:t>حيث منع من الحجية بعد تسليم إدراك المدح والثواب، والذم والعقاب</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2001755_2870459653"/>
      <w:bookmarkStart w:id="595" w:name="_Toc227"/>
      <w:bookmarkEnd w:id="594"/>
      <w:r>
        <w:rPr>
          <w:rtl w:val="true"/>
        </w:rPr>
        <w:t>[</w:t>
      </w:r>
      <w:r>
        <w:rPr>
          <w:rtl w:val="true"/>
        </w:rPr>
        <w:t>تحرير محل النزاع</w:t>
      </w:r>
      <w:r>
        <w:rPr>
          <w:rtl w:val="true"/>
        </w:rPr>
        <w:t>]</w:t>
      </w:r>
      <w:bookmarkEnd w:id="59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ويعمّ النزاع ما كانت الاستفادة و </w:t>
      </w:r>
      <w:r>
        <w:rPr>
          <w:rStyle w:val="FootnoteAnchor"/>
          <w:rtl w:val="true"/>
        </w:rPr>
        <w:footnoteReference w:id="1870"/>
      </w:r>
      <w:r>
        <w:rPr>
          <w:rFonts w:ascii="Amiri" w:hAnsi="Amiri" w:eastAsia="Amiri" w:cs="Amiri"/>
          <w:color w:val="111111"/>
          <w:sz w:val="28"/>
          <w:sz w:val="28"/>
          <w:szCs w:val="28"/>
          <w:rtl w:val="true"/>
          <w:lang w:bidi="ar-SA"/>
        </w:rPr>
        <w:t xml:space="preserve">المستفاد فيه أصليين كقبح الظلم، أو تبعيين </w:t>
      </w:r>
    </w:p>
    <w:p>
      <w:pPr>
        <w:pStyle w:val="BookText"/>
        <w:rPr/>
      </w:pPr>
      <w:r>
        <w:rPr>
          <w:rFonts w:ascii="Amiri" w:hAnsi="Amiri" w:eastAsia="Amiri" w:cs="Amiri"/>
          <w:color w:val="111111"/>
          <w:sz w:val="28"/>
          <w:sz w:val="28"/>
          <w:szCs w:val="28"/>
          <w:rtl w:val="true"/>
          <w:lang w:bidi="ar-SA"/>
        </w:rPr>
        <w:t>كوجوب مقدّمة الواجب</w:t>
      </w:r>
      <w:r>
        <w:rPr>
          <w:rStyle w:val="FootnoteAnchor"/>
          <w:rtl w:val="true"/>
        </w:rPr>
        <w:footnoteReference w:id="1871"/>
      </w:r>
      <w:r>
        <w:rPr>
          <w:rFonts w:ascii="Amiri" w:hAnsi="Amiri" w:eastAsia="Amiri" w:cs="Amiri"/>
          <w:color w:val="111111"/>
          <w:sz w:val="28"/>
          <w:sz w:val="28"/>
          <w:szCs w:val="28"/>
          <w:rtl w:val="true"/>
          <w:lang w:bidi="ar-SA"/>
        </w:rPr>
        <w:t>، أو مختلفين كما في قضيّة أبان</w:t>
      </w:r>
      <w:r>
        <w:rPr>
          <w:rFonts w:eastAsia="Amiri" w:cs="Amiri" w:ascii="Amiri" w:hAnsi="Amiri"/>
          <w:color w:val="111111"/>
          <w:sz w:val="28"/>
          <w:szCs w:val="28"/>
          <w:rtl w:val="true"/>
          <w:lang w:bidi="ar-SA"/>
        </w:rPr>
        <w:t>.</w:t>
      </w:r>
      <w:r>
        <w:rPr>
          <w:rStyle w:val="FootnoteAnchor"/>
          <w:rtl w:val="true"/>
        </w:rPr>
        <w:footnoteReference w:id="1872"/>
      </w:r>
    </w:p>
    <w:p>
      <w:pPr>
        <w:pStyle w:val="BookText"/>
        <w:rPr/>
      </w:pPr>
      <w:r>
        <w:rPr>
          <w:rFonts w:ascii="Amiri" w:hAnsi="Amiri" w:eastAsia="Amiri" w:cs="Amiri"/>
          <w:color w:val="111111"/>
          <w:sz w:val="28"/>
          <w:sz w:val="28"/>
          <w:szCs w:val="28"/>
          <w:rtl w:val="true"/>
          <w:lang w:bidi="ar-SA"/>
        </w:rPr>
        <w:t>إذ الأول قدر متيقن، ويشهد للثالث تمسك الأخباري هنا بخبر أبان، وللثاني قول</w:t>
      </w:r>
      <w:r>
        <w:rPr>
          <w:rStyle w:val="FootnoteAnchor"/>
          <w:rtl w:val="true"/>
        </w:rPr>
        <w:footnoteReference w:id="1873"/>
      </w:r>
      <w:r>
        <w:rPr>
          <w:rFonts w:ascii="Amiri" w:hAnsi="Amiri" w:eastAsia="Amiri" w:cs="Amiri"/>
          <w:color w:val="111111"/>
          <w:sz w:val="28"/>
          <w:sz w:val="28"/>
          <w:szCs w:val="28"/>
          <w:rtl w:val="true"/>
          <w:lang w:bidi="ar-SA"/>
        </w:rPr>
        <w:t>الفاضل المذكور بأن اتفاق المحدثين والأخباريين حجة كاشفة عن وجود دليل على المتفق عليه ؛ لأنهم لا</w:t>
      </w:r>
      <w:r>
        <w:rPr>
          <w:rStyle w:val="FootnoteAnchor"/>
          <w:rtl w:val="true"/>
        </w:rPr>
        <w:footnoteReference w:id="1874"/>
      </w:r>
      <w:r>
        <w:rPr>
          <w:rFonts w:ascii="Amiri" w:hAnsi="Amiri" w:eastAsia="Amiri" w:cs="Amiri"/>
          <w:color w:val="111111"/>
          <w:sz w:val="28"/>
          <w:sz w:val="28"/>
          <w:szCs w:val="28"/>
          <w:rtl w:val="true"/>
          <w:lang w:bidi="ar-SA"/>
        </w:rPr>
        <w:t xml:space="preserve">يقولون بالاستلزامات العقلية بخلاف المجتهدين؛ لقولهم بها </w:t>
      </w:r>
      <w:r>
        <w:rPr>
          <w:rStyle w:val="FootnoteAnchor"/>
          <w:rtl w:val="true"/>
        </w:rPr>
        <w:footnoteReference w:id="1875"/>
      </w:r>
      <w:r>
        <w:rPr>
          <w:rFonts w:ascii="IRNazanin" w:hAnsi="IRNazanin" w:eastAsia="IRNazanin"/>
          <w:color w:val="111111"/>
          <w:sz w:val="28"/>
          <w:sz w:val="28"/>
          <w:szCs w:val="28"/>
          <w:rtl w:val="true"/>
          <w:lang w:bidi="fa-IR"/>
        </w:rPr>
        <w:t>،</w:t>
      </w:r>
      <w:r>
        <w:rPr>
          <w:rStyle w:val="FootnoteAnchor"/>
          <w:rtl w:val="true"/>
        </w:rPr>
        <w:footnoteReference w:id="1876"/>
      </w:r>
      <w:r>
        <w:rPr>
          <w:rFonts w:ascii="IRNazanin" w:hAnsi="IRNazanin" w:eastAsia="IRNazanin"/>
          <w:color w:val="111111"/>
          <w:sz w:val="28"/>
          <w:sz w:val="28"/>
          <w:szCs w:val="28"/>
          <w:rtl w:val="true"/>
          <w:lang w:bidi="fa-IR"/>
        </w:rPr>
        <w:t xml:space="preserve">واحتمال نشوء اتفاقهم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النزاع هنا مع الأخباري يختص بالعمليات كما يظهر من بعضهم</w:t>
      </w:r>
      <w:r>
        <w:rPr>
          <w:rStyle w:val="FootnoteAnchor"/>
          <w:rtl w:val="true"/>
        </w:rPr>
        <w:footnoteReference w:id="1877"/>
      </w:r>
      <w:r>
        <w:rPr>
          <w:rFonts w:ascii="Amiri" w:hAnsi="Amiri" w:eastAsia="Amiri" w:cs="Amiri"/>
          <w:color w:val="111111"/>
          <w:sz w:val="28"/>
          <w:sz w:val="28"/>
          <w:szCs w:val="28"/>
          <w:rtl w:val="true"/>
          <w:lang w:bidi="ar-SA"/>
        </w:rPr>
        <w:t>، ومع الأشعري يعمّ العقائد في وجه؛ لقولهم بعدم تبعية الأحكام للمصالح الكامنة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بعدما قطع باستحقاق الثواب والعقاب في مرحلة الظاهر والعمل، كما هو المفروض من الأصل السابق، فلازمه القطع بالحجيَّة أيضاً، ولا يتصور الشك فيها حينئذ، حذراً من اجتماع الضدين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انه لو لم یکن القطع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 من العقل حجة لم يكن القطع بهما</w:t>
      </w:r>
      <w:r>
        <w:rPr>
          <w:rFonts w:eastAsia="IRNazanin" w:cs="IRNazanin"/>
          <w:color w:val="111111"/>
          <w:sz w:val="28"/>
          <w:szCs w:val="28"/>
          <w:rtl w:val="true"/>
          <w:lang w:bidi="fa-IR"/>
        </w:rPr>
        <w:t>)</w:t>
      </w:r>
      <w:r>
        <w:rPr>
          <w:rStyle w:val="FootnoteAnchor"/>
          <w:rtl w:val="true"/>
        </w:rPr>
        <w:footnoteReference w:id="1878"/>
      </w:r>
      <w:r>
        <w:rPr>
          <w:rFonts w:ascii="Amiri" w:hAnsi="Amiri" w:eastAsia="Amiri" w:cs="Amiri"/>
          <w:color w:val="111111"/>
          <w:sz w:val="28"/>
          <w:sz w:val="28"/>
          <w:szCs w:val="28"/>
          <w:rtl w:val="true"/>
          <w:lang w:bidi="ar-SA"/>
        </w:rPr>
        <w:t>الحاصل من الشرع حجة؛ إذ الدليل على حجية القطع الشرعي إن كان هو الشرع، نقلنا الكلام إليه إلى أن يدور أو يتسلسل، وإن كان حكم العقل بلزوم دفع الضرر المقطوع، فمشترك، والفرق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لو لم يكن قطع العقل حجة يلزم عدم تعذيب عبدة الأوثان</w:t>
      </w:r>
      <w:r>
        <w:rPr>
          <w:rStyle w:val="FootnoteAnchor"/>
          <w:rtl w:val="true"/>
        </w:rPr>
        <w:footnoteReference w:id="1879"/>
      </w:r>
      <w:r>
        <w:rPr>
          <w:rFonts w:ascii="IRNazanin" w:hAnsi="IRNazanin" w:eastAsia="IRNazanin"/>
          <w:color w:val="111111"/>
          <w:sz w:val="28"/>
          <w:sz w:val="28"/>
          <w:szCs w:val="28"/>
          <w:rtl w:val="true"/>
          <w:lang w:bidi="fa-IR"/>
        </w:rPr>
        <w:t xml:space="preserve">، وعدم وجوب تحصيل معرفة الله ونبيه صلی الله علیه و آله وسلم والنظر إلى المعجزة ، والتقريب قد 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القبيح فاحشة بالعرف، ونص اللغة</w:t>
      </w:r>
      <w:r>
        <w:rPr>
          <w:rStyle w:val="FootnoteAnchor"/>
          <w:rtl w:val="true"/>
        </w:rPr>
        <w:footnoteReference w:id="1880"/>
      </w:r>
      <w:r>
        <w:rPr>
          <w:rFonts w:ascii="Amiri" w:hAnsi="Amiri" w:eastAsia="Amiri" w:cs="Amiri"/>
          <w:color w:val="111111"/>
          <w:sz w:val="28"/>
          <w:sz w:val="28"/>
          <w:szCs w:val="28"/>
          <w:rtl w:val="true"/>
          <w:lang w:bidi="ar-SA"/>
        </w:rPr>
        <w:t>، وكل فاحشة منهي عنها؛ للآية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تَنْهَى عَنِ الْفَحْشَاءِ وَالْمُنكَر</w:t>
      </w:r>
      <w:r>
        <w:rPr>
          <w:rFonts w:eastAsia="Amiri" w:cs="Amiri" w:ascii="Amiri" w:hAnsi="Amiri"/>
          <w:color w:val="111111"/>
          <w:sz w:val="28"/>
          <w:szCs w:val="28"/>
          <w:rtl w:val="true"/>
          <w:lang w:bidi="ar-SA"/>
        </w:rPr>
        <w:t>»</w:t>
      </w:r>
      <w:r>
        <w:rPr>
          <w:rStyle w:val="FootnoteAnchor"/>
          <w:rtl w:val="true"/>
        </w:rPr>
        <w:footnoteReference w:id="1881"/>
      </w:r>
      <w:r>
        <w:rPr>
          <w:rFonts w:ascii="IRNazanin" w:hAnsi="IRNazanin" w:eastAsia="IRNazanin"/>
          <w:color w:val="111111"/>
          <w:sz w:val="28"/>
          <w:sz w:val="28"/>
          <w:szCs w:val="28"/>
          <w:rtl w:val="true"/>
          <w:lang w:bidi="fa-IR"/>
        </w:rPr>
        <w:t xml:space="preserve">، وحمله على المحرم </w:t>
      </w:r>
      <w:r>
        <w:rPr>
          <w:rStyle w:val="FootnoteAnchor"/>
          <w:rtl w:val="true"/>
        </w:rPr>
        <w:footnoteReference w:id="1882"/>
      </w:r>
      <w:r>
        <w:rPr>
          <w:rFonts w:ascii="Amiri" w:hAnsi="Amiri" w:eastAsia="Amiri" w:cs="Amiri"/>
          <w:color w:val="111111"/>
          <w:sz w:val="28"/>
          <w:sz w:val="28"/>
          <w:szCs w:val="28"/>
          <w:rtl w:val="true"/>
          <w:lang w:bidi="ar-SA"/>
        </w:rPr>
        <w:t>موجب لتحريم</w:t>
      </w:r>
      <w:r>
        <w:rPr>
          <w:rStyle w:val="FootnoteAnchor"/>
          <w:rtl w:val="true"/>
        </w:rPr>
        <w:footnoteReference w:id="1883"/>
      </w:r>
      <w:r>
        <w:rPr>
          <w:rFonts w:ascii="Amiri" w:hAnsi="Amiri" w:eastAsia="Amiri" w:cs="Amiri"/>
          <w:color w:val="111111"/>
          <w:sz w:val="28"/>
          <w:sz w:val="28"/>
          <w:szCs w:val="28"/>
          <w:rtl w:val="true"/>
          <w:lang w:bidi="ar-SA"/>
        </w:rPr>
        <w:t>المحرم، مع أن المتبادر من الفحشاء ما ذكرنا ، وهذا الدليل يتمّ بعد إثبات إدراك القبح وإن لم يدرك العقاب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وللأخباري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حرمة القبيح حينئذ</w:t>
      </w:r>
      <w:r>
        <w:rPr>
          <w:rStyle w:val="FootnoteAnchor"/>
          <w:rtl w:val="true"/>
        </w:rPr>
        <w:footnoteReference w:id="1884"/>
      </w:r>
      <w:r>
        <w:rPr>
          <w:rFonts w:ascii="IRNazanin" w:hAnsi="IRNazanin" w:eastAsia="IRNazanin"/>
          <w:color w:val="111111"/>
          <w:sz w:val="28"/>
          <w:sz w:val="28"/>
          <w:szCs w:val="28"/>
          <w:rtl w:val="true"/>
          <w:lang w:bidi="fa-IR"/>
        </w:rPr>
        <w:t>ثبتت من الشرع لا العقل</w:t>
      </w:r>
      <w:r>
        <w:rPr>
          <w:rStyle w:val="FootnoteAnchor"/>
          <w:rtl w:val="true"/>
        </w:rPr>
        <w:footnoteReference w:id="1885"/>
      </w:r>
      <w:r>
        <w:rPr>
          <w:rFonts w:ascii="Amiri" w:hAnsi="Amiri" w:eastAsia="Amiri" w:cs="Amiri"/>
          <w:color w:val="111111"/>
          <w:sz w:val="28"/>
          <w:sz w:val="28"/>
          <w:szCs w:val="28"/>
          <w:rtl w:val="true"/>
          <w:lang w:bidi="ar-SA"/>
        </w:rPr>
        <w:t xml:space="preserve">، لكن الآية دلت على ردّ </w:t>
      </w:r>
      <w:r>
        <w:rPr>
          <w:rStyle w:val="FootnoteAnchor"/>
          <w:rtl w:val="true"/>
        </w:rPr>
        <w:footnoteReference w:id="1886"/>
      </w:r>
      <w:r>
        <w:rPr>
          <w:rFonts w:ascii="Amiri" w:hAnsi="Amiri" w:eastAsia="Amiri" w:cs="Amiri"/>
          <w:color w:val="111111"/>
          <w:sz w:val="28"/>
          <w:sz w:val="28"/>
          <w:szCs w:val="28"/>
          <w:rtl w:val="true"/>
          <w:lang w:bidi="ar-SA"/>
        </w:rPr>
        <w:t xml:space="preserve">الأشعري في كون أحكامه تعالى تابعة للصفات، وفي إدراك العقل </w:t>
      </w:r>
      <w:bookmarkStart w:id="596" w:name="pg9015_97674"/>
    </w:p>
    <w:p>
      <w:pPr>
        <w:pStyle w:val="BookText"/>
        <w:rPr/>
      </w:pPr>
      <w:bookmarkEnd w:id="596"/>
      <w:r>
        <w:rPr>
          <w:rFonts w:ascii="Amiri" w:hAnsi="Amiri" w:eastAsia="Amiri" w:cs="Amiri"/>
          <w:color w:val="111111"/>
          <w:sz w:val="28"/>
          <w:sz w:val="28"/>
          <w:szCs w:val="28"/>
          <w:rtl w:val="true"/>
          <w:lang w:bidi="ar-SA"/>
        </w:rPr>
        <w:t xml:space="preserve">المدح والذم إذا لم نجعل المنكر عطفاً تفسيرياً </w:t>
      </w:r>
      <w:r>
        <w:rPr>
          <w:rStyle w:val="FootnoteAnchor"/>
          <w:rtl w:val="true"/>
        </w:rPr>
        <w:footnoteReference w:id="1887"/>
      </w:r>
      <w:r>
        <w:rPr>
          <w:rFonts w:ascii="Amiri" w:hAnsi="Amiri" w:eastAsia="Amiri" w:cs="Amiri"/>
          <w:color w:val="111111"/>
          <w:sz w:val="28"/>
          <w:sz w:val="28"/>
          <w:szCs w:val="28"/>
          <w:rtl w:val="true"/>
          <w:lang w:bidi="ar-SA"/>
        </w:rPr>
        <w:t>، وجعلناه عبارة عما يحكم العقل بقبحه</w:t>
      </w:r>
      <w:r>
        <w:rPr>
          <w:rFonts w:eastAsia="Amiri" w:cs="Amiri" w:ascii="Amiri" w:hAnsi="Amiri"/>
          <w:color w:val="111111"/>
          <w:sz w:val="28"/>
          <w:szCs w:val="28"/>
          <w:rtl w:val="true"/>
          <w:lang w:bidi="ar-SA"/>
        </w:rPr>
        <w:t>.</w:t>
      </w:r>
      <w:r>
        <w:rPr>
          <w:rStyle w:val="FootnoteAnchor"/>
          <w:rtl w:val="true"/>
        </w:rPr>
        <w:footnoteReference w:id="1888"/>
      </w:r>
    </w:p>
    <w:p>
      <w:pPr>
        <w:pStyle w:val="Heading3"/>
        <w:numPr>
          <w:ilvl w:val="2"/>
          <w:numId w:val="1"/>
        </w:numPr>
        <w:rPr/>
      </w:pPr>
      <w:bookmarkStart w:id="597" w:name="__RefHeading___Toc2001757_2870459653"/>
      <w:bookmarkStart w:id="598" w:name="_Toc228"/>
      <w:bookmarkEnd w:id="597"/>
      <w:r>
        <w:rPr>
          <w:rtl w:val="true"/>
        </w:rPr>
        <w:t>[</w:t>
      </w:r>
      <w:r>
        <w:rPr>
          <w:rtl w:val="true"/>
        </w:rPr>
        <w:t>وجوه أخر لنفي حجية العقل</w:t>
      </w:r>
      <w:r>
        <w:rPr>
          <w:rtl w:val="true"/>
        </w:rPr>
        <w:t>]</w:t>
      </w:r>
      <w:bookmarkEnd w:id="598"/>
    </w:p>
    <w:p>
      <w:pPr>
        <w:pStyle w:val="BookText"/>
        <w:rPr/>
      </w:pPr>
      <w:r>
        <w:rPr>
          <w:rFonts w:ascii="Amiri" w:hAnsi="Amiri" w:eastAsia="Amiri" w:cs="Amiri"/>
          <w:color w:val="111111"/>
          <w:sz w:val="28"/>
          <w:sz w:val="28"/>
          <w:szCs w:val="28"/>
          <w:rtl w:val="true"/>
          <w:lang w:bidi="ar-SA"/>
        </w:rPr>
        <w:t>ولو تمسّك الأخباري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1889"/>
      </w:r>
      <w:r>
        <w:rPr>
          <w:rFonts w:ascii="Amiri" w:hAnsi="Amiri" w:eastAsia="Amiri" w:cs="Amiri"/>
          <w:color w:val="111111"/>
          <w:sz w:val="28"/>
          <w:sz w:val="28"/>
          <w:szCs w:val="28"/>
          <w:rtl w:val="true"/>
          <w:lang w:bidi="ar-SA"/>
        </w:rPr>
        <w:t xml:space="preserve">بناء على أن الظاهر الرسول الظاهري، سيما بملاحظة البعثة </w:t>
      </w:r>
      <w:r>
        <w:rPr>
          <w:rStyle w:val="FootnoteAnchor"/>
          <w:rtl w:val="true"/>
        </w:rPr>
        <w:footnoteReference w:id="1890"/>
      </w:r>
      <w:r>
        <w:rPr>
          <w:rFonts w:ascii="Amiri" w:hAnsi="Amiri" w:eastAsia="Amiri" w:cs="Amiri"/>
          <w:color w:val="111111"/>
          <w:sz w:val="28"/>
          <w:sz w:val="28"/>
          <w:szCs w:val="28"/>
          <w:rtl w:val="true"/>
          <w:lang w:bidi="ar-SA"/>
        </w:rPr>
        <w:t xml:space="preserve">، وإن حذف المتعلق فيها </w:t>
      </w:r>
      <w:r>
        <w:rPr>
          <w:rStyle w:val="FootnoteAnchor"/>
          <w:rtl w:val="true"/>
        </w:rPr>
        <w:footnoteReference w:id="1891"/>
      </w:r>
      <w:r>
        <w:rPr>
          <w:rFonts w:ascii="Amiri" w:hAnsi="Amiri" w:eastAsia="Amiri" w:cs="Amiri"/>
          <w:color w:val="111111"/>
          <w:sz w:val="28"/>
          <w:sz w:val="28"/>
          <w:szCs w:val="28"/>
          <w:rtl w:val="true"/>
          <w:lang w:bidi="ar-SA"/>
        </w:rPr>
        <w:t>يفيد العموم ، وإن الإخبار عن نفي فعلية العذاب مستلزم لنفي الاستحقاق حذراً من التجري على المعاصي في الإخبار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لأجبنا عنه بأن المراد منها نفي العذاب في العاجل الا بعد البعث، بملاحظة تفسير جمع من</w:t>
      </w:r>
      <w:r>
        <w:rPr>
          <w:rStyle w:val="FootnoteAnchor"/>
          <w:rtl w:val="true"/>
        </w:rPr>
        <w:footnoteReference w:id="1892"/>
      </w:r>
      <w:r>
        <w:rPr>
          <w:rFonts w:ascii="Amiri" w:hAnsi="Amiri" w:eastAsia="Amiri" w:cs="Amiri"/>
          <w:color w:val="111111"/>
          <w:sz w:val="28"/>
          <w:sz w:val="28"/>
          <w:szCs w:val="28"/>
          <w:rtl w:val="true"/>
          <w:lang w:bidi="ar-SA"/>
        </w:rPr>
        <w:t xml:space="preserve">المفسرين كما نقل </w:t>
      </w:r>
      <w:r>
        <w:rPr>
          <w:rStyle w:val="FootnoteAnchor"/>
          <w:rtl w:val="true"/>
        </w:rPr>
        <w:footnoteReference w:id="1893"/>
      </w:r>
      <w:r>
        <w:rPr>
          <w:rFonts w:ascii="Amiri" w:hAnsi="Amiri" w:eastAsia="Amiri" w:cs="Amiri"/>
          <w:color w:val="111111"/>
          <w:sz w:val="28"/>
          <w:sz w:val="28"/>
          <w:szCs w:val="28"/>
          <w:rtl w:val="true"/>
          <w:lang w:bidi="ar-SA"/>
        </w:rPr>
        <w:t xml:space="preserve">، وملاحظة ما دلَّ على تعذيب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الأوثان، وجريان عادته تعالى على تعذيب</w:t>
      </w:r>
      <w:r>
        <w:rPr>
          <w:rFonts w:eastAsia="Amiri" w:cs="Amiri" w:ascii="Amiri" w:hAnsi="Amiri"/>
          <w:color w:val="111111"/>
          <w:sz w:val="28"/>
          <w:szCs w:val="28"/>
          <w:rtl w:val="true"/>
          <w:lang w:bidi="ar-SA"/>
        </w:rPr>
        <w:t>)</w:t>
      </w:r>
      <w:r>
        <w:rPr>
          <w:rStyle w:val="FootnoteAnchor"/>
          <w:rtl w:val="true"/>
        </w:rPr>
        <w:footnoteReference w:id="1894"/>
      </w:r>
      <w:r>
        <w:rPr>
          <w:rFonts w:ascii="Amiri" w:hAnsi="Amiri" w:eastAsia="Amiri" w:cs="Amiri"/>
          <w:color w:val="111111"/>
          <w:sz w:val="28"/>
          <w:sz w:val="28"/>
          <w:szCs w:val="28"/>
          <w:rtl w:val="true"/>
          <w:lang w:bidi="ar-SA"/>
        </w:rPr>
        <w:t xml:space="preserve">الأمم السالفة في العاجل </w:t>
      </w:r>
      <w:r>
        <w:rPr>
          <w:rStyle w:val="FootnoteAnchor"/>
          <w:rtl w:val="true"/>
        </w:rPr>
        <w:footnoteReference w:id="1895"/>
      </w:r>
      <w:r>
        <w:rPr>
          <w:rFonts w:ascii="Amiri" w:hAnsi="Amiri" w:eastAsia="Amiri" w:cs="Amiri"/>
          <w:color w:val="111111"/>
          <w:sz w:val="28"/>
          <w:sz w:val="28"/>
          <w:szCs w:val="28"/>
          <w:rtl w:val="true"/>
          <w:lang w:bidi="ar-SA"/>
        </w:rPr>
        <w:t xml:space="preserve">، وبأن دلالة حذف المتعلق من باب الإطلاق لا العموم، فينصرف إلى الشائع، وهو نفي العذاب عما يحتاج إلى البيان </w:t>
      </w:r>
      <w:r>
        <w:rPr>
          <w:rStyle w:val="FootnoteAnchor"/>
          <w:rtl w:val="true"/>
        </w:rPr>
        <w:footnoteReference w:id="1896"/>
      </w:r>
      <w:r>
        <w:rPr>
          <w:rFonts w:ascii="Amiri" w:hAnsi="Amiri" w:eastAsia="Amiri" w:cs="Amiri"/>
          <w:color w:val="111111"/>
          <w:sz w:val="28"/>
          <w:sz w:val="28"/>
          <w:szCs w:val="28"/>
          <w:rtl w:val="true"/>
          <w:lang w:bidi="ar-SA"/>
        </w:rPr>
        <w:t>والبعث ، لا ما يستقل به عقولهم، فإن شئت فارجع إلى</w:t>
      </w:r>
      <w:r>
        <w:rPr>
          <w:rStyle w:val="FootnoteAnchor"/>
          <w:rtl w:val="true"/>
        </w:rPr>
        <w:footnoteReference w:id="1897"/>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وبأنها معارضة مع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w:t>
      </w:r>
      <w:r>
        <w:rPr>
          <w:rFonts w:eastAsia="Amiri" w:cs="Amiri" w:ascii="Amiri" w:hAnsi="Amiri"/>
          <w:color w:val="111111"/>
          <w:sz w:val="28"/>
          <w:szCs w:val="28"/>
          <w:rtl w:val="true"/>
          <w:lang w:bidi="ar-SA"/>
        </w:rPr>
        <w:t>»</w:t>
      </w:r>
      <w:r>
        <w:rPr>
          <w:rStyle w:val="FootnoteAnchor"/>
          <w:rtl w:val="true"/>
        </w:rPr>
        <w:footnoteReference w:id="1898"/>
      </w:r>
      <w:r>
        <w:rPr>
          <w:rFonts w:ascii="Amiri" w:hAnsi="Amiri" w:eastAsia="Amiri" w:cs="Amiri"/>
          <w:color w:val="111111"/>
          <w:sz w:val="28"/>
          <w:sz w:val="28"/>
          <w:szCs w:val="28"/>
          <w:rtl w:val="true"/>
          <w:lang w:bidi="ar-SA"/>
        </w:rPr>
        <w:t>لحجية منصوص العلة، والتعارض من باب</w:t>
      </w:r>
      <w:r>
        <w:rPr>
          <w:rStyle w:val="FootnoteAnchor"/>
          <w:rtl w:val="true"/>
        </w:rPr>
        <w:footnoteReference w:id="1899"/>
      </w:r>
      <w:r>
        <w:rPr>
          <w:rFonts w:ascii="Amiri" w:hAnsi="Amiri" w:eastAsia="Amiri" w:cs="Amiri"/>
          <w:color w:val="111111"/>
          <w:sz w:val="28"/>
          <w:sz w:val="28"/>
          <w:szCs w:val="28"/>
          <w:rtl w:val="true"/>
          <w:lang w:bidi="ar-SA"/>
        </w:rPr>
        <w:t xml:space="preserve">العامين من وجه مورد الاجتماع والتعارض ما </w:t>
      </w:r>
      <w:r>
        <w:rPr>
          <w:rStyle w:val="FootnoteAnchor"/>
          <w:rtl w:val="true"/>
        </w:rPr>
        <w:footnoteReference w:id="1900"/>
      </w:r>
      <w:r>
        <w:rPr>
          <w:rFonts w:ascii="Amiri" w:hAnsi="Amiri" w:eastAsia="Amiri" w:cs="Amiri"/>
          <w:color w:val="111111"/>
          <w:sz w:val="28"/>
          <w:sz w:val="28"/>
          <w:szCs w:val="28"/>
          <w:rtl w:val="true"/>
          <w:lang w:bidi="ar-SA"/>
        </w:rPr>
        <w:t xml:space="preserve">يستقّل به العقل قبل البعث، فيرجع إلى المرجحات، وهي لو لم تكن مع الأخيرة </w:t>
      </w:r>
      <w:r>
        <w:rPr>
          <w:rStyle w:val="FootnoteAnchor"/>
          <w:rtl w:val="true"/>
        </w:rPr>
        <w:footnoteReference w:id="1901"/>
      </w:r>
      <w:r>
        <w:rPr>
          <w:rStyle w:val="FootnoteAnchor"/>
          <w:rtl w:val="true"/>
        </w:rPr>
        <w:footnoteReference w:id="1902"/>
      </w:r>
      <w:r>
        <w:rPr>
          <w:rFonts w:ascii="IRNazanin" w:hAnsi="IRNazanin" w:eastAsia="IRNazanin"/>
          <w:color w:val="111111"/>
          <w:sz w:val="28"/>
          <w:sz w:val="28"/>
          <w:szCs w:val="28"/>
          <w:rtl w:val="true"/>
          <w:lang w:bidi="fa-IR"/>
        </w:rPr>
        <w:t>فلا أقل من التساقط</w:t>
      </w:r>
      <w:r>
        <w:rPr>
          <w:rFonts w:eastAsia="IRNazanin" w:cs="IRNazanin"/>
          <w:color w:val="111111"/>
          <w:sz w:val="28"/>
          <w:szCs w:val="28"/>
          <w:rtl w:val="true"/>
          <w:lang w:bidi="fa-IR"/>
        </w:rPr>
        <w:t>.</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وبأن تلك الآية ظاهرة، وأدلة الحجية قاطعة، فلا تكافؤ</w:t>
      </w:r>
      <w:r>
        <w:rPr>
          <w:rFonts w:eastAsia="Amiri" w:cs="Amiri" w:ascii="Amiri" w:hAnsi="Amiri"/>
          <w:color w:val="111111"/>
          <w:sz w:val="28"/>
          <w:szCs w:val="28"/>
          <w:rtl w:val="true"/>
          <w:lang w:bidi="ar-SA"/>
        </w:rPr>
        <w:t>.</w:t>
      </w:r>
      <w:r>
        <w:rPr>
          <w:rStyle w:val="FootnoteAnchor"/>
          <w:rtl w:val="true"/>
        </w:rPr>
        <w:footnoteReference w:id="1904"/>
      </w:r>
    </w:p>
    <w:p>
      <w:pPr>
        <w:pStyle w:val="BookText"/>
        <w:rPr/>
      </w:pPr>
      <w:r>
        <w:rPr>
          <w:rFonts w:ascii="IRNazanin" w:hAnsi="IRNazanin" w:eastAsia="IRNazanin"/>
          <w:color w:val="111111"/>
          <w:sz w:val="28"/>
          <w:sz w:val="28"/>
          <w:szCs w:val="28"/>
          <w:rtl w:val="true"/>
          <w:lang w:bidi="fa-IR"/>
        </w:rPr>
        <w:t>أو</w:t>
      </w:r>
      <w:r>
        <w:rPr>
          <w:rStyle w:val="FootnoteAnchor"/>
          <w:rtl w:val="true"/>
        </w:rPr>
        <w:footnoteReference w:id="1905"/>
      </w:r>
      <w:r>
        <w:rPr>
          <w:rFonts w:ascii="Amiri" w:hAnsi="Amiri" w:eastAsia="Amiri" w:cs="Amiri"/>
          <w:color w:val="111111"/>
          <w:sz w:val="28"/>
          <w:sz w:val="28"/>
          <w:szCs w:val="28"/>
          <w:rtl w:val="true"/>
          <w:lang w:bidi="ar-SA"/>
        </w:rPr>
        <w:t xml:space="preserve">بقوله الدال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أمر أو نهي</w:t>
      </w:r>
      <w:r>
        <w:rPr>
          <w:rFonts w:eastAsia="Amiri" w:cs="Amiri" w:ascii="Amiri" w:hAnsi="Amiri"/>
          <w:color w:val="111111"/>
          <w:sz w:val="28"/>
          <w:szCs w:val="28"/>
          <w:rtl w:val="true"/>
          <w:lang w:bidi="ar-SA"/>
        </w:rPr>
        <w:t>»</w:t>
      </w:r>
      <w:r>
        <w:rPr>
          <w:rStyle w:val="FootnoteAnchor"/>
          <w:rtl w:val="true"/>
        </w:rPr>
        <w:footnoteReference w:id="1906"/>
      </w:r>
      <w:r>
        <w:rPr>
          <w:rFonts w:ascii="Amiri" w:hAnsi="Amiri" w:eastAsia="Amiri" w:cs="Amiri"/>
          <w:color w:val="111111"/>
          <w:sz w:val="28"/>
          <w:sz w:val="28"/>
          <w:szCs w:val="28"/>
          <w:rtl w:val="true"/>
          <w:lang w:bidi="ar-SA"/>
        </w:rPr>
        <w:t>حيث إن المتبادر اللفظيان، فلا تكليف قبل ورودهما وان استقل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المقام مما يحتمل ورودهما في الواقع، اندفع الاحتمال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بأن المتبادر ما لم يعلم بورود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لدفعنا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بعدم الانصراف إلى المستقلات كما مرَّ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وبأنها ظنية والمسألة علمية، وبأنها ظاهرة وأدلة الحجية قاطعة، فيحمل النص على الأعم من الأمر العقلي، أو يخصص بغير ما يستقل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 بما رواه أبان</w:t>
      </w:r>
      <w:r>
        <w:rPr>
          <w:rStyle w:val="FootnoteAnchor"/>
          <w:rtl w:val="true"/>
        </w:rPr>
        <w:footnoteReference w:id="1907"/>
      </w:r>
      <w:r>
        <w:rPr>
          <w:rFonts w:ascii="Amiri" w:hAnsi="Amiri" w:eastAsia="Amiri" w:cs="Amiri"/>
          <w:color w:val="111111"/>
          <w:sz w:val="28"/>
          <w:sz w:val="28"/>
          <w:szCs w:val="28"/>
          <w:rtl w:val="true"/>
          <w:lang w:bidi="ar-SA"/>
        </w:rPr>
        <w:t>في أصابع المرأة، وزرارة</w:t>
      </w:r>
      <w:r>
        <w:rPr>
          <w:rStyle w:val="FootnoteAnchor"/>
          <w:rtl w:val="true"/>
        </w:rPr>
        <w:footnoteReference w:id="1908"/>
      </w:r>
      <w:r>
        <w:rPr>
          <w:rFonts w:ascii="Amiri" w:hAnsi="Amiri" w:eastAsia="Amiri" w:cs="Amiri"/>
          <w:color w:val="111111"/>
          <w:sz w:val="28"/>
          <w:sz w:val="28"/>
          <w:szCs w:val="28"/>
          <w:rtl w:val="true"/>
          <w:lang w:bidi="ar-SA"/>
        </w:rPr>
        <w:t xml:space="preserve">في الولاية، والأخبار الدالة على أنه لا تكليف قبل البعث </w:t>
      </w:r>
      <w:r>
        <w:rPr>
          <w:rStyle w:val="FootnoteAnchor"/>
          <w:rtl w:val="true"/>
        </w:rPr>
        <w:footnoteReference w:id="1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w:t>
      </w:r>
      <w:r>
        <w:rPr>
          <w:rFonts w:eastAsia="Amiri" w:cs="Amiri" w:ascii="Amiri" w:hAnsi="Amiri"/>
          <w:color w:val="111111"/>
          <w:sz w:val="28"/>
          <w:szCs w:val="28"/>
          <w:rtl w:val="true"/>
          <w:lang w:bidi="ar-SA"/>
        </w:rPr>
        <w:t>»</w:t>
      </w:r>
      <w:r>
        <w:rPr>
          <w:rStyle w:val="FootnoteAnchor"/>
          <w:rtl w:val="true"/>
        </w:rPr>
        <w:footnoteReference w:id="1910"/>
      </w:r>
      <w:r>
        <w:rPr>
          <w:rFonts w:ascii="Amiri" w:hAnsi="Amiri" w:eastAsia="Amiri" w:cs="Amiri"/>
          <w:color w:val="111111"/>
          <w:sz w:val="28"/>
          <w:sz w:val="28"/>
          <w:szCs w:val="28"/>
          <w:rtl w:val="true"/>
          <w:lang w:bidi="ar-SA"/>
        </w:rPr>
        <w:t>، والأخبار الدالة على أنه يجب على الله تعالى بيان مصالح الناس ومفاسدهم</w:t>
      </w:r>
      <w:r>
        <w:rPr>
          <w:rStyle w:val="FootnoteAnchor"/>
          <w:rtl w:val="true"/>
        </w:rPr>
        <w:footnoteReference w:id="1911"/>
      </w:r>
      <w:r>
        <w:rPr>
          <w:rFonts w:ascii="Amiri" w:hAnsi="Amiri" w:eastAsia="Amiri" w:cs="Amiri"/>
          <w:color w:val="111111"/>
          <w:sz w:val="28"/>
          <w:sz w:val="28"/>
          <w:szCs w:val="28"/>
          <w:rtl w:val="true"/>
          <w:lang w:bidi="ar-SA"/>
        </w:rPr>
        <w:t xml:space="preserve">، والأخبار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الزمان لا يخلو عن حجة؛ ليعرف الناس ما يصلحهم ويفسدهم</w:t>
      </w:r>
      <w:r>
        <w:rPr>
          <w:rStyle w:val="FootnoteAnchor"/>
          <w:rtl w:val="true"/>
        </w:rPr>
        <w:footnoteReference w:id="1912"/>
      </w:r>
      <w:r>
        <w:rPr>
          <w:rFonts w:ascii="Amiri" w:hAnsi="Amiri" w:eastAsia="Amiri" w:cs="Amiri"/>
          <w:color w:val="111111"/>
          <w:sz w:val="28"/>
          <w:sz w:val="28"/>
          <w:szCs w:val="28"/>
          <w:rtl w:val="true"/>
          <w:lang w:bidi="ar-SA"/>
        </w:rPr>
        <w:t>، والأخبار الدالة على</w:t>
      </w:r>
      <w:r>
        <w:rPr>
          <w:rFonts w:eastAsia="Amiri" w:cs="Amiri" w:ascii="Amiri" w:hAnsi="Amiri"/>
          <w:color w:val="111111"/>
          <w:sz w:val="28"/>
          <w:szCs w:val="28"/>
          <w:rtl w:val="true"/>
          <w:lang w:bidi="ar-SA"/>
        </w:rPr>
        <w:t xml:space="preserve">) </w:t>
      </w:r>
      <w:r>
        <w:rPr>
          <w:rStyle w:val="FootnoteAnchor"/>
          <w:rtl w:val="true"/>
        </w:rPr>
        <w:footnoteReference w:id="1913"/>
      </w:r>
      <w:r>
        <w:rPr>
          <w:rFonts w:ascii="Amiri" w:hAnsi="Amiri" w:eastAsia="Amiri" w:cs="Amiri"/>
          <w:color w:val="111111"/>
          <w:sz w:val="28"/>
          <w:sz w:val="28"/>
          <w:szCs w:val="28"/>
          <w:rtl w:val="true"/>
          <w:lang w:bidi="ar-SA"/>
        </w:rPr>
        <w:t>أنه تعالى لا يحتج على العباد إلا بعد إرشاد العقل وإرسال الرسل</w:t>
      </w:r>
      <w:r>
        <w:rPr>
          <w:rFonts w:eastAsia="Amiri" w:cs="Amiri" w:ascii="Amiri" w:hAnsi="Amiri"/>
          <w:color w:val="111111"/>
          <w:sz w:val="28"/>
          <w:szCs w:val="28"/>
          <w:rtl w:val="true"/>
          <w:lang w:bidi="ar-SA"/>
        </w:rPr>
        <w:t>.</w:t>
      </w:r>
      <w:r>
        <w:rPr>
          <w:rStyle w:val="FootnoteAnchor"/>
          <w:rtl w:val="true"/>
        </w:rPr>
        <w:footnoteReference w:id="1914"/>
      </w:r>
    </w:p>
    <w:p>
      <w:pPr>
        <w:pStyle w:val="BookText"/>
        <w:rPr/>
      </w:pPr>
      <w:r>
        <w:rPr>
          <w:rFonts w:ascii="IRNazanin" w:hAnsi="IRNazanin" w:eastAsia="IRNazanin"/>
          <w:color w:val="111111"/>
          <w:sz w:val="28"/>
          <w:sz w:val="28"/>
          <w:szCs w:val="28"/>
          <w:rtl w:val="true"/>
          <w:lang w:bidi="fa-IR"/>
        </w:rPr>
        <w:t>أو</w:t>
      </w:r>
      <w:r>
        <w:rPr>
          <w:rStyle w:val="FootnoteAnchor"/>
          <w:rtl w:val="true"/>
        </w:rPr>
        <w:footnoteReference w:id="1915"/>
      </w:r>
      <w:r>
        <w:rPr>
          <w:rFonts w:ascii="Amiri" w:hAnsi="Amiri" w:eastAsia="Amiri" w:cs="Amiri"/>
          <w:color w:val="111111"/>
          <w:sz w:val="28"/>
          <w:sz w:val="28"/>
          <w:szCs w:val="28"/>
          <w:rtl w:val="true"/>
          <w:lang w:bidi="ar-SA"/>
        </w:rPr>
        <w:t xml:space="preserve">إن التكليف فيما أريد فيه التعذيب لطف ، وكل </w:t>
      </w:r>
      <w:r>
        <w:rPr>
          <w:rStyle w:val="FootnoteAnchor"/>
          <w:rtl w:val="true"/>
        </w:rPr>
        <w:footnoteReference w:id="1916"/>
      </w:r>
      <w:r>
        <w:rPr>
          <w:rFonts w:ascii="Amiri" w:hAnsi="Amiri" w:eastAsia="Amiri" w:cs="Amiri"/>
          <w:color w:val="111111"/>
          <w:sz w:val="28"/>
          <w:sz w:val="28"/>
          <w:szCs w:val="28"/>
          <w:rtl w:val="true"/>
          <w:lang w:bidi="ar-SA"/>
        </w:rPr>
        <w:t>لطف واجب، ففي ما لا تكليف لا تعذيب وإن استقل العقل؛ لأنه لا لطف، فلا 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r>
        <w:rPr>
          <w:rStyle w:val="FootnoteAnchor"/>
          <w:rtl w:val="true"/>
        </w:rPr>
        <w:footnoteReference w:id="1917"/>
      </w:r>
      <w:r>
        <w:rPr>
          <w:rFonts w:ascii="Amiri" w:hAnsi="Amiri" w:eastAsia="Amiri" w:cs="Amiri"/>
          <w:color w:val="111111"/>
          <w:sz w:val="28"/>
          <w:sz w:val="28"/>
          <w:szCs w:val="28"/>
          <w:rtl w:val="true"/>
          <w:lang w:bidi="ar-SA"/>
        </w:rPr>
        <w:t>إن العباد مجبورون، فلا حسن ولا قبح حتى يدرك العقل ويكون حجة</w:t>
      </w:r>
      <w:r>
        <w:rPr>
          <w:rFonts w:eastAsia="Amiri" w:cs="Amiri" w:ascii="Amiri" w:hAnsi="Amiri"/>
          <w:color w:val="111111"/>
          <w:sz w:val="28"/>
          <w:szCs w:val="28"/>
          <w:rtl w:val="true"/>
          <w:lang w:bidi="ar-SA"/>
        </w:rPr>
        <w:t>.</w:t>
      </w:r>
      <w:r>
        <w:rPr>
          <w:rStyle w:val="FootnoteAnchor"/>
          <w:rtl w:val="true"/>
        </w:rPr>
        <w:footnoteReference w:id="191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إنه لو كان اللازم على الله سبحانه أن يأمر بما أمر به العقل خرج عن كونه </w:t>
      </w:r>
      <w:bookmarkStart w:id="599" w:name="pg9015_97677"/>
    </w:p>
    <w:p>
      <w:pPr>
        <w:pStyle w:val="BookText"/>
        <w:rPr/>
      </w:pPr>
      <w:bookmarkEnd w:id="599"/>
      <w:r>
        <w:rPr>
          <w:rFonts w:ascii="Amiri" w:hAnsi="Amiri" w:eastAsia="Amiri" w:cs="Amiri"/>
          <w:color w:val="111111"/>
          <w:sz w:val="28"/>
          <w:sz w:val="28"/>
          <w:szCs w:val="28"/>
          <w:rtl w:val="true"/>
          <w:lang w:bidi="ar-SA"/>
        </w:rPr>
        <w:t>مختاراً في ابداع الأحكام مع أنه تعالى يحكم ما يشاء ويفعل ما يريد</w:t>
      </w:r>
      <w:r>
        <w:rPr>
          <w:rFonts w:eastAsia="Amiri" w:cs="Amiri" w:ascii="Amiri" w:hAnsi="Amiri"/>
          <w:color w:val="111111"/>
          <w:sz w:val="28"/>
          <w:szCs w:val="28"/>
          <w:rtl w:val="true"/>
          <w:lang w:bidi="ar-SA"/>
        </w:rPr>
        <w:t>.</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 xml:space="preserve">فقد ظهر أجوبة كل ذلك بعد التأمل فيما مرَّ </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2001759_2870459653"/>
      <w:bookmarkStart w:id="601" w:name="_Toc229"/>
      <w:bookmarkEnd w:id="600"/>
      <w:r>
        <w:rPr>
          <w:rtl w:val="true"/>
        </w:rPr>
        <w:t>[</w:t>
      </w:r>
      <w:r>
        <w:rPr>
          <w:rtl w:val="true"/>
        </w:rPr>
        <w:t>ثمرة المسألة</w:t>
      </w:r>
      <w:r>
        <w:rPr>
          <w:rtl w:val="true"/>
        </w:rPr>
        <w:t>]</w:t>
      </w:r>
      <w:bookmarkEnd w:id="601"/>
    </w:p>
    <w:p>
      <w:pPr>
        <w:pStyle w:val="BookText"/>
        <w:rPr/>
      </w:pPr>
      <w:r>
        <w:rPr>
          <w:rFonts w:ascii="Amiri" w:hAnsi="Amiri" w:eastAsia="Amiri" w:cs="Amiri"/>
          <w:color w:val="111111"/>
          <w:sz w:val="28"/>
          <w:sz w:val="28"/>
          <w:szCs w:val="28"/>
          <w:rtl w:val="true"/>
          <w:lang w:bidi="ar-SA"/>
        </w:rPr>
        <w:t xml:space="preserve">وتظهر ثمرة النزاع في حجية العقل في تكليف الكافر، حتى القاصر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بالفرع الذي يستقل به العقل</w:t>
      </w:r>
      <w:r>
        <w:rPr>
          <w:rStyle w:val="FootnoteAnchor"/>
          <w:rtl w:val="true"/>
        </w:rPr>
        <w:footnoteReference w:id="1920"/>
      </w:r>
      <w:r>
        <w:rPr>
          <w:rFonts w:ascii="Amiri" w:hAnsi="Amiri" w:eastAsia="Amiri" w:cs="Amiri"/>
          <w:color w:val="111111"/>
          <w:sz w:val="28"/>
          <w:sz w:val="28"/>
          <w:szCs w:val="28"/>
          <w:rtl w:val="true"/>
          <w:lang w:bidi="ar-SA"/>
        </w:rPr>
        <w:t>، وكذا المسلم القاصر الذي لا تنال يده الشرع، وفي تعارض الخبر مع العقل</w:t>
      </w:r>
      <w:r>
        <w:rPr>
          <w:rFonts w:eastAsia="Amiri" w:cs="Amiri" w:ascii="Amiri" w:hAnsi="Amiri"/>
          <w:color w:val="111111"/>
          <w:sz w:val="28"/>
          <w:szCs w:val="28"/>
          <w:rtl w:val="true"/>
          <w:lang w:bidi="ar-SA"/>
        </w:rPr>
        <w:t>).</w:t>
      </w:r>
      <w:r>
        <w:rPr>
          <w:rStyle w:val="FootnoteAnchor"/>
          <w:rtl w:val="true"/>
        </w:rPr>
        <w:footnoteReference w:id="1921"/>
      </w:r>
      <w:r>
        <w:rPr>
          <w:rStyle w:val="FootnoteAnchor"/>
          <w:rtl w:val="true"/>
        </w:rPr>
        <w:footnoteReference w:id="192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فرض الثمرة في إثبات حجية الظن من باب الدليل العقلي</w:t>
      </w:r>
      <w:r>
        <w:rPr>
          <w:rStyle w:val="FootnoteAnchor"/>
          <w:rtl w:val="true"/>
        </w:rPr>
        <w:footnoteReference w:id="1923"/>
      </w:r>
      <w:r>
        <w:rPr>
          <w:rFonts w:ascii="Amiri" w:hAnsi="Amiri" w:eastAsia="Amiri" w:cs="Amiri"/>
          <w:color w:val="111111"/>
          <w:sz w:val="28"/>
          <w:sz w:val="28"/>
          <w:szCs w:val="28"/>
          <w:rtl w:val="true"/>
          <w:lang w:bidi="ar-SA"/>
        </w:rPr>
        <w:t xml:space="preserve">، وفي جعل الظن الغير المعتبر مرجحاً عند تعارض الدليلين، أو عند دوران القبلة بين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يتمكن الا من الصلاة إلى إحداها</w:t>
      </w:r>
      <w:r>
        <w:rPr>
          <w:rStyle w:val="FootnoteAnchor"/>
          <w:rtl w:val="true"/>
        </w:rPr>
        <w:footnoteReference w:id="1924"/>
      </w:r>
      <w:r>
        <w:rPr>
          <w:rFonts w:ascii="Amiri" w:hAnsi="Amiri" w:eastAsia="Amiri" w:cs="Amiri"/>
          <w:color w:val="111111"/>
          <w:sz w:val="28"/>
          <w:sz w:val="28"/>
          <w:szCs w:val="28"/>
          <w:rtl w:val="true"/>
          <w:lang w:bidi="ar-SA"/>
        </w:rPr>
        <w:t xml:space="preserve">، وفي إثبات التخيير إذا دار </w:t>
      </w:r>
    </w:p>
    <w:p>
      <w:pPr>
        <w:pStyle w:val="BookText"/>
        <w:rPr/>
      </w:pPr>
      <w:r>
        <w:rPr>
          <w:rFonts w:ascii="Amiri" w:hAnsi="Amiri" w:eastAsia="Amiri" w:cs="Amiri"/>
          <w:color w:val="111111"/>
          <w:sz w:val="28"/>
          <w:sz w:val="28"/>
          <w:szCs w:val="28"/>
          <w:rtl w:val="true"/>
          <w:lang w:bidi="ar-SA"/>
        </w:rPr>
        <w:t>الأمر بين المحذورين، ولا دليل على أحد الطرفين، وإثبات جواز التسامح في السنن إذا لم نعتبر اخباره؛ لقدح في السند أو منع الحجية وإثبات التكليف في أيام الفترة في المستقلات العقلية</w:t>
      </w:r>
      <w:r>
        <w:rPr>
          <w:rStyle w:val="FootnoteAnchor"/>
          <w:rtl w:val="true"/>
        </w:rPr>
        <w:footnoteReference w:id="1925"/>
      </w:r>
      <w:r>
        <w:rPr>
          <w:rFonts w:ascii="Amiri" w:hAnsi="Amiri" w:eastAsia="Amiri" w:cs="Amiri"/>
          <w:color w:val="111111"/>
          <w:sz w:val="28"/>
          <w:sz w:val="28"/>
          <w:szCs w:val="28"/>
          <w:rtl w:val="true"/>
          <w:lang w:bidi="ar-SA"/>
        </w:rPr>
        <w:t>، وإثبات أصل الإباحة والبراءة</w:t>
      </w:r>
      <w:r>
        <w:rPr>
          <w:rStyle w:val="FootnoteAnchor"/>
          <w:rtl w:val="true"/>
        </w:rPr>
        <w:footnoteReference w:id="1926"/>
      </w:r>
      <w:r>
        <w:rPr>
          <w:rFonts w:ascii="Amiri" w:hAnsi="Amiri" w:eastAsia="Amiri" w:cs="Amiri"/>
          <w:color w:val="111111"/>
          <w:sz w:val="28"/>
          <w:sz w:val="28"/>
          <w:szCs w:val="28"/>
          <w:rtl w:val="true"/>
          <w:lang w:bidi="ar-SA"/>
        </w:rPr>
        <w:t>، لكن على تأمل فيها، أو في جملة منها</w:t>
      </w:r>
      <w:r>
        <w:rPr>
          <w:rFonts w:eastAsia="Amiri" w:cs="Amiri" w:ascii="Amiri" w:hAnsi="Amiri"/>
          <w:color w:val="111111"/>
          <w:sz w:val="28"/>
          <w:szCs w:val="28"/>
          <w:rtl w:val="true"/>
          <w:lang w:bidi="ar-SA"/>
        </w:rPr>
        <w:t>.</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 xml:space="preserve">ثمّ لو قال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ثمرة ؛ لأن</w:t>
      </w:r>
      <w:r>
        <w:rPr>
          <w:rStyle w:val="FootnoteAnchor"/>
          <w:rtl w:val="true"/>
        </w:rPr>
        <w:footnoteReference w:id="1928"/>
      </w:r>
      <w:r>
        <w:rPr>
          <w:rFonts w:ascii="Amiri" w:hAnsi="Amiri" w:eastAsia="Amiri" w:cs="Amiri"/>
          <w:color w:val="111111"/>
          <w:sz w:val="28"/>
          <w:sz w:val="28"/>
          <w:szCs w:val="28"/>
          <w:rtl w:val="true"/>
          <w:lang w:bidi="ar-SA"/>
        </w:rPr>
        <w:t>التكليف فيما يستقل به العقل لطف، وكل لطف</w:t>
      </w:r>
      <w:r>
        <w:rPr>
          <w:rStyle w:val="FootnoteAnchor"/>
          <w:rtl w:val="true"/>
        </w:rPr>
        <w:footnoteReference w:id="1929"/>
      </w:r>
      <w:r>
        <w:rPr>
          <w:rFonts w:ascii="Amiri" w:hAnsi="Amiri" w:eastAsia="Amiri" w:cs="Amiri"/>
          <w:color w:val="111111"/>
          <w:sz w:val="28"/>
          <w:sz w:val="28"/>
          <w:szCs w:val="28"/>
          <w:rtl w:val="true"/>
          <w:lang w:bidi="ar-SA"/>
        </w:rPr>
        <w:t>واجب، فالشارع قد بيّن كلّ الأحكام</w:t>
      </w:r>
      <w:r>
        <w:rPr>
          <w:rFonts w:eastAsia="Amiri" w:cs="Amiri" w:ascii="Amiri" w:hAnsi="Amiri"/>
          <w:color w:val="111111"/>
          <w:sz w:val="28"/>
          <w:szCs w:val="28"/>
          <w:rtl w:val="true"/>
          <w:lang w:bidi="ar-SA"/>
        </w:rPr>
        <w:t>.</w:t>
      </w:r>
      <w:r>
        <w:rPr>
          <w:rStyle w:val="FootnoteAnchor"/>
          <w:rtl w:val="true"/>
        </w:rPr>
        <w:footnoteReference w:id="19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كلية الكبرى </w:t>
      </w:r>
      <w:r>
        <w:rPr>
          <w:rStyle w:val="FootnoteAnchor"/>
          <w:rtl w:val="true"/>
        </w:rPr>
        <w:footnoteReference w:id="1931"/>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وبأن الوجوب</w:t>
      </w:r>
      <w:r>
        <w:rPr>
          <w:rStyle w:val="FootnoteAnchor"/>
          <w:rtl w:val="true"/>
        </w:rPr>
        <w:footnoteReference w:id="1932"/>
      </w:r>
      <w:r>
        <w:rPr>
          <w:rFonts w:ascii="Amiri" w:hAnsi="Amiri" w:eastAsia="Amiri" w:cs="Amiri"/>
          <w:color w:val="111111"/>
          <w:sz w:val="28"/>
          <w:sz w:val="28"/>
          <w:szCs w:val="28"/>
          <w:rtl w:val="true"/>
          <w:lang w:bidi="ar-SA"/>
        </w:rPr>
        <w:t xml:space="preserve">تعليقي قابل لعروض المانع، كظهور </w:t>
      </w:r>
      <w:r>
        <w:rPr>
          <w:rStyle w:val="FootnoteAnchor"/>
          <w:rtl w:val="true"/>
        </w:rPr>
        <w:footnoteReference w:id="1933"/>
      </w:r>
      <w:r>
        <w:rPr>
          <w:rFonts w:ascii="IRNazanin" w:hAnsi="IRNazanin" w:eastAsia="IRNazanin"/>
          <w:color w:val="111111"/>
          <w:sz w:val="28"/>
          <w:sz w:val="28"/>
          <w:szCs w:val="28"/>
          <w:rtl w:val="true"/>
          <w:lang w:bidi="fa-IR"/>
        </w:rPr>
        <w:t>الحجة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الشارع لا يلازم عثور</w:t>
      </w:r>
      <w:r>
        <w:rPr>
          <w:rStyle w:val="FootnoteAnchor"/>
          <w:rtl w:val="true"/>
        </w:rPr>
        <w:footnoteReference w:id="1934"/>
      </w:r>
      <w:r>
        <w:rPr>
          <w:rFonts w:ascii="Amiri" w:hAnsi="Amiri" w:eastAsia="Amiri" w:cs="Amiri"/>
          <w:color w:val="111111"/>
          <w:sz w:val="28"/>
          <w:sz w:val="28"/>
          <w:szCs w:val="28"/>
          <w:rtl w:val="true"/>
          <w:lang w:bidi="ar-SA"/>
        </w:rPr>
        <w:t>المكلف به دائماً كالقاصر</w:t>
      </w:r>
      <w:r>
        <w:rPr>
          <w:rFonts w:eastAsia="Amiri" w:cs="Amiri" w:ascii="Amiri" w:hAnsi="Amiri"/>
          <w:color w:val="111111"/>
          <w:sz w:val="28"/>
          <w:szCs w:val="28"/>
          <w:rtl w:val="true"/>
          <w:lang w:bidi="ar-SA"/>
        </w:rPr>
        <w:t>.</w:t>
      </w:r>
      <w:r>
        <w:rPr>
          <w:rStyle w:val="FootnoteAnchor"/>
          <w:rtl w:val="true"/>
        </w:rPr>
        <w:footnoteReference w:id="1935"/>
      </w:r>
      <w:r>
        <w:rPr>
          <w:rStyle w:val="FootnoteAnchor"/>
          <w:rtl w:val="true"/>
        </w:rPr>
        <w:footnoteReference w:id="193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وبأن</w:t>
      </w:r>
      <w:r>
        <w:rPr>
          <w:rFonts w:eastAsia="IRNazanin" w:cs="IRNazanin"/>
          <w:color w:val="111111"/>
          <w:sz w:val="28"/>
          <w:szCs w:val="28"/>
          <w:rtl w:val="true"/>
          <w:lang w:bidi="fa-IR"/>
        </w:rPr>
        <w:t>)</w:t>
      </w:r>
      <w:r>
        <w:rPr>
          <w:rStyle w:val="FootnoteAnchor"/>
          <w:rtl w:val="true"/>
        </w:rPr>
        <w:footnoteReference w:id="1937"/>
      </w:r>
      <w:r>
        <w:rPr>
          <w:rFonts w:ascii="Amiri" w:hAnsi="Amiri" w:eastAsia="Amiri" w:cs="Amiri"/>
          <w:color w:val="111111"/>
          <w:sz w:val="28"/>
          <w:sz w:val="28"/>
          <w:szCs w:val="28"/>
          <w:rtl w:val="true"/>
          <w:lang w:bidi="ar-SA"/>
        </w:rPr>
        <w:t>الدليل عقلى لا يقول به إلّا أن يكون غرضه الإلزام، أو يسلّم حجيته في العقائد، أو يدعى ورود الشرع على طبقه</w:t>
      </w:r>
      <w:r>
        <w:rPr>
          <w:rFonts w:eastAsia="Amiri" w:cs="Amiri" w:ascii="Amiri" w:hAnsi="Amiri"/>
          <w:color w:val="111111"/>
          <w:sz w:val="28"/>
          <w:szCs w:val="28"/>
          <w:rtl w:val="true"/>
          <w:lang w:bidi="ar-SA"/>
        </w:rPr>
        <w:t xml:space="preserve">. </w:t>
      </w:r>
      <w:bookmarkStart w:id="602" w:name="pg9015_97680"/>
    </w:p>
    <w:p>
      <w:pPr>
        <w:pStyle w:val="Heading2"/>
        <w:numPr>
          <w:ilvl w:val="1"/>
          <w:numId w:val="1"/>
        </w:numPr>
        <w:rPr/>
      </w:pPr>
      <w:bookmarkStart w:id="603" w:name="__RefHeading___Toc2001761_2870459653"/>
      <w:bookmarkStart w:id="604" w:name="_Toc230"/>
      <w:bookmarkEnd w:id="602"/>
      <w:bookmarkEnd w:id="603"/>
      <w:r>
        <w:rPr>
          <w:rtl w:val="true"/>
        </w:rPr>
        <w:t xml:space="preserve">أصل </w:t>
      </w:r>
      <w:r>
        <w:rPr>
          <w:rtl w:val="true"/>
        </w:rPr>
        <w:t>[</w:t>
      </w:r>
      <w:r>
        <w:rPr>
          <w:rtl w:val="true"/>
        </w:rPr>
        <w:t>في إثبات تبعية الأحكام الشرعية للصفات</w:t>
      </w:r>
      <w:r>
        <w:rPr>
          <w:rtl w:val="true"/>
        </w:rPr>
        <w:t>]</w:t>
      </w:r>
      <w:bookmarkEnd w:id="60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به الشرع 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انه كلّ ما يمكن أن يجعل الشارع له حكماً وإن لم يجعله، أو جعله ولم يبيّنه، حكم به العقل بعد الجعل والاطلاع حكماً إجمالياً، فيحكم بمطابقته للصفة الكامنة المقتضية لجعل هذا الحكم، والمخالف الأشعري فينفي تبعيتها للصفات مطلقاً</w:t>
      </w:r>
      <w:r>
        <w:rPr>
          <w:rFonts w:eastAsia="Amiri" w:cs="Amiri" w:ascii="Amiri" w:hAnsi="Amiri"/>
          <w:color w:val="111111"/>
          <w:sz w:val="28"/>
          <w:szCs w:val="28"/>
          <w:rtl w:val="true"/>
          <w:lang w:bidi="ar-SA"/>
        </w:rPr>
        <w:t>.</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لنا على إبطال السلب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لولا تبعيتها للصفات لزم عدم إدراك العقل، وعدم حجيته، وقد ثبت حجيته مما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إثبات الإيجاب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أحكامه تعالى إن لم تكن معللة بالأغراض لزم العبث، أو كانت معلّلة بأغراض راجعة إليه تعالى لزم الاحتياج، أو إلى العباد لمجرد الإطاعة والعصيان للثواب والعقاب من غير خصوصية غرض في المأمور به والمنهي عنه، لزم اللغو والعبث في الخصوصيات؛ لكونه ترجيحاً بلا داع، وإن لم يلزم لغو في سنخ جعل الأحكام، أو لخصوصية غرض راجع اليهم موجود في نفس المأمور به</w:t>
      </w:r>
      <w:r>
        <w:rPr>
          <w:rStyle w:val="FootnoteAnchor"/>
          <w:rtl w:val="true"/>
        </w:rPr>
        <w:footnoteReference w:id="1939"/>
      </w:r>
      <w:r>
        <w:rPr>
          <w:rFonts w:ascii="Amiri" w:hAnsi="Amiri" w:eastAsia="Amiri" w:cs="Amiri"/>
          <w:color w:val="111111"/>
          <w:sz w:val="28"/>
          <w:sz w:val="28"/>
          <w:szCs w:val="28"/>
          <w:rtl w:val="true"/>
          <w:lang w:bidi="ar-SA"/>
        </w:rPr>
        <w:t xml:space="preserve">والمنهي عنه، مع قطع </w:t>
      </w:r>
      <w:r>
        <w:rPr>
          <w:rStyle w:val="FootnoteAnchor"/>
          <w:rtl w:val="true"/>
        </w:rPr>
        <w:footnoteReference w:id="1940"/>
      </w:r>
      <w:r>
        <w:rPr>
          <w:rFonts w:ascii="Amiri" w:hAnsi="Amiri" w:eastAsia="Amiri" w:cs="Amiri"/>
          <w:color w:val="111111"/>
          <w:sz w:val="28"/>
          <w:sz w:val="28"/>
          <w:szCs w:val="28"/>
          <w:rtl w:val="true"/>
          <w:lang w:bidi="ar-SA"/>
        </w:rPr>
        <w:t>النظر عن الأمر والنهي، ثبت المطلوب</w:t>
      </w:r>
      <w:r>
        <w:rPr>
          <w:rFonts w:eastAsia="Amiri" w:cs="Amiri" w:ascii="Amiri" w:hAnsi="Amiri"/>
          <w:color w:val="111111"/>
          <w:sz w:val="28"/>
          <w:szCs w:val="28"/>
          <w:rtl w:val="true"/>
          <w:lang w:bidi="ar-SA"/>
        </w:rPr>
        <w:t>.</w:t>
      </w:r>
      <w:r>
        <w:rPr>
          <w:rStyle w:val="FootnoteAnchor"/>
          <w:rtl w:val="true"/>
        </w:rPr>
        <w:footnoteReference w:id="194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وانه لاريب في أن كلّ فعل في الواقع إما المصلحة في إتيانه، أو في تركه، أو لا مصلحة في فعله ولا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لا بد من الأمر به ولو ندباً؛ إذ طلب تركه ترجيح للمرجوح، وإباحته تسوية بين الراجح والمرجوح، وفي الثاني عكسه؛ لما مرّ، وفي الثالث لا بد من إباحته؛ حذراً من الترجيح بلا مرجح</w:t>
      </w:r>
      <w:r>
        <w:rPr>
          <w:rFonts w:eastAsia="Amiri" w:cs="Amiri" w:ascii="Amiri" w:hAnsi="Amiri"/>
          <w:color w:val="111111"/>
          <w:sz w:val="28"/>
          <w:szCs w:val="28"/>
          <w:rtl w:val="true"/>
          <w:lang w:bidi="ar-SA"/>
        </w:rPr>
        <w:t>.</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ولا ريب في تنوع</w:t>
      </w:r>
      <w:r>
        <w:rPr>
          <w:rStyle w:val="FootnoteAnchor"/>
          <w:rtl w:val="true"/>
        </w:rPr>
        <w:footnoteReference w:id="1943"/>
      </w:r>
      <w:r>
        <w:rPr>
          <w:rFonts w:ascii="Amiri" w:hAnsi="Amiri" w:eastAsia="Amiri" w:cs="Amiri"/>
          <w:color w:val="111111"/>
          <w:sz w:val="28"/>
          <w:sz w:val="28"/>
          <w:szCs w:val="28"/>
          <w:rtl w:val="true"/>
          <w:lang w:bidi="ar-SA"/>
        </w:rPr>
        <w:t>الأحكام الشرعية بالأنواع</w:t>
      </w:r>
      <w:r>
        <w:rPr>
          <w:rStyle w:val="FootnoteAnchor"/>
          <w:rtl w:val="true"/>
        </w:rPr>
        <w:footnoteReference w:id="1944"/>
      </w:r>
      <w:r>
        <w:rPr>
          <w:rFonts w:ascii="Amiri" w:hAnsi="Amiri" w:eastAsia="Amiri" w:cs="Amiri"/>
          <w:color w:val="111111"/>
          <w:sz w:val="28"/>
          <w:sz w:val="28"/>
          <w:szCs w:val="28"/>
          <w:rtl w:val="true"/>
          <w:lang w:bidi="ar-SA"/>
        </w:rPr>
        <w:t>الخمسة</w:t>
      </w:r>
      <w:r>
        <w:rPr>
          <w:rStyle w:val="FootnoteAnchor"/>
          <w:rtl w:val="true"/>
        </w:rPr>
        <w:footnoteReference w:id="1945"/>
      </w:r>
      <w:r>
        <w:rPr>
          <w:rFonts w:ascii="Amiri" w:hAnsi="Amiri" w:eastAsia="Amiri" w:cs="Amiri"/>
          <w:color w:val="111111"/>
          <w:sz w:val="28"/>
          <w:sz w:val="28"/>
          <w:szCs w:val="28"/>
          <w:rtl w:val="true"/>
          <w:lang w:bidi="ar-SA"/>
        </w:rPr>
        <w:t>، فإن كان اختلاف تلك لاختلاف صفات</w:t>
      </w:r>
      <w:r>
        <w:rPr>
          <w:rStyle w:val="FootnoteAnchor"/>
          <w:rtl w:val="true"/>
        </w:rPr>
        <w:footnoteReference w:id="1946"/>
      </w:r>
      <w:r>
        <w:rPr>
          <w:rFonts w:ascii="Amiri" w:hAnsi="Amiri" w:eastAsia="Amiri" w:cs="Amiri"/>
          <w:color w:val="111111"/>
          <w:sz w:val="28"/>
          <w:sz w:val="28"/>
          <w:szCs w:val="28"/>
          <w:rtl w:val="true"/>
          <w:lang w:bidi="ar-SA"/>
        </w:rPr>
        <w:t>الأفعال في مصلحة الإتيان ، أو الترك، أو التسوية، فالمطلوب ثابت والا لزم أحد المحاذير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تَنْهَى عَن الْفَحْشَاءِ وَالْمُنكَر</w:t>
      </w:r>
      <w:r>
        <w:rPr>
          <w:rFonts w:eastAsia="Amiri" w:cs="Amiri" w:ascii="Amiri" w:hAnsi="Amiri"/>
          <w:color w:val="111111"/>
          <w:sz w:val="28"/>
          <w:szCs w:val="28"/>
          <w:rtl w:val="true"/>
          <w:lang w:bidi="ar-SA"/>
        </w:rPr>
        <w:t>»</w:t>
      </w:r>
      <w:r>
        <w:rPr>
          <w:rStyle w:val="FootnoteAnchor"/>
          <w:rtl w:val="true"/>
        </w:rPr>
        <w:footnoteReference w:id="1947"/>
      </w:r>
      <w:r>
        <w:rPr>
          <w:rFonts w:ascii="Amiri" w:hAnsi="Amiri" w:eastAsia="Amiri" w:cs="Amiri"/>
          <w:color w:val="111111"/>
          <w:sz w:val="28"/>
          <w:sz w:val="28"/>
          <w:szCs w:val="28"/>
          <w:rtl w:val="true"/>
          <w:lang w:bidi="ar-SA"/>
        </w:rPr>
        <w:t>، ويتم الأمر في غير المناهي بالإجماع المركب إن كان والا فينتفي السلب الكلي</w:t>
      </w:r>
      <w:r>
        <w:rPr>
          <w:rFonts w:eastAsia="Amiri" w:cs="Amiri" w:ascii="Amiri" w:hAnsi="Amiri"/>
          <w:color w:val="111111"/>
          <w:sz w:val="28"/>
          <w:szCs w:val="28"/>
          <w:rtl w:val="true"/>
          <w:lang w:bidi="ar-SA"/>
        </w:rPr>
        <w:t>.</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وإلى النصوص الدالة على أنه يجب عليه تعالى بيان مصالح العباد ومفاسدهم</w:t>
      </w:r>
      <w:r>
        <w:rPr>
          <w:rStyle w:val="FootnoteAnchor"/>
          <w:rtl w:val="true"/>
        </w:rPr>
        <w:footnoteReference w:id="1949"/>
      </w:r>
      <w:r>
        <w:rPr>
          <w:rFonts w:ascii="Amiri" w:hAnsi="Amiri" w:eastAsia="Amiri" w:cs="Amiri"/>
          <w:color w:val="111111"/>
          <w:sz w:val="28"/>
          <w:sz w:val="28"/>
          <w:szCs w:val="28"/>
          <w:rtl w:val="true"/>
          <w:lang w:bidi="ar-SA"/>
        </w:rPr>
        <w:t>الظاهرة في وجود مصالح ومفاسد، مع قطع النظر عن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النصوص لا ترد الأشعري، بل دليل إسكاتي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الأوامر ما يكون المقصود منه نفس التوطين</w:t>
      </w:r>
      <w:r>
        <w:rPr>
          <w:rStyle w:val="FootnoteAnchor"/>
          <w:rtl w:val="true"/>
        </w:rPr>
        <w:footnoteReference w:id="1950"/>
      </w:r>
      <w:r>
        <w:rPr>
          <w:rFonts w:ascii="Amiri" w:hAnsi="Amiri" w:eastAsia="Amiri" w:cs="Amiri"/>
          <w:color w:val="111111"/>
          <w:sz w:val="28"/>
          <w:sz w:val="28"/>
          <w:szCs w:val="28"/>
          <w:rtl w:val="true"/>
          <w:lang w:bidi="ar-SA"/>
        </w:rPr>
        <w:t>، ولا مصلحة في المأمور به، ولعل</w:t>
      </w:r>
      <w:r>
        <w:rPr>
          <w:rStyle w:val="FootnoteAnchor"/>
          <w:rtl w:val="true"/>
        </w:rPr>
        <w:footnoteReference w:id="1951"/>
      </w:r>
      <w:r>
        <w:rPr>
          <w:rFonts w:ascii="Amiri" w:hAnsi="Amiri" w:eastAsia="Amiri" w:cs="Amiri"/>
          <w:color w:val="111111"/>
          <w:sz w:val="28"/>
          <w:sz w:val="28"/>
          <w:szCs w:val="28"/>
          <w:rtl w:val="true"/>
          <w:lang w:bidi="ar-SA"/>
        </w:rPr>
        <w:t>أوامر الشرع كلها من هذا الباب</w:t>
      </w:r>
      <w:r>
        <w:rPr>
          <w:rFonts w:eastAsia="Amiri" w:cs="Amiri" w:ascii="Amiri" w:hAnsi="Amiri"/>
          <w:color w:val="111111"/>
          <w:sz w:val="28"/>
          <w:szCs w:val="28"/>
          <w:rtl w:val="true"/>
          <w:lang w:bidi="ar-SA"/>
        </w:rPr>
        <w:t>.</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ننقل الكلام إلى نفس التوطين،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فيه من مصلحة؛ حذراً من أحد المحاذير الثلاثة</w:t>
      </w:r>
      <w:r>
        <w:rPr>
          <w:rFonts w:eastAsia="Amiri" w:cs="Amiri" w:ascii="Amiri" w:hAnsi="Amiri"/>
          <w:color w:val="111111"/>
          <w:sz w:val="28"/>
          <w:szCs w:val="28"/>
          <w:rtl w:val="true"/>
          <w:lang w:bidi="ar-SA"/>
        </w:rPr>
        <w:t>.</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المقصود في الكل</w:t>
      </w:r>
      <w:r>
        <w:rPr>
          <w:rStyle w:val="FootnoteAnchor"/>
          <w:rtl w:val="true"/>
        </w:rPr>
        <w:footnoteReference w:id="1954"/>
      </w:r>
      <w:r>
        <w:rPr>
          <w:rFonts w:ascii="Amiri" w:hAnsi="Amiri" w:eastAsia="Amiri" w:cs="Amiri"/>
          <w:color w:val="111111"/>
          <w:sz w:val="28"/>
          <w:sz w:val="28"/>
          <w:szCs w:val="28"/>
          <w:rtl w:val="true"/>
          <w:lang w:bidi="ar-SA"/>
        </w:rPr>
        <w:t>التوطين، فلازمه دائماً الإعلام بعدم إتيان المأمور به بعد إتيان المكلف بالمقدمات</w:t>
      </w:r>
      <w:r>
        <w:rPr>
          <w:rStyle w:val="FootnoteAnchor"/>
          <w:rtl w:val="true"/>
        </w:rPr>
        <w:footnoteReference w:id="1955"/>
      </w:r>
      <w:r>
        <w:rPr>
          <w:rFonts w:ascii="IRNazanin" w:hAnsi="IRNazanin" w:eastAsia="IRNazanin"/>
          <w:color w:val="111111"/>
          <w:sz w:val="28"/>
          <w:sz w:val="28"/>
          <w:szCs w:val="28"/>
          <w:rtl w:val="true"/>
          <w:lang w:bidi="fa-IR"/>
        </w:rPr>
        <w:t xml:space="preserve">، والواقع </w:t>
      </w:r>
      <w:r>
        <w:rPr>
          <w:rStyle w:val="FootnoteAnchor"/>
          <w:rtl w:val="true"/>
        </w:rPr>
        <w:footnoteReference w:id="1956"/>
      </w:r>
      <w:r>
        <w:rPr>
          <w:rFonts w:ascii="IRNazanin" w:hAnsi="IRNazanin" w:eastAsia="IRNazanin"/>
          <w:color w:val="111111"/>
          <w:sz w:val="28"/>
          <w:sz w:val="28"/>
          <w:szCs w:val="28"/>
          <w:rtl w:val="true"/>
          <w:lang w:bidi="fa-IR"/>
        </w:rPr>
        <w:t xml:space="preserve">خلافه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المصلحة في جعل سنخ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الإطاعة للثواب والعقاب</w:t>
      </w:r>
      <w:r>
        <w:rPr>
          <w:rStyle w:val="FootnoteAnchor"/>
          <w:rtl w:val="true"/>
        </w:rPr>
        <w:footnoteReference w:id="1957"/>
      </w:r>
      <w:r>
        <w:rPr>
          <w:rFonts w:ascii="Amiri" w:hAnsi="Amiri" w:eastAsia="Amiri" w:cs="Amiri"/>
          <w:color w:val="111111"/>
          <w:sz w:val="28"/>
          <w:sz w:val="28"/>
          <w:szCs w:val="28"/>
          <w:rtl w:val="true"/>
          <w:lang w:bidi="ar-SA"/>
        </w:rPr>
        <w:t>، وفي تنويع الأحكام</w:t>
      </w:r>
      <w:r>
        <w:rPr>
          <w:rFonts w:eastAsia="Amiri" w:cs="Amiri" w:ascii="Amiri" w:hAnsi="Amiri"/>
          <w:color w:val="111111"/>
          <w:sz w:val="28"/>
          <w:szCs w:val="28"/>
          <w:rtl w:val="true"/>
          <w:lang w:bidi="ar-SA"/>
        </w:rPr>
        <w:t>)</w:t>
      </w:r>
      <w:r>
        <w:rPr>
          <w:rStyle w:val="FootnoteAnchor"/>
          <w:rtl w:val="true"/>
        </w:rPr>
        <w:footnoteReference w:id="1958"/>
      </w:r>
      <w:r>
        <w:rPr>
          <w:rFonts w:ascii="Amiri" w:hAnsi="Amiri" w:eastAsia="Amiri" w:cs="Amiri"/>
          <w:color w:val="111111"/>
          <w:sz w:val="28"/>
          <w:sz w:val="28"/>
          <w:szCs w:val="28"/>
          <w:rtl w:val="true"/>
          <w:lang w:bidi="ar-SA"/>
        </w:rPr>
        <w:t xml:space="preserve">لزوم التكليف بما لا يطاق لو أمر بالكل، أو نهى عن الكل، وفي تخصيص بعض بالأمر وبعض بالنهي؛ كون بروز الاطاعة في الأمر بما لا يرغب المكلف بإتيانه كالصلاة والزكاة، وبروز الاطاعة في النواهي في النهي عما يرغب إليه المكلف، كالزنا وأكل الحرام، فكان المقصود في جميع المراتب الإطاعة والانقياد لا غير ولا صفة في الافعال مع قطع النظر عن هذه الجهة كما تدعيه، ويؤيده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w:t>
      </w:r>
      <w:r>
        <w:rPr>
          <w:rFonts w:eastAsia="Amiri" w:cs="Amiri" w:ascii="Amiri" w:hAnsi="Amiri"/>
          <w:color w:val="111111"/>
          <w:sz w:val="28"/>
          <w:szCs w:val="28"/>
          <w:rtl w:val="true"/>
          <w:lang w:bidi="ar-SA"/>
        </w:rPr>
        <w:t>»</w:t>
      </w:r>
      <w:r>
        <w:rPr>
          <w:rStyle w:val="FootnoteAnchor"/>
          <w:rtl w:val="true"/>
        </w:rPr>
        <w:footnoteReference w:id="1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1960"/>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بالواجبات التوصلّية الغير المشروطة بنية التقرب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الترجيح بلا مرجّح أيضاً في الخصوصيات، كإيجاب الجهر في الصبح، والإخفات في الظهرين،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الغرض من أمر الله سبحانه عباده بالصلاة مثلا </w:t>
      </w:r>
      <w:r>
        <w:rPr>
          <w:rStyle w:val="FootnoteAnchor"/>
          <w:rtl w:val="true"/>
        </w:rPr>
        <w:footnoteReference w:id="1961"/>
      </w:r>
      <w:r>
        <w:rPr>
          <w:rFonts w:ascii="Amiri" w:hAnsi="Amiri" w:eastAsia="Amiri" w:cs="Amiri"/>
          <w:color w:val="111111"/>
          <w:sz w:val="28"/>
          <w:sz w:val="28"/>
          <w:szCs w:val="28"/>
          <w:rtl w:val="true"/>
          <w:lang w:bidi="ar-SA"/>
        </w:rPr>
        <w:t>إدراك مصلحة لهم فيه، كأمر الطبيب المريض بدواء يرفع مرضه، لكان عقابه الأبدي على ترك العبد مصلحة نفسه بتركه الصلاة منافياً لرأفته وللطف، ويكون كما لو أمر الوالد ولده بتعلم صنعة رأفة منه له، فخالفه وقتله الوالد عقوبة لترك هذه المصلحة، فلا بد أن يكون الغرض مجرد الإطاعة والانقياد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لدفعناه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 إذ لو كان غرضه محض التعبد</w:t>
      </w:r>
      <w:r>
        <w:rPr>
          <w:rStyle w:val="FootnoteAnchor"/>
          <w:rtl w:val="true"/>
        </w:rPr>
        <w:footnoteReference w:id="1962"/>
      </w:r>
      <w:r>
        <w:rPr>
          <w:rFonts w:ascii="Amiri" w:hAnsi="Amiri" w:eastAsia="Amiri" w:cs="Amiri"/>
          <w:color w:val="111111"/>
          <w:sz w:val="28"/>
          <w:sz w:val="28"/>
          <w:szCs w:val="28"/>
          <w:rtl w:val="true"/>
          <w:lang w:bidi="ar-SA"/>
        </w:rPr>
        <w:t>جاء المحذور أيضاً</w:t>
      </w:r>
      <w:r>
        <w:rPr>
          <w:rFonts w:eastAsia="Amiri" w:cs="Amiri" w:ascii="Amiri" w:hAnsi="Amiri"/>
          <w:color w:val="111111"/>
          <w:sz w:val="28"/>
          <w:szCs w:val="28"/>
          <w:rtl w:val="true"/>
          <w:lang w:bidi="ar-SA"/>
        </w:rPr>
        <w:t>.</w:t>
      </w:r>
      <w:r>
        <w:rPr>
          <w:rStyle w:val="FootnoteAnchor"/>
          <w:rtl w:val="true"/>
        </w:rPr>
        <w:footnoteReference w:id="196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غرضه إن كان نفي التكليف رأساً، فهو كما ترى، أو نفي استحقاق العقاب، فهو ليس من الجعليات، بل من لوازم المخالفة، كزوجيّة الأربعة، أو نفي فعلية العقاب، فالعقاب بيده إن شاء فعل وإن شاء ترك</w:t>
      </w:r>
      <w:r>
        <w:rPr>
          <w:rFonts w:eastAsia="Amiri" w:cs="Amiri" w:ascii="Amiri" w:hAnsi="Amiri"/>
          <w:color w:val="111111"/>
          <w:sz w:val="28"/>
          <w:szCs w:val="28"/>
          <w:rtl w:val="true"/>
          <w:lang w:bidi="ar-SA"/>
        </w:rPr>
        <w:t xml:space="preserve">. </w:t>
      </w:r>
      <w:bookmarkStart w:id="605" w:name="pg9015_97684"/>
    </w:p>
    <w:p>
      <w:pPr>
        <w:pStyle w:val="Heading2"/>
        <w:numPr>
          <w:ilvl w:val="1"/>
          <w:numId w:val="1"/>
        </w:numPr>
        <w:rPr/>
      </w:pPr>
      <w:bookmarkStart w:id="606" w:name="__RefHeading___Toc2001763_2870459653"/>
      <w:bookmarkStart w:id="607" w:name="_Toc231"/>
      <w:bookmarkEnd w:id="605"/>
      <w:bookmarkEnd w:id="606"/>
      <w:r>
        <w:rPr>
          <w:rtl w:val="true"/>
        </w:rPr>
        <w:t xml:space="preserve">أصل </w:t>
      </w:r>
      <w:r>
        <w:rPr>
          <w:rtl w:val="true"/>
        </w:rPr>
        <w:t>[</w:t>
      </w:r>
      <w:r>
        <w:rPr>
          <w:rtl w:val="true"/>
        </w:rPr>
        <w:t>في أن الحسن والقبح هل هما ذاتيان أم لا</w:t>
      </w:r>
      <w:r>
        <w:rPr>
          <w:rtl w:val="true"/>
        </w:rPr>
        <w:t>]</w:t>
      </w:r>
      <w:bookmarkEnd w:id="607"/>
    </w:p>
    <w:p>
      <w:pPr>
        <w:pStyle w:val="Heading3"/>
        <w:numPr>
          <w:ilvl w:val="2"/>
          <w:numId w:val="1"/>
        </w:numPr>
        <w:rPr/>
      </w:pPr>
      <w:bookmarkStart w:id="608" w:name="__RefHeading___Toc2001765_2870459653"/>
      <w:bookmarkStart w:id="609" w:name="_Toc232"/>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حُسن الأشياء وقبحها هل هما ذاتيان</w:t>
      </w:r>
      <w:r>
        <w:rPr>
          <w:rStyle w:val="FootnoteAnchor"/>
          <w:rtl w:val="true"/>
        </w:rPr>
        <w:footnoteReference w:id="1964"/>
      </w:r>
      <w:r>
        <w:rPr>
          <w:rFonts w:ascii="Amiri" w:hAnsi="Amiri" w:eastAsia="Amiri" w:cs="Amiri"/>
          <w:color w:val="111111"/>
          <w:sz w:val="28"/>
          <w:sz w:val="28"/>
          <w:szCs w:val="28"/>
          <w:rtl w:val="true"/>
          <w:lang w:bidi="ar-SA"/>
        </w:rPr>
        <w:t>؟ ، فالصدق حسن والكذب قبيح</w:t>
      </w:r>
    </w:p>
    <w:p>
      <w:pPr>
        <w:pStyle w:val="BookText"/>
        <w:rPr/>
      </w:pPr>
      <w:r>
        <w:rPr>
          <w:rFonts w:ascii="Amiri" w:hAnsi="Amiri" w:eastAsia="Amiri" w:cs="Amiri"/>
          <w:color w:val="111111"/>
          <w:sz w:val="28"/>
          <w:sz w:val="28"/>
          <w:szCs w:val="28"/>
          <w:rtl w:val="true"/>
          <w:lang w:bidi="ar-SA"/>
        </w:rPr>
        <w:t>بذاتها، أم بالأوصاف اللازمة</w:t>
      </w:r>
      <w:r>
        <w:rPr>
          <w:rStyle w:val="FootnoteAnchor"/>
          <w:rtl w:val="true"/>
        </w:rPr>
        <w:footnoteReference w:id="1965"/>
      </w:r>
      <w:r>
        <w:rPr>
          <w:rFonts w:ascii="Amiri" w:hAnsi="Amiri" w:eastAsia="Amiri" w:cs="Amiri"/>
          <w:color w:val="111111"/>
          <w:sz w:val="28"/>
          <w:sz w:val="28"/>
          <w:szCs w:val="28"/>
          <w:rtl w:val="true"/>
          <w:lang w:bidi="ar-SA"/>
        </w:rPr>
        <w:t>المقومة للماهية المعبر عنها بالداخلة والثابتة والحقيقية فالصدق</w:t>
      </w:r>
      <w:r>
        <w:rPr>
          <w:rStyle w:val="FootnoteAnchor"/>
          <w:rtl w:val="true"/>
        </w:rPr>
        <w:footnoteReference w:id="1966"/>
      </w:r>
      <w:r>
        <w:rPr>
          <w:rFonts w:ascii="Amiri" w:hAnsi="Amiri" w:eastAsia="Amiri" w:cs="Amiri"/>
          <w:color w:val="111111"/>
          <w:sz w:val="28"/>
          <w:sz w:val="28"/>
          <w:szCs w:val="28"/>
          <w:rtl w:val="true"/>
          <w:lang w:bidi="ar-SA"/>
        </w:rPr>
        <w:t>من الكلام حسن لأجل مطابقته الواقع ، والكذب قبيح لمخالفته الواقع، أم بالوجوه والاعتبارات المغيرة للأحكام</w:t>
      </w:r>
      <w:r>
        <w:rPr>
          <w:rStyle w:val="FootnoteAnchor"/>
          <w:rtl w:val="true"/>
        </w:rPr>
        <w:footnoteReference w:id="1967"/>
      </w:r>
      <w:r>
        <w:rPr>
          <w:rFonts w:ascii="Amiri" w:hAnsi="Amiri" w:eastAsia="Amiri" w:cs="Amiri"/>
          <w:color w:val="111111"/>
          <w:sz w:val="28"/>
          <w:sz w:val="28"/>
          <w:szCs w:val="28"/>
          <w:rtl w:val="true"/>
          <w:lang w:bidi="ar-SA"/>
        </w:rPr>
        <w:t xml:space="preserve">، كالنفع والضرر والغصب والإباحة والستر والطهارة، ونحوها من الأوصاف الموجبة لتغير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مدخلية العلم والجهل أيضاً،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الأولين لو اجتمع الصدق مع النفع احده، ومع الضرر عارضه، وصار من تعارض الذاتيين مرجعه الرجوع إلى المرجحات الخارجة</w:t>
      </w:r>
      <w:r>
        <w:rPr>
          <w:rStyle w:val="FootnoteAnchor"/>
          <w:rtl w:val="true"/>
        </w:rPr>
        <w:footnoteReference w:id="1968"/>
      </w:r>
      <w:r>
        <w:rPr>
          <w:rFonts w:ascii="Amiri" w:hAnsi="Amiri" w:eastAsia="Amiri" w:cs="Amiri"/>
          <w:color w:val="111111"/>
          <w:sz w:val="28"/>
          <w:sz w:val="28"/>
          <w:szCs w:val="28"/>
          <w:rtl w:val="true"/>
          <w:lang w:bidi="ar-SA"/>
        </w:rPr>
        <w:t xml:space="preserve">في مقام العمل، وعلى الأخير ليس الصدق حسناً ولا قبيحاً، بل حُسن </w:t>
      </w:r>
      <w:r>
        <w:rPr>
          <w:rStyle w:val="FootnoteAnchor"/>
          <w:rtl w:val="true"/>
        </w:rPr>
        <w:footnoteReference w:id="1969"/>
      </w:r>
      <w:r>
        <w:rPr>
          <w:rFonts w:ascii="Amiri" w:hAnsi="Amiri" w:eastAsia="Amiri" w:cs="Amiri"/>
          <w:color w:val="111111"/>
          <w:sz w:val="28"/>
          <w:sz w:val="28"/>
          <w:szCs w:val="28"/>
          <w:rtl w:val="true"/>
          <w:lang w:bidi="ar-SA"/>
        </w:rPr>
        <w:t>إن نفع ، وقبيح إن أضر ، أم المقامات مختلفة، وجوه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Style w:val="FootnoteAnchor"/>
          <w:rtl w:val="true"/>
        </w:rPr>
        <w:footnoteReference w:id="1970"/>
      </w:r>
      <w:r>
        <w:rPr>
          <w:rFonts w:ascii="Amiri" w:hAnsi="Amiri" w:eastAsia="Amiri" w:cs="Amiri"/>
          <w:color w:val="111111"/>
          <w:sz w:val="28"/>
          <w:sz w:val="28"/>
          <w:szCs w:val="28"/>
          <w:rtl w:val="true"/>
          <w:lang w:bidi="ar-SA"/>
        </w:rPr>
        <w:t>بالتفصيل بين الحُسن فذاتي، والقُبح فبالوصف، فيكفي في الحُسن انتفاء جهات القبح</w:t>
      </w:r>
      <w:r>
        <w:rPr>
          <w:rFonts w:eastAsia="Amiri" w:cs="Amiri" w:ascii="Amiri" w:hAnsi="Amiri"/>
          <w:color w:val="111111"/>
          <w:sz w:val="28"/>
          <w:szCs w:val="28"/>
          <w:rtl w:val="true"/>
          <w:lang w:bidi="ar-SA"/>
        </w:rPr>
        <w:t xml:space="preserve">. </w:t>
      </w:r>
      <w:bookmarkStart w:id="610" w:name="pg9015_97685"/>
    </w:p>
    <w:p>
      <w:pPr>
        <w:pStyle w:val="Heading3"/>
        <w:numPr>
          <w:ilvl w:val="2"/>
          <w:numId w:val="1"/>
        </w:numPr>
        <w:rPr/>
      </w:pPr>
      <w:bookmarkStart w:id="611" w:name="__RefHeading___Toc2001767_2870459653"/>
      <w:bookmarkStart w:id="612" w:name="_Toc233"/>
      <w:bookmarkEnd w:id="610"/>
      <w:bookmarkEnd w:id="611"/>
      <w:r>
        <w:rPr>
          <w:rtl w:val="true"/>
        </w:rPr>
        <w:t>[</w:t>
      </w:r>
      <w:r>
        <w:rPr>
          <w:rtl w:val="true"/>
        </w:rPr>
        <w:t>المختار في المسألة</w:t>
      </w:r>
      <w:r>
        <w:rPr>
          <w:rtl w:val="true"/>
        </w:rPr>
        <w:t>]</w:t>
      </w:r>
      <w:bookmarkEnd w:id="612"/>
    </w:p>
    <w:p>
      <w:pPr>
        <w:pStyle w:val="BookText"/>
        <w:rPr/>
      </w:pPr>
      <w:r>
        <w:rPr>
          <w:rFonts w:ascii="Amiri" w:hAnsi="Amiri" w:eastAsia="Amiri" w:cs="Amiri"/>
          <w:color w:val="111111"/>
          <w:sz w:val="28"/>
          <w:sz w:val="28"/>
          <w:szCs w:val="28"/>
          <w:rtl w:val="true"/>
          <w:lang w:bidi="ar-SA"/>
        </w:rPr>
        <w:t>والحق بطلان كونهما بالوجوه مع مدخلية العلم والجهل؛ لأنه مستلزم للتصويب</w:t>
      </w:r>
      <w:r>
        <w:rPr>
          <w:rStyle w:val="FootnoteAnchor"/>
          <w:rtl w:val="true"/>
        </w:rPr>
        <w:footnoteReference w:id="1971"/>
      </w:r>
      <w:r>
        <w:rPr>
          <w:rFonts w:ascii="IRNazanin" w:hAnsi="IRNazanin" w:eastAsia="IRNazanin"/>
          <w:color w:val="111111"/>
          <w:sz w:val="28"/>
          <w:sz w:val="28"/>
          <w:szCs w:val="28"/>
          <w:rtl w:val="true"/>
          <w:lang w:bidi="fa-IR"/>
        </w:rPr>
        <w:t>، وللدور</w:t>
      </w:r>
      <w:r>
        <w:rPr>
          <w:rStyle w:val="FootnoteAnchor"/>
          <w:rtl w:val="true"/>
        </w:rPr>
        <w:footnoteReference w:id="1972"/>
      </w:r>
      <w:r>
        <w:rPr>
          <w:rFonts w:ascii="Amiri" w:hAnsi="Amiri" w:eastAsia="Amiri" w:cs="Amiri"/>
          <w:color w:val="111111"/>
          <w:sz w:val="28"/>
          <w:sz w:val="28"/>
          <w:szCs w:val="28"/>
          <w:rtl w:val="true"/>
          <w:lang w:bidi="ar-SA"/>
        </w:rPr>
        <w:t>، ومخالف لطريقة العقلاء، وبطلان كونهما بالوجوه بنحو الإيجاب الكلي حتى مع عدم مدخلية العلم والجهل؛ للقطع بحسن الصدق مثلاً وإن أضر، فهو من باب تعارض الحُسن والقبح، فبطل الإيجاب الكلي، وما عدا ذلك فهو محل التوقف، فيرجع عند الشك إلى ظواهر خطابات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توقف في بطلان كونها ذاتيين بنحو الإيجاب الكلي؛ لأن النسخ واقع</w:t>
      </w:r>
      <w:r>
        <w:rPr>
          <w:rStyle w:val="FootnoteAnchor"/>
          <w:rtl w:val="true"/>
        </w:rPr>
        <w:footnoteReference w:id="1973"/>
      </w:r>
      <w:r>
        <w:rPr>
          <w:rFonts w:ascii="Amiri" w:hAnsi="Amiri" w:eastAsia="Amiri" w:cs="Amiri"/>
          <w:color w:val="111111"/>
          <w:sz w:val="28"/>
          <w:sz w:val="28"/>
          <w:szCs w:val="28"/>
          <w:rtl w:val="true"/>
          <w:lang w:bidi="ar-SA"/>
        </w:rPr>
        <w:t xml:space="preserve">، فالداعي </w:t>
      </w:r>
      <w:r>
        <w:rPr>
          <w:rStyle w:val="FootnoteAnchor"/>
          <w:rtl w:val="true"/>
        </w:rPr>
        <w:footnoteReference w:id="1974"/>
      </w:r>
      <w:r>
        <w:rPr>
          <w:rFonts w:ascii="Amiri" w:hAnsi="Amiri" w:eastAsia="Amiri" w:cs="Amiri"/>
          <w:color w:val="111111"/>
          <w:sz w:val="28"/>
          <w:sz w:val="28"/>
          <w:szCs w:val="28"/>
          <w:rtl w:val="true"/>
          <w:lang w:bidi="ar-SA"/>
        </w:rPr>
        <w:t>لاختلاف حكم الناسخ والمنسوخ إن كان نفس الذات فمن المحال اقتضاء الشيء الواحد بذاته الحُسن والقبح، أو الوجوه فيهما أو في أحدهما ثبت المطلوب</w:t>
      </w:r>
      <w:r>
        <w:rPr>
          <w:rFonts w:eastAsia="Amiri" w:cs="Amiri" w:ascii="Amiri" w:hAnsi="Amiri"/>
          <w:color w:val="111111"/>
          <w:sz w:val="28"/>
          <w:szCs w:val="28"/>
          <w:rtl w:val="true"/>
          <w:lang w:bidi="ar-SA"/>
        </w:rPr>
        <w:t>.</w:t>
      </w:r>
      <w:r>
        <w:rPr>
          <w:rStyle w:val="FootnoteAnchor"/>
          <w:rtl w:val="true"/>
        </w:rPr>
        <w:footnoteReference w:id="197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مثل الصدق الضار الذي اجتمع فيه الحُسن والقبح باعتقاد القائل بذاتيتهما، إن كان مادة اجتماع</w:t>
      </w:r>
      <w:r>
        <w:rPr>
          <w:rStyle w:val="FootnoteAnchor"/>
          <w:rtl w:val="true"/>
        </w:rPr>
        <w:footnoteReference w:id="1976"/>
      </w:r>
      <w:r>
        <w:rPr>
          <w:rFonts w:ascii="Amiri" w:hAnsi="Amiri" w:eastAsia="Amiri" w:cs="Amiri"/>
          <w:color w:val="111111"/>
          <w:sz w:val="28"/>
          <w:sz w:val="28"/>
          <w:szCs w:val="28"/>
          <w:rtl w:val="true"/>
          <w:lang w:bidi="ar-SA"/>
        </w:rPr>
        <w:t>الأمر والنهي فهو قبيح؛ لأنه مما لا يطاق، أو كان أحدهما دون الآخر، أو انتفى الأمران لزم تخلف الأثر عن المؤثر؛ إذ الأمر والنهي أثر الحسن والقبح</w:t>
      </w:r>
      <w:r>
        <w:rPr>
          <w:rFonts w:eastAsia="Amiri" w:cs="Amiri" w:ascii="Amiri" w:hAnsi="Amiri"/>
          <w:color w:val="111111"/>
          <w:sz w:val="28"/>
          <w:szCs w:val="28"/>
          <w:rtl w:val="true"/>
          <w:lang w:bidi="ar-SA"/>
        </w:rPr>
        <w:t xml:space="preserve">. </w:t>
      </w:r>
      <w:bookmarkStart w:id="613" w:name="pg9015_97686"/>
    </w:p>
    <w:p>
      <w:pPr>
        <w:pStyle w:val="BookText"/>
        <w:rPr/>
      </w:pPr>
      <w:bookmarkEnd w:id="613"/>
      <w:r>
        <w:rPr>
          <w:rFonts w:ascii="Amiri" w:hAnsi="Amiri" w:eastAsia="Amiri" w:cs="Amiri"/>
          <w:color w:val="111111"/>
          <w:sz w:val="28"/>
          <w:sz w:val="28"/>
          <w:szCs w:val="28"/>
          <w:rtl w:val="true"/>
          <w:lang w:bidi="ar-SA"/>
        </w:rPr>
        <w:t>ولأنه يلزم اجتماع الضدين في الكلام الصادر في الغد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لأكذبنّ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فالصدق غداً حسن لأنه صدق، وقبيح لاستلزامه كذب كلام الأمس، وعكسه الكذب</w:t>
      </w:r>
      <w:r>
        <w:rPr>
          <w:rFonts w:eastAsia="Amiri" w:cs="Amiri" w:ascii="Amiri" w:hAnsi="Amiri"/>
          <w:color w:val="111111"/>
          <w:sz w:val="28"/>
          <w:szCs w:val="28"/>
          <w:rtl w:val="true"/>
          <w:lang w:bidi="ar-SA"/>
        </w:rPr>
        <w:t>.</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لأجبنا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النسخ لعله من تعارض الذاتيين</w:t>
      </w:r>
      <w:r>
        <w:rPr>
          <w:rStyle w:val="FootnoteAnchor"/>
          <w:rtl w:val="true"/>
        </w:rPr>
        <w:footnoteReference w:id="1978"/>
      </w:r>
      <w:r>
        <w:rPr>
          <w:rFonts w:ascii="Amiri" w:hAnsi="Amiri" w:eastAsia="Amiri" w:cs="Amiri"/>
          <w:color w:val="111111"/>
          <w:sz w:val="28"/>
          <w:sz w:val="28"/>
          <w:szCs w:val="28"/>
          <w:rtl w:val="true"/>
          <w:lang w:bidi="ar-SA"/>
        </w:rPr>
        <w:t>، وأن الحسن والقبح مقتضيان للأمر والنهي، لا علة تامة</w:t>
      </w:r>
      <w:r>
        <w:rPr>
          <w:rStyle w:val="FootnoteAnchor"/>
          <w:rtl w:val="true"/>
        </w:rPr>
        <w:footnoteReference w:id="1979"/>
      </w:r>
      <w:r>
        <w:rPr>
          <w:rFonts w:ascii="Amiri" w:hAnsi="Amiri" w:eastAsia="Amiri" w:cs="Amiri"/>
          <w:color w:val="111111"/>
          <w:sz w:val="28"/>
          <w:sz w:val="28"/>
          <w:szCs w:val="28"/>
          <w:rtl w:val="true"/>
          <w:lang w:bidi="ar-SA"/>
        </w:rPr>
        <w:t>، وأن مستلزم القبيح ليس قبيحاً</w:t>
      </w:r>
      <w:r>
        <w:rPr>
          <w:rFonts w:eastAsia="Amiri" w:cs="Amiri" w:ascii="Amiri" w:hAnsi="Amiri"/>
          <w:color w:val="111111"/>
          <w:sz w:val="28"/>
          <w:szCs w:val="28"/>
          <w:rtl w:val="true"/>
          <w:lang w:bidi="ar-SA"/>
        </w:rPr>
        <w:t>.</w:t>
      </w:r>
      <w:r>
        <w:rPr>
          <w:rStyle w:val="FootnoteAnchor"/>
          <w:rtl w:val="true"/>
        </w:rPr>
        <w:footnoteReference w:id="1980"/>
      </w:r>
    </w:p>
    <w:p>
      <w:pPr>
        <w:pStyle w:val="Heading3"/>
        <w:numPr>
          <w:ilvl w:val="2"/>
          <w:numId w:val="1"/>
        </w:numPr>
        <w:rPr/>
      </w:pPr>
      <w:bookmarkStart w:id="614" w:name="__RefHeading___Toc2001769_2870459653"/>
      <w:bookmarkStart w:id="615" w:name="_Toc234"/>
      <w:bookmarkEnd w:id="614"/>
      <w:r>
        <w:rPr>
          <w:rtl w:val="true"/>
        </w:rPr>
        <w:t>[</w:t>
      </w:r>
      <w:r>
        <w:rPr>
          <w:rtl w:val="true"/>
        </w:rPr>
        <w:t>ثمرة المسألة</w:t>
      </w:r>
      <w:r>
        <w:rPr>
          <w:rtl w:val="true"/>
        </w:rPr>
        <w:t>]</w:t>
      </w:r>
      <w:bookmarkEnd w:id="615"/>
    </w:p>
    <w:p>
      <w:pPr>
        <w:pStyle w:val="BookText"/>
        <w:rPr/>
      </w:pPr>
      <w:r>
        <w:rPr>
          <w:rFonts w:ascii="Amiri" w:hAnsi="Amiri" w:eastAsia="Amiri" w:cs="Amiri"/>
          <w:color w:val="111111"/>
          <w:sz w:val="28"/>
          <w:sz w:val="28"/>
          <w:szCs w:val="28"/>
          <w:rtl w:val="true"/>
          <w:lang w:bidi="ar-SA"/>
        </w:rPr>
        <w:t>وتظهر ثمرة الخلاف في التخطئة والتصويب</w:t>
      </w:r>
      <w:r>
        <w:rPr>
          <w:rStyle w:val="FootnoteAnchor"/>
          <w:rtl w:val="true"/>
        </w:rPr>
        <w:footnoteReference w:id="1981"/>
      </w:r>
      <w:r>
        <w:rPr>
          <w:rFonts w:ascii="Amiri" w:hAnsi="Amiri" w:eastAsia="Amiri" w:cs="Amiri"/>
          <w:color w:val="111111"/>
          <w:sz w:val="28"/>
          <w:sz w:val="28"/>
          <w:szCs w:val="28"/>
          <w:rtl w:val="true"/>
          <w:lang w:bidi="ar-SA"/>
        </w:rPr>
        <w:t>، وفي جواز اجتماع الأمر والنهي</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ومن قال بالذاتي بالمعنى الأخص فله القول بجواز الاجتماع والقول بعدم الجواز من تلك الجهة، ومن قال بالقدر المشترك بين الموارد ففي المعلوم الذاتي له الخيار، وفيما علم خلاف الذات لزم القول بعدم الجواز، و في المشكوك كالأوّل</w:t>
      </w:r>
    </w:p>
    <w:p>
      <w:pPr>
        <w:pStyle w:val="BookText"/>
        <w:rPr/>
      </w:pPr>
      <w:r>
        <w:rPr>
          <w:rFonts w:ascii="Amiri" w:hAnsi="Amiri" w:eastAsia="Amiri" w:cs="Amiri"/>
          <w:color w:val="111111"/>
          <w:sz w:val="28"/>
          <w:sz w:val="28"/>
          <w:szCs w:val="28"/>
          <w:rtl w:val="true"/>
          <w:lang w:bidi="ar-SA"/>
        </w:rPr>
        <w:t>، وفي اقتضاء الأمر بالشيء النهي عن ضدّه الخاص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وفي لزوم فساد</w:t>
      </w:r>
    </w:p>
    <w:p>
      <w:pPr>
        <w:pStyle w:val="BookText"/>
        <w:rPr/>
      </w:pPr>
      <w:r>
        <w:rPr>
          <w:rFonts w:ascii="Amiri" w:hAnsi="Amiri" w:eastAsia="Amiri" w:cs="Amiri"/>
          <w:color w:val="111111"/>
          <w:sz w:val="28"/>
          <w:sz w:val="28"/>
          <w:szCs w:val="28"/>
          <w:rtl w:val="true"/>
          <w:lang w:bidi="ar-SA"/>
        </w:rPr>
        <w:t>العبادات المكروهة، كالصلاة في الحمام مما له بدل</w:t>
      </w:r>
      <w:r>
        <w:rPr>
          <w:rStyle w:val="FootnoteAnchor"/>
          <w:rtl w:val="true"/>
        </w:rPr>
        <w:footnoteReference w:id="1983"/>
      </w:r>
      <w:r>
        <w:rPr>
          <w:rFonts w:ascii="Amiri" w:hAnsi="Amiri" w:eastAsia="Amiri" w:cs="Amiri"/>
          <w:color w:val="111111"/>
          <w:sz w:val="28"/>
          <w:sz w:val="28"/>
          <w:szCs w:val="28"/>
          <w:rtl w:val="true"/>
          <w:lang w:bidi="ar-SA"/>
        </w:rPr>
        <w:t xml:space="preserve">، وفي تأثير المعاصي الصادرة سهواً أو جهلاً </w:t>
      </w:r>
      <w:r>
        <w:rPr>
          <w:rFonts w:eastAsia="Amiri" w:cs="Amiri" w:ascii="Amiri" w:hAnsi="Amiri"/>
          <w:color w:val="111111"/>
          <w:sz w:val="28"/>
          <w:szCs w:val="28"/>
          <w:rtl w:val="true"/>
          <w:lang w:bidi="ar-SA"/>
        </w:rPr>
        <w:t>.</w:t>
      </w:r>
      <w:r>
        <w:rPr>
          <w:rStyle w:val="FootnoteAnchor"/>
          <w:rtl w:val="true"/>
        </w:rPr>
        <w:footnoteReference w:id="1984"/>
      </w:r>
    </w:p>
    <w:p>
      <w:pPr>
        <w:pStyle w:val="BookText"/>
        <w:rPr/>
      </w:pPr>
      <w:r>
        <w:rPr>
          <w:rFonts w:ascii="IRNazanin" w:hAnsi="IRNazanin" w:eastAsia="IRNazanin"/>
          <w:color w:val="111111"/>
          <w:sz w:val="28"/>
          <w:sz w:val="28"/>
          <w:szCs w:val="28"/>
          <w:rtl w:val="true"/>
          <w:lang w:bidi="fa-IR"/>
        </w:rPr>
        <w:t>أصل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خلو واقعة من الوقائع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يجوز خلوّ واقعة من الوقائع بنحو الإيجاب الجزئي عن كل حكم في حق المكلفين، كما في فعل الصبي الغير المميز </w:t>
      </w:r>
      <w:r>
        <w:rPr>
          <w:rStyle w:val="FootnoteAnchor"/>
          <w:rtl w:val="true"/>
        </w:rPr>
        <w:footnoteReference w:id="1985"/>
      </w:r>
      <w:r>
        <w:rPr>
          <w:rFonts w:ascii="IRNazanin" w:hAnsi="IRNazanin" w:eastAsia="IRNazanin"/>
          <w:color w:val="111111"/>
          <w:sz w:val="28"/>
          <w:sz w:val="28"/>
          <w:szCs w:val="28"/>
          <w:rtl w:val="true"/>
          <w:lang w:bidi="fa-IR"/>
        </w:rPr>
        <w:t xml:space="preserve">أم لا </w:t>
      </w:r>
      <w:r>
        <w:rPr>
          <w:rStyle w:val="FootnoteAnchor"/>
          <w:rtl w:val="true"/>
        </w:rPr>
        <w:footnoteReference w:id="1986"/>
      </w:r>
      <w:r>
        <w:rPr>
          <w:rFonts w:ascii="Amiri" w:hAnsi="Amiri" w:eastAsia="Amiri" w:cs="Amiri"/>
          <w:color w:val="111111"/>
          <w:sz w:val="28"/>
          <w:sz w:val="28"/>
          <w:szCs w:val="28"/>
          <w:rtl w:val="true"/>
          <w:lang w:bidi="ar-SA"/>
        </w:rPr>
        <w:t>؟ والمسألة وإن كانت من المسائل الكلامية، لكن الدليل الظني حجة فيها؛ لاستلزامها الحكم الفرعي</w:t>
      </w:r>
      <w:r>
        <w:rPr>
          <w:rStyle w:val="FootnoteAnchor"/>
          <w:rtl w:val="true"/>
        </w:rPr>
        <w:footnoteReference w:id="1987"/>
      </w:r>
      <w:r>
        <w:rPr>
          <w:rFonts w:ascii="Amiri" w:hAnsi="Amiri" w:eastAsia="Amiri" w:cs="Amiri"/>
          <w:color w:val="111111"/>
          <w:sz w:val="28"/>
          <w:sz w:val="28"/>
          <w:szCs w:val="28"/>
          <w:rtl w:val="true"/>
          <w:lang w:bidi="ar-SA"/>
        </w:rPr>
        <w:t xml:space="preserve">، والأصل في المسألة الجواز لا الامتناع، كما في نظائرها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المسألة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وثمرة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أحال الخلو، وقال بإدراك العقل الحسن والقبح، وبتبعية الأحكام </w:t>
      </w:r>
      <w:r>
        <w:rPr>
          <w:rStyle w:val="FootnoteAnchor"/>
          <w:rtl w:val="true"/>
        </w:rPr>
        <w:footnoteReference w:id="1988"/>
      </w:r>
      <w:r>
        <w:rPr>
          <w:rFonts w:ascii="Amiri" w:hAnsi="Amiri" w:eastAsia="Amiri" w:cs="Amiri"/>
          <w:color w:val="111111"/>
          <w:sz w:val="28"/>
          <w:sz w:val="28"/>
          <w:szCs w:val="28"/>
          <w:rtl w:val="true"/>
          <w:lang w:bidi="ar-SA"/>
        </w:rPr>
        <w:t>للصفات ، لزمه حجية العقل وتطابقه مع الشرع، كما هو واضح</w:t>
      </w:r>
      <w:r>
        <w:rPr>
          <w:rFonts w:eastAsia="Amiri" w:cs="Amiri" w:ascii="Amiri" w:hAnsi="Amiri"/>
          <w:color w:val="111111"/>
          <w:sz w:val="28"/>
          <w:szCs w:val="28"/>
          <w:rtl w:val="true"/>
          <w:lang w:bidi="ar-SA"/>
        </w:rPr>
        <w:t xml:space="preserve">. </w:t>
      </w:r>
      <w:bookmarkStart w:id="616" w:name="pg9015_97688"/>
    </w:p>
    <w:p>
      <w:pPr>
        <w:pStyle w:val="Heading3"/>
        <w:numPr>
          <w:ilvl w:val="2"/>
          <w:numId w:val="1"/>
        </w:numPr>
        <w:rPr/>
      </w:pPr>
      <w:bookmarkStart w:id="617" w:name="__RefHeading___Toc2001771_2870459653"/>
      <w:bookmarkStart w:id="618" w:name="_Toc235"/>
      <w:bookmarkEnd w:id="616"/>
      <w:bookmarkEnd w:id="617"/>
      <w:r>
        <w:rPr>
          <w:rtl w:val="true"/>
        </w:rPr>
        <w:t>[</w:t>
      </w:r>
      <w:r>
        <w:rPr>
          <w:rtl w:val="true"/>
        </w:rPr>
        <w:t>المختار في المسألة</w:t>
      </w:r>
      <w:r>
        <w:rPr>
          <w:rtl w:val="true"/>
        </w:rPr>
        <w:t>]</w:t>
      </w:r>
      <w:bookmarkEnd w:id="618"/>
    </w:p>
    <w:p>
      <w:pPr>
        <w:pStyle w:val="BookText"/>
        <w:rPr/>
      </w:pPr>
      <w:r>
        <w:rPr>
          <w:rFonts w:ascii="IRNazanin" w:hAnsi="IRNazanin" w:eastAsia="IRNazanin"/>
          <w:color w:val="111111"/>
          <w:sz w:val="28"/>
          <w:sz w:val="28"/>
          <w:szCs w:val="28"/>
          <w:rtl w:val="true"/>
          <w:lang w:bidi="fa-IR"/>
        </w:rPr>
        <w:t>والحق في المسألة أن الواقعة إن كانت محتاجاً إليها للمكلفين لم يجز خلوها عن الحكم؛ لقاعدة اللطف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وللنصوص الدالة على أنه تعالى جعل لكل واقعة حكما وبينه لنبيه صلی الله علیه و آله وسلم حتى أرش الخدش </w:t>
      </w:r>
      <w:r>
        <w:rPr>
          <w:rStyle w:val="FootnoteAnchor"/>
          <w:rtl w:val="true"/>
        </w:rPr>
        <w:footnoteReference w:id="1989"/>
      </w:r>
      <w:r>
        <w:rPr>
          <w:rFonts w:ascii="Amiri" w:hAnsi="Amiri" w:eastAsia="Amiri" w:cs="Amiri"/>
          <w:color w:val="111111"/>
          <w:sz w:val="28"/>
          <w:sz w:val="28"/>
          <w:szCs w:val="28"/>
          <w:rtl w:val="true"/>
          <w:lang w:bidi="ar-SA"/>
        </w:rPr>
        <w:t>، وخصوص رواية درست</w:t>
      </w:r>
      <w:r>
        <w:rPr>
          <w:rStyle w:val="FootnoteAnchor"/>
          <w:rtl w:val="true"/>
        </w:rPr>
        <w:footnoteReference w:id="1990"/>
      </w:r>
      <w:r>
        <w:rPr>
          <w:rFonts w:ascii="IRNazanin" w:hAnsi="IRNazanin" w:eastAsia="IRNazanin"/>
          <w:color w:val="111111"/>
          <w:sz w:val="28"/>
          <w:sz w:val="28"/>
          <w:szCs w:val="28"/>
          <w:rtl w:val="true"/>
          <w:lang w:bidi="fa-IR"/>
        </w:rPr>
        <w:t>، ولقوله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مطلق حتى يرد فيه أمر أو نهي</w:t>
      </w:r>
      <w:r>
        <w:rPr>
          <w:rFonts w:eastAsia="IRNazanin" w:cs="IRNazanin"/>
          <w:color w:val="111111"/>
          <w:sz w:val="28"/>
          <w:szCs w:val="28"/>
          <w:rtl w:val="true"/>
          <w:lang w:bidi="fa-IR"/>
        </w:rPr>
        <w:t>»</w:t>
      </w:r>
      <w:r>
        <w:rPr>
          <w:rStyle w:val="FootnoteAnchor"/>
          <w:rtl w:val="true"/>
        </w:rPr>
        <w:footnoteReference w:id="1991"/>
      </w:r>
      <w:r>
        <w:rPr>
          <w:rFonts w:ascii="Amiri" w:hAnsi="Amiri" w:eastAsia="Amiri" w:cs="Amiri"/>
          <w:color w:val="111111"/>
          <w:sz w:val="28"/>
          <w:sz w:val="28"/>
          <w:szCs w:val="28"/>
          <w:rtl w:val="true"/>
          <w:lang w:bidi="ar-SA"/>
        </w:rPr>
        <w:t>، إلّا أن يقال إنها تثبت الحكم الظاهري لا الواقعي</w:t>
      </w:r>
      <w:r>
        <w:rPr>
          <w:rStyle w:val="FootnoteAnchor"/>
          <w:rtl w:val="true"/>
        </w:rPr>
        <w:footnoteReference w:id="1992"/>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وانها لا تجري في الأحكام الوضعية، إلا ان يتمسك بالإجماع المركب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غير محتاج إليها</w:t>
      </w:r>
      <w:r>
        <w:rPr>
          <w:rStyle w:val="FootnoteAnchor"/>
          <w:rtl w:val="true"/>
        </w:rPr>
        <w:footnoteReference w:id="1993"/>
      </w:r>
      <w:r>
        <w:rPr>
          <w:rStyle w:val="FootnoteAnchor"/>
          <w:rtl w:val="true"/>
        </w:rPr>
        <w:footnoteReference w:id="1994"/>
      </w:r>
      <w:r>
        <w:rPr>
          <w:rFonts w:ascii="Amiri" w:hAnsi="Amiri" w:eastAsia="Amiri" w:cs="Amiri"/>
          <w:color w:val="111111"/>
          <w:sz w:val="28"/>
          <w:sz w:val="28"/>
          <w:szCs w:val="28"/>
          <w:rtl w:val="true"/>
          <w:lang w:bidi="ar-SA"/>
        </w:rPr>
        <w:t>كوقاع الحور، فوجهان ، أقربهما عدم الخلو؛ لنصوص أرش الخدش، فإنها مطلقة أو عامة، وتقييدها</w:t>
      </w:r>
      <w:r>
        <w:rPr>
          <w:rStyle w:val="FootnoteAnchor"/>
          <w:rtl w:val="true"/>
        </w:rPr>
        <w:footnoteReference w:id="1995"/>
      </w:r>
      <w:r>
        <w:rPr>
          <w:rFonts w:ascii="Amiri" w:hAnsi="Amiri" w:eastAsia="Amiri" w:cs="Amiri"/>
          <w:color w:val="111111"/>
          <w:sz w:val="28"/>
          <w:sz w:val="28"/>
          <w:szCs w:val="28"/>
          <w:rtl w:val="true"/>
          <w:lang w:bidi="ar-SA"/>
        </w:rPr>
        <w:t xml:space="preserve">برواية درست فرع فهم العرف </w:t>
      </w:r>
      <w:bookmarkStart w:id="619" w:name="pg9015_97689"/>
    </w:p>
    <w:p>
      <w:pPr>
        <w:pStyle w:val="BookText"/>
        <w:rPr/>
      </w:pPr>
      <w:bookmarkEnd w:id="619"/>
      <w:r>
        <w:rPr>
          <w:rFonts w:ascii="IRNazanin" w:hAnsi="IRNazanin" w:eastAsia="IRNazanin"/>
          <w:color w:val="111111"/>
          <w:sz w:val="28"/>
          <w:sz w:val="28"/>
          <w:szCs w:val="28"/>
          <w:rtl w:val="true"/>
          <w:lang w:bidi="fa-IR"/>
        </w:rPr>
        <w:t>التعارض</w:t>
      </w:r>
      <w:r>
        <w:rPr>
          <w:rStyle w:val="FootnoteAnchor"/>
          <w:rtl w:val="true"/>
        </w:rPr>
        <w:footnoteReference w:id="1996"/>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Heading2"/>
        <w:numPr>
          <w:ilvl w:val="1"/>
          <w:numId w:val="1"/>
        </w:numPr>
        <w:rPr/>
      </w:pPr>
      <w:bookmarkStart w:id="620" w:name="__RefHeading___Toc2001773_2870459653"/>
      <w:bookmarkStart w:id="621" w:name="_Toc236"/>
      <w:bookmarkEnd w:id="620"/>
      <w:r>
        <w:rPr>
          <w:rtl w:val="true"/>
        </w:rPr>
        <w:t xml:space="preserve">أصل </w:t>
      </w:r>
      <w:r>
        <w:rPr>
          <w:rtl w:val="true"/>
        </w:rPr>
        <w:t>[</w:t>
      </w:r>
      <w:r>
        <w:rPr>
          <w:rtl w:val="true"/>
        </w:rPr>
        <w:t>في أصل الأشياء قبل ورود الشرع</w:t>
      </w:r>
      <w:r>
        <w:rPr>
          <w:rtl w:val="true"/>
        </w:rPr>
        <w:t>]</w:t>
      </w:r>
      <w:bookmarkEnd w:id="621"/>
    </w:p>
    <w:p>
      <w:pPr>
        <w:pStyle w:val="Heading3"/>
        <w:numPr>
          <w:ilvl w:val="2"/>
          <w:numId w:val="1"/>
        </w:numPr>
        <w:rPr/>
      </w:pPr>
      <w:bookmarkStart w:id="622" w:name="__RefHeading___Toc2001775_2870459653"/>
      <w:bookmarkStart w:id="623" w:name="_Toc237"/>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اختلفوا في أن الأصل في الأشياء قبل ورود الشرع هل هو الحظر</w:t>
      </w:r>
      <w:r>
        <w:rPr>
          <w:rStyle w:val="FootnoteAnchor"/>
          <w:rtl w:val="true"/>
        </w:rPr>
        <w:footnoteReference w:id="1997"/>
      </w:r>
      <w:r>
        <w:rPr>
          <w:rFonts w:ascii="Amiri" w:hAnsi="Amiri" w:eastAsia="Amiri" w:cs="Amiri"/>
          <w:color w:val="111111"/>
          <w:sz w:val="28"/>
          <w:sz w:val="28"/>
          <w:szCs w:val="28"/>
          <w:rtl w:val="true"/>
          <w:lang w:bidi="ar-SA"/>
        </w:rPr>
        <w:t>، أم الإباحة</w:t>
      </w:r>
      <w:r>
        <w:rPr>
          <w:rStyle w:val="FootnoteAnchor"/>
          <w:rtl w:val="true"/>
        </w:rPr>
        <w:footnoteReference w:id="1998"/>
      </w:r>
      <w:r>
        <w:rPr>
          <w:rFonts w:ascii="Amiri" w:hAnsi="Amiri" w:eastAsia="Amiri" w:cs="Amiri"/>
          <w:color w:val="111111"/>
          <w:sz w:val="28"/>
          <w:sz w:val="28"/>
          <w:szCs w:val="28"/>
          <w:rtl w:val="true"/>
          <w:lang w:bidi="ar-SA"/>
        </w:rPr>
        <w:t>، أم عدم الحكم</w:t>
      </w:r>
      <w:r>
        <w:rPr>
          <w:rStyle w:val="FootnoteAnchor"/>
          <w:rtl w:val="true"/>
        </w:rPr>
        <w:footnoteReference w:id="1999"/>
      </w:r>
      <w:r>
        <w:rPr>
          <w:rFonts w:ascii="IRNazanin" w:hAnsi="IRNazanin" w:eastAsia="IRNazanin"/>
          <w:color w:val="111111"/>
          <w:sz w:val="28"/>
          <w:sz w:val="28"/>
          <w:szCs w:val="28"/>
          <w:rtl w:val="true"/>
          <w:lang w:bidi="fa-IR"/>
        </w:rPr>
        <w:t xml:space="preserve">، أم الوقف </w:t>
      </w:r>
      <w:r>
        <w:rPr>
          <w:rStyle w:val="FootnoteAnchor"/>
          <w:rtl w:val="true"/>
        </w:rPr>
        <w:footnoteReference w:id="2000"/>
      </w:r>
      <w:r>
        <w:rPr>
          <w:rFonts w:ascii="Amiri" w:hAnsi="Amiri" w:eastAsia="Amiri" w:cs="Amiri"/>
          <w:color w:val="111111"/>
          <w:sz w:val="28"/>
          <w:sz w:val="28"/>
          <w:szCs w:val="28"/>
          <w:rtl w:val="true"/>
          <w:lang w:bidi="ar-SA"/>
        </w:rPr>
        <w:t xml:space="preserve">، والأولان يحتملان الإباحة والحظر الظاهريين والواقعيين والأخير يحتمل الوقف في أصل الحكم، أو في خصوصه، أو فيهما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بالأشياء الأفعال أعم مما تعلق بالأعيان كالاكل والشرب، أو لم يتعلق كالضحك والغناء؛ وذلك لتعبير بعضهم بالأفعال لا الأشياء </w:t>
      </w:r>
      <w:r>
        <w:rPr>
          <w:rStyle w:val="FootnoteAnchor"/>
          <w:rtl w:val="true"/>
        </w:rPr>
        <w:footnoteReference w:id="2001"/>
      </w:r>
      <w:r>
        <w:rPr>
          <w:rFonts w:ascii="Amiri" w:hAnsi="Amiri" w:eastAsia="Amiri" w:cs="Amiri"/>
          <w:color w:val="111111"/>
          <w:sz w:val="28"/>
          <w:sz w:val="28"/>
          <w:szCs w:val="28"/>
          <w:rtl w:val="true"/>
          <w:lang w:bidi="ar-SA"/>
        </w:rPr>
        <w:t>، الا أن يحمل المطلق على المقيد، فتأمل</w:t>
      </w:r>
      <w:r>
        <w:rPr>
          <w:rFonts w:eastAsia="Amiri" w:cs="Amiri" w:ascii="Amiri" w:hAnsi="Amiri"/>
          <w:color w:val="111111"/>
          <w:sz w:val="28"/>
          <w:szCs w:val="28"/>
          <w:rtl w:val="true"/>
          <w:lang w:bidi="ar-SA"/>
        </w:rPr>
        <w:t xml:space="preserve">. </w:t>
      </w:r>
      <w:bookmarkStart w:id="624" w:name="pg9015_97690"/>
    </w:p>
    <w:p>
      <w:pPr>
        <w:pStyle w:val="Heading3"/>
        <w:numPr>
          <w:ilvl w:val="2"/>
          <w:numId w:val="1"/>
        </w:numPr>
        <w:rPr/>
      </w:pPr>
      <w:bookmarkStart w:id="625" w:name="__RefHeading___Toc2001777_2870459653"/>
      <w:bookmarkStart w:id="626" w:name="_Toc238"/>
      <w:bookmarkEnd w:id="624"/>
      <w:bookmarkEnd w:id="625"/>
      <w:r>
        <w:rPr>
          <w:rtl w:val="true"/>
        </w:rPr>
        <w:t>[</w:t>
      </w:r>
      <w:r>
        <w:rPr>
          <w:rtl w:val="true"/>
        </w:rPr>
        <w:t>تحرير محل النزاع</w:t>
      </w:r>
      <w:r>
        <w:rPr>
          <w:rtl w:val="true"/>
        </w:rPr>
        <w:t>]</w:t>
      </w:r>
      <w:bookmarkEnd w:id="626"/>
    </w:p>
    <w:p>
      <w:pPr>
        <w:pStyle w:val="BookText"/>
        <w:rPr/>
      </w:pPr>
      <w:r>
        <w:rPr>
          <w:rFonts w:ascii="Amiri" w:hAnsi="Amiri" w:eastAsia="Amiri" w:cs="Amiri"/>
          <w:color w:val="111111"/>
          <w:sz w:val="28"/>
          <w:sz w:val="28"/>
          <w:szCs w:val="28"/>
          <w:rtl w:val="true"/>
          <w:lang w:bidi="ar-SA"/>
        </w:rPr>
        <w:t xml:space="preserve">ومحل النزاع الفعل الاختياري الغير الضروري الذي لا يستقل العقل بحكمه </w:t>
      </w:r>
      <w:r>
        <w:rPr>
          <w:rStyle w:val="FootnoteAnchor"/>
          <w:rtl w:val="true"/>
        </w:rPr>
        <w:footnoteReference w:id="2002"/>
      </w:r>
      <w:r>
        <w:rPr>
          <w:rFonts w:ascii="Amiri" w:hAnsi="Amiri" w:eastAsia="Amiri" w:cs="Amiri"/>
          <w:color w:val="111111"/>
          <w:sz w:val="28"/>
          <w:sz w:val="28"/>
          <w:szCs w:val="28"/>
          <w:rtl w:val="true"/>
          <w:lang w:bidi="ar-SA"/>
        </w:rPr>
        <w:t>بالخصوص، مع كون الفعل مما فيه أمارة المنفعة لا أمارة المفسدة، وإن كان محتملاً للمفسدة</w:t>
      </w:r>
      <w:r>
        <w:rPr>
          <w:rStyle w:val="FootnoteAnchor"/>
          <w:rtl w:val="true"/>
        </w:rPr>
        <w:footnoteReference w:id="2003"/>
      </w:r>
      <w:r>
        <w:rPr>
          <w:rFonts w:ascii="Amiri" w:hAnsi="Amiri" w:eastAsia="Amiri" w:cs="Amiri"/>
          <w:color w:val="111111"/>
          <w:sz w:val="28"/>
          <w:sz w:val="28"/>
          <w:szCs w:val="28"/>
          <w:rtl w:val="true"/>
          <w:lang w:bidi="ar-SA"/>
        </w:rPr>
        <w:t xml:space="preserve">ولم ينازعوا </w:t>
      </w:r>
      <w:r>
        <w:rPr>
          <w:rStyle w:val="FootnoteAnchor"/>
          <w:rtl w:val="true"/>
        </w:rPr>
        <w:footnoteReference w:id="2004"/>
      </w:r>
      <w:r>
        <w:rPr>
          <w:rFonts w:ascii="Amiri" w:hAnsi="Amiri" w:eastAsia="Amiri" w:cs="Amiri"/>
          <w:color w:val="111111"/>
          <w:sz w:val="28"/>
          <w:sz w:val="28"/>
          <w:szCs w:val="28"/>
          <w:rtl w:val="true"/>
          <w:lang w:bidi="ar-SA"/>
        </w:rPr>
        <w:t>فيما لا منفعة فيه ولا مفسدة ظاهراً</w:t>
      </w:r>
      <w:r>
        <w:rPr>
          <w:rStyle w:val="FootnoteAnchor"/>
          <w:rtl w:val="true"/>
        </w:rPr>
        <w:footnoteReference w:id="2005"/>
      </w:r>
      <w:r>
        <w:rPr>
          <w:rFonts w:ascii="Amiri" w:hAnsi="Amiri" w:eastAsia="Amiri" w:cs="Amiri"/>
          <w:color w:val="111111"/>
          <w:sz w:val="28"/>
          <w:sz w:val="28"/>
          <w:szCs w:val="28"/>
          <w:rtl w:val="true"/>
          <w:lang w:bidi="ar-SA"/>
        </w:rPr>
        <w:t xml:space="preserve">، مع إمكان القول بالإباحة وعدمها هنا أيضا </w:t>
      </w:r>
      <w:r>
        <w:rPr>
          <w:rStyle w:val="FootnoteAnchor"/>
          <w:rtl w:val="true"/>
        </w:rPr>
        <w:footnoteReference w:id="2006"/>
      </w:r>
      <w:r>
        <w:rPr>
          <w:rFonts w:ascii="Amiri" w:hAnsi="Amiri" w:eastAsia="Amiri" w:cs="Amiri"/>
          <w:color w:val="111111"/>
          <w:sz w:val="28"/>
          <w:sz w:val="28"/>
          <w:szCs w:val="28"/>
          <w:rtl w:val="true"/>
          <w:lang w:bidi="ar-SA"/>
        </w:rPr>
        <w:t>،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2007"/>
      </w:r>
      <w:r>
        <w:rPr>
          <w:rFonts w:ascii="Amiri" w:hAnsi="Amiri" w:eastAsia="Amiri" w:cs="Amiri"/>
          <w:color w:val="111111"/>
          <w:sz w:val="28"/>
          <w:sz w:val="28"/>
          <w:szCs w:val="28"/>
          <w:rtl w:val="true"/>
          <w:lang w:bidi="ar-SA"/>
        </w:rPr>
        <w:t>ارتكاب مثله سفه، فيشكل الحكم باباحة مثله،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بالإباحة يحتمل أن يكون الإباحة الخاصة، كما هي ظاهرها حيث أطلقت، أو مطلق الإذن الشامل لما عدا</w:t>
      </w:r>
      <w:r>
        <w:rPr>
          <w:rStyle w:val="FootnoteAnchor"/>
          <w:rtl w:val="true"/>
        </w:rPr>
        <w:footnoteReference w:id="2008"/>
      </w:r>
      <w:r>
        <w:rPr>
          <w:rFonts w:ascii="Amiri" w:hAnsi="Amiri" w:eastAsia="Amiri" w:cs="Amiri"/>
          <w:color w:val="111111"/>
          <w:sz w:val="28"/>
          <w:sz w:val="28"/>
          <w:szCs w:val="28"/>
          <w:rtl w:val="true"/>
          <w:lang w:bidi="ar-SA"/>
        </w:rPr>
        <w:t>،الحرام، أو ما اذن في فعله وتركه مطلقاً، أو ما أذن في فعله وتركه مع عدم رجحان ،الفعل، أو مع عدم رجحان الترك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بما قبل ورود الشرع إن كان قبل أصل الشرع قبلاً حقيقياً، ففيه أنه خلاف الواقع؛ إذ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مقدّم على الخلق أو مقارن، وانه لا</w:t>
      </w:r>
      <w:r>
        <w:rPr>
          <w:rStyle w:val="FootnoteAnchor"/>
          <w:rtl w:val="true"/>
        </w:rPr>
        <w:footnoteReference w:id="2009"/>
      </w:r>
      <w:r>
        <w:rPr>
          <w:rFonts w:ascii="Amiri" w:hAnsi="Amiri" w:eastAsia="Amiri" w:cs="Amiri"/>
          <w:color w:val="111111"/>
          <w:sz w:val="28"/>
          <w:sz w:val="28"/>
          <w:szCs w:val="28"/>
          <w:rtl w:val="true"/>
          <w:lang w:bidi="ar-SA"/>
        </w:rPr>
        <w:t>ثمرة لنا في إثبات حكم من كان قبل الشرع</w:t>
      </w:r>
      <w:r>
        <w:rPr>
          <w:rStyle w:val="FootnoteAnchor"/>
          <w:rtl w:val="true"/>
        </w:rPr>
        <w:footnoteReference w:id="2010"/>
      </w:r>
      <w:r>
        <w:rPr>
          <w:rFonts w:ascii="Amiri" w:hAnsi="Amiri" w:eastAsia="Amiri" w:cs="Amiri"/>
          <w:color w:val="111111"/>
          <w:sz w:val="28"/>
          <w:sz w:val="28"/>
          <w:szCs w:val="28"/>
          <w:rtl w:val="true"/>
          <w:lang w:bidi="ar-SA"/>
        </w:rPr>
        <w:t>الا بالتمسك بالاستصحاب، ولا يمكن؛ لتعدد الموضوع، وحصول العلم الإجمالي لنا بين المشتبهات</w:t>
      </w:r>
      <w:r>
        <w:rPr>
          <w:rStyle w:val="FootnoteAnchor"/>
          <w:rtl w:val="true"/>
        </w:rPr>
        <w:footnoteReference w:id="2011"/>
      </w:r>
      <w:r>
        <w:rPr>
          <w:rFonts w:ascii="Amiri" w:hAnsi="Amiri" w:eastAsia="Amiri" w:cs="Amiri"/>
          <w:color w:val="111111"/>
          <w:sz w:val="28"/>
          <w:sz w:val="28"/>
          <w:szCs w:val="28"/>
          <w:rtl w:val="true"/>
          <w:lang w:bidi="ar-SA"/>
        </w:rPr>
        <w:t xml:space="preserve">، وان من لا يقول بحجية الاستصحاب </w:t>
      </w:r>
    </w:p>
    <w:p>
      <w:pPr>
        <w:pStyle w:val="BookText"/>
        <w:rPr/>
      </w:pPr>
      <w:r>
        <w:rPr>
          <w:rFonts w:ascii="Amiri" w:hAnsi="Amiri" w:eastAsia="Amiri" w:cs="Amiri"/>
          <w:color w:val="111111"/>
          <w:sz w:val="28"/>
          <w:sz w:val="28"/>
          <w:szCs w:val="28"/>
          <w:rtl w:val="true"/>
          <w:lang w:bidi="ar-SA"/>
        </w:rPr>
        <w:t xml:space="preserve">ويقول بهذا الأصل كيف يثبت هذا الأصل حينئذ، وذلك كاشف عن انّ </w:t>
      </w:r>
      <w:r>
        <w:rPr>
          <w:rStyle w:val="FootnoteAnchor"/>
          <w:rtl w:val="true"/>
        </w:rPr>
        <w:footnoteReference w:id="2012"/>
      </w:r>
      <w:r>
        <w:rPr>
          <w:rFonts w:ascii="Amiri" w:hAnsi="Amiri" w:eastAsia="Amiri" w:cs="Amiri"/>
          <w:color w:val="111111"/>
          <w:sz w:val="28"/>
          <w:sz w:val="28"/>
          <w:szCs w:val="28"/>
          <w:rtl w:val="true"/>
          <w:lang w:bidi="ar-SA"/>
        </w:rPr>
        <w:t>المسألة ليست مبتنية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قبلاً فرضياً، ففيه ما مرّ من عدم الفائدة، والتمسك بالاستصحاب مردود بأنه فرضي، وبالوجهين الأخيرين في سابقه</w:t>
      </w:r>
      <w:r>
        <w:rPr>
          <w:rFonts w:eastAsia="Amiri" w:cs="Amiri" w:ascii="Amiri" w:hAnsi="Amiri"/>
          <w:color w:val="111111"/>
          <w:sz w:val="28"/>
          <w:szCs w:val="28"/>
          <w:rtl w:val="true"/>
          <w:lang w:bidi="ar-SA"/>
        </w:rPr>
        <w:t>.</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أو قبل شرعنا ونبينا، أي زمان الفترة، ففيه انه إن كان مع فرض العثور على الدليل فالدليل هو المتبع ، أو قبله فيمكن فرض ذلك بعد بعث نبينا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قبل العثور على الدليل الشرعي وإن كان بعد البعثة،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ظاهر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ورود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وخلاف تصريح بعضهم</w:t>
      </w:r>
      <w:r>
        <w:rPr>
          <w:rStyle w:val="FootnoteAnchor"/>
          <w:rtl w:val="true"/>
        </w:rPr>
        <w:footnoteReference w:id="2014"/>
      </w:r>
      <w:r>
        <w:rPr>
          <w:rFonts w:ascii="Amiri" w:hAnsi="Amiri" w:eastAsia="Amiri" w:cs="Amiri"/>
          <w:color w:val="111111"/>
          <w:sz w:val="28"/>
          <w:sz w:val="28"/>
          <w:szCs w:val="28"/>
          <w:rtl w:val="true"/>
          <w:lang w:bidi="ar-SA"/>
        </w:rPr>
        <w:t>بأن المراد اما الاحتمال الثاني أو الخامس، ولا يناسب القول بأنه لا حكم؛ لأنه لا 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r>
        <w:rPr>
          <w:rStyle w:val="FootnoteAnchor"/>
          <w:rtl w:val="true"/>
        </w:rPr>
        <w:footnoteReference w:id="2015"/>
      </w:r>
      <w:r>
        <w:rPr>
          <w:rFonts w:ascii="Amiri" w:hAnsi="Amiri" w:eastAsia="Amiri" w:cs="Amiri"/>
          <w:color w:val="111111"/>
          <w:sz w:val="28"/>
          <w:sz w:val="28"/>
          <w:szCs w:val="28"/>
          <w:rtl w:val="true"/>
          <w:lang w:bidi="ar-SA"/>
        </w:rPr>
        <w:t xml:space="preserve">مع قطع النظر عن الدليل الشرعي، ففيه أنه خال عن الفائدة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فمحل النزاع غير محرر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وإن استقصينا التأمل في الفرق بين هذه المسألة ومسألة أصل البراءة، فلم نجده، وقد يتصوّر الفرق بوجوه عشرة، ليس شيء منها بشيء</w:t>
      </w:r>
      <w:r>
        <w:rPr>
          <w:rFonts w:eastAsia="Amiri" w:cs="Amiri" w:ascii="Amiri" w:hAnsi="Amiri"/>
          <w:color w:val="111111"/>
          <w:sz w:val="28"/>
          <w:szCs w:val="28"/>
          <w:rtl w:val="true"/>
          <w:lang w:bidi="ar-SA"/>
        </w:rPr>
        <w:t>.</w:t>
      </w:r>
      <w:r>
        <w:rPr>
          <w:rStyle w:val="FootnoteAnchor"/>
          <w:rtl w:val="true"/>
        </w:rPr>
        <w:footnoteReference w:id="2016"/>
      </w:r>
      <w:bookmarkStart w:id="627" w:name="pg9015_97692"/>
    </w:p>
    <w:p>
      <w:pPr>
        <w:pStyle w:val="Heading3"/>
        <w:numPr>
          <w:ilvl w:val="2"/>
          <w:numId w:val="1"/>
        </w:numPr>
        <w:rPr/>
      </w:pPr>
      <w:bookmarkStart w:id="628" w:name="__RefHeading___Toc2001779_2870459653"/>
      <w:bookmarkStart w:id="629" w:name="_Toc239"/>
      <w:bookmarkEnd w:id="627"/>
      <w:bookmarkEnd w:id="628"/>
      <w:r>
        <w:rPr>
          <w:rtl w:val="true"/>
        </w:rPr>
        <w:t>[</w:t>
      </w:r>
      <w:r>
        <w:rPr>
          <w:rtl w:val="true"/>
        </w:rPr>
        <w:t>تأسيس الأصل</w:t>
      </w:r>
      <w:r>
        <w:rPr>
          <w:rtl w:val="true"/>
        </w:rPr>
        <w:t>]</w:t>
      </w:r>
      <w:bookmarkEnd w:id="629"/>
    </w:p>
    <w:p>
      <w:pPr>
        <w:pStyle w:val="BookText"/>
        <w:rPr/>
      </w:pPr>
      <w:r>
        <w:rPr>
          <w:rFonts w:ascii="Amiri" w:hAnsi="Amiri" w:eastAsia="Amiri" w:cs="Amiri"/>
          <w:color w:val="111111"/>
          <w:sz w:val="28"/>
          <w:sz w:val="28"/>
          <w:szCs w:val="28"/>
          <w:rtl w:val="true"/>
          <w:lang w:bidi="ar-SA"/>
        </w:rPr>
        <w:t>وكيف كان، فالأصل الأصيل في المسألة الحظر؛ لأن المفروض أن الفعل المتنازع فيه محتمل المفسدة ولو وهماً، فيجب دفع الضرر المحتمل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الترك أيضاً محتمل الضرر ؛ لاحتمال وجوب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الكل غير محتمل؛ لأنه مما لا يطاق، وحرمة الكل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يسفّهون المحترز عن كلّ</w:t>
      </w:r>
      <w:r>
        <w:rPr>
          <w:rStyle w:val="FootnoteAnchor"/>
          <w:rtl w:val="true"/>
        </w:rPr>
        <w:footnoteReference w:id="2017"/>
      </w:r>
      <w:r>
        <w:rPr>
          <w:rFonts w:ascii="Amiri" w:hAnsi="Amiri" w:eastAsia="Amiri" w:cs="Amiri"/>
          <w:color w:val="111111"/>
          <w:sz w:val="28"/>
          <w:sz w:val="28"/>
          <w:szCs w:val="28"/>
          <w:rtl w:val="true"/>
          <w:lang w:bidi="ar-SA"/>
        </w:rPr>
        <w:t>محتمل وهميّ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إنه لأجل ارتكاب أقل القبيحين؛ لا لعدم لزوم دفع الضرر الخالي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ولقبح التصرف في مال الغير بغير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يرد تنصيص، أو شاهد حال، كالاستظلال بجدار الغير، وتصرف العبد في نفسه أيضاً تصرف في ملك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 النفس من الفعل تصرف في النفس أيضاً، وإن بناء العقلاء على عدم التصرف في مال الغير عند الشك في الإذن انما هو الحاجة المالك إلى </w:t>
      </w:r>
      <w:r>
        <w:rPr>
          <w:rStyle w:val="FootnoteAnchor"/>
          <w:rtl w:val="true"/>
        </w:rPr>
        <w:footnoteReference w:id="2018"/>
      </w:r>
      <w:r>
        <w:rPr>
          <w:rFonts w:ascii="Amiri" w:hAnsi="Amiri" w:eastAsia="Amiri" w:cs="Amiri"/>
          <w:color w:val="111111"/>
          <w:sz w:val="28"/>
          <w:sz w:val="28"/>
          <w:szCs w:val="28"/>
          <w:rtl w:val="true"/>
          <w:lang w:bidi="ar-SA"/>
        </w:rPr>
        <w:t>ماله، بخلافه تعالى، وإنه لا شك في الجواز هنا؛ لأنه كالاستظلال، وإن استصحاب حكم حالة الصغر يقتضي الجواز</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الترك تصرفاً ممنوع وإن الخالق وان تنزّه عن الحاجة لكن المخلوق محتاج، وإن القياس على الاستظلال قياس</w:t>
      </w:r>
      <w:r>
        <w:rPr>
          <w:rStyle w:val="FootnoteAnchor"/>
          <w:rtl w:val="true"/>
        </w:rPr>
        <w:footnoteReference w:id="2019"/>
      </w:r>
      <w:r>
        <w:rPr>
          <w:rFonts w:ascii="IRNazanin" w:hAnsi="IRNazanin" w:eastAsia="IRNazanin"/>
          <w:color w:val="111111"/>
          <w:sz w:val="28"/>
          <w:sz w:val="28"/>
          <w:szCs w:val="28"/>
          <w:rtl w:val="true"/>
          <w:lang w:bidi="fa-IR"/>
        </w:rPr>
        <w:t>مع الفارق</w:t>
      </w:r>
      <w:r>
        <w:rPr>
          <w:rStyle w:val="FootnoteAnchor"/>
          <w:rtl w:val="true"/>
        </w:rPr>
        <w:footnoteReference w:id="2020"/>
      </w:r>
      <w:r>
        <w:rPr>
          <w:rFonts w:ascii="Amiri" w:hAnsi="Amiri" w:eastAsia="Amiri" w:cs="Amiri"/>
          <w:color w:val="111111"/>
          <w:sz w:val="28"/>
          <w:sz w:val="28"/>
          <w:szCs w:val="28"/>
          <w:rtl w:val="true"/>
          <w:lang w:bidi="ar-SA"/>
        </w:rPr>
        <w:t xml:space="preserve">، وإن الكلام قبل </w:t>
      </w:r>
    </w:p>
    <w:p>
      <w:pPr>
        <w:pStyle w:val="BookText"/>
        <w:rPr/>
      </w:pPr>
      <w:r>
        <w:rPr>
          <w:rFonts w:ascii="Amiri" w:hAnsi="Amiri" w:eastAsia="Amiri" w:cs="Amiri"/>
          <w:color w:val="111111"/>
          <w:sz w:val="28"/>
          <w:sz w:val="28"/>
          <w:szCs w:val="28"/>
          <w:rtl w:val="true"/>
          <w:lang w:bidi="ar-SA"/>
        </w:rPr>
        <w:t>ورود الشرع، ولا يعتبر الاستصحاب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قبل ورود الشرع، وأمّا بعده قبل العثور على الدليل، فالأصل الأصيل أيضاً ما ذكر ؛ للوجهين، مضافاً إلى أن الفقيه بعد التتبع </w:t>
      </w:r>
      <w:r>
        <w:rPr>
          <w:rStyle w:val="FootnoteAnchor"/>
          <w:rtl w:val="true"/>
        </w:rPr>
        <w:footnoteReference w:id="2021"/>
      </w:r>
      <w:r>
        <w:rPr>
          <w:rFonts w:ascii="Amiri" w:hAnsi="Amiri" w:eastAsia="Amiri" w:cs="Amiri"/>
          <w:color w:val="111111"/>
          <w:sz w:val="28"/>
          <w:sz w:val="28"/>
          <w:szCs w:val="28"/>
          <w:rtl w:val="true"/>
          <w:lang w:bidi="ar-SA"/>
        </w:rPr>
        <w:t>في الشرعيات يعلم إجمالاً بحرمة جملة من تلك الأفعال، فلزم اجتناب الكل؛ 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في المسألة الإباحة عقلاً وشرعاً، قبل ورود الشرع، وبعده قبل العثور على الدليل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تسفيه من اقتصر في أفعاله</w:t>
      </w:r>
      <w:r>
        <w:rPr>
          <w:rStyle w:val="FootnoteAnchor"/>
          <w:rtl w:val="true"/>
        </w:rPr>
        <w:footnoteReference w:id="2022"/>
      </w:r>
      <w:r>
        <w:rPr>
          <w:rFonts w:ascii="Amiri" w:hAnsi="Amiri" w:eastAsia="Amiri" w:cs="Amiri"/>
          <w:color w:val="111111"/>
          <w:sz w:val="28"/>
          <w:sz w:val="28"/>
          <w:szCs w:val="28"/>
          <w:rtl w:val="true"/>
          <w:lang w:bidi="ar-SA"/>
        </w:rPr>
        <w:t xml:space="preserve">على الضروريات ملتزماً به، فاندفع الضرر المحتمل </w:t>
      </w:r>
      <w:r>
        <w:rPr>
          <w:rStyle w:val="FootnoteAnchor"/>
          <w:rtl w:val="true"/>
        </w:rPr>
        <w:footnoteReference w:id="2023"/>
      </w:r>
      <w:r>
        <w:rPr>
          <w:rFonts w:ascii="Amiri" w:hAnsi="Amiri" w:eastAsia="Amiri" w:cs="Amiri"/>
          <w:color w:val="111111"/>
          <w:sz w:val="28"/>
          <w:sz w:val="28"/>
          <w:szCs w:val="28"/>
          <w:rtl w:val="true"/>
          <w:lang w:bidi="ar-SA"/>
        </w:rPr>
        <w:t>، وعلم الإذن عند عدم إمكان الاستيذان لبناء العقلاء الذي هو حجة هنا؛ حذراً من التكليف بلا بيان ومن التكليف بما لا يطاق، بعد كونهم معتقدين بالجواز من غير رادع</w:t>
      </w:r>
      <w:r>
        <w:rPr>
          <w:rStyle w:val="FootnoteAnchor"/>
          <w:rtl w:val="true"/>
        </w:rPr>
        <w:footnoteReference w:id="2024"/>
      </w:r>
      <w:r>
        <w:rPr>
          <w:rFonts w:ascii="Amiri" w:hAnsi="Amiri" w:eastAsia="Amiri" w:cs="Amiri"/>
          <w:color w:val="111111"/>
          <w:sz w:val="28"/>
          <w:sz w:val="28"/>
          <w:szCs w:val="28"/>
          <w:rtl w:val="true"/>
          <w:lang w:bidi="ar-SA"/>
        </w:rPr>
        <w:t>، واندفع قاعدة الاشتغال أيضاً؛ إذ لا دليل على حجيتها حينئذ</w:t>
      </w:r>
      <w:r>
        <w:rPr>
          <w:rFonts w:eastAsia="Amiri" w:cs="Amiri" w:ascii="Amiri" w:hAnsi="Amiri"/>
          <w:color w:val="111111"/>
          <w:sz w:val="28"/>
          <w:szCs w:val="28"/>
          <w:rtl w:val="true"/>
          <w:lang w:bidi="ar-SA"/>
        </w:rPr>
        <w:t>.</w:t>
      </w:r>
      <w:r>
        <w:rPr>
          <w:rStyle w:val="FootnoteAnchor"/>
          <w:rtl w:val="true"/>
        </w:rPr>
        <w:footnoteReference w:id="202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مطلق</w:t>
      </w:r>
      <w:r>
        <w:rPr>
          <w:rFonts w:eastAsia="IRNazanin" w:cs="IRNazanin"/>
          <w:color w:val="111111"/>
          <w:sz w:val="28"/>
          <w:szCs w:val="28"/>
          <w:rtl w:val="true"/>
          <w:lang w:bidi="fa-IR"/>
        </w:rPr>
        <w:t>»</w:t>
      </w:r>
      <w:r>
        <w:rPr>
          <w:rStyle w:val="FootnoteAnchor"/>
          <w:rtl w:val="true"/>
        </w:rPr>
        <w:footnoteReference w:id="2026"/>
      </w:r>
      <w:r>
        <w:rPr>
          <w:rFonts w:ascii="Amiri" w:hAnsi="Amiri" w:eastAsia="Amiri" w:cs="Amiri"/>
          <w:color w:val="111111"/>
          <w:sz w:val="28"/>
          <w:sz w:val="28"/>
          <w:szCs w:val="28"/>
          <w:rtl w:val="true"/>
          <w:lang w:bidi="ar-SA"/>
        </w:rPr>
        <w:t xml:space="preserve">الخ ، والمتبادر من المطلق مطلق الإذن أو الإباحة الخاصة، ومن قوله حتى يرد </w:t>
      </w:r>
      <w:r>
        <w:rPr>
          <w:rStyle w:val="FootnoteAnchor"/>
          <w:rtl w:val="true"/>
        </w:rPr>
        <w:footnoteReference w:id="2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يعلم بالورود، فلا يضر احتمال الورود، مع كونه مدفوعاً بالأصل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بورود حكم في الواقع للفعل المشكوك؛ لعدم خلو الواقعة عنه كما مرَّ ، فلا يجرى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المسلم جعل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عموماً، أو خصوصاً، لا خصوصاً فقط، مع أن</w:t>
      </w:r>
      <w:r>
        <w:rPr>
          <w:rStyle w:val="FootnoteAnchor"/>
          <w:rtl w:val="true"/>
        </w:rPr>
        <w:footnoteReference w:id="2028"/>
      </w:r>
      <w:r>
        <w:rPr>
          <w:rFonts w:ascii="Amiri" w:hAnsi="Amiri" w:eastAsia="Amiri" w:cs="Amiri"/>
          <w:color w:val="111111"/>
          <w:sz w:val="28"/>
          <w:sz w:val="28"/>
          <w:szCs w:val="28"/>
          <w:rtl w:val="true"/>
          <w:lang w:bidi="ar-SA"/>
        </w:rPr>
        <w:t>المشتبهات كثيرة، والعلم الإجمالي فيها لا يضر ، كما في الشبهة الغير المحصورة</w:t>
      </w:r>
      <w:r>
        <w:rPr>
          <w:rStyle w:val="FootnoteAnchor"/>
          <w:rtl w:val="true"/>
        </w:rPr>
        <w:footnoteReference w:id="2029"/>
      </w:r>
      <w:r>
        <w:rPr>
          <w:rFonts w:ascii="Amiri" w:hAnsi="Amiri" w:eastAsia="Amiri" w:cs="Amiri"/>
          <w:color w:val="111111"/>
          <w:sz w:val="28"/>
          <w:sz w:val="28"/>
          <w:szCs w:val="28"/>
          <w:rtl w:val="true"/>
          <w:lang w:bidi="ar-SA"/>
        </w:rPr>
        <w:t xml:space="preserve">، مع أن القائل بالحظر يحكم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علم بعدم ورود نهي في نفس الأمر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وتوهم انه يكفي في ورود النهي نهي العقل كما مرَّ في تأسيس الأصل؛ لأنه</w:t>
      </w:r>
    </w:p>
    <w:p>
      <w:pPr>
        <w:pStyle w:val="BookText"/>
        <w:rPr/>
      </w:pPr>
      <w:r>
        <w:rPr>
          <w:rFonts w:ascii="Amiri" w:hAnsi="Amiri" w:eastAsia="Amiri" w:cs="Amiri"/>
          <w:color w:val="111111"/>
          <w:sz w:val="28"/>
          <w:sz w:val="28"/>
          <w:szCs w:val="28"/>
          <w:rtl w:val="true"/>
          <w:lang w:bidi="ar-SA"/>
        </w:rPr>
        <w:t xml:space="preserve">كل ما حكم به </w:t>
      </w:r>
      <w:r>
        <w:rPr>
          <w:rStyle w:val="FootnoteAnchor"/>
          <w:rtl w:val="true"/>
        </w:rPr>
        <w:footnoteReference w:id="2030"/>
      </w:r>
      <w:r>
        <w:rPr>
          <w:rFonts w:ascii="Amiri" w:hAnsi="Amiri" w:eastAsia="Amiri" w:cs="Amiri"/>
          <w:color w:val="111111"/>
          <w:sz w:val="28"/>
          <w:sz w:val="28"/>
          <w:szCs w:val="28"/>
          <w:rtl w:val="true"/>
          <w:lang w:bidi="ar-SA"/>
        </w:rPr>
        <w:t xml:space="preserve">حكم به الشرع مدفوع بعدم انصراف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مثله</w:t>
      </w:r>
      <w:r>
        <w:rPr>
          <w:rFonts w:eastAsia="Amiri" w:cs="Amiri" w:ascii="Amiri" w:hAnsi="Amiri"/>
          <w:color w:val="111111"/>
          <w:sz w:val="28"/>
          <w:szCs w:val="28"/>
          <w:rtl w:val="true"/>
          <w:lang w:bidi="ar-SA"/>
        </w:rPr>
        <w:t>.</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ومن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فرعية، وهي منجبرة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2032"/>
      </w:r>
      <w:r>
        <w:rPr>
          <w:rFonts w:ascii="Amiri" w:hAnsi="Amiri" w:eastAsia="Amiri" w:cs="Amiri"/>
          <w:color w:val="111111"/>
          <w:sz w:val="28"/>
          <w:sz w:val="28"/>
          <w:szCs w:val="28"/>
          <w:rtl w:val="true"/>
          <w:lang w:bidi="ar-SA"/>
        </w:rPr>
        <w:t xml:space="preserve">، وفيها عموم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والتأكيد، واللام للانتفاع، والمقام مقام الامتنان، ولا معيّن لبعض المنافع ؛ فتعمّ من هذه الجهة أيضاً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ليس مقام البيان </w:t>
      </w:r>
      <w:r>
        <w:rPr>
          <w:rStyle w:val="FootnoteAnchor"/>
          <w:rtl w:val="true"/>
        </w:rPr>
        <w:footnoteReference w:id="2033"/>
      </w:r>
      <w:r>
        <w:rPr>
          <w:rFonts w:ascii="Amiri" w:hAnsi="Amiri" w:eastAsia="Amiri" w:cs="Amiri"/>
          <w:color w:val="111111"/>
          <w:sz w:val="28"/>
          <w:sz w:val="28"/>
          <w:szCs w:val="28"/>
          <w:rtl w:val="true"/>
          <w:lang w:bidi="ar-SA"/>
        </w:rPr>
        <w:t>، أو إن النفع مفسر بالعبرة في رواية</w:t>
      </w:r>
      <w:r>
        <w:rPr>
          <w:rStyle w:val="FootnoteAnchor"/>
          <w:rtl w:val="true"/>
        </w:rPr>
        <w:footnoteReference w:id="2034"/>
      </w:r>
      <w:r>
        <w:rPr>
          <w:rFonts w:ascii="IRNazanin" w:hAnsi="IRNazanin" w:eastAsia="IRNazanin"/>
          <w:color w:val="111111"/>
          <w:sz w:val="28"/>
          <w:sz w:val="28"/>
          <w:szCs w:val="28"/>
          <w:rtl w:val="true"/>
          <w:lang w:bidi="fa-IR"/>
        </w:rPr>
        <w:t xml:space="preserve">، </w:t>
      </w:r>
      <w:bookmarkStart w:id="630" w:name="pg9015_97695"/>
    </w:p>
    <w:p>
      <w:pPr>
        <w:pStyle w:val="BookText"/>
        <w:rPr/>
      </w:pPr>
      <w:bookmarkEnd w:id="630"/>
      <w:r>
        <w:rPr>
          <w:rFonts w:ascii="Amiri" w:hAnsi="Amiri" w:eastAsia="Amiri" w:cs="Amiri"/>
          <w:color w:val="111111"/>
          <w:sz w:val="28"/>
          <w:sz w:val="28"/>
          <w:szCs w:val="28"/>
          <w:rtl w:val="true"/>
          <w:lang w:bidi="ar-SA"/>
        </w:rPr>
        <w:t>لكنها ضعيفة، أو</w:t>
      </w:r>
      <w:r>
        <w:rPr>
          <w:rStyle w:val="FootnoteAnchor"/>
          <w:rtl w:val="true"/>
        </w:rPr>
        <w:footnoteReference w:id="2035"/>
      </w:r>
      <w:r>
        <w:rPr>
          <w:rFonts w:ascii="Amiri" w:hAnsi="Amiri" w:eastAsia="Amiri" w:cs="Amiri"/>
          <w:color w:val="111111"/>
          <w:sz w:val="28"/>
          <w:sz w:val="28"/>
          <w:szCs w:val="28"/>
          <w:rtl w:val="true"/>
          <w:lang w:bidi="ar-SA"/>
        </w:rPr>
        <w:t>إن موردها الأفعال المتعلقة بالأعيان خاصة،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النزاع بها </w:t>
      </w:r>
      <w:r>
        <w:rPr>
          <w:rStyle w:val="FootnoteAnchor"/>
          <w:rtl w:val="true"/>
        </w:rPr>
        <w:footnoteReference w:id="2036"/>
      </w:r>
      <w:r>
        <w:rPr>
          <w:rFonts w:ascii="Amiri" w:hAnsi="Amiri" w:eastAsia="Amiri" w:cs="Amiri"/>
          <w:color w:val="111111"/>
          <w:sz w:val="28"/>
          <w:sz w:val="28"/>
          <w:szCs w:val="28"/>
          <w:rtl w:val="true"/>
          <w:lang w:bidi="ar-SA"/>
        </w:rPr>
        <w:t>، أو يتمسك بمركب الإجماع</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2001781_2870459653"/>
      <w:bookmarkStart w:id="632" w:name="_Toc240"/>
      <w:bookmarkEnd w:id="631"/>
      <w:r>
        <w:rPr>
          <w:rtl w:val="true"/>
        </w:rPr>
        <w:t>[</w:t>
      </w:r>
      <w:r>
        <w:rPr>
          <w:rtl w:val="true"/>
        </w:rPr>
        <w:t>المختار في المسألة</w:t>
      </w:r>
      <w:r>
        <w:rPr>
          <w:rtl w:val="true"/>
        </w:rPr>
        <w:t>]</w:t>
      </w:r>
      <w:bookmarkEnd w:id="632"/>
    </w:p>
    <w:p>
      <w:pPr>
        <w:pStyle w:val="BookText"/>
        <w:rPr/>
      </w:pPr>
      <w:r>
        <w:rPr>
          <w:rFonts w:ascii="Amiri" w:hAnsi="Amiri" w:eastAsia="Amiri" w:cs="Amiri"/>
          <w:color w:val="111111"/>
          <w:sz w:val="28"/>
          <w:sz w:val="28"/>
          <w:szCs w:val="28"/>
          <w:rtl w:val="true"/>
          <w:lang w:bidi="ar-SA"/>
        </w:rPr>
        <w:t>والحق ان منفعة الشيء ان كانت واحدة أو متعددة وفيها أظهر عرفاً، فلا إجمال في الآية بالنسبة إلى تلك المنافع، وإن لم يكن فيها أظهر ، أو لم يوجد فيها منفعة ظاهرة، فالإجمال في الآية تثبت الإيجاب الجزئي لا الكلي</w:t>
      </w:r>
      <w:r>
        <w:rPr>
          <w:rFonts w:eastAsia="Amiri" w:cs="Amiri" w:ascii="Amiri" w:hAnsi="Amiri"/>
          <w:color w:val="111111"/>
          <w:sz w:val="28"/>
          <w:szCs w:val="28"/>
          <w:rtl w:val="true"/>
          <w:lang w:bidi="ar-SA"/>
        </w:rPr>
        <w:t>.</w:t>
      </w:r>
    </w:p>
    <w:p>
      <w:pPr>
        <w:pStyle w:val="Heading2"/>
        <w:numPr>
          <w:ilvl w:val="1"/>
          <w:numId w:val="1"/>
        </w:numPr>
        <w:rPr/>
      </w:pPr>
      <w:bookmarkStart w:id="633" w:name="__RefHeading___Toc2001783_2870459653"/>
      <w:bookmarkStart w:id="634" w:name="_Toc241"/>
      <w:bookmarkEnd w:id="633"/>
      <w:r>
        <w:rPr>
          <w:rtl w:val="true"/>
        </w:rPr>
        <w:t xml:space="preserve">أصل </w:t>
      </w:r>
      <w:r>
        <w:rPr>
          <w:rtl w:val="true"/>
        </w:rPr>
        <w:t>[</w:t>
      </w:r>
      <w:r>
        <w:rPr>
          <w:rtl w:val="true"/>
        </w:rPr>
        <w:t>في ذكر مسائل البراءة والاحتياط وفي الشك في التكليف</w:t>
      </w:r>
      <w:r>
        <w:rPr>
          <w:rtl w:val="true"/>
        </w:rPr>
        <w:t>]</w:t>
      </w:r>
      <w:bookmarkEnd w:id="634"/>
    </w:p>
    <w:p>
      <w:pPr>
        <w:pStyle w:val="Heading3"/>
        <w:numPr>
          <w:ilvl w:val="2"/>
          <w:numId w:val="1"/>
        </w:numPr>
        <w:rPr/>
      </w:pPr>
      <w:bookmarkStart w:id="635" w:name="__RefHeading___Toc2001785_2870459653"/>
      <w:bookmarkStart w:id="636" w:name="_Toc242"/>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فاعلم انه إذا شك في أصل التكليف، أو كيفيته، فالأمر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دائر بين الواجب وغير الحرام، أو الحرام وغير الواجب، أو الواجب والحرام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الأول</w:t>
      </w:r>
      <w:r>
        <w:rPr>
          <w:rStyle w:val="FootnoteAnchor"/>
          <w:rtl w:val="true"/>
        </w:rPr>
        <w:footnoteReference w:id="2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ليس علم إجمالي في الواقعة الخاصة المشكوكة بالتكليف، فيكون شكاً في التكليف، أو هنا علم إجمالي به مردد بين المتباينين، لشبهة عرضيّة مرادية كالظهر والجمعة، سواء نشأ الإجمال عن تعارض الأدلة، أو عن إجمال الدليل أو مصداقية كاشتباه جهة القبلة بين الجهات </w:t>
      </w:r>
      <w:r>
        <w:rPr>
          <w:rStyle w:val="FootnoteAnchor"/>
          <w:rtl w:val="true"/>
        </w:rPr>
        <w:footnoteReference w:id="2038"/>
      </w:r>
      <w:r>
        <w:rPr>
          <w:rFonts w:ascii="Amiri" w:hAnsi="Amiri" w:eastAsia="Amiri" w:cs="Amiri"/>
          <w:color w:val="111111"/>
          <w:sz w:val="28"/>
          <w:sz w:val="28"/>
          <w:szCs w:val="28"/>
          <w:rtl w:val="true"/>
          <w:lang w:bidi="ar-SA"/>
        </w:rPr>
        <w:t xml:space="preserve">، والزوجة المنذور وطؤها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الزوجات، أو</w:t>
      </w:r>
      <w:r>
        <w:rPr>
          <w:rStyle w:val="FootnoteAnchor"/>
          <w:rtl w:val="true"/>
        </w:rPr>
        <w:footnoteReference w:id="2039"/>
      </w:r>
      <w:r>
        <w:rPr>
          <w:rFonts w:ascii="Amiri" w:hAnsi="Amiri" w:eastAsia="Amiri" w:cs="Amiri"/>
          <w:color w:val="111111"/>
          <w:sz w:val="28"/>
          <w:sz w:val="28"/>
          <w:szCs w:val="28"/>
          <w:rtl w:val="true"/>
          <w:lang w:bidi="ar-SA"/>
        </w:rPr>
        <w:t>بين الأقل والأكثر استقلالياً أم ارتباطياً، مصداقياً أم مرادياً، نشأ إجمال المراد عن الشك في الحدوث، أو في الحادث، لتعارض الأدلة، أو إجمال اللفظ، فبيان أحكام تلك الأقسام يقع في طيّ أصول</w:t>
      </w:r>
      <w:r>
        <w:rPr>
          <w:rFonts w:eastAsia="Amiri" w:cs="Amiri" w:ascii="Amiri" w:hAnsi="Amiri"/>
          <w:color w:val="111111"/>
          <w:sz w:val="28"/>
          <w:szCs w:val="28"/>
          <w:rtl w:val="true"/>
          <w:lang w:bidi="ar-SA"/>
        </w:rPr>
        <w:t xml:space="preserve">. </w:t>
      </w:r>
      <w:bookmarkStart w:id="637" w:name="pg9015_97696"/>
    </w:p>
    <w:p>
      <w:pPr>
        <w:pStyle w:val="Heading3"/>
        <w:numPr>
          <w:ilvl w:val="2"/>
          <w:numId w:val="1"/>
        </w:numPr>
        <w:rPr/>
      </w:pPr>
      <w:bookmarkStart w:id="638" w:name="__RefHeading___Toc2001787_2870459653"/>
      <w:bookmarkStart w:id="639" w:name="_Toc243"/>
      <w:bookmarkEnd w:id="637"/>
      <w:bookmarkEnd w:id="638"/>
      <w:r>
        <w:rPr>
          <w:rtl w:val="true"/>
        </w:rPr>
        <w:t>[</w:t>
      </w:r>
      <w:r>
        <w:rPr>
          <w:rtl w:val="true"/>
        </w:rPr>
        <w:t>تحرير محل النزاع</w:t>
      </w:r>
      <w:r>
        <w:rPr>
          <w:rtl w:val="true"/>
        </w:rPr>
        <w:t>]</w:t>
      </w:r>
      <w:bookmarkEnd w:id="639"/>
    </w:p>
    <w:p>
      <w:pPr>
        <w:pStyle w:val="BookText"/>
        <w:rPr/>
      </w:pPr>
      <w:r>
        <w:rPr>
          <w:rFonts w:ascii="Amiri" w:hAnsi="Amiri" w:eastAsia="Amiri" w:cs="Amiri"/>
          <w:color w:val="111111"/>
          <w:sz w:val="28"/>
          <w:sz w:val="28"/>
          <w:szCs w:val="28"/>
          <w:rtl w:val="true"/>
          <w:lang w:bidi="ar-SA"/>
        </w:rPr>
        <w:t>ثم اعلم أن المراد من الشك هنا أعم مما تساوى طرفاه، ومن ظنّ</w:t>
      </w:r>
      <w:r>
        <w:rPr>
          <w:rStyle w:val="FootnoteAnchor"/>
          <w:rtl w:val="true"/>
        </w:rPr>
        <w:footnoteReference w:id="2040"/>
      </w:r>
      <w:r>
        <w:rPr>
          <w:rFonts w:ascii="Amiri" w:hAnsi="Amiri" w:eastAsia="Amiri" w:cs="Amiri"/>
          <w:color w:val="111111"/>
          <w:sz w:val="28"/>
          <w:sz w:val="28"/>
          <w:szCs w:val="28"/>
          <w:rtl w:val="true"/>
          <w:lang w:bidi="ar-SA"/>
        </w:rPr>
        <w:t xml:space="preserve">لم يقم عليه دليل، وأن ما فيه نص غير معتبر ولو مثل فتوى فقيه يحتمل استناده إلى النص داخل في نزاع أصل البراءة والاحتياط، وكذا ما لا نص فيه أصلاً، لكن في الشبهة التحريمية لا الوجوبية </w:t>
      </w:r>
      <w:r>
        <w:rPr>
          <w:rStyle w:val="FootnoteAnchor"/>
          <w:rtl w:val="true"/>
        </w:rPr>
        <w:footnoteReference w:id="2041"/>
      </w:r>
      <w:r>
        <w:rPr>
          <w:rFonts w:ascii="Amiri" w:hAnsi="Amiri" w:eastAsia="Amiri" w:cs="Amiri"/>
          <w:color w:val="111111"/>
          <w:sz w:val="28"/>
          <w:sz w:val="28"/>
          <w:szCs w:val="28"/>
          <w:rtl w:val="true"/>
          <w:lang w:bidi="ar-SA"/>
        </w:rPr>
        <w:t xml:space="preserve">إذ القول بالاحتياط الذي هو من أقوال المسألة لا يتصور فيها إذا خلت عن النص؛ لعدم إمكان الاحتياط فيها؛ إذ ما من شيء الا ويحتمل الوجوب، ولو بمجرد الإمكان الذاتي، أو </w:t>
      </w:r>
      <w:r>
        <w:rPr>
          <w:rStyle w:val="FootnoteAnchor"/>
          <w:rtl w:val="true"/>
        </w:rPr>
        <w:footnoteReference w:id="2042"/>
      </w:r>
      <w:r>
        <w:rPr>
          <w:rFonts w:ascii="Amiri" w:hAnsi="Amiri" w:eastAsia="Amiri" w:cs="Amiri"/>
          <w:color w:val="111111"/>
          <w:sz w:val="28"/>
          <w:sz w:val="28"/>
          <w:szCs w:val="28"/>
          <w:rtl w:val="true"/>
          <w:lang w:bidi="ar-SA"/>
        </w:rPr>
        <w:t>إن كل ما يحتمل الوجوب يحتمل الحرمة أيضا؛ فلا يمكن الاحتياط،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تعارض فيه النصان داخل؛ لأن حكمهم في باب التراجيح بالأخذ بموافق الأصل، أو طرحهما</w:t>
      </w:r>
      <w:r>
        <w:rPr>
          <w:rStyle w:val="FootnoteAnchor"/>
          <w:rtl w:val="true"/>
        </w:rPr>
        <w:footnoteReference w:id="2043"/>
      </w:r>
      <w:r>
        <w:rPr>
          <w:rFonts w:ascii="Amiri" w:hAnsi="Amiri" w:eastAsia="Amiri" w:cs="Amiri"/>
          <w:color w:val="111111"/>
          <w:sz w:val="28"/>
          <w:sz w:val="28"/>
          <w:szCs w:val="28"/>
          <w:rtl w:val="true"/>
          <w:lang w:bidi="ar-SA"/>
        </w:rPr>
        <w:t>والرجوع إليه، يقتضي كون هذا الأصل مؤسساً حتى يصير مرجعاً أو مرجحاً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الشبهة التحريمية يمكن جعل النزاع </w:t>
      </w:r>
      <w:r>
        <w:rPr>
          <w:rStyle w:val="FootnoteAnchor"/>
          <w:rtl w:val="true"/>
        </w:rPr>
        <w:footnoteReference w:id="2044"/>
      </w:r>
      <w:r>
        <w:rPr>
          <w:rFonts w:ascii="Amiri" w:hAnsi="Amiri" w:eastAsia="Amiri" w:cs="Amiri"/>
          <w:color w:val="111111"/>
          <w:sz w:val="28"/>
          <w:sz w:val="28"/>
          <w:szCs w:val="28"/>
          <w:rtl w:val="true"/>
          <w:lang w:bidi="ar-SA"/>
        </w:rPr>
        <w:t xml:space="preserve">قبل ورود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 وفي الوجوبية لا يمكن الّا بعده؛ إذ القول بالاحتياط لا يتصوّر فيها قبل ورود الشرع</w:t>
      </w:r>
      <w:r>
        <w:rPr>
          <w:rFonts w:eastAsia="Amiri" w:cs="Amiri" w:ascii="Amiri" w:hAnsi="Amiri"/>
          <w:color w:val="111111"/>
          <w:sz w:val="28"/>
          <w:szCs w:val="28"/>
          <w:rtl w:val="true"/>
          <w:lang w:bidi="ar-SA"/>
        </w:rPr>
        <w:t>)</w:t>
      </w:r>
      <w:r>
        <w:rPr>
          <w:rStyle w:val="FootnoteAnchor"/>
          <w:rtl w:val="true"/>
        </w:rPr>
        <w:footnoteReference w:id="2045"/>
      </w:r>
      <w:r>
        <w:rPr>
          <w:rFonts w:ascii="Amiri" w:hAnsi="Amiri" w:eastAsia="Amiri" w:cs="Amiri"/>
          <w:color w:val="111111"/>
          <w:sz w:val="28"/>
          <w:sz w:val="28"/>
          <w:szCs w:val="28"/>
          <w:rtl w:val="true"/>
          <w:lang w:bidi="ar-SA"/>
        </w:rPr>
        <w:t>للوجهين المذكورين فيما لا نص فيه</w:t>
      </w:r>
      <w:r>
        <w:rPr>
          <w:rFonts w:eastAsia="Amiri" w:cs="Amiri" w:ascii="Amiri" w:hAnsi="Amiri"/>
          <w:color w:val="111111"/>
          <w:sz w:val="28"/>
          <w:szCs w:val="28"/>
          <w:rtl w:val="true"/>
          <w:lang w:bidi="ar-SA"/>
        </w:rPr>
        <w:t>.</w:t>
      </w:r>
      <w:r>
        <w:rPr>
          <w:rStyle w:val="FootnoteAnchor"/>
          <w:rtl w:val="true"/>
        </w:rPr>
        <w:footnoteReference w:id="2046"/>
      </w:r>
      <w:bookmarkStart w:id="640" w:name="pg9015_97697"/>
    </w:p>
    <w:p>
      <w:pPr>
        <w:pStyle w:val="BookText"/>
        <w:rPr/>
      </w:pPr>
      <w:bookmarkEnd w:id="640"/>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بالاحتياط ناشئ عن العلم الإجمالي، فلا يكون</w:t>
      </w:r>
      <w:r>
        <w:rPr>
          <w:rStyle w:val="FootnoteAnchor"/>
          <w:rtl w:val="true"/>
        </w:rPr>
        <w:footnoteReference w:id="2047"/>
      </w:r>
      <w:r>
        <w:rPr>
          <w:rFonts w:ascii="Amiri" w:hAnsi="Amiri" w:eastAsia="Amiri" w:cs="Amiri"/>
          <w:color w:val="111111"/>
          <w:sz w:val="28"/>
          <w:sz w:val="28"/>
          <w:szCs w:val="28"/>
          <w:rtl w:val="true"/>
          <w:lang w:bidi="ar-SA"/>
        </w:rPr>
        <w:t>أيضاً الا بعد الشرع</w:t>
      </w:r>
      <w:r>
        <w:rPr>
          <w:rFonts w:eastAsia="Amiri" w:cs="Amiri" w:ascii="Amiri" w:hAnsi="Amiri"/>
          <w:color w:val="111111"/>
          <w:sz w:val="28"/>
          <w:szCs w:val="28"/>
          <w:rtl w:val="true"/>
          <w:lang w:bidi="ar-SA"/>
        </w:rPr>
        <w:t>.</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دليله أعم من ذلك</w:t>
      </w:r>
      <w:r>
        <w:rPr>
          <w:rFonts w:eastAsia="Amiri" w:cs="Amiri" w:ascii="Amiri" w:hAnsi="Amiri"/>
          <w:color w:val="111111"/>
          <w:sz w:val="28"/>
          <w:szCs w:val="28"/>
          <w:rtl w:val="true"/>
          <w:lang w:bidi="ar-SA"/>
        </w:rPr>
        <w:t>.</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وأقسام الشبهة كلها داخلة في النزاع بشهادة أقوال المسألة فيما سيأتي</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2001789_2870459653"/>
      <w:bookmarkStart w:id="642" w:name="_Toc244"/>
      <w:bookmarkEnd w:id="641"/>
      <w:r>
        <w:rPr>
          <w:rtl w:val="true"/>
        </w:rPr>
        <w:t>[</w:t>
      </w:r>
      <w:r>
        <w:rPr>
          <w:rtl w:val="true"/>
        </w:rPr>
        <w:t>المراد من الأصل</w:t>
      </w:r>
      <w:r>
        <w:rPr>
          <w:rtl w:val="true"/>
        </w:rPr>
        <w:t>]</w:t>
      </w:r>
      <w:bookmarkEnd w:id="642"/>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2050"/>
      </w:r>
      <w:r>
        <w:rPr>
          <w:rFonts w:ascii="Amiri" w:hAnsi="Amiri" w:eastAsia="Amiri" w:cs="Amiri"/>
          <w:color w:val="111111"/>
          <w:sz w:val="28"/>
          <w:sz w:val="28"/>
          <w:szCs w:val="28"/>
          <w:rtl w:val="true"/>
          <w:lang w:bidi="ar-SA"/>
        </w:rPr>
        <w:t xml:space="preserve">ليس المراد بالأصل </w:t>
      </w:r>
      <w:r>
        <w:rPr>
          <w:rStyle w:val="FootnoteAnchor"/>
          <w:rtl w:val="true"/>
        </w:rPr>
        <w:footnoteReference w:id="2051"/>
      </w:r>
      <w:r>
        <w:rPr>
          <w:rFonts w:ascii="Amiri" w:hAnsi="Amiri" w:eastAsia="Amiri" w:cs="Amiri"/>
          <w:color w:val="111111"/>
          <w:sz w:val="28"/>
          <w:sz w:val="28"/>
          <w:szCs w:val="28"/>
          <w:rtl w:val="true"/>
          <w:lang w:bidi="ar-SA"/>
        </w:rPr>
        <w:t>هنا الدليل ؛ لعدم التبادر ، ولأنه لا معنى لقول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البراءة، وإضمار المقتضي هنا بعيد، بل إما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خصصنا النزاع بما تعمّ به البلوى</w:t>
      </w:r>
      <w:r>
        <w:rPr>
          <w:rStyle w:val="FootnoteAnchor"/>
          <w:rtl w:val="true"/>
        </w:rPr>
        <w:footnoteReference w:id="2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بإضمار المقتضي</w:t>
      </w:r>
      <w:r>
        <w:rPr>
          <w:rStyle w:val="FootnoteAnchor"/>
          <w:rtl w:val="true"/>
        </w:rPr>
        <w:footnoteReference w:id="2053"/>
      </w:r>
      <w:r>
        <w:rPr>
          <w:rFonts w:ascii="Amiri" w:hAnsi="Amiri" w:eastAsia="Amiri" w:cs="Amiri"/>
          <w:color w:val="111111"/>
          <w:sz w:val="28"/>
          <w:sz w:val="28"/>
          <w:szCs w:val="28"/>
          <w:rtl w:val="true"/>
          <w:lang w:bidi="ar-SA"/>
        </w:rPr>
        <w:t>كما هو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الاستصحاب، وهو كما ترى</w:t>
      </w:r>
      <w:r>
        <w:rPr>
          <w:rFonts w:eastAsia="Amiri" w:cs="Amiri" w:ascii="Amiri" w:hAnsi="Amiri"/>
          <w:color w:val="111111"/>
          <w:sz w:val="28"/>
          <w:szCs w:val="28"/>
          <w:rtl w:val="true"/>
          <w:lang w:bidi="ar-SA"/>
        </w:rPr>
        <w:t>)</w:t>
      </w:r>
      <w:r>
        <w:rPr>
          <w:rStyle w:val="FootnoteAnchor"/>
          <w:rtl w:val="true"/>
        </w:rPr>
        <w:footnoteReference w:id="2054"/>
      </w:r>
      <w:r>
        <w:rPr>
          <w:rFonts w:ascii="Amiri" w:hAnsi="Amiri" w:eastAsia="Amiri" w:cs="Amiri"/>
          <w:color w:val="111111"/>
          <w:sz w:val="28"/>
          <w:sz w:val="28"/>
          <w:szCs w:val="28"/>
          <w:rtl w:val="true"/>
          <w:lang w:bidi="ar-SA"/>
        </w:rPr>
        <w:t xml:space="preserve">بناء على إجراء استصحاب العدم الذي كان قبل الشرع </w:t>
      </w:r>
      <w:r>
        <w:rPr>
          <w:rStyle w:val="FootnoteAnchor"/>
          <w:rtl w:val="true"/>
        </w:rPr>
        <w:footnoteReference w:id="2055"/>
      </w:r>
      <w:r>
        <w:rPr>
          <w:rFonts w:ascii="Amiri" w:hAnsi="Amiri" w:eastAsia="Amiri" w:cs="Amiri"/>
          <w:color w:val="111111"/>
          <w:sz w:val="28"/>
          <w:sz w:val="28"/>
          <w:szCs w:val="28"/>
          <w:rtl w:val="true"/>
          <w:lang w:bidi="ar-SA"/>
        </w:rPr>
        <w:t xml:space="preserve">تكليفاً على بعد؛ للعلم بالجعل </w:t>
      </w:r>
      <w:r>
        <w:rPr>
          <w:rStyle w:val="FootnoteAnchor"/>
          <w:rtl w:val="true"/>
        </w:rPr>
        <w:footnoteReference w:id="2056"/>
      </w:r>
      <w:r>
        <w:rPr>
          <w:rFonts w:ascii="IRNazanin" w:hAnsi="IRNazanin" w:eastAsia="IRNazanin"/>
          <w:color w:val="111111"/>
          <w:sz w:val="28"/>
          <w:sz w:val="28"/>
          <w:szCs w:val="28"/>
          <w:rtl w:val="true"/>
          <w:lang w:bidi="fa-IR"/>
        </w:rPr>
        <w:t>بعد الشرع، أو وضعاً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استصحاب البراءة الحاصلة حالة الصغر، أو الجنون، أو حالة علم فيها </w:t>
      </w:r>
      <w:bookmarkStart w:id="643" w:name="pg9015_97698"/>
    </w:p>
    <w:p>
      <w:pPr>
        <w:pStyle w:val="BookText"/>
        <w:rPr/>
      </w:pPr>
      <w:bookmarkEnd w:id="643"/>
      <w:r>
        <w:rPr>
          <w:rFonts w:ascii="IRNazanin" w:hAnsi="IRNazanin" w:eastAsia="IRNazanin"/>
          <w:color w:val="111111"/>
          <w:sz w:val="28"/>
          <w:sz w:val="28"/>
          <w:szCs w:val="28"/>
          <w:rtl w:val="true"/>
          <w:lang w:bidi="fa-IR"/>
        </w:rPr>
        <w:t xml:space="preserve">بعدم </w:t>
      </w:r>
      <w:r>
        <w:rPr>
          <w:rStyle w:val="FootnoteAnchor"/>
          <w:rtl w:val="true"/>
        </w:rPr>
        <w:footnoteReference w:id="2057"/>
      </w:r>
      <w:r>
        <w:rPr>
          <w:rFonts w:ascii="Amiri" w:hAnsi="Amiri" w:eastAsia="Amiri" w:cs="Amiri"/>
          <w:color w:val="111111"/>
          <w:sz w:val="28"/>
          <w:sz w:val="28"/>
          <w:szCs w:val="28"/>
          <w:rtl w:val="true"/>
          <w:lang w:bidi="ar-SA"/>
        </w:rPr>
        <w:t xml:space="preserve">الشغل كالبراءة عن الدعاء قبل رؤية الهلال، وعن المهر قبل النكاح، والصلاة قبل الزوال </w:t>
      </w:r>
      <w:r>
        <w:rPr>
          <w:rStyle w:val="FootnoteAnchor"/>
          <w:rtl w:val="true"/>
        </w:rPr>
        <w:footnoteReference w:id="2058"/>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أصل البراءة في الجملة ،إجماعية وحجية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خلافية،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w:t>
      </w:r>
      <w:r>
        <w:rPr>
          <w:rFonts w:eastAsia="Amiri" w:cs="Amiri" w:ascii="Amiri" w:hAnsi="Amiri"/>
          <w:color w:val="111111"/>
          <w:sz w:val="28"/>
          <w:szCs w:val="28"/>
          <w:rtl w:val="true"/>
          <w:lang w:bidi="ar-SA"/>
        </w:rPr>
        <w:t xml:space="preserve">) </w:t>
      </w:r>
      <w:r>
        <w:rPr>
          <w:rStyle w:val="FootnoteAnchor"/>
          <w:rtl w:val="true"/>
        </w:rPr>
        <w:footnoteReference w:id="2059"/>
      </w:r>
      <w:r>
        <w:rPr>
          <w:rFonts w:ascii="Amiri" w:hAnsi="Amiri" w:eastAsia="Amiri" w:cs="Amiri"/>
          <w:color w:val="111111"/>
          <w:sz w:val="28"/>
          <w:sz w:val="28"/>
          <w:szCs w:val="28"/>
          <w:rtl w:val="true"/>
          <w:lang w:bidi="ar-SA"/>
        </w:rPr>
        <w:t>العدمي إجماعي أيضاً، وأنهم يتمسكون بأصل البراءة في الشك في الحادث</w:t>
      </w:r>
      <w:r>
        <w:rPr>
          <w:rStyle w:val="FootnoteAnchor"/>
          <w:rtl w:val="true"/>
        </w:rPr>
        <w:footnoteReference w:id="2060"/>
      </w:r>
      <w:r>
        <w:rPr>
          <w:rFonts w:ascii="Amiri" w:hAnsi="Amiri" w:eastAsia="Amiri" w:cs="Amiri"/>
          <w:color w:val="111111"/>
          <w:sz w:val="28"/>
          <w:sz w:val="28"/>
          <w:szCs w:val="28"/>
          <w:rtl w:val="true"/>
          <w:lang w:bidi="ar-SA"/>
        </w:rPr>
        <w:t>أيضاً، ولا يجري فيه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r>
        <w:rPr>
          <w:rStyle w:val="FootnoteAnchor"/>
          <w:rtl w:val="true"/>
        </w:rPr>
        <w:footnoteReference w:id="2061"/>
      </w:r>
      <w:r>
        <w:rPr>
          <w:rFonts w:ascii="Amiri" w:hAnsi="Amiri" w:eastAsia="Amiri" w:cs="Amiri"/>
          <w:color w:val="111111"/>
          <w:sz w:val="28"/>
          <w:sz w:val="28"/>
          <w:szCs w:val="28"/>
          <w:rtl w:val="true"/>
          <w:lang w:bidi="ar-SA"/>
        </w:rPr>
        <w:t>القاعدة المستفادة من الشرع باضمار المقتضي أيضا</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2001791_2870459653"/>
      <w:bookmarkStart w:id="645" w:name="_Toc245"/>
      <w:bookmarkEnd w:id="644"/>
      <w:r>
        <w:rPr>
          <w:rtl w:val="true"/>
        </w:rPr>
        <w:t>[</w:t>
      </w:r>
      <w:r>
        <w:rPr>
          <w:rtl w:val="true"/>
        </w:rPr>
        <w:t>الأصل الجاري في المسألة</w:t>
      </w:r>
      <w:r>
        <w:rPr>
          <w:rtl w:val="true"/>
        </w:rPr>
        <w:t>]</w:t>
      </w:r>
      <w:bookmarkEnd w:id="645"/>
    </w:p>
    <w:p>
      <w:pPr>
        <w:pStyle w:val="BookText"/>
        <w:rPr/>
      </w:pPr>
      <w:r>
        <w:rPr>
          <w:rFonts w:ascii="Amiri" w:hAnsi="Amiri" w:eastAsia="Amiri" w:cs="Amiri"/>
          <w:color w:val="111111"/>
          <w:sz w:val="28"/>
          <w:sz w:val="28"/>
          <w:szCs w:val="28"/>
          <w:rtl w:val="true"/>
          <w:lang w:bidi="ar-SA"/>
        </w:rPr>
        <w:t>ثم إنّ الأصل الأصيل هنا هو الاحتياط؛ دفعا للضرر المحتمل، مضافاً إلى الاشتغال، واستصحاب الأمر فيما علم بالتكليف إجمالاً</w:t>
      </w:r>
      <w:r>
        <w:rPr>
          <w:rFonts w:eastAsia="Amiri" w:cs="Amiri" w:ascii="Amiri" w:hAnsi="Amiri"/>
          <w:color w:val="111111"/>
          <w:sz w:val="28"/>
          <w:szCs w:val="28"/>
          <w:rtl w:val="true"/>
          <w:lang w:bidi="ar-SA"/>
        </w:rPr>
        <w:t>.</w:t>
      </w:r>
      <w:r>
        <w:rPr>
          <w:rStyle w:val="FootnoteAnchor"/>
          <w:rtl w:val="true"/>
        </w:rPr>
        <w:footnoteReference w:id="206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ظهر ذلك فلنشرع في أحكام الأقسام</w:t>
      </w:r>
      <w:r>
        <w:rPr>
          <w:rFonts w:eastAsia="Amiri" w:cs="Amiri" w:ascii="Amiri" w:hAnsi="Amiri"/>
          <w:color w:val="111111"/>
          <w:sz w:val="28"/>
          <w:szCs w:val="28"/>
          <w:rtl w:val="true"/>
          <w:lang w:bidi="ar-SA"/>
        </w:rPr>
        <w:t xml:space="preserve">: </w:t>
      </w:r>
      <w:bookmarkStart w:id="646" w:name="pg9015_97699"/>
    </w:p>
    <w:p>
      <w:pPr>
        <w:pStyle w:val="Heading2"/>
        <w:numPr>
          <w:ilvl w:val="1"/>
          <w:numId w:val="1"/>
        </w:numPr>
        <w:rPr/>
      </w:pPr>
      <w:bookmarkStart w:id="647" w:name="__RefHeading___Toc2001793_2870459653"/>
      <w:bookmarkStart w:id="648" w:name="_Toc246"/>
      <w:bookmarkEnd w:id="646"/>
      <w:bookmarkEnd w:id="647"/>
      <w:r>
        <w:rPr>
          <w:rtl w:val="true"/>
        </w:rPr>
        <w:t xml:space="preserve">أصل </w:t>
      </w:r>
      <w:r>
        <w:rPr>
          <w:rtl w:val="true"/>
        </w:rPr>
        <w:t>[</w:t>
      </w:r>
      <w:r>
        <w:rPr>
          <w:rtl w:val="true"/>
        </w:rPr>
        <w:t>في دوران الأمر بين الوجوب والإباحة الخاصة</w:t>
      </w:r>
      <w:r>
        <w:rPr>
          <w:rtl w:val="true"/>
        </w:rPr>
        <w:t>]</w:t>
      </w:r>
      <w:bookmarkEnd w:id="648"/>
    </w:p>
    <w:p>
      <w:pPr>
        <w:pStyle w:val="Heading3"/>
        <w:numPr>
          <w:ilvl w:val="2"/>
          <w:numId w:val="1"/>
        </w:numPr>
        <w:rPr/>
      </w:pPr>
      <w:bookmarkStart w:id="649" w:name="__RefHeading___Toc2001795_2870459653"/>
      <w:bookmarkStart w:id="650" w:name="_Toc247"/>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إذا دار الأمر بين الوجوب والإباحة الخاصة فعن بعض الإخباريين</w:t>
      </w:r>
      <w:r>
        <w:rPr>
          <w:rStyle w:val="FootnoteAnchor"/>
          <w:rtl w:val="true"/>
        </w:rPr>
        <w:footnoteReference w:id="2063"/>
      </w:r>
      <w:r>
        <w:rPr>
          <w:rFonts w:ascii="Amiri" w:hAnsi="Amiri" w:eastAsia="Amiri" w:cs="Amiri"/>
          <w:color w:val="111111"/>
          <w:sz w:val="28"/>
          <w:sz w:val="28"/>
          <w:szCs w:val="28"/>
          <w:rtl w:val="true"/>
          <w:lang w:bidi="ar-SA"/>
        </w:rPr>
        <w:t xml:space="preserve">الاحتياط؛ لقلة </w:t>
      </w:r>
      <w:r>
        <w:rPr>
          <w:rStyle w:val="FootnoteAnchor"/>
          <w:rtl w:val="true"/>
        </w:rPr>
        <w:footnoteReference w:id="2064"/>
      </w:r>
      <w:r>
        <w:rPr>
          <w:rFonts w:ascii="Amiri" w:hAnsi="Amiri" w:eastAsia="Amiri" w:cs="Amiri"/>
          <w:color w:val="111111"/>
          <w:sz w:val="28"/>
          <w:sz w:val="28"/>
          <w:szCs w:val="28"/>
          <w:rtl w:val="true"/>
          <w:lang w:bidi="ar-SA"/>
        </w:rPr>
        <w:t>الشبهات عنده ، والمعظم على البراءة، والمحقق على التفصيل بين ما يعم به البلوى فالبراءة وما لا يعمّ فالاحتياط</w:t>
      </w:r>
      <w:r>
        <w:rPr>
          <w:rStyle w:val="FootnoteAnchor"/>
          <w:rtl w:val="true"/>
        </w:rPr>
        <w:footnoteReference w:id="2065"/>
      </w:r>
      <w:r>
        <w:rPr>
          <w:rFonts w:ascii="IRNazanin" w:hAnsi="IRNazanin" w:eastAsia="IRNazanin"/>
          <w:color w:val="111111"/>
          <w:sz w:val="28"/>
          <w:sz w:val="28"/>
          <w:szCs w:val="28"/>
          <w:rtl w:val="true"/>
          <w:lang w:bidi="fa-IR"/>
        </w:rPr>
        <w:t>، والأوسط أوسط</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الإجماع والإجماع المنقول</w:t>
      </w:r>
      <w:r>
        <w:rPr>
          <w:rStyle w:val="FootnoteAnchor"/>
          <w:rtl w:val="true"/>
        </w:rPr>
        <w:footnoteReference w:id="2066"/>
      </w:r>
      <w:r>
        <w:rPr>
          <w:rFonts w:ascii="Amiri" w:hAnsi="Amiri" w:eastAsia="Amiri" w:cs="Amiri"/>
          <w:color w:val="111111"/>
          <w:sz w:val="28"/>
          <w:sz w:val="28"/>
          <w:szCs w:val="28"/>
          <w:rtl w:val="true"/>
          <w:lang w:bidi="ar-SA"/>
        </w:rPr>
        <w:t xml:space="preserve">، واستصحاب البراءة الثابتة قبل الشك في التكليف، ويتم فيما إذا كان الشك في الحادث بالإجماع المركب، ولا يمكن قلبه بضميمة أصالة الاحتياط؛ إذ الاستصحاب أقوى </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الأمر في الباقي بالإجماع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عكس ذلك بأن يتمسك بأصالة الاحتياط فيما لا يجري فيه الاستصحاب، ويتم الأمر في غيره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ضميمة إجماعنا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ضميمة إجماعك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الأصل الأولي</w:t>
      </w:r>
    </w:p>
    <w:p>
      <w:pPr>
        <w:pStyle w:val="BookText"/>
        <w:rPr/>
      </w:pPr>
      <w:r>
        <w:rPr>
          <w:rFonts w:ascii="Amiri" w:hAnsi="Amiri" w:eastAsia="Amiri" w:cs="Amiri"/>
          <w:color w:val="111111"/>
          <w:sz w:val="28"/>
          <w:sz w:val="28"/>
          <w:szCs w:val="28"/>
          <w:rtl w:val="true"/>
          <w:lang w:bidi="ar-SA"/>
        </w:rPr>
        <w:t>، مضافاً إلى أن المشكوك فيه مما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يرد فيه بيان بحكم الأصل، وكل ما كان كذلك لم يصح التكليف فيه؛ للقبح العقلي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والقدح في جريان الأصل في الصغرى، بأن لكل واقعة حكماً مبيناً؛ للنصوص، </w:t>
      </w:r>
    </w:p>
    <w:p>
      <w:pPr>
        <w:pStyle w:val="BookText"/>
        <w:rPr/>
      </w:pPr>
      <w:r>
        <w:rPr>
          <w:rFonts w:ascii="Amiri" w:hAnsi="Amiri" w:eastAsia="Amiri" w:cs="Amiri"/>
          <w:color w:val="111111"/>
          <w:sz w:val="28"/>
          <w:sz w:val="28"/>
          <w:szCs w:val="28"/>
          <w:rtl w:val="true"/>
          <w:lang w:bidi="ar-SA"/>
        </w:rPr>
        <w:t>وبأنه قد يصير الشك في الحادث</w:t>
      </w:r>
      <w:r>
        <w:rPr>
          <w:rFonts w:eastAsia="Amiri" w:cs="Amiri" w:ascii="Amiri" w:hAnsi="Amiri"/>
          <w:color w:val="111111"/>
          <w:sz w:val="28"/>
          <w:szCs w:val="28"/>
          <w:rtl w:val="true"/>
          <w:lang w:bidi="ar-SA"/>
        </w:rPr>
        <w:t>.</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البيان يمكن أن يكون بطريق العموم، فالشك في الاندراج، وانه يتم فيما إذا شك في الحادث بالإجماع المركب، ولا يمكن قلبه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بناء كلّ أهل العقول آمراً ومأموراً</w:t>
      </w:r>
      <w:r>
        <w:rPr>
          <w:rStyle w:val="FootnoteAnchor"/>
          <w:rtl w:val="true"/>
        </w:rPr>
        <w:footnoteReference w:id="2069"/>
      </w:r>
      <w:r>
        <w:rPr>
          <w:rFonts w:ascii="IRNazanin" w:hAnsi="IRNazanin" w:eastAsia="IRNazanin"/>
          <w:color w:val="111111"/>
          <w:sz w:val="28"/>
          <w:sz w:val="28"/>
          <w:szCs w:val="28"/>
          <w:rtl w:val="true"/>
          <w:lang w:bidi="fa-IR"/>
        </w:rPr>
        <w:t>، و</w:t>
      </w:r>
      <w:r>
        <w:rPr>
          <w:rStyle w:val="FootnoteAnchor"/>
          <w:rtl w:val="true"/>
        </w:rPr>
        <w:footnoteReference w:id="2070"/>
      </w:r>
      <w:r>
        <w:rPr>
          <w:rFonts w:ascii="IRNazanin" w:hAnsi="IRNazanin" w:eastAsia="IRNazanin"/>
          <w:color w:val="111111"/>
          <w:sz w:val="28"/>
          <w:sz w:val="28"/>
          <w:szCs w:val="28"/>
          <w:rtl w:val="true"/>
          <w:lang w:bidi="fa-IR"/>
        </w:rPr>
        <w:t>إلى الاستقراء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تقريره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بدعوى غلبة المباح، أو بأنّ غالب الأفعال مما رخص في فعله وتركه، فيثبت الجنس بذلك، والفصل الخصوص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بأن غير الواجب أكثر من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الأخير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أن الاحتياط لو وجب في هذا القسم</w:t>
      </w:r>
      <w:r>
        <w:rPr>
          <w:rStyle w:val="FootnoteAnchor"/>
          <w:rtl w:val="true"/>
        </w:rPr>
        <w:footnoteReference w:id="2071"/>
      </w:r>
      <w:r>
        <w:rPr>
          <w:rFonts w:ascii="Amiri" w:hAnsi="Amiri" w:eastAsia="Amiri" w:cs="Amiri"/>
          <w:color w:val="111111"/>
          <w:sz w:val="28"/>
          <w:sz w:val="28"/>
          <w:szCs w:val="28"/>
          <w:rtl w:val="true"/>
          <w:lang w:bidi="ar-SA"/>
        </w:rPr>
        <w:t>من الشك الوجوبي، لوجب</w:t>
      </w:r>
      <w:r>
        <w:rPr>
          <w:rStyle w:val="FootnoteAnchor"/>
          <w:rtl w:val="true"/>
        </w:rPr>
        <w:footnoteReference w:id="2072"/>
      </w:r>
      <w:r>
        <w:rPr>
          <w:rFonts w:ascii="Amiri" w:hAnsi="Amiri" w:eastAsia="Amiri" w:cs="Amiri"/>
          <w:color w:val="111111"/>
          <w:sz w:val="28"/>
          <w:sz w:val="28"/>
          <w:szCs w:val="28"/>
          <w:rtl w:val="true"/>
          <w:lang w:bidi="ar-SA"/>
        </w:rPr>
        <w:t>في كل أقسامه بالأولوية، وهو عسر</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للخصم دعوى قلة الشبهات</w:t>
      </w:r>
      <w:r>
        <w:rPr>
          <w:rFonts w:eastAsia="Amiri" w:cs="Amiri" w:ascii="Amiri" w:hAnsi="Amiri"/>
          <w:color w:val="111111"/>
          <w:sz w:val="28"/>
          <w:szCs w:val="28"/>
          <w:rtl w:val="true"/>
          <w:lang w:bidi="ar-SA"/>
        </w:rPr>
        <w:t>.</w:t>
      </w:r>
      <w:r>
        <w:rPr>
          <w:rStyle w:val="FootnoteAnchor"/>
          <w:rtl w:val="true"/>
        </w:rPr>
        <w:footnoteReference w:id="207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أن تارك المشكوك فيه إن لم يكن معاقباً فالمطلوب ثابت، وإن كان معاقباً علمه به فهو على ترك الواجب النفس الأمري مع عدم علمه به فهو سفه، أو خلاف الفرض، أو على ترك الاحتياط الغير المعلوم وجوبه للعبد ،فسفه، أو المعلوم </w:t>
      </w:r>
    </w:p>
    <w:p>
      <w:pPr>
        <w:pStyle w:val="BookText"/>
        <w:rPr/>
      </w:pPr>
      <w:r>
        <w:rPr>
          <w:rFonts w:ascii="Amiri" w:hAnsi="Amiri" w:eastAsia="Amiri" w:cs="Amiri"/>
          <w:color w:val="111111"/>
          <w:sz w:val="28"/>
          <w:sz w:val="28"/>
          <w:szCs w:val="28"/>
          <w:rtl w:val="true"/>
          <w:lang w:bidi="ar-SA"/>
        </w:rPr>
        <w:t>وجوبه ، فالمفروض أن لا دليل عليه ؛ لفساد الأدلة الآتية، أو على ترك الضرر المحتمل، فلا يحتمل الضرر بعد بطلان الاحتمالات الأربعة،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2074"/>
      </w:r>
      <w:r>
        <w:rPr>
          <w:rFonts w:ascii="Amiri" w:hAnsi="Amiri" w:eastAsia="Amiri" w:cs="Amiri"/>
          <w:color w:val="111111"/>
          <w:sz w:val="28"/>
          <w:sz w:val="28"/>
          <w:szCs w:val="28"/>
          <w:rtl w:val="true"/>
          <w:lang w:bidi="ar-SA"/>
        </w:rPr>
        <w:t>، فإن جعلنا الرسول هو الذات بوصف التبليغ فالدلالة بالمطابقة، والا فبالالتزام، ولو قلنا المراد عذاب العاجل</w:t>
      </w:r>
      <w:r>
        <w:rPr>
          <w:rStyle w:val="FootnoteAnchor"/>
          <w:rtl w:val="true"/>
        </w:rPr>
        <w:footnoteReference w:id="2075"/>
      </w:r>
      <w:r>
        <w:rPr>
          <w:rFonts w:ascii="Amiri" w:hAnsi="Amiri" w:eastAsia="Amiri" w:cs="Amiri"/>
          <w:color w:val="111111"/>
          <w:sz w:val="28"/>
          <w:sz w:val="28"/>
          <w:szCs w:val="28"/>
          <w:rtl w:val="true"/>
          <w:lang w:bidi="ar-SA"/>
        </w:rPr>
        <w:t>خرجت عن الدلالة</w:t>
      </w:r>
      <w:r>
        <w:rPr>
          <w:rStyle w:val="FootnoteAnchor"/>
          <w:rtl w:val="true"/>
        </w:rPr>
        <w:footnoteReference w:id="2076"/>
      </w:r>
      <w:r>
        <w:rPr>
          <w:rFonts w:ascii="Amiri" w:hAnsi="Amiri" w:eastAsia="Amiri" w:cs="Amiri"/>
          <w:color w:val="111111"/>
          <w:sz w:val="28"/>
          <w:sz w:val="28"/>
          <w:szCs w:val="28"/>
          <w:rtl w:val="true"/>
          <w:lang w:bidi="ar-SA"/>
        </w:rPr>
        <w:t>، إلا أن يكون إلزاماً على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بَيَّنَةٍ</w:t>
      </w:r>
      <w:r>
        <w:rPr>
          <w:rFonts w:eastAsia="Amiri" w:cs="Amiri" w:ascii="Amiri" w:hAnsi="Amiri"/>
          <w:color w:val="111111"/>
          <w:sz w:val="28"/>
          <w:szCs w:val="28"/>
          <w:rtl w:val="true"/>
          <w:lang w:bidi="ar-SA"/>
        </w:rPr>
        <w:t>»</w:t>
      </w:r>
      <w:r>
        <w:rPr>
          <w:rStyle w:val="FootnoteAnchor"/>
          <w:rtl w:val="true"/>
        </w:rPr>
        <w:footnoteReference w:id="2077"/>
      </w:r>
      <w:r>
        <w:rPr>
          <w:rFonts w:ascii="Amiri" w:hAnsi="Amiri" w:eastAsia="Amiri" w:cs="Amiri"/>
          <w:color w:val="111111"/>
          <w:sz w:val="28"/>
          <w:sz w:val="28"/>
          <w:szCs w:val="28"/>
          <w:rtl w:val="true"/>
          <w:lang w:bidi="ar-SA"/>
        </w:rPr>
        <w:t>والدلالة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بالمنطوق؛ لعموم الآية حذراً من الكذب، أو بالمفهوم</w:t>
      </w:r>
      <w:r>
        <w:rPr>
          <w:rFonts w:eastAsia="Amiri" w:cs="Amiri" w:ascii="Amiri" w:hAnsi="Amiri"/>
          <w:color w:val="111111"/>
          <w:sz w:val="28"/>
          <w:szCs w:val="28"/>
          <w:rtl w:val="true"/>
          <w:lang w:bidi="ar-SA"/>
        </w:rPr>
        <w:t>.</w:t>
      </w:r>
      <w:r>
        <w:rPr>
          <w:rStyle w:val="FootnoteAnchor"/>
          <w:rtl w:val="true"/>
        </w:rPr>
        <w:footnoteReference w:id="2078"/>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منطوق الآية يثبت المطلوب؛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مفيدة للعموم وإن لم يكن واقعة موقع الشرط ومتعقبة بالفاء، فهي في المقام مفيدة للعموم، فالمعنى أن كلّ من هلك هلك عن بينة،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الشخص لم يصل إليه بينة فلا يكون هالكاً؛ لمنطوق الآية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 البينة أعم من مثل حكم العقل بالأصل الأولي سقطت الدلالة</w:t>
      </w:r>
      <w:r>
        <w:rPr>
          <w:rFonts w:eastAsia="Amiri" w:cs="Amiri" w:ascii="Amiri" w:hAnsi="Amiri"/>
          <w:color w:val="111111"/>
          <w:sz w:val="28"/>
          <w:szCs w:val="28"/>
          <w:rtl w:val="true"/>
          <w:lang w:bidi="ar-SA"/>
        </w:rPr>
        <w:t>.</w:t>
      </w:r>
      <w:r>
        <w:rPr>
          <w:rStyle w:val="FootnoteAnchor"/>
          <w:rtl w:val="true"/>
        </w:rPr>
        <w:footnoteReference w:id="207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2080"/>
      </w:r>
      <w:r>
        <w:rPr>
          <w:rFonts w:ascii="Amiri" w:hAnsi="Amiri" w:eastAsia="Amiri" w:cs="Amiri"/>
          <w:color w:val="111111"/>
          <w:sz w:val="28"/>
          <w:sz w:val="28"/>
          <w:szCs w:val="28"/>
          <w:rtl w:val="true"/>
          <w:lang w:bidi="ar-SA"/>
        </w:rPr>
        <w:t>بضميمة أن العقلاء لا يحتمل عندهم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208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أقدرها </w:t>
      </w:r>
      <w:r>
        <w:rPr>
          <w:rStyle w:val="FootnoteAnchor"/>
          <w:rtl w:val="true"/>
        </w:rPr>
        <w:footnoteReference w:id="2082"/>
      </w:r>
      <w:r>
        <w:rPr>
          <w:rFonts w:ascii="IRNazanin" w:hAnsi="IRNazanin" w:eastAsia="IRNazanin"/>
          <w:color w:val="111111"/>
          <w:sz w:val="28"/>
          <w:sz w:val="28"/>
          <w:szCs w:val="28"/>
          <w:rtl w:val="true"/>
          <w:lang w:bidi="fa-IR"/>
        </w:rPr>
        <w:t>أو أعلمها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صلى وإلى النصوص منها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تعالى علمه عن العباد فهو موضوع عنهم</w:t>
      </w:r>
      <w:r>
        <w:rPr>
          <w:rFonts w:eastAsia="IRNazanin" w:cs="IRNazanin"/>
          <w:color w:val="111111"/>
          <w:sz w:val="28"/>
          <w:szCs w:val="28"/>
          <w:rtl w:val="true"/>
          <w:lang w:bidi="fa-IR"/>
        </w:rPr>
        <w:t>».</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ضعيفة، وإنها واحد</w:t>
      </w:r>
      <w:r>
        <w:rPr>
          <w:rStyle w:val="FootnoteAnchor"/>
          <w:rtl w:val="true"/>
        </w:rPr>
        <w:footnoteReference w:id="2084"/>
      </w:r>
      <w:r>
        <w:rPr>
          <w:rFonts w:ascii="Amiri" w:hAnsi="Amiri" w:eastAsia="Amiri" w:cs="Amiri"/>
          <w:color w:val="111111"/>
          <w:sz w:val="28"/>
          <w:sz w:val="28"/>
          <w:szCs w:val="28"/>
          <w:rtl w:val="true"/>
          <w:lang w:bidi="ar-SA"/>
        </w:rPr>
        <w:t xml:space="preserve">، والمسألة أصولية </w:t>
      </w:r>
      <w:r>
        <w:rPr>
          <w:rStyle w:val="FootnoteAnchor"/>
          <w:rtl w:val="true"/>
        </w:rPr>
        <w:footnoteReference w:id="2085"/>
      </w:r>
      <w:r>
        <w:rPr>
          <w:rFonts w:ascii="Amiri" w:hAnsi="Amiri" w:eastAsia="Amiri" w:cs="Amiri"/>
          <w:color w:val="111111"/>
          <w:sz w:val="28"/>
          <w:sz w:val="28"/>
          <w:szCs w:val="28"/>
          <w:rtl w:val="true"/>
          <w:lang w:bidi="ar-SA"/>
        </w:rPr>
        <w:t>، وإن العباد في الشرط جمع محلّى باللام يفيد العموم</w:t>
      </w:r>
      <w:r>
        <w:rPr>
          <w:rStyle w:val="FootnoteAnchor"/>
          <w:rtl w:val="true"/>
        </w:rPr>
        <w:footnoteReference w:id="2086"/>
      </w:r>
      <w:r>
        <w:rPr>
          <w:rFonts w:ascii="Amiri" w:hAnsi="Amiri" w:eastAsia="Amiri" w:cs="Amiri"/>
          <w:color w:val="111111"/>
          <w:sz w:val="28"/>
          <w:sz w:val="28"/>
          <w:szCs w:val="28"/>
          <w:rtl w:val="true"/>
          <w:lang w:bidi="ar-SA"/>
        </w:rPr>
        <w:t xml:space="preserve">، فلا يترتب الجزاء </w:t>
      </w:r>
      <w:r>
        <w:rPr>
          <w:rStyle w:val="FootnoteAnchor"/>
          <w:rtl w:val="true"/>
        </w:rPr>
        <w:footnoteReference w:id="2087"/>
      </w:r>
      <w:r>
        <w:rPr>
          <w:rFonts w:ascii="Amiri" w:hAnsi="Amiri" w:eastAsia="Amiri" w:cs="Amiri"/>
          <w:color w:val="111111"/>
          <w:sz w:val="28"/>
          <w:sz w:val="28"/>
          <w:szCs w:val="28"/>
          <w:rtl w:val="true"/>
          <w:lang w:bidi="ar-SA"/>
        </w:rPr>
        <w:t xml:space="preserve">الا مع جهل كل العباد </w:t>
      </w:r>
      <w:r>
        <w:rPr>
          <w:rStyle w:val="FootnoteAnchor"/>
          <w:rtl w:val="true"/>
        </w:rPr>
        <w:footnoteReference w:id="2088"/>
      </w:r>
      <w:r>
        <w:rPr>
          <w:rFonts w:ascii="Amiri" w:hAnsi="Amiri" w:eastAsia="Amiri" w:cs="Amiri"/>
          <w:color w:val="111111"/>
          <w:sz w:val="28"/>
          <w:sz w:val="28"/>
          <w:szCs w:val="28"/>
          <w:rtl w:val="true"/>
          <w:lang w:bidi="ar-SA"/>
        </w:rPr>
        <w:t>، وان المشكوك فيه يحتمل أن لا يكون مما حجبه الله عن العباد، بورود بيان لم يصل</w:t>
      </w:r>
      <w:r>
        <w:rPr>
          <w:rStyle w:val="FootnoteAnchor"/>
          <w:rtl w:val="true"/>
        </w:rPr>
        <w:footnoteReference w:id="2089"/>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الضعف منجبر بالعمل، وإن الضعف لا الضعف لا يقدح بعد ضمّ النصوص بعضها إلى بعض، وحصول القطع من المجموع فيتم وإن كانت المسألة أصولية، مع أنها فرعية، وأن الجزاء متضمن للضمير الراجع إلى العام</w:t>
      </w:r>
      <w:r>
        <w:rPr>
          <w:rStyle w:val="FootnoteAnchor"/>
          <w:rtl w:val="true"/>
        </w:rPr>
        <w:footnoteReference w:id="2090"/>
      </w:r>
      <w:r>
        <w:rPr>
          <w:rFonts w:ascii="Amiri" w:hAnsi="Amiri" w:eastAsia="Amiri" w:cs="Amiri"/>
          <w:color w:val="111111"/>
          <w:sz w:val="28"/>
          <w:sz w:val="28"/>
          <w:szCs w:val="28"/>
          <w:rtl w:val="true"/>
          <w:lang w:bidi="ar-SA"/>
        </w:rPr>
        <w:t xml:space="preserve">، فيقتضي التوزيع </w:t>
      </w:r>
      <w:r>
        <w:rPr>
          <w:rStyle w:val="FootnoteAnchor"/>
          <w:rtl w:val="true"/>
        </w:rPr>
        <w:footnoteReference w:id="2091"/>
      </w:r>
      <w:r>
        <w:rPr>
          <w:rFonts w:ascii="Amiri" w:hAnsi="Amiri" w:eastAsia="Amiri" w:cs="Amiri"/>
          <w:color w:val="111111"/>
          <w:sz w:val="28"/>
          <w:sz w:val="28"/>
          <w:szCs w:val="28"/>
          <w:rtl w:val="true"/>
          <w:lang w:bidi="ar-SA"/>
        </w:rPr>
        <w:t xml:space="preserve">، بل العرف يفهم إرادة جنس المفرد </w:t>
      </w:r>
      <w:r>
        <w:rPr>
          <w:rStyle w:val="FootnoteAnchor"/>
          <w:rtl w:val="true"/>
        </w:rPr>
        <w:footnoteReference w:id="2092"/>
      </w:r>
      <w:r>
        <w:rPr>
          <w:rFonts w:ascii="Amiri" w:hAnsi="Amiri" w:eastAsia="Amiri" w:cs="Amiri"/>
          <w:color w:val="111111"/>
          <w:sz w:val="28"/>
          <w:sz w:val="28"/>
          <w:szCs w:val="28"/>
          <w:rtl w:val="true"/>
          <w:lang w:bidi="ar-SA"/>
        </w:rPr>
        <w:t xml:space="preserve">، بل لا فائدة في النص إن أريد المعنى الذي ذكرت </w:t>
      </w:r>
    </w:p>
    <w:p>
      <w:pPr>
        <w:pStyle w:val="BookText"/>
        <w:rPr/>
      </w:pPr>
      <w:r>
        <w:rPr>
          <w:rFonts w:ascii="IRNazanin" w:hAnsi="IRNazanin" w:eastAsia="IRNazanin"/>
          <w:color w:val="111111"/>
          <w:sz w:val="28"/>
          <w:sz w:val="28"/>
          <w:szCs w:val="28"/>
          <w:rtl w:val="true"/>
          <w:lang w:bidi="fa-IR"/>
        </w:rPr>
        <w:t>وأن</w:t>
      </w:r>
      <w:r>
        <w:rPr>
          <w:rStyle w:val="FootnoteAnchor"/>
          <w:rtl w:val="true"/>
        </w:rPr>
        <w:footnoteReference w:id="2093"/>
      </w:r>
      <w:r>
        <w:rPr>
          <w:rFonts w:ascii="Amiri" w:hAnsi="Amiri" w:eastAsia="Amiri" w:cs="Amiri"/>
          <w:color w:val="111111"/>
          <w:sz w:val="28"/>
          <w:sz w:val="28"/>
          <w:szCs w:val="28"/>
          <w:rtl w:val="true"/>
          <w:lang w:bidi="ar-SA"/>
        </w:rPr>
        <w:t>البيان المشكوك مدفوع بالأصل، بل</w:t>
      </w:r>
      <w:r>
        <w:rPr>
          <w:rStyle w:val="FootnoteAnchor"/>
          <w:rtl w:val="true"/>
        </w:rPr>
        <w:footnoteReference w:id="2094"/>
      </w:r>
      <w:r>
        <w:rPr>
          <w:rFonts w:ascii="Amiri" w:hAnsi="Amiri" w:eastAsia="Amiri" w:cs="Amiri"/>
          <w:color w:val="111111"/>
          <w:sz w:val="28"/>
          <w:sz w:val="28"/>
          <w:szCs w:val="28"/>
          <w:rtl w:val="true"/>
          <w:lang w:bidi="ar-SA"/>
        </w:rPr>
        <w:t>المتبادر الوضع مع عدم العلم لا العلم بالعدم، بل لولا ذلك لخلا النص عن الفائدة</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الموصول في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كناية عن الشبهة الحكمية، أو الموضوعية، أو الأعمّ؛ وعلى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يعمّ التكليفية وغيرها، أو يختص بالأول</w:t>
      </w:r>
      <w:r>
        <w:rPr>
          <w:rFonts w:eastAsia="Amiri" w:cs="Amiri" w:ascii="Amiri" w:hAnsi="Amiri"/>
          <w:color w:val="111111"/>
          <w:sz w:val="28"/>
          <w:szCs w:val="28"/>
          <w:rtl w:val="true"/>
          <w:lang w:bidi="ar-SA"/>
        </w:rPr>
        <w:t>.</w:t>
      </w: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 xml:space="preserve">ولا يمكن العمل بظاهر النص على شيء من الاحتمالات؛ إذ نفس الحكم المشكوك لا يمكن رفعه في نفس الأمر ؛ لأنا لا </w:t>
      </w:r>
      <w:r>
        <w:rPr>
          <w:rStyle w:val="FootnoteAnchor"/>
          <w:rtl w:val="true"/>
        </w:rPr>
        <w:footnoteReference w:id="2096"/>
      </w:r>
      <w:r>
        <w:rPr>
          <w:rFonts w:ascii="Amiri" w:hAnsi="Amiri" w:eastAsia="Amiri" w:cs="Amiri"/>
          <w:color w:val="111111"/>
          <w:sz w:val="28"/>
          <w:sz w:val="28"/>
          <w:szCs w:val="28"/>
          <w:rtl w:val="true"/>
          <w:lang w:bidi="ar-SA"/>
        </w:rPr>
        <w:t>نقول بالتصويب، ولا باختلاف الأحكام الواقعية بالعلم والجهل، ونفس الموضوع المشكوك أيضاً لا يمكن وضعه</w:t>
      </w:r>
      <w:r>
        <w:rPr>
          <w:rStyle w:val="FootnoteAnchor"/>
          <w:rtl w:val="true"/>
        </w:rPr>
        <w:footnoteReference w:id="2097"/>
      </w:r>
      <w:r>
        <w:rPr>
          <w:rFonts w:ascii="Amiri" w:hAnsi="Amiri" w:eastAsia="Amiri" w:cs="Amiri"/>
          <w:color w:val="111111"/>
          <w:sz w:val="28"/>
          <w:sz w:val="28"/>
          <w:szCs w:val="28"/>
          <w:rtl w:val="true"/>
          <w:lang w:bidi="ar-SA"/>
        </w:rPr>
        <w:t>، فلا مفرّ من ارتكاب خلاف الظاهر، وهو متعدّد</w:t>
      </w:r>
      <w:r>
        <w:rPr>
          <w:rFonts w:eastAsia="Amiri" w:cs="Amiri" w:ascii="Amiri" w:hAnsi="Amiri"/>
          <w:color w:val="111111"/>
          <w:sz w:val="28"/>
          <w:szCs w:val="28"/>
          <w:rtl w:val="true"/>
          <w:lang w:bidi="ar-SA"/>
        </w:rPr>
        <w:t>.</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إمكان الأخذ بظاهر النص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الاحتمالات عرفاً كون اد بالموصول الشبهة الحكمية التكليفية، وبالوضع الوضع في مرحلة</w:t>
      </w:r>
      <w:r>
        <w:rPr>
          <w:rStyle w:val="FootnoteAnchor"/>
          <w:rtl w:val="true"/>
        </w:rPr>
        <w:footnoteReference w:id="2099"/>
      </w:r>
      <w:r>
        <w:rPr>
          <w:rFonts w:ascii="IRNazanin" w:hAnsi="IRNazanin" w:eastAsia="IRNazanin"/>
          <w:color w:val="111111"/>
          <w:sz w:val="28"/>
          <w:sz w:val="28"/>
          <w:szCs w:val="28"/>
          <w:rtl w:val="true"/>
          <w:lang w:bidi="fa-IR"/>
        </w:rPr>
        <w:t>الظاهر لا نفس الأمر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قوله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أمتي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يعلمون</w:t>
      </w:r>
      <w:r>
        <w:rPr>
          <w:rFonts w:eastAsia="IRNazanin" w:cs="IRNazanin"/>
          <w:color w:val="111111"/>
          <w:sz w:val="28"/>
          <w:szCs w:val="28"/>
          <w:rtl w:val="true"/>
          <w:lang w:bidi="fa-IR"/>
        </w:rPr>
        <w:t>»</w:t>
      </w:r>
      <w:r>
        <w:rPr>
          <w:rStyle w:val="FootnoteAnchor"/>
          <w:rtl w:val="true"/>
        </w:rPr>
        <w:footnoteReference w:id="2100"/>
      </w:r>
      <w:r>
        <w:rPr>
          <w:rFonts w:ascii="Amiri" w:hAnsi="Amiri" w:eastAsia="Amiri" w:cs="Amiri"/>
          <w:color w:val="111111"/>
          <w:sz w:val="28"/>
          <w:sz w:val="28"/>
          <w:szCs w:val="28"/>
          <w:rtl w:val="true"/>
          <w:lang w:bidi="ar-SA"/>
        </w:rPr>
        <w:t>،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المضافة تفيد العموم الاستغراقي، والإضافة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بملاحظة ان المقام مقام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الاختصاص، وحينئذ</w:t>
      </w:r>
      <w:r>
        <w:rPr>
          <w:rStyle w:val="FootnoteAnchor"/>
          <w:rtl w:val="true"/>
        </w:rPr>
        <w:footnoteReference w:id="2101"/>
      </w:r>
      <w:r>
        <w:rPr>
          <w:rFonts w:ascii="Amiri" w:hAnsi="Amiri" w:eastAsia="Amiri" w:cs="Amiri"/>
          <w:color w:val="111111"/>
          <w:sz w:val="28"/>
          <w:sz w:val="28"/>
          <w:szCs w:val="28"/>
          <w:rtl w:val="true"/>
          <w:lang w:bidi="ar-SA"/>
        </w:rPr>
        <w:t xml:space="preserve">فإن أبقيت النص على ظاهره لزم الكذب </w:t>
      </w:r>
    </w:p>
    <w:p>
      <w:pPr>
        <w:pStyle w:val="BookText"/>
        <w:rPr/>
      </w:pPr>
      <w:r>
        <w:rPr>
          <w:rFonts w:ascii="Amiri" w:hAnsi="Amiri" w:eastAsia="Amiri" w:cs="Amiri"/>
          <w:color w:val="111111"/>
          <w:sz w:val="28"/>
          <w:sz w:val="28"/>
          <w:szCs w:val="28"/>
          <w:rtl w:val="true"/>
          <w:lang w:bidi="ar-SA"/>
        </w:rPr>
        <w:t>في المنطوق</w:t>
      </w:r>
      <w:r>
        <w:rPr>
          <w:rStyle w:val="FootnoteAnchor"/>
          <w:rtl w:val="true"/>
        </w:rPr>
        <w:footnoteReference w:id="2102"/>
      </w:r>
      <w:r>
        <w:rPr>
          <w:rFonts w:ascii="Amiri" w:hAnsi="Amiri" w:eastAsia="Amiri" w:cs="Amiri"/>
          <w:color w:val="111111"/>
          <w:sz w:val="28"/>
          <w:sz w:val="28"/>
          <w:szCs w:val="28"/>
          <w:rtl w:val="true"/>
          <w:lang w:bidi="ar-SA"/>
        </w:rPr>
        <w:t xml:space="preserve">، أو أضمرت المؤاخذة لزم الكذب في المفهوم </w:t>
      </w:r>
      <w:r>
        <w:rPr>
          <w:rStyle w:val="FootnoteAnchor"/>
          <w:rtl w:val="true"/>
        </w:rPr>
        <w:footnoteReference w:id="2103"/>
      </w:r>
      <w:r>
        <w:rPr>
          <w:rFonts w:ascii="Amiri" w:hAnsi="Amiri" w:eastAsia="Amiri" w:cs="Amiri"/>
          <w:color w:val="111111"/>
          <w:sz w:val="28"/>
          <w:sz w:val="28"/>
          <w:szCs w:val="28"/>
          <w:rtl w:val="true"/>
          <w:lang w:bidi="ar-SA"/>
        </w:rPr>
        <w:t xml:space="preserve">لحكم العقل بأن الأمم السابقة ما </w:t>
      </w:r>
      <w:r>
        <w:rPr>
          <w:rStyle w:val="FootnoteAnchor"/>
          <w:rtl w:val="true"/>
        </w:rPr>
        <w:footnoteReference w:id="2104"/>
      </w:r>
      <w:r>
        <w:rPr>
          <w:rFonts w:ascii="Amiri" w:hAnsi="Amiri" w:eastAsia="Amiri" w:cs="Amiri"/>
          <w:color w:val="111111"/>
          <w:sz w:val="28"/>
          <w:sz w:val="28"/>
          <w:szCs w:val="28"/>
          <w:rtl w:val="true"/>
          <w:lang w:bidi="ar-SA"/>
        </w:rPr>
        <w:t>كلفوا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دوران الأمر بين المحذورين لابد من </w:t>
      </w:r>
      <w:r>
        <w:rPr>
          <w:rStyle w:val="FootnoteAnchor"/>
          <w:rtl w:val="true"/>
        </w:rPr>
        <w:footnoteReference w:id="2105"/>
      </w:r>
      <w:r>
        <w:rPr>
          <w:rFonts w:ascii="Amiri" w:hAnsi="Amiri" w:eastAsia="Amiri" w:cs="Amiri"/>
          <w:color w:val="111111"/>
          <w:sz w:val="28"/>
          <w:sz w:val="28"/>
          <w:szCs w:val="28"/>
          <w:rtl w:val="true"/>
          <w:lang w:bidi="ar-SA"/>
        </w:rPr>
        <w:t>إضمار المؤاخذة إما من رفع اليد عن المفهوم، أو تقييده بما إذا كانت التسعة مسببة من اختيار المكلف</w:t>
      </w:r>
      <w:r>
        <w:rPr>
          <w:rStyle w:val="FootnoteAnchor"/>
          <w:rtl w:val="true"/>
        </w:rPr>
        <w:footnoteReference w:id="2106"/>
      </w:r>
      <w:r>
        <w:rPr>
          <w:rFonts w:ascii="IRNazanin" w:hAnsi="IRNazanin" w:eastAsia="IRNazanin"/>
          <w:color w:val="111111"/>
          <w:sz w:val="28"/>
          <w:sz w:val="28"/>
          <w:szCs w:val="28"/>
          <w:rtl w:val="true"/>
          <w:lang w:bidi="fa-IR"/>
        </w:rPr>
        <w:t xml:space="preserve">، أو </w:t>
      </w:r>
      <w:r>
        <w:rPr>
          <w:rStyle w:val="FootnoteAnchor"/>
          <w:rtl w:val="true"/>
        </w:rPr>
        <w:footnoteReference w:id="2107"/>
      </w:r>
      <w:r>
        <w:rPr>
          <w:rFonts w:ascii="Amiri" w:hAnsi="Amiri" w:eastAsia="Amiri" w:cs="Amiri"/>
          <w:color w:val="111111"/>
          <w:sz w:val="28"/>
          <w:sz w:val="28"/>
          <w:szCs w:val="28"/>
          <w:rtl w:val="true"/>
          <w:lang w:bidi="ar-SA"/>
        </w:rPr>
        <w:t>حمل التسعة المنفية في المفهوم على سلب العموم لا عموم السلب، وعلى التقادير الثلاثة يتم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وإما مع عدم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حمل الأمة على المجموع من حيث هي، فيكون المعنى إن هذه التسعة بأعيانها مرفوعة عن أمتي؛ لوجود المعصوم علیهم السلام فيهم، وهو مجاز مستلزم لتقييد المفهوم أيضا؛ إذ المعصوم كان في سائر الأمم وإن لم يكن بالفعل، لكن الرواية حينئذ لا ربط لها بما نحن فيه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كل من تلك التوجيهات الأربعة يلزم ارتكاب خلاف ظاهرين</w:t>
      </w:r>
      <w:r>
        <w:rPr>
          <w:rStyle w:val="FootnoteAnchor"/>
          <w:rtl w:val="true"/>
        </w:rPr>
        <w:footnoteReference w:id="2108"/>
      </w:r>
      <w:r>
        <w:rPr>
          <w:rFonts w:ascii="Amiri" w:hAnsi="Amiri" w:eastAsia="Amiri" w:cs="Amiri"/>
          <w:color w:val="111111"/>
          <w:sz w:val="28"/>
          <w:sz w:val="28"/>
          <w:szCs w:val="28"/>
          <w:rtl w:val="true"/>
          <w:lang w:bidi="ar-SA"/>
        </w:rPr>
        <w:t>، لكن الأقرب عرفاً بحكم التبادر إضمار المؤاخذة، فيتم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في الأخير إلى أن</w:t>
      </w:r>
      <w:r>
        <w:rPr>
          <w:rStyle w:val="FootnoteAnchor"/>
          <w:rtl w:val="true"/>
        </w:rPr>
        <w:footnoteReference w:id="2109"/>
      </w:r>
      <w:r>
        <w:rPr>
          <w:rFonts w:ascii="IRNazanin" w:hAnsi="IRNazanin" w:eastAsia="IRNazanin"/>
          <w:color w:val="111111"/>
          <w:sz w:val="28"/>
          <w:sz w:val="28"/>
          <w:szCs w:val="28"/>
          <w:rtl w:val="true"/>
          <w:lang w:bidi="fa-IR"/>
        </w:rPr>
        <w:t>الإكراه الغير الرافع للقدرة ليس منتفياً عن المعصوم علیه السلام،وأنه لو كان المراد ذلك لم يختص بتلك التسعة، فالكذب أيضاً مرفوع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أورد الخصم بعض الإيرادات السابقة في الخبر الأول، لجرى الجواب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في سعة ما لم يعلموا</w:t>
      </w:r>
      <w:r>
        <w:rPr>
          <w:rFonts w:eastAsia="IRNazanin" w:cs="IRNazanin"/>
          <w:color w:val="111111"/>
          <w:sz w:val="28"/>
          <w:szCs w:val="28"/>
          <w:rtl w:val="true"/>
          <w:lang w:bidi="fa-IR"/>
        </w:rPr>
        <w:t>»</w:t>
      </w:r>
      <w:r>
        <w:rPr>
          <w:rStyle w:val="FootnoteAnchor"/>
          <w:rtl w:val="true"/>
        </w:rPr>
        <w:footnoteReference w:id="2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زمانية بحكم التبادر، لا موصوفة، ولا 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حذف المتعلق يفيد العموم، فالمعنى مالم يعلموا</w:t>
      </w:r>
      <w:r>
        <w:rPr>
          <w:rFonts w:eastAsia="Amiri" w:cs="Amiri" w:ascii="Amiri" w:hAnsi="Amiri"/>
          <w:color w:val="111111"/>
          <w:sz w:val="28"/>
          <w:szCs w:val="28"/>
          <w:rtl w:val="true"/>
          <w:lang w:bidi="ar-SA"/>
        </w:rPr>
        <w:t>)</w:t>
      </w:r>
      <w:r>
        <w:rPr>
          <w:rStyle w:val="FootnoteAnchor"/>
          <w:rtl w:val="true"/>
        </w:rPr>
        <w:footnoteReference w:id="2111"/>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يفيد الحذف العموم إذا لم يكن في البين أظهر، والظاهر عرفاً هنا أن الناس في سعة من كل شيء مالم يعلموا ذلك الشيء</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مطلق</w:t>
      </w:r>
      <w:r>
        <w:rPr>
          <w:rStyle w:val="FootnoteAnchor"/>
          <w:rtl w:val="true"/>
        </w:rPr>
        <w:footnoteReference w:id="2113"/>
      </w:r>
      <w:r>
        <w:rPr>
          <w:rFonts w:ascii="Amiri" w:hAnsi="Amiri" w:eastAsia="Amiri" w:cs="Amiri"/>
          <w:color w:val="111111"/>
          <w:sz w:val="28"/>
          <w:sz w:val="28"/>
          <w:szCs w:val="28"/>
          <w:rtl w:val="true"/>
          <w:lang w:bidi="ar-SA"/>
        </w:rPr>
        <w:t>حتى يرد فيه نص</w:t>
      </w:r>
      <w:r>
        <w:rPr>
          <w:rFonts w:eastAsia="Amiri" w:cs="Amiri" w:ascii="Amiri" w:hAnsi="Amiri"/>
          <w:color w:val="111111"/>
          <w:sz w:val="28"/>
          <w:szCs w:val="28"/>
          <w:rtl w:val="true"/>
          <w:lang w:bidi="ar-SA"/>
        </w:rPr>
        <w:t>»</w:t>
      </w:r>
      <w:r>
        <w:rPr>
          <w:rStyle w:val="FootnoteAnchor"/>
          <w:rtl w:val="true"/>
        </w:rPr>
        <w:footnoteReference w:id="21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فيه نص </w:t>
      </w:r>
      <w:r>
        <w:rPr>
          <w:rFonts w:eastAsia="Amiri" w:cs="Amiri" w:ascii="Amiri" w:hAnsi="Amiri"/>
          <w:color w:val="111111"/>
          <w:sz w:val="28"/>
          <w:szCs w:val="28"/>
          <w:rtl w:val="true"/>
          <w:lang w:bidi="ar-SA"/>
        </w:rPr>
        <w:t>)</w:t>
      </w:r>
      <w:r>
        <w:rPr>
          <w:rStyle w:val="FootnoteAnchor"/>
          <w:rtl w:val="true"/>
        </w:rPr>
        <w:footnoteReference w:id="2115"/>
      </w:r>
      <w:r>
        <w:rPr>
          <w:rFonts w:ascii="IRNazanin" w:hAnsi="IRNazanin" w:eastAsia="IRNazanin"/>
          <w:color w:val="111111"/>
          <w:sz w:val="28"/>
          <w:sz w:val="28"/>
          <w:szCs w:val="28"/>
          <w:rtl w:val="true"/>
          <w:lang w:bidi="fa-IR"/>
        </w:rPr>
        <w:t>بالفرض، أو بالأصل</w:t>
      </w:r>
      <w:r>
        <w:rPr>
          <w:rStyle w:val="FootnoteAnchor"/>
          <w:rtl w:val="true"/>
        </w:rPr>
        <w:footnoteReference w:id="2116"/>
      </w:r>
      <w:r>
        <w:rPr>
          <w:rFonts w:ascii="Amiri" w:hAnsi="Amiri" w:eastAsia="Amiri" w:cs="Amiri"/>
          <w:color w:val="111111"/>
          <w:sz w:val="28"/>
          <w:sz w:val="28"/>
          <w:szCs w:val="28"/>
          <w:rtl w:val="true"/>
          <w:lang w:bidi="ar-SA"/>
        </w:rPr>
        <w:t>، وكل ما كان كذلك فهو مطلق، والمتبادر منه النص المعتبر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ما تعارض</w:t>
      </w:r>
      <w:r>
        <w:rPr>
          <w:rStyle w:val="FootnoteAnchor"/>
          <w:rtl w:val="true"/>
        </w:rPr>
        <w:footnoteReference w:id="2117"/>
      </w:r>
      <w:r>
        <w:rPr>
          <w:rFonts w:ascii="Amiri" w:hAnsi="Amiri" w:eastAsia="Amiri" w:cs="Amiri"/>
          <w:color w:val="111111"/>
          <w:sz w:val="28"/>
          <w:sz w:val="28"/>
          <w:szCs w:val="28"/>
          <w:rtl w:val="true"/>
          <w:lang w:bidi="ar-SA"/>
        </w:rPr>
        <w:t xml:space="preserve">فيه نصان معتبران، فيتم الأمر فيه بالإجماع المركب، أو بأن الظاهر منه العلم بورود النص المقيّد لا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 الإجماع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المفهوم أن ما تعارض فيه النصان ليس مطلقاً</w:t>
      </w:r>
      <w:r>
        <w:rPr>
          <w:rFonts w:eastAsia="Amiri" w:cs="Amiri" w:ascii="Amiri" w:hAnsi="Amiri"/>
          <w:color w:val="111111"/>
          <w:sz w:val="28"/>
          <w:szCs w:val="28"/>
          <w:rtl w:val="true"/>
          <w:lang w:bidi="ar-SA"/>
        </w:rPr>
        <w:t>)</w:t>
      </w:r>
      <w:r>
        <w:rPr>
          <w:rStyle w:val="FootnoteAnchor"/>
          <w:rtl w:val="true"/>
        </w:rPr>
        <w:footnoteReference w:id="2118"/>
      </w:r>
      <w:r>
        <w:rPr>
          <w:rFonts w:ascii="Amiri" w:hAnsi="Amiri" w:eastAsia="Amiri" w:cs="Amiri"/>
          <w:color w:val="111111"/>
          <w:sz w:val="28"/>
          <w:sz w:val="28"/>
          <w:szCs w:val="28"/>
          <w:rtl w:val="true"/>
          <w:lang w:bidi="ar-SA"/>
        </w:rPr>
        <w:t>، ويتمّ الأمر في غيره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ظهور الرواية في مطلق النص</w:t>
      </w:r>
      <w:r>
        <w:rPr>
          <w:rStyle w:val="FootnoteAnchor"/>
          <w:rtl w:val="true"/>
        </w:rPr>
        <w:footnoteReference w:id="2119"/>
      </w:r>
      <w:r>
        <w:rPr>
          <w:rFonts w:ascii="Amiri" w:hAnsi="Amiri" w:eastAsia="Amiri" w:cs="Amiri"/>
          <w:color w:val="111111"/>
          <w:sz w:val="28"/>
          <w:sz w:val="28"/>
          <w:szCs w:val="28"/>
          <w:rtl w:val="true"/>
          <w:lang w:bidi="ar-SA"/>
        </w:rPr>
        <w:t>أعم من المقيّد وغيره، وإن لم ندع ظهورها في النص المقيد مع أن المنطوق نص في شموله لما لا نص فيه، والمفهوم ظاهر في شموله لما تعارض فيه النصّان؛ لاحتمال اندراجه في المنطوق، فضميمتنا أقوى من جهتين</w:t>
      </w:r>
      <w:r>
        <w:rPr>
          <w:rStyle w:val="FootnoteAnchor"/>
          <w:rtl w:val="true"/>
        </w:rPr>
        <w:footnoteReference w:id="2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 منطوق، وأنه نص، بل من جهة اعتضاده أيضاً بما مرَّ من العمل والأخبار والآيات</w:t>
      </w:r>
      <w:r>
        <w:rPr>
          <w:rFonts w:eastAsia="Amiri" w:cs="Amiri" w:ascii="Amiri" w:hAnsi="Amiri"/>
          <w:color w:val="111111"/>
          <w:sz w:val="28"/>
          <w:szCs w:val="28"/>
          <w:rtl w:val="true"/>
          <w:lang w:bidi="ar-SA"/>
        </w:rPr>
        <w:t>.</w:t>
      </w:r>
      <w:r>
        <w:rPr>
          <w:rStyle w:val="FootnoteAnchor"/>
          <w:rtl w:val="true"/>
        </w:rPr>
        <w:footnoteReference w:id="2121"/>
      </w:r>
    </w:p>
    <w:p>
      <w:pPr>
        <w:pStyle w:val="BookText"/>
        <w:rPr/>
      </w:pPr>
      <w:r>
        <w:rPr>
          <w:rFonts w:ascii="Amiri" w:hAnsi="Amiri" w:eastAsia="Amiri" w:cs="Amiri"/>
          <w:color w:val="111111"/>
          <w:sz w:val="28"/>
          <w:sz w:val="28"/>
          <w:szCs w:val="28"/>
          <w:rtl w:val="true"/>
          <w:lang w:bidi="ar-SA"/>
        </w:rPr>
        <w:t xml:space="preserve">وفي طريق آخر </w:t>
      </w:r>
      <w:r>
        <w:rPr>
          <w:rStyle w:val="FootnoteAnchor"/>
          <w:rtl w:val="true"/>
        </w:rPr>
        <w:footnoteReference w:id="21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يرد فيه أمر أو نهي</w:t>
      </w:r>
      <w:r>
        <w:rPr>
          <w:rFonts w:eastAsia="Amiri" w:cs="Amiri" w:ascii="Amiri" w:hAnsi="Amiri"/>
          <w:color w:val="111111"/>
          <w:sz w:val="28"/>
          <w:szCs w:val="28"/>
          <w:rtl w:val="true"/>
          <w:lang w:bidi="ar-SA"/>
        </w:rPr>
        <w:t xml:space="preserve">» </w:t>
      </w:r>
      <w:r>
        <w:rPr>
          <w:rStyle w:val="FootnoteAnchor"/>
          <w:rtl w:val="true"/>
        </w:rPr>
        <w:footnoteReference w:id="2123"/>
      </w:r>
      <w:r>
        <w:rPr>
          <w:rFonts w:ascii="Amiri" w:hAnsi="Amiri" w:eastAsia="Amiri" w:cs="Amiri"/>
          <w:color w:val="111111"/>
          <w:sz w:val="28"/>
          <w:sz w:val="28"/>
          <w:szCs w:val="28"/>
          <w:rtl w:val="true"/>
          <w:lang w:bidi="ar-SA"/>
        </w:rPr>
        <w:t>والاستدلال به أيضاً ظاهر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طريق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يرد فيه نهي</w:t>
      </w:r>
      <w:r>
        <w:rPr>
          <w:rFonts w:eastAsia="Amiri" w:cs="Amiri" w:ascii="Amiri" w:hAnsi="Amiri"/>
          <w:color w:val="111111"/>
          <w:sz w:val="28"/>
          <w:szCs w:val="28"/>
          <w:rtl w:val="true"/>
          <w:lang w:bidi="ar-SA"/>
        </w:rPr>
        <w:t>»</w:t>
      </w:r>
      <w:r>
        <w:rPr>
          <w:rStyle w:val="FootnoteAnchor"/>
          <w:rtl w:val="true"/>
        </w:rPr>
        <w:footnoteReference w:id="2124"/>
      </w:r>
      <w:r>
        <w:rPr>
          <w:rFonts w:ascii="Amiri" w:hAnsi="Amiri" w:eastAsia="Amiri" w:cs="Amiri"/>
          <w:color w:val="111111"/>
          <w:sz w:val="28"/>
          <w:sz w:val="28"/>
          <w:szCs w:val="28"/>
          <w:rtl w:val="true"/>
          <w:lang w:bidi="ar-SA"/>
        </w:rPr>
        <w:t xml:space="preserve">، وعليه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أيضاً في الشبهة الوجوبية</w:t>
      </w:r>
      <w:r>
        <w:rPr>
          <w:rStyle w:val="FootnoteAnchor"/>
          <w:rtl w:val="true"/>
        </w:rPr>
        <w:footnoteReference w:id="2125"/>
      </w:r>
      <w:r>
        <w:rPr>
          <w:rFonts w:ascii="Amiri" w:hAnsi="Amiri" w:eastAsia="Amiri" w:cs="Amiri"/>
          <w:color w:val="111111"/>
          <w:sz w:val="28"/>
          <w:sz w:val="28"/>
          <w:szCs w:val="28"/>
          <w:rtl w:val="true"/>
          <w:lang w:bidi="ar-SA"/>
        </w:rPr>
        <w:t xml:space="preserve">؛ لأن المشكوك فيه لو كان واجباً كان تركه منهياً عنه، فتركه مطلق ما لم يرد </w:t>
      </w:r>
    </w:p>
    <w:p>
      <w:pPr>
        <w:pStyle w:val="BookText"/>
        <w:rPr/>
      </w:pPr>
      <w:r>
        <w:rPr>
          <w:rFonts w:ascii="Amiri" w:hAnsi="Amiri" w:eastAsia="Amiri" w:cs="Amiri"/>
          <w:color w:val="111111"/>
          <w:sz w:val="28"/>
          <w:sz w:val="28"/>
          <w:szCs w:val="28"/>
          <w:rtl w:val="true"/>
          <w:lang w:bidi="ar-SA"/>
        </w:rPr>
        <w:t>نهي</w:t>
      </w:r>
      <w:r>
        <w:rPr>
          <w:rFonts w:eastAsia="Amiri" w:cs="Amiri" w:ascii="Amiri" w:hAnsi="Amiri"/>
          <w:color w:val="111111"/>
          <w:sz w:val="28"/>
          <w:szCs w:val="28"/>
          <w:rtl w:val="true"/>
          <w:lang w:bidi="ar-SA"/>
        </w:rPr>
        <w:t>).</w:t>
      </w:r>
      <w:r>
        <w:rPr>
          <w:rStyle w:val="FootnoteAnchor"/>
          <w:rtl w:val="true"/>
        </w:rPr>
        <w:footnoteReference w:id="212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بهذه المضامين كثيرة، يحصل من 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بملاحظة الأدلة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بحجية البراءة، ولا أقل من الظن، والمسألة فرعية</w:t>
      </w:r>
      <w:r>
        <w:rPr>
          <w:rFonts w:eastAsia="Amiri" w:cs="Amiri" w:ascii="Amiri" w:hAnsi="Amiri"/>
          <w:color w:val="111111"/>
          <w:sz w:val="28"/>
          <w:szCs w:val="28"/>
          <w:rtl w:val="true"/>
          <w:lang w:bidi="ar-SA"/>
        </w:rPr>
        <w:t xml:space="preserve">. </w:t>
      </w:r>
      <w:bookmarkStart w:id="651" w:name="pg9015_97708"/>
    </w:p>
    <w:p>
      <w:pPr>
        <w:pStyle w:val="Heading3"/>
        <w:numPr>
          <w:ilvl w:val="2"/>
          <w:numId w:val="1"/>
        </w:numPr>
        <w:rPr/>
      </w:pPr>
      <w:bookmarkStart w:id="652" w:name="__RefHeading___Toc2001797_2870459653"/>
      <w:bookmarkStart w:id="653" w:name="_Toc248"/>
      <w:bookmarkEnd w:id="651"/>
      <w:bookmarkEnd w:id="652"/>
      <w:r>
        <w:rPr>
          <w:rtl w:val="true"/>
        </w:rPr>
        <w:t>[</w:t>
      </w:r>
      <w:r>
        <w:rPr>
          <w:rtl w:val="true"/>
        </w:rPr>
        <w:t>أدلة الاحتياط</w:t>
      </w:r>
      <w:r>
        <w:rPr>
          <w:rtl w:val="true"/>
        </w:rPr>
        <w:t>]</w:t>
      </w:r>
      <w:bookmarkEnd w:id="653"/>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البراءة وأدلتها معلقة على عدم العثور على دليل الاحتياط، وهو 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لقول أبي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ما تعلمون فقولوا به، وإذا جاءكم ما لا تعلمون فها</w:t>
      </w:r>
      <w:r>
        <w:rPr>
          <w:rFonts w:eastAsia="IRNazanin" w:cs="IRNazanin"/>
          <w:color w:val="111111"/>
          <w:sz w:val="28"/>
          <w:szCs w:val="28"/>
          <w:rtl w:val="true"/>
          <w:lang w:bidi="fa-IR"/>
        </w:rPr>
        <w:t>»</w:t>
      </w:r>
      <w:r>
        <w:rPr>
          <w:rStyle w:val="FootnoteAnchor"/>
          <w:rtl w:val="true"/>
        </w:rPr>
        <w:footnoteReference w:id="2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وهو واضح الدلالة على وجوب الوقف فيما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 الوقف عند الإفتاء حتى يعلم لا عدم العمل حتى يعلم ومحل الكلام العمل لا الفتوى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تمسك بمركب الإجماع </w:t>
      </w:r>
      <w:r>
        <w:rPr>
          <w:rStyle w:val="FootnoteAnchor"/>
          <w:rtl w:val="true"/>
        </w:rPr>
        <w:footnoteReference w:id="2128"/>
      </w:r>
      <w:r>
        <w:rPr>
          <w:rStyle w:val="FootnoteAnchor"/>
          <w:rtl w:val="true"/>
        </w:rPr>
        <w:footnoteReference w:id="2129"/>
      </w:r>
      <w:r>
        <w:rPr>
          <w:rFonts w:ascii="IRNazanin" w:hAnsi="IRNazanin" w:eastAsia="IRNazanin"/>
          <w:color w:val="111111"/>
          <w:sz w:val="28"/>
          <w:sz w:val="28"/>
          <w:szCs w:val="28"/>
          <w:rtl w:val="true"/>
          <w:lang w:bidi="fa-IR"/>
        </w:rPr>
        <w:t>القلبناه لقلبناه</w:t>
      </w:r>
      <w:r>
        <w:rPr>
          <w:rStyle w:val="FootnoteAnchor"/>
          <w:rtl w:val="true"/>
        </w:rPr>
        <w:footnoteReference w:id="2130"/>
      </w:r>
      <w:r>
        <w:rPr>
          <w:rStyle w:val="FootnoteAnchor"/>
          <w:rtl w:val="true"/>
        </w:rPr>
        <w:footnoteReference w:id="2131"/>
      </w:r>
      <w:r>
        <w:rPr>
          <w:rFonts w:ascii="IRNazanin" w:hAnsi="IRNazanin" w:eastAsia="IRNazanin"/>
          <w:color w:val="111111"/>
          <w:sz w:val="28"/>
          <w:sz w:val="28"/>
          <w:szCs w:val="28"/>
          <w:rtl w:val="true"/>
          <w:lang w:bidi="fa-IR"/>
        </w:rPr>
        <w:t xml:space="preserve">، وضميمتنا أقوى، ولا أقل من التساوي ،والتساقط، مع أن مقتضاه بحكم التعليل الوارد فيه الوقف قبل الفحص، ونحن نعمل بالبراءة بعده، فلا تعارض بينه وبين دليل البراءة، ولا أقل من الاحتمال المسقط للاستدلال، مع أن مشكوك الوجوب مما علمنا بكون حكمه الظاهري البراءة؛ للأدلة المتقدمة، فلا يدخل في 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ما لا تعلمون</w:t>
      </w:r>
      <w:r>
        <w:rPr>
          <w:rFonts w:eastAsia="IRNazanin" w:cs="IRNazanin"/>
          <w:color w:val="111111"/>
          <w:sz w:val="28"/>
          <w:szCs w:val="28"/>
          <w:rtl w:val="true"/>
          <w:lang w:bidi="fa-IR"/>
        </w:rPr>
        <w:t>»</w:t>
      </w:r>
      <w:r>
        <w:rPr>
          <w:rStyle w:val="FootnoteAnchor"/>
          <w:rtl w:val="true"/>
        </w:rPr>
        <w:footnoteReference w:id="2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ما لا تعلمون</w:t>
      </w:r>
      <w:r>
        <w:rPr>
          <w:rFonts w:eastAsia="Amiri" w:cs="Amiri" w:ascii="Amiri" w:hAnsi="Amiri"/>
          <w:color w:val="111111"/>
          <w:sz w:val="28"/>
          <w:szCs w:val="28"/>
          <w:rtl w:val="true"/>
          <w:lang w:bidi="ar-SA"/>
        </w:rPr>
        <w:t>)</w:t>
      </w:r>
      <w:r>
        <w:rPr>
          <w:rStyle w:val="FootnoteAnchor"/>
          <w:rtl w:val="true"/>
        </w:rPr>
        <w:footnoteReference w:id="2133"/>
      </w:r>
      <w:r>
        <w:rPr>
          <w:rFonts w:ascii="Amiri" w:hAnsi="Amiri" w:eastAsia="Amiri" w:cs="Amiri"/>
          <w:color w:val="111111"/>
          <w:sz w:val="28"/>
          <w:sz w:val="28"/>
          <w:szCs w:val="28"/>
          <w:rtl w:val="true"/>
          <w:lang w:bidi="ar-SA"/>
        </w:rPr>
        <w:t xml:space="preserve">حكمه الظاهري والواقعي معاً، أو حكمه مطلقاً واقعياً </w:t>
      </w:r>
      <w:r>
        <w:rPr>
          <w:rStyle w:val="FootnoteAnchor"/>
          <w:rtl w:val="true"/>
        </w:rPr>
        <w:footnoteReference w:id="2134"/>
      </w:r>
      <w:r>
        <w:rPr>
          <w:rFonts w:ascii="Amiri" w:hAnsi="Amiri" w:eastAsia="Amiri" w:cs="Amiri"/>
          <w:color w:val="111111"/>
          <w:sz w:val="28"/>
          <w:sz w:val="28"/>
          <w:szCs w:val="28"/>
          <w:rtl w:val="true"/>
          <w:lang w:bidi="ar-SA"/>
        </w:rPr>
        <w:t xml:space="preserve">أم ظاهرياً، فمشكوك الوجوب ليس كذلك؛ إذ حكمه </w:t>
      </w:r>
    </w:p>
    <w:p>
      <w:pPr>
        <w:pStyle w:val="BookText"/>
        <w:rPr/>
      </w:pPr>
      <w:r>
        <w:rPr>
          <w:rFonts w:ascii="Amiri" w:hAnsi="Amiri" w:eastAsia="Amiri" w:cs="Amiri"/>
          <w:color w:val="111111"/>
          <w:sz w:val="28"/>
          <w:sz w:val="28"/>
          <w:szCs w:val="28"/>
          <w:rtl w:val="true"/>
          <w:lang w:bidi="ar-SA"/>
        </w:rPr>
        <w:t>الظاهري معلوم بأدلة البراءة، أو حكمه الواقعي فقط، فإن كان المراد الوقف بحسب الواقع، فنحن نقول به، أو بحسب الظاهر أيضاً، فلا يقول به الفريقان، مع أن الرواية ضعيفة غير مجبورة، ومعارضة بأقوى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تمسك الخصم بقول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أخوك دينك فاحتط لدينك بما شئت</w:t>
      </w:r>
      <w:r>
        <w:rPr>
          <w:rFonts w:eastAsia="IRNazanin" w:cs="IRNazanin"/>
          <w:color w:val="111111"/>
          <w:sz w:val="28"/>
          <w:szCs w:val="28"/>
          <w:rtl w:val="true"/>
          <w:lang w:bidi="fa-IR"/>
        </w:rPr>
        <w:t>».</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ملاحظة دلالته على التخيير في الاحتياط كماً، وكون ذلك خلاف الإجماع، محمول على حسن الاحتياط، بل نحن نقول بالاحتياط</w:t>
      </w:r>
      <w:r>
        <w:rPr>
          <w:rStyle w:val="FootnoteAnchor"/>
          <w:rtl w:val="true"/>
        </w:rPr>
        <w:footnoteReference w:id="2136"/>
      </w:r>
      <w:r>
        <w:rPr>
          <w:rFonts w:ascii="Amiri" w:hAnsi="Amiri" w:eastAsia="Amiri" w:cs="Amiri"/>
          <w:color w:val="111111"/>
          <w:sz w:val="28"/>
          <w:sz w:val="28"/>
          <w:szCs w:val="28"/>
          <w:rtl w:val="true"/>
          <w:lang w:bidi="ar-SA"/>
        </w:rPr>
        <w:t>في الشبهة الوجوبية عند دوران الأمر بين المتباينين، فقد عملنا بهذا الخبر في الجملة؛ لأنه خير بحسب الكم، مع الجواب الأخير في الخبر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أن تأخذ بالجزم والحائط لدينك</w:t>
      </w:r>
      <w:r>
        <w:rPr>
          <w:rFonts w:eastAsia="Amiri" w:cs="Amiri" w:ascii="Amiri" w:hAnsi="Amiri"/>
          <w:color w:val="111111"/>
          <w:sz w:val="28"/>
          <w:szCs w:val="28"/>
          <w:rtl w:val="true"/>
          <w:lang w:bidi="ar-SA"/>
        </w:rPr>
        <w:t>»</w:t>
      </w:r>
      <w:r>
        <w:rPr>
          <w:rStyle w:val="FootnoteAnchor"/>
          <w:rtl w:val="true"/>
        </w:rPr>
        <w:footnoteReference w:id="2137"/>
      </w:r>
      <w:r>
        <w:rPr>
          <w:rFonts w:ascii="Amiri" w:hAnsi="Amiri" w:eastAsia="Amiri" w:cs="Amiri"/>
          <w:color w:val="111111"/>
          <w:sz w:val="28"/>
          <w:sz w:val="28"/>
          <w:szCs w:val="28"/>
          <w:rtl w:val="true"/>
          <w:lang w:bidi="ar-SA"/>
        </w:rPr>
        <w:t>، والجزم هو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بعد الوجه الأخير في سابقه إنه دلّ على جواز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وجوبه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يريبك إلى ما لا يريبك</w:t>
      </w:r>
      <w:r>
        <w:rPr>
          <w:rFonts w:eastAsia="IRNazanin" w:cs="IRNazanin"/>
          <w:color w:val="111111"/>
          <w:sz w:val="28"/>
          <w:szCs w:val="28"/>
          <w:rtl w:val="true"/>
          <w:lang w:bidi="fa-IR"/>
        </w:rPr>
        <w:t>»</w:t>
      </w:r>
      <w:r>
        <w:rPr>
          <w:rStyle w:val="FootnoteAnchor"/>
          <w:rtl w:val="true"/>
        </w:rPr>
        <w:footnoteReference w:id="2138"/>
      </w:r>
      <w:r>
        <w:rPr>
          <w:rFonts w:ascii="IRNazanin" w:hAnsi="IRNazanin" w:eastAsia="IRNazanin"/>
          <w:color w:val="111111"/>
          <w:sz w:val="28"/>
          <w:sz w:val="28"/>
          <w:szCs w:val="28"/>
          <w:rtl w:val="true"/>
          <w:lang w:bidi="fa-IR"/>
        </w:rPr>
        <w:t>، ونحوه من</w:t>
      </w:r>
      <w:r>
        <w:rPr>
          <w:rStyle w:val="FootnoteAnchor"/>
          <w:rtl w:val="true"/>
        </w:rPr>
        <w:footnoteReference w:id="2139"/>
      </w:r>
      <w:r>
        <w:rPr>
          <w:rFonts w:ascii="Amiri" w:hAnsi="Amiri" w:eastAsia="Amiri" w:cs="Amiri"/>
          <w:color w:val="111111"/>
          <w:sz w:val="28"/>
          <w:sz w:val="28"/>
          <w:szCs w:val="28"/>
          <w:rtl w:val="true"/>
          <w:lang w:bidi="ar-SA"/>
        </w:rPr>
        <w:t>أخبار الاحتياط</w:t>
      </w:r>
      <w:r>
        <w:rPr>
          <w:rFonts w:eastAsia="Amiri" w:cs="Amiri" w:ascii="Amiri" w:hAnsi="Amiri"/>
          <w:color w:val="111111"/>
          <w:sz w:val="28"/>
          <w:szCs w:val="28"/>
          <w:rtl w:val="true"/>
          <w:lang w:bidi="ar-SA"/>
        </w:rPr>
        <w:t>)</w:t>
      </w:r>
      <w:r>
        <w:rPr>
          <w:rStyle w:val="FootnoteAnchor"/>
          <w:rtl w:val="true"/>
        </w:rPr>
        <w:footnoteReference w:id="2140"/>
      </w:r>
      <w:r>
        <w:rPr>
          <w:rFonts w:ascii="Amiri" w:hAnsi="Amiri" w:eastAsia="Amiri" w:cs="Amiri"/>
          <w:color w:val="111111"/>
          <w:sz w:val="28"/>
          <w:sz w:val="28"/>
          <w:szCs w:val="28"/>
          <w:rtl w:val="true"/>
          <w:lang w:bidi="ar-SA"/>
        </w:rPr>
        <w:t xml:space="preserve">، فالانصاف فيها وفيما سبق من أخبار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الأولى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الورود على البراءة، لكن لا تقاوم أدلتها من جهة كون المشهور معرضين عنها، فالأصح البراءة المطلقة</w:t>
      </w:r>
      <w:r>
        <w:rPr>
          <w:rFonts w:eastAsia="Amiri" w:cs="Amiri" w:ascii="Amiri" w:hAnsi="Amiri"/>
          <w:color w:val="111111"/>
          <w:sz w:val="28"/>
          <w:szCs w:val="28"/>
          <w:rtl w:val="true"/>
          <w:lang w:bidi="ar-SA"/>
        </w:rPr>
        <w:t xml:space="preserve">. </w:t>
      </w:r>
      <w:bookmarkStart w:id="654" w:name="pg9015_97710"/>
    </w:p>
    <w:p>
      <w:pPr>
        <w:pStyle w:val="Heading2"/>
        <w:numPr>
          <w:ilvl w:val="1"/>
          <w:numId w:val="1"/>
        </w:numPr>
        <w:rPr/>
      </w:pPr>
      <w:bookmarkStart w:id="655" w:name="__RefHeading___Toc2001799_2870459653"/>
      <w:bookmarkStart w:id="656" w:name="_Toc249"/>
      <w:bookmarkEnd w:id="654"/>
      <w:bookmarkEnd w:id="655"/>
      <w:r>
        <w:rPr>
          <w:rtl w:val="true"/>
        </w:rPr>
        <w:t xml:space="preserve">أصل </w:t>
      </w:r>
      <w:r>
        <w:rPr>
          <w:rtl w:val="true"/>
        </w:rPr>
        <w:t>[</w:t>
      </w:r>
      <w:r>
        <w:rPr>
          <w:rtl w:val="true"/>
        </w:rPr>
        <w:t>في دوران الأمر بين الوجوب والندب والإباحة</w:t>
      </w:r>
      <w:r>
        <w:rPr>
          <w:rtl w:val="true"/>
        </w:rPr>
        <w:t>]</w:t>
      </w:r>
      <w:bookmarkEnd w:id="656"/>
    </w:p>
    <w:p>
      <w:pPr>
        <w:pStyle w:val="BookText"/>
        <w:rPr/>
      </w:pPr>
      <w:r>
        <w:rPr>
          <w:rFonts w:ascii="Amiri" w:hAnsi="Amiri" w:eastAsia="Amiri" w:cs="Amiri"/>
          <w:color w:val="111111"/>
          <w:sz w:val="28"/>
          <w:sz w:val="28"/>
          <w:szCs w:val="28"/>
          <w:rtl w:val="true"/>
          <w:lang w:bidi="ar-SA"/>
        </w:rPr>
        <w:t>إذا دار الأمر بين الوجوب والندب والإباحة، فالحال ما سبق في الأصل السابق من البراءة نعم لا باس من الحكم بالندب؛ للتسامح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بين الوجوب والندب، بحيث قطعنا بعدم الثالث، ففي الحكم بالوجوب كما عن طائفة، وفيهم من قال بالبراءة فيما سبق</w:t>
      </w:r>
      <w:r>
        <w:rPr>
          <w:rStyle w:val="FootnoteAnchor"/>
          <w:rtl w:val="true"/>
        </w:rPr>
        <w:footnoteReference w:id="2141"/>
      </w:r>
      <w:r>
        <w:rPr>
          <w:rFonts w:ascii="Amiri" w:hAnsi="Amiri" w:eastAsia="Amiri" w:cs="Amiri"/>
          <w:color w:val="111111"/>
          <w:sz w:val="28"/>
          <w:sz w:val="28"/>
          <w:szCs w:val="28"/>
          <w:rtl w:val="true"/>
          <w:lang w:bidi="ar-SA"/>
        </w:rPr>
        <w:t xml:space="preserve">، أو الرجوع إلى الأصل بعد طرح الاحتمالين </w:t>
      </w:r>
      <w:r>
        <w:rPr>
          <w:rStyle w:val="FootnoteAnchor"/>
          <w:rtl w:val="true"/>
        </w:rPr>
        <w:footnoteReference w:id="2142"/>
      </w:r>
      <w:r>
        <w:rPr>
          <w:rFonts w:ascii="Amiri" w:hAnsi="Amiri" w:eastAsia="Amiri" w:cs="Amiri"/>
          <w:color w:val="111111"/>
          <w:sz w:val="28"/>
          <w:sz w:val="28"/>
          <w:szCs w:val="28"/>
          <w:rtl w:val="true"/>
          <w:lang w:bidi="ar-SA"/>
        </w:rPr>
        <w:t>، أو التخيير البدوي</w:t>
      </w:r>
      <w:r>
        <w:rPr>
          <w:rStyle w:val="FootnoteAnchor"/>
          <w:rtl w:val="true"/>
        </w:rPr>
        <w:footnoteReference w:id="2143"/>
      </w:r>
      <w:r>
        <w:rPr>
          <w:rStyle w:val="FootnoteAnchor"/>
          <w:rtl w:val="true"/>
        </w:rPr>
        <w:footnoteReference w:id="2144"/>
      </w:r>
      <w:r>
        <w:rPr>
          <w:rFonts w:ascii="Amiri" w:hAnsi="Amiri" w:eastAsia="Amiri" w:cs="Amiri"/>
          <w:color w:val="111111"/>
          <w:sz w:val="28"/>
          <w:sz w:val="28"/>
          <w:szCs w:val="28"/>
          <w:rtl w:val="true"/>
          <w:lang w:bidi="ar-SA"/>
        </w:rPr>
        <w:t>، أقوال والأقوى الندب الظاهري</w:t>
      </w:r>
      <w:r>
        <w:rPr>
          <w:rFonts w:eastAsia="Amiri" w:cs="Amiri" w:ascii="Amiri" w:hAnsi="Amiri"/>
          <w:color w:val="111111"/>
          <w:sz w:val="28"/>
          <w:szCs w:val="28"/>
          <w:rtl w:val="true"/>
          <w:lang w:bidi="ar-SA"/>
        </w:rPr>
        <w:t>.</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لنا على نفي الوجوب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المعظم</w:t>
      </w:r>
      <w:r>
        <w:rPr>
          <w:rStyle w:val="FootnoteAnchor"/>
          <w:rtl w:val="true"/>
        </w:rPr>
        <w:footnoteReference w:id="2146"/>
      </w:r>
      <w:r>
        <w:rPr>
          <w:rFonts w:ascii="IRNazanin" w:hAnsi="IRNazanin" w:eastAsia="IRNazanin"/>
          <w:color w:val="111111"/>
          <w:sz w:val="28"/>
          <w:sz w:val="28"/>
          <w:szCs w:val="28"/>
          <w:rtl w:val="true"/>
          <w:lang w:bidi="fa-IR"/>
        </w:rPr>
        <w:t>، و</w:t>
      </w:r>
      <w:r>
        <w:rPr>
          <w:rStyle w:val="FootnoteAnchor"/>
          <w:rtl w:val="true"/>
        </w:rPr>
        <w:footnoteReference w:id="2147"/>
      </w:r>
      <w:r>
        <w:rPr>
          <w:rFonts w:ascii="IRNazanin" w:hAnsi="IRNazanin" w:eastAsia="IRNazanin"/>
          <w:color w:val="111111"/>
          <w:sz w:val="28"/>
          <w:sz w:val="28"/>
          <w:szCs w:val="28"/>
          <w:rtl w:val="true"/>
          <w:lang w:bidi="fa-IR"/>
        </w:rPr>
        <w:t>إطلاق منقول</w:t>
      </w:r>
      <w:r>
        <w:rPr>
          <w:rStyle w:val="FootnoteAnchor"/>
          <w:rtl w:val="true"/>
        </w:rPr>
        <w:footnoteReference w:id="2148"/>
      </w:r>
      <w:r>
        <w:rPr>
          <w:rFonts w:ascii="IRNazanin" w:hAnsi="IRNazanin" w:eastAsia="IRNazanin"/>
          <w:color w:val="111111"/>
          <w:sz w:val="28"/>
          <w:sz w:val="28"/>
          <w:szCs w:val="28"/>
          <w:rtl w:val="true"/>
          <w:lang w:bidi="fa-IR"/>
        </w:rPr>
        <w:t>الإجماع</w:t>
      </w:r>
      <w:r>
        <w:rPr>
          <w:rStyle w:val="FootnoteAnchor"/>
          <w:rtl w:val="true"/>
        </w:rPr>
        <w:footnoteReference w:id="2149"/>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وغلبة عدم الوجوب في المطلوبات الشّرعيّة، عكس المطلوبات العرفية، وكذا بناء العقلاء فيها على الوجوب، وقبح التكليف بلا بيان، والآيات والأخبار المتقدّمة النافية للتكليف عند عدم العلم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العلاج حاكم بالتخيير بين النصين المتعارضين عند فقد المرجّح </w:t>
      </w:r>
    </w:p>
    <w:p>
      <w:pPr>
        <w:pStyle w:val="BookText"/>
        <w:rPr/>
      </w:pPr>
      <w:r>
        <w:rPr>
          <w:rFonts w:ascii="Amiri" w:hAnsi="Amiri" w:eastAsia="Amiri" w:cs="Amiri"/>
          <w:color w:val="111111"/>
          <w:sz w:val="28"/>
          <w:sz w:val="28"/>
          <w:szCs w:val="28"/>
          <w:rtl w:val="true"/>
          <w:lang w:bidi="ar-SA"/>
        </w:rPr>
        <w:t xml:space="preserve">وتوهم أن شهرة القول بالندب هنا مرجّحة؛ للأمر فيه بأخذ ما اشتهر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مورده شهرة الرواية لا الفتوى، ولا عموم فيه، مع أن في كل واقعة لم يثبت الشهرة على الندب لا رواية ولا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أخص من المدعى؛ لأنها لا تشمل ما لا نص فيه </w:t>
      </w:r>
      <w:r>
        <w:rPr>
          <w:rStyle w:val="FootnoteAnchor"/>
          <w:rtl w:val="true"/>
        </w:rPr>
        <w:footnoteReference w:id="2150"/>
      </w:r>
      <w:r>
        <w:rPr>
          <w:rFonts w:ascii="Amiri" w:hAnsi="Amiri" w:eastAsia="Amiri" w:cs="Amiri"/>
          <w:color w:val="111111"/>
          <w:sz w:val="28"/>
          <w:sz w:val="28"/>
          <w:szCs w:val="28"/>
          <w:rtl w:val="true"/>
          <w:lang w:bidi="ar-SA"/>
        </w:rPr>
        <w:t>، وان تمسكت بمركب الإجماع</w:t>
      </w:r>
      <w:r>
        <w:rPr>
          <w:rStyle w:val="FootnoteAnchor"/>
          <w:rtl w:val="true"/>
        </w:rPr>
        <w:footnoteReference w:id="2151"/>
      </w:r>
      <w:r>
        <w:rPr>
          <w:rFonts w:ascii="Amiri" w:hAnsi="Amiri" w:eastAsia="Amiri" w:cs="Amiri"/>
          <w:color w:val="111111"/>
          <w:sz w:val="28"/>
          <w:sz w:val="28"/>
          <w:szCs w:val="28"/>
          <w:rtl w:val="true"/>
          <w:lang w:bidi="ar-SA"/>
        </w:rPr>
        <w:t>أمكن قلبه</w:t>
      </w:r>
      <w:r>
        <w:rPr>
          <w:rStyle w:val="FootnoteAnchor"/>
          <w:rtl w:val="true"/>
        </w:rPr>
        <w:footnoteReference w:id="2152"/>
      </w:r>
      <w:r>
        <w:rPr>
          <w:rFonts w:ascii="Amiri" w:hAnsi="Amiri" w:eastAsia="Amiri" w:cs="Amiri"/>
          <w:color w:val="111111"/>
          <w:sz w:val="28"/>
          <w:sz w:val="28"/>
          <w:szCs w:val="28"/>
          <w:rtl w:val="true"/>
          <w:lang w:bidi="ar-SA"/>
        </w:rPr>
        <w:t xml:space="preserve">، مضافاً إلى أن النسبة بينها وبين ما نفى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 تفترقان فيما لا نص فيه، وفيما تعارض فيه نصان أحدهما يأمر</w:t>
      </w:r>
      <w:r>
        <w:rPr>
          <w:rStyle w:val="FootnoteAnchor"/>
          <w:rtl w:val="true"/>
        </w:rPr>
        <w:footnoteReference w:id="2153"/>
      </w:r>
      <w:r>
        <w:rPr>
          <w:rFonts w:ascii="Amiri" w:hAnsi="Amiri" w:eastAsia="Amiri" w:cs="Amiri"/>
          <w:color w:val="111111"/>
          <w:sz w:val="28"/>
          <w:sz w:val="28"/>
          <w:szCs w:val="28"/>
          <w:rtl w:val="true"/>
          <w:lang w:bidi="ar-SA"/>
        </w:rPr>
        <w:t>والآخر ينهى، ومادة الاجتماع ما نحن فيه إذا تعارض فيه نصان، وبعض المرجحات المتقدمة معنا</w:t>
      </w:r>
      <w:r>
        <w:rPr>
          <w:rFonts w:eastAsia="Amiri" w:cs="Amiri" w:ascii="Amiri" w:hAnsi="Amiri"/>
          <w:color w:val="111111"/>
          <w:sz w:val="28"/>
          <w:szCs w:val="28"/>
          <w:rtl w:val="true"/>
          <w:lang w:bidi="ar-SA"/>
        </w:rPr>
        <w:t>.</w:t>
      </w:r>
      <w:r>
        <w:rPr>
          <w:rStyle w:val="FootnoteAnchor"/>
          <w:rtl w:val="true"/>
        </w:rPr>
        <w:footnoteReference w:id="2154"/>
      </w:r>
    </w:p>
    <w:p>
      <w:pPr>
        <w:pStyle w:val="BookText"/>
        <w:rPr/>
      </w:pPr>
      <w:r>
        <w:rPr>
          <w:rFonts w:ascii="Amiri" w:hAnsi="Amiri" w:eastAsia="Amiri" w:cs="Amiri"/>
          <w:color w:val="111111"/>
          <w:sz w:val="28"/>
          <w:sz w:val="28"/>
          <w:szCs w:val="28"/>
          <w:rtl w:val="true"/>
          <w:lang w:bidi="ar-SA"/>
        </w:rPr>
        <w:t xml:space="preserve">وإلى أن التخيير بين الدليلين مسألة أصولية، لا يعمل فيها بالآحاد، سيما مع </w:t>
      </w:r>
      <w:r>
        <w:rPr>
          <w:rStyle w:val="FootnoteAnchor"/>
          <w:rtl w:val="true"/>
        </w:rPr>
        <w:footnoteReference w:id="2155"/>
      </w:r>
      <w:r>
        <w:rPr>
          <w:rFonts w:ascii="Amiri" w:hAnsi="Amiri" w:eastAsia="Amiri" w:cs="Amiri"/>
          <w:color w:val="111111"/>
          <w:sz w:val="28"/>
          <w:sz w:val="28"/>
          <w:szCs w:val="28"/>
          <w:rtl w:val="true"/>
          <w:lang w:bidi="ar-SA"/>
        </w:rPr>
        <w:t>عدم حصول الظن منها؛ لكثرة الخلاف بين الأخبار العلاجية، وإلى منع انصرافها إلى نصين يحكم أحدهما بالوجوب والآخر بالندب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إثبات الندب</w:t>
      </w:r>
      <w:r>
        <w:rPr>
          <w:rStyle w:val="FootnoteAnchor"/>
          <w:rtl w:val="true"/>
        </w:rPr>
        <w:footnoteReference w:id="2156"/>
      </w:r>
      <w:r>
        <w:rPr>
          <w:rFonts w:ascii="Amiri" w:hAnsi="Amiri" w:eastAsia="Amiri" w:cs="Amiri"/>
          <w:color w:val="111111"/>
          <w:sz w:val="28"/>
          <w:sz w:val="28"/>
          <w:szCs w:val="28"/>
          <w:rtl w:val="true"/>
          <w:lang w:bidi="ar-SA"/>
        </w:rPr>
        <w:t xml:space="preserve">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المعظم</w:t>
      </w:r>
      <w:r>
        <w:rPr>
          <w:rStyle w:val="FootnoteAnchor"/>
          <w:rtl w:val="true"/>
        </w:rPr>
        <w:footnoteReference w:id="2157"/>
      </w:r>
      <w:r>
        <w:rPr>
          <w:rFonts w:ascii="IRNazanin" w:hAnsi="IRNazanin" w:eastAsia="IRNazanin"/>
          <w:color w:val="111111"/>
          <w:sz w:val="28"/>
          <w:sz w:val="28"/>
          <w:szCs w:val="28"/>
          <w:rtl w:val="true"/>
          <w:lang w:bidi="fa-IR"/>
        </w:rPr>
        <w:t xml:space="preserve">، وبناء </w:t>
      </w:r>
    </w:p>
    <w:p>
      <w:pPr>
        <w:pStyle w:val="BookText"/>
        <w:rPr/>
      </w:pPr>
      <w:r>
        <w:rPr>
          <w:rFonts w:ascii="IRNazanin" w:hAnsi="IRNazanin" w:eastAsia="IRNazanin"/>
          <w:color w:val="111111"/>
          <w:sz w:val="28"/>
          <w:sz w:val="28"/>
          <w:szCs w:val="28"/>
          <w:rtl w:val="true"/>
          <w:lang w:bidi="fa-IR"/>
        </w:rPr>
        <w:t>العقلاء، وخبر التسامح</w:t>
      </w:r>
      <w:r>
        <w:rPr>
          <w:rStyle w:val="FootnoteAnchor"/>
          <w:rtl w:val="true"/>
        </w:rPr>
        <w:footnoteReference w:id="2158"/>
      </w:r>
      <w:r>
        <w:rPr>
          <w:rFonts w:ascii="Amiri" w:hAnsi="Amiri" w:eastAsia="Amiri" w:cs="Amiri"/>
          <w:color w:val="111111"/>
          <w:sz w:val="28"/>
          <w:sz w:val="28"/>
          <w:szCs w:val="28"/>
          <w:rtl w:val="true"/>
          <w:lang w:bidi="ar-SA"/>
        </w:rPr>
        <w:t>، بل الأولوية بالنسبة إلى التسامح في محتمل الندب</w:t>
      </w:r>
      <w:r>
        <w:rPr>
          <w:rStyle w:val="FootnoteAnchor"/>
          <w:rtl w:val="true"/>
        </w:rPr>
        <w:footnoteReference w:id="2159"/>
      </w:r>
      <w:r>
        <w:rPr>
          <w:rFonts w:ascii="Amiri" w:hAnsi="Amiri" w:eastAsia="Amiri" w:cs="Amiri"/>
          <w:color w:val="111111"/>
          <w:sz w:val="28"/>
          <w:sz w:val="28"/>
          <w:szCs w:val="28"/>
          <w:rtl w:val="true"/>
          <w:lang w:bidi="ar-SA"/>
        </w:rPr>
        <w:t xml:space="preserve">وإن لم يكن نصّ، وانّ </w:t>
      </w:r>
      <w:r>
        <w:rPr>
          <w:rStyle w:val="FootnoteAnchor"/>
          <w:rtl w:val="true"/>
        </w:rPr>
        <w:footnoteReference w:id="2160"/>
      </w:r>
      <w:r>
        <w:rPr>
          <w:rFonts w:ascii="Amiri" w:hAnsi="Amiri" w:eastAsia="Amiri" w:cs="Amiri"/>
          <w:color w:val="111111"/>
          <w:sz w:val="28"/>
          <w:sz w:val="28"/>
          <w:szCs w:val="28"/>
          <w:rtl w:val="true"/>
          <w:lang w:bidi="ar-SA"/>
        </w:rPr>
        <w:t>المطلوبية ثابتة من</w:t>
      </w:r>
      <w:r>
        <w:rPr>
          <w:rStyle w:val="FootnoteAnchor"/>
          <w:rtl w:val="true"/>
        </w:rPr>
        <w:footnoteReference w:id="2161"/>
      </w:r>
      <w:r>
        <w:rPr>
          <w:rFonts w:ascii="Amiri" w:hAnsi="Amiri" w:eastAsia="Amiri" w:cs="Amiri"/>
          <w:color w:val="111111"/>
          <w:sz w:val="28"/>
          <w:sz w:val="28"/>
          <w:szCs w:val="28"/>
          <w:rtl w:val="true"/>
          <w:lang w:bidi="ar-SA"/>
        </w:rPr>
        <w:t>اتفاق الأمارتين، والمنع عن الترك منتف بحسب</w:t>
      </w:r>
      <w:r>
        <w:rPr>
          <w:rStyle w:val="FootnoteAnchor"/>
          <w:rtl w:val="true"/>
        </w:rPr>
        <w:footnoteReference w:id="2162"/>
      </w:r>
      <w:r>
        <w:rPr>
          <w:rFonts w:ascii="Amiri" w:hAnsi="Amiri" w:eastAsia="Amiri" w:cs="Amiri"/>
          <w:color w:val="111111"/>
          <w:sz w:val="28"/>
          <w:sz w:val="28"/>
          <w:szCs w:val="28"/>
          <w:rtl w:val="true"/>
          <w:lang w:bidi="ar-SA"/>
        </w:rPr>
        <w:t xml:space="preserve">الظاهر لما مرَّ </w:t>
      </w:r>
      <w:r>
        <w:rPr>
          <w:rStyle w:val="FootnoteAnchor"/>
          <w:rtl w:val="true"/>
        </w:rPr>
        <w:footnoteReference w:id="2163"/>
      </w:r>
      <w:r>
        <w:rPr>
          <w:rFonts w:ascii="Amiri" w:hAnsi="Amiri" w:eastAsia="Amiri" w:cs="Amiri"/>
          <w:color w:val="111111"/>
          <w:sz w:val="28"/>
          <w:sz w:val="28"/>
          <w:szCs w:val="28"/>
          <w:rtl w:val="true"/>
          <w:lang w:bidi="ar-SA"/>
        </w:rPr>
        <w:t>، فتعيّن تحقق الطلب في ضمن فصل الندب الظاهري، بعد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ثالثة وهي أن كل مطلوب واقعي مطلوب ظاهري، فتأمل </w:t>
      </w:r>
      <w:bookmarkStart w:id="657" w:name="pg9015_97713"/>
    </w:p>
    <w:p>
      <w:pPr>
        <w:pStyle w:val="Heading2"/>
        <w:numPr>
          <w:ilvl w:val="1"/>
          <w:numId w:val="1"/>
        </w:numPr>
        <w:rPr/>
      </w:pPr>
      <w:bookmarkStart w:id="658" w:name="__RefHeading___Toc2001801_2870459653"/>
      <w:bookmarkStart w:id="659" w:name="_Toc250"/>
      <w:bookmarkEnd w:id="657"/>
      <w:bookmarkEnd w:id="658"/>
      <w:r>
        <w:rPr>
          <w:rtl w:val="true"/>
        </w:rPr>
        <w:t xml:space="preserve">أصل </w:t>
      </w:r>
      <w:r>
        <w:rPr>
          <w:rtl w:val="true"/>
        </w:rPr>
        <w:t>[</w:t>
      </w:r>
      <w:r>
        <w:rPr>
          <w:rtl w:val="true"/>
        </w:rPr>
        <w:t>في الشبهة الوجوبية ودوران الأمر بين الأقل والأكثر الارتباطيين مع كون الشبهة مرادية</w:t>
      </w:r>
      <w:r>
        <w:rPr>
          <w:rtl w:val="true"/>
        </w:rPr>
        <w:t>]</w:t>
      </w:r>
      <w:bookmarkEnd w:id="659"/>
    </w:p>
    <w:p>
      <w:pPr>
        <w:pStyle w:val="Heading3"/>
        <w:numPr>
          <w:ilvl w:val="2"/>
          <w:numId w:val="1"/>
        </w:numPr>
        <w:rPr/>
      </w:pPr>
      <w:bookmarkStart w:id="660" w:name="__RefHeading___Toc2001803_2870459653"/>
      <w:bookmarkStart w:id="661" w:name="_Toc251"/>
      <w:bookmarkEnd w:id="660"/>
      <w:r>
        <w:rPr>
          <w:rtl w:val="true"/>
        </w:rPr>
        <w:t>اشارة</w:t>
      </w:r>
      <w:bookmarkEnd w:id="661"/>
    </w:p>
    <w:p>
      <w:pPr>
        <w:pStyle w:val="BookText"/>
        <w:rPr/>
      </w:pPr>
      <w:r>
        <w:rPr>
          <w:rFonts w:ascii="IRNazanin" w:hAnsi="IRNazanin" w:eastAsia="IRNazanin"/>
          <w:color w:val="111111"/>
          <w:sz w:val="28"/>
          <w:sz w:val="28"/>
          <w:szCs w:val="28"/>
          <w:rtl w:val="true"/>
          <w:lang w:bidi="fa-IR"/>
        </w:rPr>
        <w:t>أصل</w:t>
      </w:r>
      <w:r>
        <w:rPr>
          <w:rStyle w:val="FootnoteAnchor"/>
          <w:rtl w:val="true"/>
        </w:rPr>
        <w:footnoteReference w:id="2164"/>
      </w:r>
    </w:p>
    <w:p>
      <w:pPr>
        <w:pStyle w:val="BookText"/>
        <w:rPr/>
      </w:pPr>
      <w:r>
        <w:rPr>
          <w:rFonts w:ascii="IRNazanin" w:hAnsi="IRNazanin" w:eastAsia="IRNazanin"/>
          <w:color w:val="111111"/>
          <w:sz w:val="28"/>
          <w:sz w:val="28"/>
          <w:szCs w:val="28"/>
          <w:rtl w:val="true"/>
          <w:lang w:bidi="fa-IR"/>
        </w:rPr>
        <w:t>اذا علمنا</w:t>
      </w:r>
      <w:r>
        <w:rPr>
          <w:rStyle w:val="FootnoteAnchor"/>
          <w:rtl w:val="true"/>
        </w:rPr>
        <w:footnoteReference w:id="2165"/>
      </w:r>
      <w:r>
        <w:rPr>
          <w:rFonts w:ascii="Amiri" w:hAnsi="Amiri" w:eastAsia="Amiri" w:cs="Amiri"/>
          <w:color w:val="111111"/>
          <w:sz w:val="28"/>
          <w:sz w:val="28"/>
          <w:szCs w:val="28"/>
          <w:rtl w:val="true"/>
          <w:lang w:bidi="ar-SA"/>
        </w:rPr>
        <w:t>في الشبهة الوجوبية بالتكليف إجمالاً، و</w:t>
      </w:r>
      <w:r>
        <w:rPr>
          <w:rStyle w:val="FootnoteAnchor"/>
          <w:rtl w:val="true"/>
        </w:rPr>
        <w:footnoteReference w:id="2166"/>
      </w:r>
      <w:r>
        <w:rPr>
          <w:rFonts w:ascii="Amiri" w:hAnsi="Amiri" w:eastAsia="Amiri" w:cs="Amiri"/>
          <w:color w:val="111111"/>
          <w:sz w:val="28"/>
          <w:sz w:val="28"/>
          <w:szCs w:val="28"/>
          <w:rtl w:val="true"/>
          <w:lang w:bidi="ar-SA"/>
        </w:rPr>
        <w:t xml:space="preserve">دار الأمر بين الأقل والأكثر، وكانا ارتباطيين، وكانت الشبهة مرادية، وكان إتيان الأكثر قدراً متيقناً في الامتثال، فقيل فيه بالبراءة </w:t>
      </w:r>
      <w:r>
        <w:rPr>
          <w:rStyle w:val="FootnoteAnchor"/>
          <w:rtl w:val="true"/>
        </w:rPr>
        <w:footnoteReference w:id="2167"/>
      </w:r>
      <w:r>
        <w:rPr>
          <w:rFonts w:ascii="Amiri" w:hAnsi="Amiri" w:eastAsia="Amiri" w:cs="Amiri"/>
          <w:color w:val="111111"/>
          <w:sz w:val="28"/>
          <w:sz w:val="28"/>
          <w:szCs w:val="28"/>
          <w:rtl w:val="true"/>
          <w:lang w:bidi="ar-SA"/>
        </w:rPr>
        <w:t>، وقيل بوجوب الاحتياط</w:t>
      </w:r>
      <w:r>
        <w:rPr>
          <w:rFonts w:eastAsia="Amiri" w:cs="Amiri" w:ascii="Amiri" w:hAnsi="Amiri"/>
          <w:color w:val="111111"/>
          <w:sz w:val="28"/>
          <w:szCs w:val="28"/>
          <w:rtl w:val="true"/>
          <w:lang w:bidi="ar-SA"/>
        </w:rPr>
        <w:t>.</w:t>
      </w:r>
      <w:r>
        <w:rPr>
          <w:rStyle w:val="FootnoteAnchor"/>
          <w:rtl w:val="true"/>
        </w:rPr>
        <w:footnoteReference w:id="2168"/>
      </w:r>
    </w:p>
    <w:p>
      <w:pPr>
        <w:pStyle w:val="Heading3"/>
        <w:numPr>
          <w:ilvl w:val="2"/>
          <w:numId w:val="1"/>
        </w:numPr>
        <w:rPr/>
      </w:pPr>
      <w:bookmarkStart w:id="662" w:name="__RefHeading___Toc2001805_2870459653"/>
      <w:bookmarkStart w:id="663" w:name="_Toc252"/>
      <w:bookmarkEnd w:id="662"/>
      <w:r>
        <w:rPr>
          <w:rtl w:val="true"/>
        </w:rPr>
        <w:t>[</w:t>
      </w:r>
      <w:r>
        <w:rPr>
          <w:rtl w:val="true"/>
        </w:rPr>
        <w:t>تحرير محل النزاع</w:t>
      </w:r>
      <w:r>
        <w:rPr>
          <w:rtl w:val="true"/>
        </w:rPr>
        <w:t>]</w:t>
      </w:r>
      <w:bookmarkEnd w:id="663"/>
    </w:p>
    <w:p>
      <w:pPr>
        <w:pStyle w:val="BookText"/>
        <w:rPr/>
      </w:pPr>
      <w:r>
        <w:rPr>
          <w:rFonts w:ascii="Amiri" w:hAnsi="Amiri" w:eastAsia="Amiri" w:cs="Amiri"/>
          <w:color w:val="111111"/>
          <w:sz w:val="28"/>
          <w:sz w:val="28"/>
          <w:szCs w:val="28"/>
          <w:rtl w:val="true"/>
          <w:lang w:bidi="ar-SA"/>
        </w:rPr>
        <w:t>وإطلاق كلامهم يشمل ما إذا كان المشكوك فيه مما يعلم أنه على فرض الوجوب جزء غير ركن، أو جزء ركني، أو يشك فيه من وجهين، وعليه يحصل التناقض بين خلافهم هنا، ووفاقهم في بحث الصحيح والأعمّ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لو شك في ركنية شيء للصلاة مثلاً، كان الأصل مقتضاه الركنية، إلّا أن يكون النزاع هناك مختصاً بالمحتاطين في هذه المسألة، لكن لازمه أن لا يقول أحد</w:t>
      </w:r>
      <w:r>
        <w:rPr>
          <w:rStyle w:val="FootnoteAnchor"/>
          <w:rtl w:val="true"/>
        </w:rPr>
        <w:footnoteReference w:id="2169"/>
      </w:r>
      <w:r>
        <w:rPr>
          <w:rFonts w:ascii="Amiri" w:hAnsi="Amiri" w:eastAsia="Amiri" w:cs="Amiri"/>
          <w:color w:val="111111"/>
          <w:sz w:val="28"/>
          <w:sz w:val="28"/>
          <w:szCs w:val="28"/>
          <w:rtl w:val="true"/>
          <w:lang w:bidi="ar-SA"/>
        </w:rPr>
        <w:t xml:space="preserve">من الصحيحيين بالبراءة، مع أن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بملاحظة ضمّ الشهرتين؛ إذ عن المشهور هناك القول بالصحة</w:t>
      </w:r>
      <w:r>
        <w:rPr>
          <w:rFonts w:eastAsia="Amiri" w:cs="Amiri" w:ascii="Amiri" w:hAnsi="Amiri"/>
          <w:color w:val="111111"/>
          <w:sz w:val="28"/>
          <w:szCs w:val="28"/>
          <w:rtl w:val="true"/>
          <w:lang w:bidi="ar-SA"/>
        </w:rPr>
        <w:t>)</w:t>
      </w:r>
      <w:r>
        <w:rPr>
          <w:rStyle w:val="FootnoteAnchor"/>
          <w:rtl w:val="true"/>
        </w:rPr>
        <w:footnoteReference w:id="2170"/>
      </w:r>
      <w:r>
        <w:rPr>
          <w:rFonts w:ascii="Amiri" w:hAnsi="Amiri" w:eastAsia="Amiri" w:cs="Amiri"/>
          <w:color w:val="111111"/>
          <w:sz w:val="28"/>
          <w:sz w:val="28"/>
          <w:szCs w:val="28"/>
          <w:rtl w:val="true"/>
          <w:lang w:bidi="ar-SA"/>
        </w:rPr>
        <w:t>، وهنا المشهور هو القول بالبراءة</w:t>
      </w:r>
      <w:r>
        <w:rPr>
          <w:rFonts w:eastAsia="Amiri" w:cs="Amiri" w:ascii="Amiri" w:hAnsi="Amiri"/>
          <w:color w:val="111111"/>
          <w:sz w:val="28"/>
          <w:szCs w:val="28"/>
          <w:rtl w:val="true"/>
          <w:lang w:bidi="ar-SA"/>
        </w:rPr>
        <w:t>.</w:t>
      </w:r>
      <w:r>
        <w:rPr>
          <w:rStyle w:val="FootnoteAnchor"/>
          <w:rtl w:val="true"/>
        </w:rPr>
        <w:footnoteReference w:id="2171"/>
      </w:r>
      <w:bookmarkStart w:id="664" w:name="pg9015_97714"/>
    </w:p>
    <w:p>
      <w:pPr>
        <w:pStyle w:val="BookText"/>
        <w:rPr/>
      </w:pPr>
      <w:bookmarkEnd w:id="66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تكون الشهرة هناك من المتنازعين هناك لا من كل العلماء، مع إمكان منع الوفاق هناك على الركنية، بل الظاهر وفاقهم على عدم جريان أصالة عدم الركنية المسببة من الإطلاق؛ لإجمال اللفظ حينئذ </w:t>
      </w:r>
      <w:r>
        <w:rPr>
          <w:rStyle w:val="FootnoteAnchor"/>
          <w:rtl w:val="true"/>
        </w:rPr>
        <w:footnoteReference w:id="2172"/>
      </w:r>
      <w:r>
        <w:rPr>
          <w:rFonts w:ascii="Amiri" w:hAnsi="Amiri" w:eastAsia="Amiri" w:cs="Amiri"/>
          <w:color w:val="111111"/>
          <w:sz w:val="28"/>
          <w:sz w:val="28"/>
          <w:szCs w:val="28"/>
          <w:rtl w:val="true"/>
          <w:lang w:bidi="ar-SA"/>
        </w:rPr>
        <w:t>عند الفريقين، لا عدم جريان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بوجوه أخر ليس شيء منها بشيء</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2001807_2870459653"/>
      <w:bookmarkStart w:id="666" w:name="_Toc253"/>
      <w:bookmarkEnd w:id="665"/>
      <w:r>
        <w:rPr>
          <w:rtl w:val="true"/>
        </w:rPr>
        <w:t>[</w:t>
      </w:r>
      <w:r>
        <w:rPr>
          <w:rtl w:val="true"/>
        </w:rPr>
        <w:t>تأسيس الأصل</w:t>
      </w:r>
      <w:r>
        <w:rPr>
          <w:rtl w:val="true"/>
        </w:rPr>
        <w:t>]</w:t>
      </w:r>
      <w:bookmarkEnd w:id="666"/>
    </w:p>
    <w:p>
      <w:pPr>
        <w:pStyle w:val="BookText"/>
        <w:rPr/>
      </w:pPr>
      <w:r>
        <w:rPr>
          <w:rFonts w:ascii="Amiri" w:hAnsi="Amiri" w:eastAsia="Amiri" w:cs="Amiri"/>
          <w:color w:val="111111"/>
          <w:sz w:val="28"/>
          <w:sz w:val="28"/>
          <w:szCs w:val="28"/>
          <w:rtl w:val="true"/>
          <w:lang w:bidi="ar-SA"/>
        </w:rPr>
        <w:t>ثم مقتضى القواعد في القسم الأول القول بالاحتياط؛ لاستصحاب بقاء الأمر لو لم يات بالأكثر ، وان أتى بالأقل</w:t>
      </w:r>
      <w:r>
        <w:rPr>
          <w:rFonts w:eastAsia="Amiri" w:cs="Amiri" w:ascii="Amiri" w:hAnsi="Amiri"/>
          <w:color w:val="111111"/>
          <w:sz w:val="28"/>
          <w:szCs w:val="28"/>
          <w:rtl w:val="true"/>
          <w:lang w:bidi="ar-SA"/>
        </w:rPr>
        <w:t>.</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ولو قيل في دفع جريان الاستصحاب إن المستصحب إن كان هو الأكثر، أو الأمر النفس الأمري، فلا يقين بتعلق التكليف بهما في زمان حتى</w:t>
      </w:r>
      <w:r>
        <w:rPr>
          <w:rStyle w:val="FootnoteAnchor"/>
          <w:rtl w:val="true"/>
        </w:rPr>
        <w:footnoteReference w:id="2174"/>
      </w:r>
      <w:r>
        <w:rPr>
          <w:rFonts w:ascii="Amiri" w:hAnsi="Amiri" w:eastAsia="Amiri" w:cs="Amiri"/>
          <w:color w:val="111111"/>
          <w:sz w:val="28"/>
          <w:sz w:val="28"/>
          <w:szCs w:val="28"/>
          <w:rtl w:val="true"/>
          <w:lang w:bidi="ar-SA"/>
        </w:rPr>
        <w:t>يستصحب، أو الأقل فقد أتى به، وفي دفع حجيته بأن الشك في المقتضي، أو في قدح العارض، و</w:t>
      </w:r>
      <w:r>
        <w:rPr>
          <w:rStyle w:val="FootnoteAnchor"/>
          <w:rtl w:val="true"/>
        </w:rPr>
        <w:footnoteReference w:id="2175"/>
      </w:r>
      <w:r>
        <w:rPr>
          <w:rFonts w:ascii="Amiri" w:hAnsi="Amiri" w:eastAsia="Amiri" w:cs="Amiri"/>
          <w:color w:val="111111"/>
          <w:sz w:val="28"/>
          <w:sz w:val="28"/>
          <w:szCs w:val="28"/>
          <w:rtl w:val="true"/>
          <w:lang w:bidi="ar-SA"/>
        </w:rPr>
        <w:t>ليس الاستصحاب فيه حجة، وفي دفع سلامته عن المعارض بمعارضته باستصحاب عدم الأمر بالجزء المشكوك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اشتراكنا مع الحاضر حتى فيما علم المأمور به إجمالاً معلوم، ولا أقل من الشك في الاشتراك؛ إذ لا دليل على عدمه أيضاً، بل بقاء الأمر بالأقل أيضاً مشكوك؛ لمكان </w:t>
      </w:r>
      <w:r>
        <w:rPr>
          <w:rStyle w:val="FootnoteAnchor"/>
          <w:rtl w:val="true"/>
        </w:rPr>
        <w:footnoteReference w:id="2176"/>
      </w:r>
      <w:r>
        <w:rPr>
          <w:rFonts w:ascii="Amiri" w:hAnsi="Amiri" w:eastAsia="Amiri" w:cs="Amiri"/>
          <w:color w:val="111111"/>
          <w:sz w:val="28"/>
          <w:sz w:val="28"/>
          <w:szCs w:val="28"/>
          <w:rtl w:val="true"/>
          <w:lang w:bidi="ar-SA"/>
        </w:rPr>
        <w:t>الارتباط فيستصحب، وان الاستصحاب حجة سواء كان الشك في المقتضي أو المانع بأقسامه، كما سيجيء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الأغلب في الجزء المشكوك كون الشك في الحادث</w:t>
      </w:r>
      <w:r>
        <w:rPr>
          <w:rStyle w:val="FootnoteAnchor"/>
          <w:rtl w:val="true"/>
        </w:rPr>
        <w:footnoteReference w:id="2177"/>
      </w:r>
      <w:r>
        <w:rPr>
          <w:rFonts w:ascii="Amiri" w:hAnsi="Amiri" w:eastAsia="Amiri" w:cs="Amiri"/>
          <w:color w:val="111111"/>
          <w:sz w:val="28"/>
          <w:sz w:val="28"/>
          <w:szCs w:val="28"/>
          <w:rtl w:val="true"/>
          <w:lang w:bidi="ar-SA"/>
        </w:rPr>
        <w:t>، مع مع أن اعتبار الاستصحاب في التبعيات أول الكلام ، بل هذا الاستصحاب لا يكافئ الاستصحاب السابق؛ لأنه مثبت</w:t>
      </w:r>
      <w:r>
        <w:rPr>
          <w:rStyle w:val="FootnoteAnchor"/>
          <w:rtl w:val="true"/>
        </w:rPr>
        <w:footnoteReference w:id="2178"/>
      </w:r>
      <w:r>
        <w:rPr>
          <w:rFonts w:ascii="IRNazanin" w:hAnsi="IRNazanin" w:eastAsia="IRNazanin"/>
          <w:color w:val="111111"/>
          <w:sz w:val="28"/>
          <w:sz w:val="28"/>
          <w:szCs w:val="28"/>
          <w:rtl w:val="true"/>
          <w:lang w:bidi="fa-IR"/>
        </w:rPr>
        <w:t>، ومتبوع</w:t>
      </w:r>
      <w:r>
        <w:rPr>
          <w:rFonts w:eastAsia="IRNazanin" w:cs="IRNazanin"/>
          <w:color w:val="111111"/>
          <w:sz w:val="28"/>
          <w:szCs w:val="28"/>
          <w:rtl w:val="true"/>
          <w:lang w:bidi="fa-IR"/>
        </w:rPr>
        <w:t>.</w:t>
      </w:r>
      <w:r>
        <w:rPr>
          <w:rStyle w:val="FootnoteAnchor"/>
          <w:rtl w:val="true"/>
        </w:rPr>
        <w:footnoteReference w:id="2179"/>
      </w:r>
    </w:p>
    <w:p>
      <w:pPr>
        <w:pStyle w:val="BookText"/>
        <w:rPr/>
      </w:pPr>
      <w:r>
        <w:rPr>
          <w:rFonts w:ascii="Amiri" w:hAnsi="Amiri" w:eastAsia="Amiri" w:cs="Amiri"/>
          <w:color w:val="111111"/>
          <w:sz w:val="28"/>
          <w:sz w:val="28"/>
          <w:szCs w:val="28"/>
          <w:rtl w:val="true"/>
          <w:lang w:bidi="ar-SA"/>
        </w:rPr>
        <w:t>ولقاعدة الاشتغال؛ إذ الشك في بقاء التكليف لا في أصله، و</w:t>
      </w:r>
      <w:r>
        <w:rPr>
          <w:rStyle w:val="FootnoteAnchor"/>
          <w:rtl w:val="true"/>
        </w:rPr>
        <w:footnoteReference w:id="2180"/>
      </w:r>
      <w:r>
        <w:rPr>
          <w:rFonts w:ascii="Amiri" w:hAnsi="Amiri" w:eastAsia="Amiri" w:cs="Amiri"/>
          <w:color w:val="111111"/>
          <w:sz w:val="28"/>
          <w:sz w:val="28"/>
          <w:szCs w:val="28"/>
          <w:rtl w:val="true"/>
          <w:lang w:bidi="ar-SA"/>
        </w:rPr>
        <w:t xml:space="preserve">الدليل على نفس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صغراها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وبناء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والقوة العاقلة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ولبناء العقلاء</w:t>
      </w:r>
      <w:r>
        <w:rPr>
          <w:rFonts w:eastAsia="IRNazanin" w:cs="IRNazanin"/>
          <w:color w:val="111111"/>
          <w:sz w:val="28"/>
          <w:szCs w:val="28"/>
          <w:rtl w:val="true"/>
          <w:lang w:bidi="fa-IR"/>
        </w:rPr>
        <w:t>)</w:t>
      </w:r>
      <w:r>
        <w:rPr>
          <w:rStyle w:val="FootnoteAnchor"/>
          <w:rtl w:val="true"/>
        </w:rPr>
        <w:footnoteReference w:id="2181"/>
      </w:r>
      <w:r>
        <w:rPr>
          <w:rFonts w:ascii="Amiri" w:hAnsi="Amiri" w:eastAsia="Amiri" w:cs="Amiri"/>
          <w:color w:val="111111"/>
          <w:sz w:val="28"/>
          <w:sz w:val="28"/>
          <w:szCs w:val="28"/>
          <w:rtl w:val="true"/>
          <w:lang w:bidi="ar-SA"/>
        </w:rPr>
        <w:t xml:space="preserve">على الاحتياط فيما إذا شك في الجزئية، ولاخبار الاحتياط المنجبرة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w:t>
      </w:r>
      <w:r>
        <w:rPr>
          <w:rStyle w:val="FootnoteAnchor"/>
          <w:rtl w:val="true"/>
        </w:rPr>
        <w:footnoteReference w:id="2182"/>
      </w:r>
      <w:r>
        <w:rPr>
          <w:rFonts w:ascii="Amiri" w:hAnsi="Amiri" w:eastAsia="Amiri" w:cs="Amiri"/>
          <w:color w:val="111111"/>
          <w:sz w:val="28"/>
          <w:sz w:val="28"/>
          <w:szCs w:val="28"/>
          <w:rtl w:val="true"/>
          <w:lang w:bidi="ar-SA"/>
        </w:rPr>
        <w:t>، ولا بأس بدوران الأمر فيها</w:t>
      </w:r>
      <w:r>
        <w:rPr>
          <w:rStyle w:val="FootnoteAnchor"/>
          <w:rtl w:val="true"/>
        </w:rPr>
        <w:footnoteReference w:id="2183"/>
      </w:r>
      <w:r>
        <w:rPr>
          <w:rFonts w:ascii="Amiri" w:hAnsi="Amiri" w:eastAsia="Amiri" w:cs="Amiri"/>
          <w:color w:val="111111"/>
          <w:sz w:val="28"/>
          <w:sz w:val="28"/>
          <w:szCs w:val="28"/>
          <w:rtl w:val="true"/>
          <w:lang w:bidi="ar-SA"/>
        </w:rPr>
        <w:t xml:space="preserve">بين التخصيص وارتكاب المجاز </w:t>
      </w:r>
      <w:r>
        <w:rPr>
          <w:rStyle w:val="FootnoteAnchor"/>
          <w:rtl w:val="true"/>
        </w:rPr>
        <w:footnoteReference w:id="2184"/>
      </w:r>
      <w:r>
        <w:rPr>
          <w:rFonts w:ascii="Amiri" w:hAnsi="Amiri" w:eastAsia="Amiri" w:cs="Amiri"/>
          <w:color w:val="111111"/>
          <w:sz w:val="28"/>
          <w:sz w:val="28"/>
          <w:szCs w:val="28"/>
          <w:rtl w:val="true"/>
          <w:lang w:bidi="ar-SA"/>
        </w:rPr>
        <w:t xml:space="preserve">الشائع وهو الندب، وكون هذا التخصيص تخصيصاً للأكثر ؛ لفهم العرف تقديم الأول إذا بقي من الأفراد تحت العام ما يعتمد به، مع إمكان منع كون ذلك من تخصيص الأكثر </w:t>
      </w:r>
      <w:r>
        <w:rPr>
          <w:rStyle w:val="FootnoteAnchor"/>
          <w:rtl w:val="true"/>
        </w:rPr>
        <w:footnoteReference w:id="2185"/>
      </w:r>
      <w:r>
        <w:rPr>
          <w:rFonts w:ascii="Amiri" w:hAnsi="Amiri" w:eastAsia="Amiri" w:cs="Amiri"/>
          <w:color w:val="111111"/>
          <w:sz w:val="28"/>
          <w:sz w:val="28"/>
          <w:szCs w:val="28"/>
          <w:rtl w:val="true"/>
          <w:lang w:bidi="ar-SA"/>
        </w:rPr>
        <w:t xml:space="preserve">، ولقاعدة دفع الضرر، وقاعدة المقدمية </w:t>
      </w:r>
      <w:r>
        <w:rPr>
          <w:rFonts w:eastAsia="Amiri" w:cs="Amiri" w:ascii="Amiri" w:hAnsi="Amiri"/>
          <w:color w:val="111111"/>
          <w:sz w:val="28"/>
          <w:szCs w:val="28"/>
          <w:rtl w:val="true"/>
          <w:lang w:bidi="ar-SA"/>
        </w:rPr>
        <w:t>.</w:t>
      </w:r>
      <w:r>
        <w:rPr>
          <w:rStyle w:val="FootnoteAnchor"/>
          <w:rtl w:val="true"/>
        </w:rPr>
        <w:footnoteReference w:id="218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عسر ؛ للزوم قصد الوجه</w:t>
      </w:r>
      <w:r>
        <w:rPr>
          <w:rStyle w:val="FootnoteAnchor"/>
          <w:rtl w:val="true"/>
        </w:rPr>
        <w:footnoteReference w:id="2187"/>
      </w:r>
      <w:r>
        <w:rPr>
          <w:rFonts w:ascii="Amiri" w:hAnsi="Amiri" w:eastAsia="Amiri" w:cs="Amiri"/>
          <w:color w:val="111111"/>
          <w:sz w:val="28"/>
          <w:sz w:val="28"/>
          <w:szCs w:val="28"/>
          <w:rtl w:val="true"/>
          <w:lang w:bidi="ar-SA"/>
        </w:rPr>
        <w:t xml:space="preserve">، أو لكثرة الشبهات، مع </w:t>
      </w:r>
    </w:p>
    <w:p>
      <w:pPr>
        <w:pStyle w:val="BookText"/>
        <w:rPr/>
      </w:pPr>
      <w:r>
        <w:rPr>
          <w:rFonts w:ascii="Amiri" w:hAnsi="Amiri" w:eastAsia="Amiri" w:cs="Amiri"/>
          <w:color w:val="111111"/>
          <w:sz w:val="28"/>
          <w:sz w:val="28"/>
          <w:szCs w:val="28"/>
          <w:rtl w:val="true"/>
          <w:lang w:bidi="ar-SA"/>
        </w:rPr>
        <w:t xml:space="preserve">أن الغالب في المطلوبات الشرعية عدم الوجوب، مع </w:t>
      </w:r>
      <w:r>
        <w:rPr>
          <w:rStyle w:val="FootnoteAnchor"/>
          <w:rtl w:val="true"/>
        </w:rPr>
        <w:footnoteReference w:id="2188"/>
      </w:r>
      <w:r>
        <w:rPr>
          <w:rFonts w:ascii="Amiri" w:hAnsi="Amiri" w:eastAsia="Amiri" w:cs="Amiri"/>
          <w:color w:val="111111"/>
          <w:sz w:val="28"/>
          <w:sz w:val="28"/>
          <w:szCs w:val="28"/>
          <w:rtl w:val="true"/>
          <w:lang w:bidi="ar-SA"/>
        </w:rPr>
        <w:t xml:space="preserve">قبح الأمر بالمركب المجعول للآمر الا بعد بيان الأجزاء المجعولة، مع استصحاب صحة الصلاة مثلا بعد ترك الجزء المشكوك، مع الأخبار المتقدمة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لم يعلموا</w:t>
      </w:r>
      <w:r>
        <w:rPr>
          <w:rFonts w:eastAsia="Amiri" w:cs="Amiri" w:ascii="Amiri" w:hAnsi="Amiri"/>
          <w:color w:val="111111"/>
          <w:sz w:val="28"/>
          <w:szCs w:val="28"/>
          <w:rtl w:val="true"/>
          <w:lang w:bidi="ar-SA"/>
        </w:rPr>
        <w:t>».</w:t>
      </w:r>
      <w:r>
        <w:rPr>
          <w:rStyle w:val="FootnoteAnchor"/>
          <w:rtl w:val="true"/>
        </w:rPr>
        <w:footnoteReference w:id="2189"/>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عدم وجوب قصد الوجه</w:t>
      </w:r>
      <w:r>
        <w:rPr>
          <w:rStyle w:val="FootnoteAnchor"/>
          <w:rtl w:val="true"/>
        </w:rPr>
        <w:footnoteReference w:id="21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قصد الوجه</w:t>
      </w:r>
      <w:r>
        <w:rPr>
          <w:rFonts w:eastAsia="IRNazanin" w:cs="IRNazanin"/>
          <w:color w:val="111111"/>
          <w:sz w:val="28"/>
          <w:szCs w:val="28"/>
          <w:rtl w:val="true"/>
          <w:lang w:bidi="fa-IR"/>
        </w:rPr>
        <w:t>)</w:t>
      </w:r>
      <w:r>
        <w:rPr>
          <w:rStyle w:val="FootnoteAnchor"/>
          <w:rtl w:val="true"/>
        </w:rPr>
        <w:footnoteReference w:id="2191"/>
      </w:r>
      <w:r>
        <w:rPr>
          <w:rFonts w:ascii="Amiri" w:hAnsi="Amiri" w:eastAsia="Amiri" w:cs="Amiri"/>
          <w:color w:val="111111"/>
          <w:sz w:val="28"/>
          <w:sz w:val="28"/>
          <w:szCs w:val="28"/>
          <w:rtl w:val="true"/>
          <w:lang w:bidi="ar-SA"/>
        </w:rPr>
        <w:t>الظاهري كاف، ولا نسلّم كثرة المشتبهات بعد القول بالظن المطلق</w:t>
      </w:r>
      <w:r>
        <w:rPr>
          <w:rStyle w:val="FootnoteAnchor"/>
          <w:rtl w:val="true"/>
        </w:rPr>
        <w:footnoteReference w:id="2192"/>
      </w:r>
      <w:r>
        <w:rPr>
          <w:rStyle w:val="FootnoteAnchor"/>
          <w:rtl w:val="true"/>
        </w:rPr>
        <w:footnoteReference w:id="2193"/>
      </w:r>
      <w:r>
        <w:rPr>
          <w:rFonts w:ascii="Amiri" w:hAnsi="Amiri" w:eastAsia="Amiri" w:cs="Amiri"/>
          <w:color w:val="111111"/>
          <w:sz w:val="28"/>
          <w:sz w:val="28"/>
          <w:szCs w:val="28"/>
          <w:rtl w:val="true"/>
          <w:lang w:bidi="ar-SA"/>
        </w:rPr>
        <w:t>، والغلبة المذكورة في أجزاء الماهيات</w:t>
      </w:r>
      <w:r>
        <w:rPr>
          <w:rStyle w:val="FootnoteAnchor"/>
          <w:rtl w:val="true"/>
        </w:rPr>
        <w:footnoteReference w:id="2194"/>
      </w:r>
      <w:r>
        <w:rPr>
          <w:rFonts w:ascii="Amiri" w:hAnsi="Amiri" w:eastAsia="Amiri" w:cs="Amiri"/>
          <w:color w:val="111111"/>
          <w:sz w:val="28"/>
          <w:sz w:val="28"/>
          <w:szCs w:val="28"/>
          <w:rtl w:val="true"/>
          <w:lang w:bidi="ar-SA"/>
        </w:rPr>
        <w:t xml:space="preserve">ممنوعة، والقبح المذكور مسلّم ممنوعة، والقبح المذكور مسلم عند الإجمال الذاتي لا العرضي واستصحاب الصحة إن كان في المشكوك فيه البدوي فلا جريان له مطلقاً </w:t>
      </w:r>
      <w:r>
        <w:rPr>
          <w:rStyle w:val="FootnoteAnchor"/>
          <w:rtl w:val="true"/>
        </w:rPr>
        <w:footnoteReference w:id="2195"/>
      </w:r>
      <w:r>
        <w:rPr>
          <w:rFonts w:ascii="IRNazanin" w:hAnsi="IRNazanin" w:eastAsia="IRNazanin"/>
          <w:color w:val="111111"/>
          <w:sz w:val="28"/>
          <w:sz w:val="28"/>
          <w:szCs w:val="28"/>
          <w:rtl w:val="true"/>
          <w:lang w:bidi="fa-IR"/>
        </w:rPr>
        <w:t xml:space="preserve">، أو </w:t>
      </w:r>
      <w:r>
        <w:rPr>
          <w:rStyle w:val="FootnoteAnchor"/>
          <w:rtl w:val="true"/>
        </w:rPr>
        <w:footnoteReference w:id="2196"/>
      </w:r>
      <w:r>
        <w:rPr>
          <w:rFonts w:ascii="Amiri" w:hAnsi="Amiri" w:eastAsia="Amiri" w:cs="Amiri"/>
          <w:color w:val="111111"/>
          <w:sz w:val="28"/>
          <w:sz w:val="28"/>
          <w:szCs w:val="28"/>
          <w:rtl w:val="true"/>
          <w:lang w:bidi="ar-SA"/>
        </w:rPr>
        <w:t>الأثنائي، فإن كان قبل الدخول في العمل، أو قبل تجاوز محل المشكوك فيه، فلا شك في الصحة؛ فلا استصحاب، أو بعد تجاوز محله كما لوشك في جزئية السورة بعد تركها، والانحناء إلى الركوع</w:t>
      </w:r>
      <w:r>
        <w:rPr>
          <w:rStyle w:val="FootnoteAnchor"/>
          <w:rtl w:val="true"/>
        </w:rPr>
        <w:footnoteReference w:id="2197"/>
      </w:r>
      <w:r>
        <w:rPr>
          <w:rFonts w:ascii="Amiri" w:hAnsi="Amiri" w:eastAsia="Amiri" w:cs="Amiri"/>
          <w:color w:val="111111"/>
          <w:sz w:val="28"/>
          <w:sz w:val="28"/>
          <w:szCs w:val="28"/>
          <w:rtl w:val="true"/>
          <w:lang w:bidi="ar-SA"/>
        </w:rPr>
        <w:t xml:space="preserve">، فإن كان الانحناء إلى الركوع تاركاً للسورة عن سهو، فلا شك في الصحة حتى تستصحب؛ إذ المفروض أن الجزء ليس ركناً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عن اعتقاد بعدم الوجوب اجتهاداً أو تقليداً فكذلك؛ لقاعدة الأجزاء في الأوامر الشرعية، أو بالوجوب فتبطل صلاته بنفس الانحناء، أو عن شك فكيف ينحني إلى الركوع وهو شاك في شرعيته، وأدلة الاحتياط</w:t>
      </w:r>
      <w:r>
        <w:rPr>
          <w:rStyle w:val="FootnoteAnchor"/>
          <w:rtl w:val="true"/>
        </w:rPr>
        <w:footnoteReference w:id="2198"/>
      </w:r>
      <w:r>
        <w:rPr>
          <w:rFonts w:ascii="Amiri" w:hAnsi="Amiri" w:eastAsia="Amiri" w:cs="Amiri"/>
          <w:color w:val="111111"/>
          <w:sz w:val="28"/>
          <w:sz w:val="28"/>
          <w:szCs w:val="28"/>
          <w:rtl w:val="true"/>
          <w:lang w:bidi="ar-SA"/>
        </w:rPr>
        <w:t>حين شكه سليمة عن المعارض، فتفسد بنفس الانحناء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وأخبار البراءة لا تنصرف إلى المعلوم بالإجمال، ولو سلم الانصراف، فالنسبة بينها وبين أخبار الاحتياط عموم من وجه؛ لأن أخبار البراءة تشمل ما دار الأمر فيه بين المحذورين وأخبار الاحتياط الشبهة الموضوعية، و</w:t>
      </w:r>
      <w:r>
        <w:rPr>
          <w:rStyle w:val="FootnoteAnchor"/>
          <w:rtl w:val="true"/>
        </w:rPr>
        <w:footnoteReference w:id="2199"/>
      </w:r>
      <w:r>
        <w:rPr>
          <w:rFonts w:ascii="Amiri" w:hAnsi="Amiri" w:eastAsia="Amiri" w:cs="Amiri"/>
          <w:color w:val="111111"/>
          <w:sz w:val="28"/>
          <w:sz w:val="28"/>
          <w:szCs w:val="28"/>
          <w:rtl w:val="true"/>
          <w:lang w:bidi="ar-SA"/>
        </w:rPr>
        <w:t>في مادة الاجتماع لو لم تترجح أخبار الاحتياط؛ للاعتضاد بما مرَّ ، فلا أقل من التساقط والرجوع إلى أصالة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وللخصم إثبات البراءة تمسكاً بأصالة عدم البيان فيما دار الأمر فيه بين كون المشكوك جزءاً واجباً أو مباحاً، ولم نجد مفصلاً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باستصحاب</w:t>
      </w:r>
      <w:r>
        <w:rPr>
          <w:rStyle w:val="FootnoteAnchor"/>
          <w:rtl w:val="true"/>
        </w:rPr>
        <w:footnoteReference w:id="2200"/>
      </w:r>
      <w:r>
        <w:rPr>
          <w:rFonts w:ascii="Amiri" w:hAnsi="Amiri" w:eastAsia="Amiri" w:cs="Amiri"/>
          <w:color w:val="111111"/>
          <w:sz w:val="28"/>
          <w:sz w:val="28"/>
          <w:szCs w:val="28"/>
          <w:rtl w:val="true"/>
          <w:lang w:bidi="ar-SA"/>
        </w:rPr>
        <w:t>الصحة، أو الأمر بالاتمام إذا كان المشكوك فيه مما دار الأمر فيه بين كونه جزءاً ركنياً أم غير جزء، ولا يعارضهما استصحاب الأمر بالصلاة؛ إما لكونه مزالاً، أو لأنه قبل إتمام الصلاة لا شك في بقاء الأمر، فتأمل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مرَّ ظهر حكم صور الشك في الجزئية بأقسامها الثلاثة، وحكم ما لو علمنا بالجزئية وشككنا في الركنية، وحكم الشك في الشرطية</w:t>
      </w:r>
      <w:r>
        <w:rPr>
          <w:rFonts w:eastAsia="Amiri" w:cs="Amiri" w:ascii="Amiri" w:hAnsi="Amiri"/>
          <w:color w:val="111111"/>
          <w:sz w:val="28"/>
          <w:szCs w:val="28"/>
          <w:rtl w:val="true"/>
          <w:lang w:bidi="ar-SA"/>
        </w:rPr>
        <w:t xml:space="preserve">. </w:t>
      </w:r>
      <w:bookmarkStart w:id="667" w:name="pg9015_97718"/>
    </w:p>
    <w:p>
      <w:pPr>
        <w:pStyle w:val="Heading2"/>
        <w:numPr>
          <w:ilvl w:val="1"/>
          <w:numId w:val="1"/>
        </w:numPr>
        <w:rPr/>
      </w:pPr>
      <w:bookmarkStart w:id="668" w:name="__RefHeading___Toc2001809_2870459653"/>
      <w:bookmarkStart w:id="669" w:name="_Toc254"/>
      <w:bookmarkEnd w:id="667"/>
      <w:bookmarkEnd w:id="668"/>
      <w:r>
        <w:rPr>
          <w:rtl w:val="true"/>
        </w:rPr>
        <w:t xml:space="preserve">أصل </w:t>
      </w:r>
      <w:r>
        <w:rPr>
          <w:rtl w:val="true"/>
        </w:rPr>
        <w:t>[</w:t>
      </w:r>
      <w:r>
        <w:rPr>
          <w:rtl w:val="true"/>
        </w:rPr>
        <w:t>في الشك في النفسية والغيرية</w:t>
      </w:r>
      <w:r>
        <w:rPr>
          <w:rtl w:val="true"/>
        </w:rPr>
        <w:t>]</w:t>
      </w:r>
      <w:bookmarkEnd w:id="669"/>
    </w:p>
    <w:p>
      <w:pPr>
        <w:pStyle w:val="BookText"/>
        <w:rPr/>
      </w:pPr>
      <w:r>
        <w:rPr>
          <w:rFonts w:ascii="Amiri" w:hAnsi="Amiri" w:eastAsia="Amiri" w:cs="Amiri"/>
          <w:color w:val="111111"/>
          <w:sz w:val="28"/>
          <w:sz w:val="28"/>
          <w:szCs w:val="28"/>
          <w:rtl w:val="true"/>
          <w:lang w:bidi="ar-SA"/>
        </w:rPr>
        <w:t>إذا علمنا بوجوب شيء في العبادة وشككنا في نفسيته وغيريته</w:t>
      </w:r>
      <w:r>
        <w:rPr>
          <w:rStyle w:val="FootnoteAnchor"/>
          <w:rtl w:val="true"/>
        </w:rPr>
        <w:footnoteReference w:id="2201"/>
      </w:r>
      <w:r>
        <w:rPr>
          <w:rFonts w:ascii="Amiri" w:hAnsi="Amiri" w:eastAsia="Amiri" w:cs="Amiri"/>
          <w:color w:val="111111"/>
          <w:sz w:val="28"/>
          <w:sz w:val="28"/>
          <w:szCs w:val="28"/>
          <w:rtl w:val="true"/>
          <w:lang w:bidi="ar-SA"/>
        </w:rPr>
        <w:t>، فالأصل الأخير، إما للعمل بأصالة البراءة والاشتغال</w:t>
      </w:r>
      <w:r>
        <w:rPr>
          <w:rStyle w:val="FootnoteAnchor"/>
          <w:rtl w:val="true"/>
        </w:rPr>
        <w:footnoteReference w:id="2202"/>
      </w:r>
      <w:r>
        <w:rPr>
          <w:rFonts w:ascii="IRNazanin" w:hAnsi="IRNazanin" w:eastAsia="IRNazanin"/>
          <w:color w:val="111111"/>
          <w:sz w:val="28"/>
          <w:sz w:val="28"/>
          <w:szCs w:val="28"/>
          <w:rtl w:val="true"/>
          <w:lang w:bidi="fa-IR"/>
        </w:rPr>
        <w:t>أو لتعارض</w:t>
      </w:r>
      <w:r>
        <w:rPr>
          <w:rStyle w:val="FootnoteAnchor"/>
          <w:rtl w:val="true"/>
        </w:rPr>
        <w:footnoteReference w:id="2203"/>
      </w:r>
      <w:r>
        <w:rPr>
          <w:rFonts w:ascii="Amiri" w:hAnsi="Amiri" w:eastAsia="Amiri" w:cs="Amiri"/>
          <w:color w:val="111111"/>
          <w:sz w:val="28"/>
          <w:sz w:val="28"/>
          <w:szCs w:val="28"/>
          <w:rtl w:val="true"/>
          <w:lang w:bidi="ar-SA"/>
        </w:rPr>
        <w:t>أصلي البراءة وسلامة الاشتغال عن المعارض</w:t>
      </w:r>
      <w:r>
        <w:rPr>
          <w:rFonts w:eastAsia="Amiri" w:cs="Amiri" w:ascii="Amiri" w:hAnsi="Amiri"/>
          <w:color w:val="111111"/>
          <w:sz w:val="28"/>
          <w:szCs w:val="28"/>
          <w:rtl w:val="true"/>
          <w:lang w:bidi="ar-SA"/>
        </w:rPr>
        <w:t>.</w:t>
      </w:r>
      <w:r>
        <w:rPr>
          <w:rStyle w:val="FootnoteAnchor"/>
          <w:rtl w:val="true"/>
        </w:rPr>
        <w:footnoteReference w:id="2204"/>
      </w:r>
    </w:p>
    <w:p>
      <w:pPr>
        <w:pStyle w:val="BookText"/>
        <w:rPr/>
      </w:pPr>
      <w:r>
        <w:rPr>
          <w:rFonts w:ascii="Amiri" w:hAnsi="Amiri" w:eastAsia="Amiri" w:cs="Amiri"/>
          <w:color w:val="111111"/>
          <w:sz w:val="28"/>
          <w:sz w:val="28"/>
          <w:szCs w:val="28"/>
          <w:rtl w:val="true"/>
          <w:lang w:bidi="ar-SA"/>
        </w:rPr>
        <w:t>ومنه يعلم الأصل فيما لو علمنا بوجوب شيء في أثناء العبادة نفساً، وشككنا في وجوبه الغيري، أو علمنا بوجوب شيء للغير، وشككنا في وجوبه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علمنا بأن الشيء واجب ،غيري أي مقدّمي، وشككنا في أنه جزء العبادة، أم شرط ،عبادي ، أم شرط معاملي، فقد يدور الأمر بين الأول والثاني، أو بين الأول والثالث، أو بين الثاني والثالث، أو بين الثلاثة، فهل هنا أصل يرجع إليه في مقام التمييز ، أم لا أصل في البين، أم الأصل يختلف بحسب المقامات، وجوه</w:t>
      </w:r>
      <w:r>
        <w:rPr>
          <w:rFonts w:eastAsia="Amiri" w:cs="Amiri" w:ascii="Amiri" w:hAnsi="Amiri"/>
          <w:color w:val="111111"/>
          <w:sz w:val="28"/>
          <w:szCs w:val="28"/>
          <w:rtl w:val="true"/>
          <w:lang w:bidi="ar-SA"/>
        </w:rPr>
        <w:t>.</w:t>
      </w:r>
    </w:p>
    <w:p>
      <w:pPr>
        <w:pStyle w:val="Heading2"/>
        <w:numPr>
          <w:ilvl w:val="1"/>
          <w:numId w:val="1"/>
        </w:numPr>
        <w:rPr/>
      </w:pPr>
      <w:bookmarkStart w:id="670" w:name="__RefHeading___Toc2001811_2870459653"/>
      <w:bookmarkStart w:id="671" w:name="_Toc255"/>
      <w:bookmarkEnd w:id="670"/>
      <w:r>
        <w:rPr>
          <w:rtl w:val="true"/>
        </w:rPr>
        <w:t>[</w:t>
      </w:r>
      <w:r>
        <w:rPr>
          <w:rtl w:val="true"/>
        </w:rPr>
        <w:t>ثمرة المسألة</w:t>
      </w:r>
      <w:r>
        <w:rPr>
          <w:rtl w:val="true"/>
        </w:rPr>
        <w:t>]</w:t>
      </w:r>
      <w:bookmarkEnd w:id="67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تظهر الثمرة في مسألة الصحيح والأعمّ، ومقدمة الواجب، والنذر، وفي اشتراط نية التقرب، والمباشرة النفسية، والاتيان على الوجه المباح، ونحو ذلك، والغالب حصول التميّز بمراجعة العرف</w:t>
      </w:r>
      <w:r>
        <w:rPr>
          <w:rFonts w:eastAsia="Amiri" w:cs="Amiri" w:ascii="Amiri" w:hAnsi="Amiri"/>
          <w:color w:val="111111"/>
          <w:sz w:val="28"/>
          <w:szCs w:val="28"/>
          <w:rtl w:val="true"/>
          <w:lang w:bidi="ar-SA"/>
        </w:rPr>
        <w:t>.</w:t>
      </w:r>
      <w:r>
        <w:rPr>
          <w:rStyle w:val="FootnoteAnchor"/>
          <w:rtl w:val="true"/>
        </w:rPr>
        <w:footnoteReference w:id="2205"/>
      </w:r>
      <w:bookmarkStart w:id="672" w:name="pg9015_97719"/>
    </w:p>
    <w:p>
      <w:pPr>
        <w:pStyle w:val="Heading2"/>
        <w:numPr>
          <w:ilvl w:val="1"/>
          <w:numId w:val="1"/>
        </w:numPr>
        <w:rPr/>
      </w:pPr>
      <w:bookmarkStart w:id="673" w:name="__RefHeading___Toc2001813_2870459653"/>
      <w:bookmarkStart w:id="674" w:name="_Toc256"/>
      <w:bookmarkEnd w:id="672"/>
      <w:bookmarkEnd w:id="673"/>
      <w:r>
        <w:rPr>
          <w:rtl w:val="true"/>
        </w:rPr>
        <w:t xml:space="preserve">أصل </w:t>
      </w:r>
      <w:r>
        <w:rPr>
          <w:rtl w:val="true"/>
        </w:rPr>
        <w:t>[</w:t>
      </w:r>
      <w:r>
        <w:rPr>
          <w:rtl w:val="true"/>
        </w:rPr>
        <w:t>في دوران الأمر بين الأقل والأكثر الاستقلاليين مع كون الشبهة مرادية</w:t>
      </w:r>
      <w:r>
        <w:rPr>
          <w:rtl w:val="true"/>
        </w:rPr>
        <w:t>]</w:t>
      </w:r>
      <w:bookmarkEnd w:id="674"/>
    </w:p>
    <w:p>
      <w:pPr>
        <w:pStyle w:val="BookText"/>
        <w:rPr/>
      </w:pPr>
      <w:r>
        <w:rPr>
          <w:rFonts w:ascii="Amiri" w:hAnsi="Amiri" w:eastAsia="Amiri" w:cs="Amiri"/>
          <w:color w:val="111111"/>
          <w:sz w:val="28"/>
          <w:sz w:val="28"/>
          <w:szCs w:val="28"/>
          <w:rtl w:val="true"/>
          <w:lang w:bidi="ar-SA"/>
        </w:rPr>
        <w:t>اذا علمنا بالتكليف في الواقعة إجمالاً، ودار الأمر بين الأقل والأكثر ، وكانااستقلاليين ،وكانت الشبهة مرادية، سواء حصلت الشبهة من تعارض</w:t>
      </w:r>
      <w:r>
        <w:rPr>
          <w:rStyle w:val="FootnoteAnchor"/>
          <w:rtl w:val="true"/>
        </w:rPr>
        <w:footnoteReference w:id="2206"/>
      </w:r>
      <w:r>
        <w:rPr>
          <w:rFonts w:ascii="Amiri" w:hAnsi="Amiri" w:eastAsia="Amiri" w:cs="Amiri"/>
          <w:color w:val="111111"/>
          <w:sz w:val="28"/>
          <w:sz w:val="28"/>
          <w:szCs w:val="28"/>
          <w:rtl w:val="true"/>
          <w:lang w:bidi="ar-SA"/>
        </w:rPr>
        <w:t>الدليلين كما يتفق في منزوحات البئر، بناء على وجوب النزح تعبداً، أو</w:t>
      </w:r>
      <w:r>
        <w:rPr>
          <w:rStyle w:val="FootnoteAnchor"/>
          <w:rtl w:val="true"/>
        </w:rPr>
        <w:footnoteReference w:id="2207"/>
      </w:r>
      <w:r>
        <w:rPr>
          <w:rFonts w:ascii="IRNazanin" w:hAnsi="IRNazanin" w:eastAsia="IRNazanin"/>
          <w:color w:val="111111"/>
          <w:sz w:val="28"/>
          <w:sz w:val="28"/>
          <w:szCs w:val="28"/>
          <w:rtl w:val="true"/>
          <w:lang w:bidi="fa-IR"/>
        </w:rPr>
        <w:t>من إجمال</w:t>
      </w:r>
      <w:r>
        <w:rPr>
          <w:rStyle w:val="FootnoteAnchor"/>
          <w:rtl w:val="true"/>
        </w:rPr>
        <w:footnoteReference w:id="2208"/>
      </w:r>
      <w:r>
        <w:rPr>
          <w:rFonts w:ascii="Amiri" w:hAnsi="Amiri" w:eastAsia="Amiri" w:cs="Amiri"/>
          <w:color w:val="111111"/>
          <w:sz w:val="28"/>
          <w:sz w:val="28"/>
          <w:szCs w:val="28"/>
          <w:rtl w:val="true"/>
          <w:lang w:bidi="ar-SA"/>
        </w:rPr>
        <w:t>الدليل، كالأمر بإخراج صاع للفطرة، ولم نعلم أنه تسعة أرطال أم ستة، أو من</w:t>
      </w:r>
      <w:r>
        <w:rPr>
          <w:rStyle w:val="FootnoteAnchor"/>
          <w:rtl w:val="true"/>
        </w:rPr>
        <w:footnoteReference w:id="2209"/>
      </w:r>
      <w:r>
        <w:rPr>
          <w:rFonts w:ascii="Amiri" w:hAnsi="Amiri" w:eastAsia="Amiri" w:cs="Amiri"/>
          <w:color w:val="111111"/>
          <w:sz w:val="28"/>
          <w:sz w:val="28"/>
          <w:szCs w:val="28"/>
          <w:rtl w:val="true"/>
          <w:lang w:bidi="ar-SA"/>
        </w:rPr>
        <w:t>تعارض المتباينين صورة، والأقل والأكثر معنى، فهل الأصل حينئذ الاحتياط</w:t>
      </w:r>
      <w:r>
        <w:rPr>
          <w:rStyle w:val="FootnoteAnchor"/>
          <w:rtl w:val="true"/>
        </w:rPr>
        <w:footnoteReference w:id="2210"/>
      </w:r>
      <w:r>
        <w:rPr>
          <w:rFonts w:ascii="Amiri" w:hAnsi="Amiri" w:eastAsia="Amiri" w:cs="Amiri"/>
          <w:color w:val="111111"/>
          <w:sz w:val="28"/>
          <w:sz w:val="28"/>
          <w:szCs w:val="28"/>
          <w:rtl w:val="true"/>
          <w:lang w:bidi="ar-SA"/>
        </w:rPr>
        <w:t>أم البراءة؟ وجهان، أقواهما الأخير؛ لأن الأصل عدم تعلق التكليف بالزائد، مضافاً إلى جملة مما مر</w:t>
      </w:r>
      <w:r>
        <w:rPr>
          <w:rStyle w:val="FootnoteAnchor"/>
          <w:rtl w:val="true"/>
        </w:rPr>
        <w:footnoteReference w:id="2211"/>
      </w:r>
      <w:r>
        <w:rPr>
          <w:rFonts w:ascii="Amiri" w:hAnsi="Amiri" w:eastAsia="Amiri" w:cs="Amiri"/>
          <w:color w:val="111111"/>
          <w:sz w:val="28"/>
          <w:sz w:val="28"/>
          <w:szCs w:val="28"/>
          <w:rtl w:val="true"/>
          <w:lang w:bidi="ar-SA"/>
        </w:rPr>
        <w:t>سابقاً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المقتضي للاحتياط فإن كان الاشتغال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الاشتغال بالأقل، فقد أتى به وأمتثل، أو </w:t>
      </w:r>
      <w:r>
        <w:rPr>
          <w:rStyle w:val="FootnoteAnchor"/>
          <w:rtl w:val="true"/>
        </w:rPr>
        <w:footnoteReference w:id="2212"/>
      </w:r>
      <w:r>
        <w:rPr>
          <w:rFonts w:ascii="Amiri" w:hAnsi="Amiri" w:eastAsia="Amiri" w:cs="Amiri"/>
          <w:color w:val="111111"/>
          <w:sz w:val="28"/>
          <w:sz w:val="28"/>
          <w:szCs w:val="28"/>
          <w:rtl w:val="true"/>
          <w:lang w:bidi="ar-SA"/>
        </w:rPr>
        <w:t>بالأكثر، أو الأمر النفس الأمري، فلم يثبت من الأول، أو الاستصحاب فكذلك، أو بناء العقلاء فهو غير ثابت لو لم يكن على الخلاف أو أخبار الاحتياط فلا جابر لها هنا</w:t>
      </w:r>
      <w:r>
        <w:rPr>
          <w:rFonts w:eastAsia="Amiri" w:cs="Amiri" w:ascii="Amiri" w:hAnsi="Amiri"/>
          <w:color w:val="111111"/>
          <w:sz w:val="28"/>
          <w:szCs w:val="28"/>
          <w:rtl w:val="true"/>
          <w:lang w:bidi="ar-SA"/>
        </w:rPr>
        <w:t xml:space="preserve">. </w:t>
      </w:r>
      <w:bookmarkStart w:id="675" w:name="pg9015_97722"/>
    </w:p>
    <w:p>
      <w:pPr>
        <w:pStyle w:val="Heading2"/>
        <w:numPr>
          <w:ilvl w:val="1"/>
          <w:numId w:val="1"/>
        </w:numPr>
        <w:rPr/>
      </w:pPr>
      <w:bookmarkStart w:id="676" w:name="__RefHeading___Toc2001815_2870459653"/>
      <w:bookmarkStart w:id="677" w:name="_Toc257"/>
      <w:bookmarkEnd w:id="675"/>
      <w:bookmarkEnd w:id="676"/>
      <w:r>
        <w:rPr>
          <w:rtl w:val="true"/>
        </w:rPr>
        <w:t xml:space="preserve">أصل </w:t>
      </w:r>
      <w:r>
        <w:rPr>
          <w:rtl w:val="true"/>
        </w:rPr>
        <w:t>[</w:t>
      </w:r>
      <w:r>
        <w:rPr>
          <w:rtl w:val="true"/>
        </w:rPr>
        <w:t>في دوران الأمر بين المتباينين مع كون الشبهة مرادية</w:t>
      </w:r>
      <w:r>
        <w:rPr>
          <w:rtl w:val="true"/>
        </w:rPr>
        <w:t>]</w:t>
      </w:r>
      <w:bookmarkEnd w:id="677"/>
    </w:p>
    <w:p>
      <w:pPr>
        <w:pStyle w:val="BookText"/>
        <w:rPr/>
      </w:pPr>
      <w:r>
        <w:rPr>
          <w:rFonts w:ascii="Amiri" w:hAnsi="Amiri" w:eastAsia="Amiri" w:cs="Amiri"/>
          <w:color w:val="111111"/>
          <w:sz w:val="28"/>
          <w:sz w:val="28"/>
          <w:szCs w:val="28"/>
          <w:rtl w:val="true"/>
          <w:lang w:bidi="ar-SA"/>
        </w:rPr>
        <w:t>اذا علمنا بالتكليف في الواقعة إجمالاً، ودار الأمر بين المتباينين، وكانت الشبهة مرادية، وكان الجمع محصلاً للامتثال قطعاً، فهل الأصل الاحتياط بالجمع، كما لو دار الأمر بين القصر والتمام، أو الظهر والجمعة مثلاً، أم البراءة بالتخيير في إتيان أيهما شاء؟،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احتمال</w:t>
      </w:r>
      <w:r>
        <w:rPr>
          <w:rStyle w:val="FootnoteAnchor"/>
          <w:rtl w:val="true"/>
        </w:rPr>
        <w:footnoteReference w:id="2213"/>
      </w:r>
      <w:r>
        <w:rPr>
          <w:rFonts w:ascii="Amiri" w:hAnsi="Amiri" w:eastAsia="Amiri" w:cs="Amiri"/>
          <w:color w:val="111111"/>
          <w:sz w:val="28"/>
          <w:sz w:val="28"/>
          <w:szCs w:val="28"/>
          <w:rtl w:val="true"/>
          <w:lang w:bidi="ar-SA"/>
        </w:rPr>
        <w:t>القرعة، أو طرح الأمرين أو تعيين أحدهما بلا معين، فبين الفساد</w:t>
      </w:r>
      <w:r>
        <w:rPr>
          <w:rFonts w:eastAsia="Amiri" w:cs="Amiri" w:ascii="Amiri" w:hAnsi="Amiri"/>
          <w:color w:val="111111"/>
          <w:sz w:val="28"/>
          <w:szCs w:val="28"/>
          <w:rtl w:val="true"/>
          <w:lang w:bidi="ar-SA"/>
        </w:rPr>
        <w:t>.</w:t>
      </w:r>
      <w:r>
        <w:rPr>
          <w:rStyle w:val="FootnoteAnchor"/>
          <w:rtl w:val="true"/>
        </w:rPr>
        <w:footnoteReference w:id="2214"/>
      </w:r>
    </w:p>
    <w:p>
      <w:pPr>
        <w:pStyle w:val="BookText"/>
        <w:rPr/>
      </w:pPr>
      <w:r>
        <w:rPr>
          <w:rFonts w:ascii="Amiri" w:hAnsi="Amiri" w:eastAsia="Amiri" w:cs="Amiri"/>
          <w:color w:val="111111"/>
          <w:sz w:val="28"/>
          <w:sz w:val="28"/>
          <w:szCs w:val="28"/>
          <w:rtl w:val="true"/>
          <w:lang w:bidi="ar-SA"/>
        </w:rPr>
        <w:t>وأظهر الوجهين وجوب الاحتياط بالجمع</w:t>
      </w:r>
      <w:r>
        <w:rPr>
          <w:rStyle w:val="FootnoteAnchor"/>
          <w:rtl w:val="true"/>
        </w:rPr>
        <w:footnoteReference w:id="2215"/>
      </w:r>
      <w:r>
        <w:rPr>
          <w:rFonts w:ascii="Amiri" w:hAnsi="Amiri" w:eastAsia="Amiri" w:cs="Amiri"/>
          <w:color w:val="111111"/>
          <w:sz w:val="28"/>
          <w:sz w:val="28"/>
          <w:szCs w:val="28"/>
          <w:rtl w:val="true"/>
          <w:lang w:bidi="ar-SA"/>
        </w:rPr>
        <w:t>للاستصحاب ، وأصل الشغل وبناء العقلاء، ولزوم دفع الضرر المحتمل، وأخبار الاحتياط المنجبرة هنا بذهاب</w:t>
      </w:r>
      <w:r>
        <w:rPr>
          <w:rStyle w:val="FootnoteAnchor"/>
          <w:rtl w:val="true"/>
        </w:rPr>
        <w:footnoteReference w:id="2216"/>
      </w:r>
      <w:r>
        <w:rPr>
          <w:rFonts w:ascii="Amiri" w:hAnsi="Amiri" w:eastAsia="Amiri" w:cs="Amiri"/>
          <w:color w:val="111111"/>
          <w:sz w:val="28"/>
          <w:sz w:val="28"/>
          <w:szCs w:val="28"/>
          <w:rtl w:val="true"/>
          <w:lang w:bidi="ar-SA"/>
        </w:rPr>
        <w:t>الأكثر، وبما ذكر ، مضافاً إلى لزوم المخالفة القطعية على الأخير،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من حيث الحكم الواقعي مطلقاً، ومن حيث العمل أيضاً إن قلنا بالتخيير الاستمراري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نحن فلا نقول بوجوبهما معاً أصالة، بل بوجوب الواحد المجمل الواقعي المستلزم للجمع، من باب المقدمة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يتمكن المكلف الا من أحد الفردين في تمام الوقت، فعلى المختار لا شيء عليه ؛ للبراءة</w:t>
      </w:r>
      <w:r>
        <w:rPr>
          <w:rStyle w:val="FootnoteAnchor"/>
          <w:rtl w:val="true"/>
        </w:rPr>
        <w:footnoteReference w:id="2217"/>
      </w:r>
      <w:r>
        <w:rPr>
          <w:rFonts w:ascii="Amiri" w:hAnsi="Amiri" w:eastAsia="Amiri" w:cs="Amiri"/>
          <w:color w:val="111111"/>
          <w:sz w:val="28"/>
          <w:sz w:val="28"/>
          <w:szCs w:val="28"/>
          <w:rtl w:val="true"/>
          <w:lang w:bidi="ar-SA"/>
        </w:rPr>
        <w:t>، وعلى البراءة أتى بالممكن</w:t>
      </w:r>
      <w:r>
        <w:rPr>
          <w:rFonts w:eastAsia="Amiri" w:cs="Amiri" w:ascii="Amiri" w:hAnsi="Amiri"/>
          <w:color w:val="111111"/>
          <w:sz w:val="28"/>
          <w:szCs w:val="28"/>
          <w:rtl w:val="true"/>
          <w:lang w:bidi="ar-SA"/>
        </w:rPr>
        <w:t xml:space="preserve">. </w:t>
      </w:r>
      <w:bookmarkStart w:id="678" w:name="pg9015_97724"/>
    </w:p>
    <w:p>
      <w:pPr>
        <w:pStyle w:val="BookText"/>
        <w:rPr/>
      </w:pPr>
      <w:bookmarkEnd w:id="678"/>
      <w:r>
        <w:rPr>
          <w:rFonts w:ascii="Amiri" w:hAnsi="Amiri" w:eastAsia="Amiri" w:cs="Amiri"/>
          <w:color w:val="111111"/>
          <w:sz w:val="28"/>
          <w:sz w:val="28"/>
          <w:szCs w:val="28"/>
          <w:rtl w:val="true"/>
          <w:lang w:bidi="ar-SA"/>
        </w:rPr>
        <w:t xml:space="preserve">ولو تمسّك الخصم بأخبار البراءة، أو أخبار التخيير في تعارض النصين، فالجواب عنهما ظاهر من وجوه </w:t>
      </w:r>
      <w:r>
        <w:rPr>
          <w:rStyle w:val="FootnoteAnchor"/>
          <w:rtl w:val="true"/>
        </w:rPr>
        <w:footnoteReference w:id="2218"/>
      </w:r>
      <w:r>
        <w:rPr>
          <w:rFonts w:ascii="Amiri" w:hAnsi="Amiri" w:eastAsia="Amiri" w:cs="Amiri"/>
          <w:color w:val="111111"/>
          <w:sz w:val="28"/>
          <w:sz w:val="28"/>
          <w:szCs w:val="28"/>
          <w:rtl w:val="true"/>
          <w:lang w:bidi="ar-SA"/>
        </w:rPr>
        <w:t>، ولا فرق فيما ذكر بين حصول الشبهة من تعارض الدليلين، أو إجمال الدليل</w:t>
      </w:r>
      <w:r>
        <w:rPr>
          <w:rFonts w:eastAsia="Amiri" w:cs="Amiri" w:ascii="Amiri" w:hAnsi="Amiri"/>
          <w:color w:val="111111"/>
          <w:sz w:val="28"/>
          <w:szCs w:val="28"/>
          <w:rtl w:val="true"/>
          <w:lang w:bidi="ar-SA"/>
        </w:rPr>
        <w:t>.</w:t>
      </w:r>
    </w:p>
    <w:p>
      <w:pPr>
        <w:pStyle w:val="Heading2"/>
        <w:numPr>
          <w:ilvl w:val="1"/>
          <w:numId w:val="1"/>
        </w:numPr>
        <w:rPr/>
      </w:pPr>
      <w:bookmarkStart w:id="679" w:name="__RefHeading___Toc2001817_2870459653"/>
      <w:bookmarkStart w:id="680" w:name="_Toc258"/>
      <w:bookmarkEnd w:id="679"/>
      <w:r>
        <w:rPr>
          <w:rtl w:val="true"/>
        </w:rPr>
        <w:t xml:space="preserve">أصل </w:t>
      </w:r>
      <w:r>
        <w:rPr>
          <w:rtl w:val="true"/>
        </w:rPr>
        <w:t>[</w:t>
      </w:r>
      <w:r>
        <w:rPr>
          <w:rtl w:val="true"/>
        </w:rPr>
        <w:t>في دوران الأمر بين الأقل والأكثر الاستقلاليين في الشبهة المصداقية</w:t>
      </w:r>
      <w:r>
        <w:rPr>
          <w:rtl w:val="true"/>
        </w:rPr>
        <w:t>]</w:t>
      </w:r>
      <w:bookmarkEnd w:id="680"/>
    </w:p>
    <w:p>
      <w:pPr>
        <w:pStyle w:val="BookText"/>
        <w:rPr/>
      </w:pPr>
      <w:r>
        <w:rPr>
          <w:rFonts w:ascii="Amiri" w:hAnsi="Amiri" w:eastAsia="Amiri" w:cs="Amiri"/>
          <w:color w:val="111111"/>
          <w:sz w:val="28"/>
          <w:sz w:val="28"/>
          <w:szCs w:val="28"/>
          <w:rtl w:val="true"/>
          <w:lang w:bidi="ar-SA"/>
        </w:rPr>
        <w:t>إذا علمنا بالتكليف إجمالاً، ودار الأمر بين الأقل والأكثر الاستقلاليين في الشبهة المصداقية، كما لو علم أن عليه فوائت لا يعلم كميتها، أو عليه ديناً لا يعلم مقداره، فهل يرجع إلى القرعة، أو إلى</w:t>
      </w:r>
      <w:r>
        <w:rPr>
          <w:rStyle w:val="FootnoteAnchor"/>
          <w:rtl w:val="true"/>
        </w:rPr>
        <w:footnoteReference w:id="2219"/>
      </w:r>
      <w:r>
        <w:rPr>
          <w:rFonts w:ascii="Amiri" w:hAnsi="Amiri" w:eastAsia="Amiri" w:cs="Amiri"/>
          <w:color w:val="111111"/>
          <w:sz w:val="28"/>
          <w:sz w:val="28"/>
          <w:szCs w:val="28"/>
          <w:rtl w:val="true"/>
          <w:lang w:bidi="ar-SA"/>
        </w:rPr>
        <w:t>الشغل، فيأتي بالمشكوك إلى أن يعلم البراءة، أو يظن بها</w:t>
      </w:r>
      <w:r>
        <w:rPr>
          <w:rStyle w:val="FootnoteAnchor"/>
          <w:rtl w:val="true"/>
        </w:rPr>
        <w:footnoteReference w:id="2220"/>
      </w:r>
      <w:r>
        <w:rPr>
          <w:rFonts w:ascii="Amiri" w:hAnsi="Amiri" w:eastAsia="Amiri" w:cs="Amiri"/>
          <w:color w:val="111111"/>
          <w:sz w:val="28"/>
          <w:sz w:val="28"/>
          <w:szCs w:val="28"/>
          <w:rtl w:val="true"/>
          <w:lang w:bidi="ar-SA"/>
        </w:rPr>
        <w:t xml:space="preserve">ان قلنا بحجية الظن </w:t>
      </w:r>
      <w:r>
        <w:rPr>
          <w:rStyle w:val="FootnoteAnchor"/>
          <w:rtl w:val="true"/>
        </w:rPr>
        <w:footnoteReference w:id="2221"/>
      </w:r>
      <w:r>
        <w:rPr>
          <w:rFonts w:ascii="Amiri" w:hAnsi="Amiri" w:eastAsia="Amiri" w:cs="Amiri"/>
          <w:color w:val="111111"/>
          <w:sz w:val="28"/>
          <w:sz w:val="28"/>
          <w:szCs w:val="28"/>
          <w:rtl w:val="true"/>
          <w:lang w:bidi="ar-SA"/>
        </w:rPr>
        <w:t>في الموضوع الصرف، أو إلى البراءة فيأتي بالمتيقن لا بالمشكوك مطلقاً، أو ما لم يظن بالاشتغال، أو يفصل بين الشك البدوي والطارئ؟، وجوه</w:t>
      </w:r>
      <w:r>
        <w:rPr>
          <w:rFonts w:eastAsia="Amiri" w:cs="Amiri" w:ascii="Amiri" w:hAnsi="Amiri"/>
          <w:color w:val="111111"/>
          <w:sz w:val="28"/>
          <w:szCs w:val="28"/>
          <w:rtl w:val="true"/>
          <w:lang w:bidi="ar-SA"/>
        </w:rPr>
        <w:t>.</w:t>
      </w:r>
      <w:r>
        <w:rPr>
          <w:rStyle w:val="FootnoteAnchor"/>
          <w:rtl w:val="true"/>
        </w:rPr>
        <w:footnoteReference w:id="222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أنه لا شك في الرجوع إلى البراءة مطلقاً</w:t>
      </w:r>
      <w:r>
        <w:rPr>
          <w:rStyle w:val="FootnoteAnchor"/>
          <w:rtl w:val="true"/>
        </w:rPr>
        <w:footnoteReference w:id="2223"/>
      </w:r>
      <w:r>
        <w:rPr>
          <w:rFonts w:ascii="Amiri" w:hAnsi="Amiri" w:eastAsia="Amiri" w:cs="Amiri"/>
          <w:color w:val="111111"/>
          <w:sz w:val="28"/>
          <w:sz w:val="28"/>
          <w:szCs w:val="28"/>
          <w:rtl w:val="true"/>
          <w:lang w:bidi="ar-SA"/>
        </w:rPr>
        <w:t xml:space="preserve">في مثل ما لو استقرض من زيد ديناراً في الوقت المعلوم، ثم شك في أنه استقرض منه ديناراً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 آخر</w:t>
      </w:r>
      <w:r>
        <w:rPr>
          <w:rFonts w:eastAsia="Amiri" w:cs="Amiri" w:ascii="Amiri" w:hAnsi="Amiri"/>
          <w:color w:val="111111"/>
          <w:sz w:val="28"/>
          <w:szCs w:val="28"/>
          <w:rtl w:val="true"/>
          <w:lang w:bidi="ar-SA"/>
        </w:rPr>
        <w:t>)</w:t>
      </w:r>
      <w:r>
        <w:rPr>
          <w:rStyle w:val="FootnoteAnchor"/>
          <w:rtl w:val="true"/>
        </w:rPr>
        <w:footnoteReference w:id="2224"/>
      </w:r>
      <w:r>
        <w:rPr>
          <w:rFonts w:ascii="Amiri" w:hAnsi="Amiri" w:eastAsia="Amiri" w:cs="Amiri"/>
          <w:color w:val="111111"/>
          <w:sz w:val="28"/>
          <w:sz w:val="28"/>
          <w:szCs w:val="28"/>
          <w:rtl w:val="true"/>
          <w:lang w:bidi="ar-SA"/>
        </w:rPr>
        <w:t xml:space="preserve">أم لا، ولا في وجوب الاحتياط فيما إذا علم بأنه كان مديوناً لزيد بعشرة وأدّى بعضاً لا </w:t>
      </w:r>
    </w:p>
    <w:p>
      <w:pPr>
        <w:pStyle w:val="BookText"/>
        <w:rPr/>
      </w:pPr>
      <w:r>
        <w:rPr>
          <w:rFonts w:ascii="Amiri" w:hAnsi="Amiri" w:eastAsia="Amiri" w:cs="Amiri"/>
          <w:color w:val="111111"/>
          <w:sz w:val="28"/>
          <w:sz w:val="28"/>
          <w:szCs w:val="28"/>
          <w:rtl w:val="true"/>
          <w:lang w:bidi="ar-SA"/>
        </w:rPr>
        <w:t xml:space="preserve">يدري مقداره؛ للاستصحاب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مثل ما</w:t>
      </w:r>
      <w:r>
        <w:rPr>
          <w:rStyle w:val="FootnoteAnchor"/>
          <w:rtl w:val="true"/>
        </w:rPr>
        <w:footnoteReference w:id="2225"/>
      </w:r>
      <w:r>
        <w:rPr>
          <w:rFonts w:ascii="Amiri" w:hAnsi="Amiri" w:eastAsia="Amiri" w:cs="Amiri"/>
          <w:color w:val="111111"/>
          <w:sz w:val="28"/>
          <w:sz w:val="28"/>
          <w:szCs w:val="28"/>
          <w:rtl w:val="true"/>
          <w:lang w:bidi="ar-SA"/>
        </w:rPr>
        <w:t>لو استقرض من زيد مبلغاً في عقد واحد لا يدري مقداره، ونحو ذلك من أمثلة ما نحن فيه، فالأظهر البراءة مطلقاً؛ لأن الألفاظ وإن كانت موضوعة للمعاني النفس الأمرية، لكنها لا تنصرف إلى المشكوك البدوي، وإنما منصرفها المعلوم بالتفصيل أو بالإجمال، وما نحن فيه معلوم في الجملة لا معلوم إجمالاً، والمعلوم في الجملة ينحل إلى معلوم تفصيلي ومشكوك تفصيلي، فيعمل في كل على مقتضاه ، وليس للاحتياط ما يعتمد عليه</w:t>
      </w:r>
      <w:r>
        <w:rPr>
          <w:rFonts w:eastAsia="Amiri" w:cs="Amiri" w:ascii="Amiri" w:hAnsi="Amiri"/>
          <w:color w:val="111111"/>
          <w:sz w:val="28"/>
          <w:szCs w:val="28"/>
          <w:rtl w:val="true"/>
          <w:lang w:bidi="ar-SA"/>
        </w:rPr>
        <w:t>.</w:t>
      </w:r>
      <w:r>
        <w:rPr>
          <w:rStyle w:val="FootnoteAnchor"/>
          <w:rtl w:val="true"/>
        </w:rPr>
        <w:footnoteReference w:id="222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قرعة بعد ارتفاع الشبهة بالأصل والظن في الموضوع الصرف ليس حجة</w:t>
      </w:r>
      <w:r>
        <w:rPr>
          <w:rFonts w:eastAsia="Amiri" w:cs="Amiri" w:ascii="Amiri" w:hAnsi="Amiri"/>
          <w:color w:val="111111"/>
          <w:sz w:val="28"/>
          <w:szCs w:val="28"/>
          <w:rtl w:val="true"/>
          <w:lang w:bidi="ar-SA"/>
        </w:rPr>
        <w:t xml:space="preserve">. </w:t>
      </w:r>
      <w:bookmarkStart w:id="681" w:name="pg9015_97728"/>
    </w:p>
    <w:p>
      <w:pPr>
        <w:pStyle w:val="Heading2"/>
        <w:numPr>
          <w:ilvl w:val="1"/>
          <w:numId w:val="1"/>
        </w:numPr>
        <w:rPr/>
      </w:pPr>
      <w:bookmarkStart w:id="682" w:name="__RefHeading___Toc2001819_2870459653"/>
      <w:bookmarkStart w:id="683" w:name="_Toc259"/>
      <w:bookmarkEnd w:id="681"/>
      <w:bookmarkEnd w:id="682"/>
      <w:r>
        <w:rPr>
          <w:rtl w:val="true"/>
        </w:rPr>
        <w:t xml:space="preserve">أصل </w:t>
      </w:r>
      <w:r>
        <w:rPr>
          <w:rtl w:val="true"/>
        </w:rPr>
        <w:t>[</w:t>
      </w:r>
      <w:r>
        <w:rPr>
          <w:rtl w:val="true"/>
        </w:rPr>
        <w:t>في دوران الأمر بين المتباينين في الشبهة المصداقية</w:t>
      </w:r>
      <w:r>
        <w:rPr>
          <w:rtl w:val="true"/>
        </w:rPr>
        <w:t>]</w:t>
      </w:r>
      <w:bookmarkEnd w:id="68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دار الأمر بين المتباينين بعد العلم الإجمالي</w:t>
      </w:r>
      <w:r>
        <w:rPr>
          <w:rStyle w:val="FootnoteAnchor"/>
          <w:rtl w:val="true"/>
        </w:rPr>
        <w:footnoteReference w:id="2227"/>
      </w:r>
      <w:r>
        <w:rPr>
          <w:rFonts w:ascii="Amiri" w:hAnsi="Amiri" w:eastAsia="Amiri" w:cs="Amiri"/>
          <w:color w:val="111111"/>
          <w:sz w:val="28"/>
          <w:sz w:val="28"/>
          <w:szCs w:val="28"/>
          <w:rtl w:val="true"/>
          <w:lang w:bidi="ar-SA"/>
        </w:rPr>
        <w:t xml:space="preserve">في الشبهة المصداقية، وكان الشك في المكلف به نفسيا، كدوران الفائتة بين كونها صبحاً أم ظهراً، أو غيرياً كاشتباه جهات القبلة، فطرح الأمرين وارتكاب المخالفة القطعية مخالف للإجماع، ولانصراف الخطاب إلى المعلوم ولو إجمالاً بحكم </w:t>
      </w:r>
      <w:r>
        <w:rPr>
          <w:rStyle w:val="FootnoteAnchor"/>
          <w:rtl w:val="true"/>
        </w:rPr>
        <w:footnoteReference w:id="2228"/>
      </w:r>
      <w:r>
        <w:rPr>
          <w:rFonts w:ascii="Amiri" w:hAnsi="Amiri" w:eastAsia="Amiri" w:cs="Amiri"/>
          <w:color w:val="111111"/>
          <w:sz w:val="28"/>
          <w:sz w:val="28"/>
          <w:szCs w:val="28"/>
          <w:rtl w:val="true"/>
          <w:lang w:bidi="ar-SA"/>
        </w:rPr>
        <w:t>العرف، والقرعة لا دليل عليها في مثل المقام والتخيير بين المشتبهين ينا في بناء العقلاء، و</w:t>
      </w:r>
      <w:r>
        <w:rPr>
          <w:rStyle w:val="FootnoteAnchor"/>
          <w:rtl w:val="true"/>
        </w:rPr>
        <w:footnoteReference w:id="2229"/>
      </w:r>
      <w:r>
        <w:rPr>
          <w:rFonts w:ascii="Amiri" w:hAnsi="Amiri" w:eastAsia="Amiri" w:cs="Amiri"/>
          <w:color w:val="111111"/>
          <w:sz w:val="28"/>
          <w:sz w:val="28"/>
          <w:szCs w:val="28"/>
          <w:rtl w:val="true"/>
          <w:lang w:bidi="ar-SA"/>
        </w:rPr>
        <w:t>أخبار الاحتياط،وما مرَّ من الانصراف إلى المعلوم ولو إجمالاً،والتمسك بأخبار البراءة مدفوع بالقلب</w:t>
      </w:r>
      <w:r>
        <w:rPr>
          <w:rStyle w:val="FootnoteAnchor"/>
          <w:rtl w:val="true"/>
        </w:rPr>
        <w:footnoteReference w:id="2230"/>
      </w:r>
      <w:r>
        <w:rPr>
          <w:rFonts w:ascii="Amiri" w:hAnsi="Amiri" w:eastAsia="Amiri" w:cs="Amiri"/>
          <w:color w:val="111111"/>
          <w:sz w:val="28"/>
          <w:sz w:val="28"/>
          <w:szCs w:val="28"/>
          <w:rtl w:val="true"/>
          <w:lang w:bidi="ar-SA"/>
        </w:rPr>
        <w:t>، وبالتخصيص بالمجمل بنحو ما يجري في المرادية في مثل الظهر والجمعة، وبمعارضة أخبار الاحتياط، ولزوم الجمع على نهج وحدة العقاب</w:t>
      </w:r>
      <w:r>
        <w:rPr>
          <w:rStyle w:val="FootnoteAnchor"/>
          <w:rtl w:val="true"/>
        </w:rPr>
        <w:footnoteReference w:id="2231"/>
      </w:r>
      <w:r>
        <w:rPr>
          <w:rFonts w:ascii="Amiri" w:hAnsi="Amiri" w:eastAsia="Amiri" w:cs="Amiri"/>
          <w:color w:val="111111"/>
          <w:sz w:val="28"/>
          <w:sz w:val="28"/>
          <w:szCs w:val="28"/>
          <w:rtl w:val="true"/>
          <w:lang w:bidi="ar-SA"/>
        </w:rPr>
        <w:t xml:space="preserve">ينافي ما مرَّ في مقدمة الواجب، من أن </w:t>
      </w:r>
      <w:r>
        <w:rPr>
          <w:rStyle w:val="FootnoteAnchor"/>
          <w:rtl w:val="true"/>
        </w:rPr>
        <w:footnoteReference w:id="2232"/>
      </w:r>
      <w:r>
        <w:rPr>
          <w:rFonts w:ascii="Amiri" w:hAnsi="Amiri" w:eastAsia="Amiri" w:cs="Amiri"/>
          <w:color w:val="111111"/>
          <w:sz w:val="28"/>
          <w:sz w:val="28"/>
          <w:szCs w:val="28"/>
          <w:rtl w:val="true"/>
          <w:lang w:bidi="ar-SA"/>
        </w:rPr>
        <w:t xml:space="preserve">الترك الحكمي كالحقيقي، فتعيّن </w:t>
      </w:r>
      <w:r>
        <w:rPr>
          <w:rStyle w:val="FootnoteAnchor"/>
          <w:rtl w:val="true"/>
        </w:rPr>
        <w:footnoteReference w:id="2233"/>
      </w:r>
      <w:r>
        <w:rPr>
          <w:rFonts w:ascii="Amiri" w:hAnsi="Amiri" w:eastAsia="Amiri" w:cs="Amiri"/>
          <w:color w:val="111111"/>
          <w:sz w:val="28"/>
          <w:sz w:val="28"/>
          <w:szCs w:val="28"/>
          <w:rtl w:val="true"/>
          <w:lang w:bidi="ar-SA"/>
        </w:rPr>
        <w:t>وجوب الجمع من باب المقدّمة الشرعية، الموجب للعقاب إذا أتى بأحدهما وترك الآخر، ثم انكشف بعد الوقت كون الماتي به هو الواجب الواقعي</w:t>
      </w:r>
      <w:r>
        <w:rPr>
          <w:rFonts w:eastAsia="Amiri" w:cs="Amiri" w:ascii="Amiri" w:hAnsi="Amiri"/>
          <w:color w:val="111111"/>
          <w:sz w:val="28"/>
          <w:szCs w:val="28"/>
          <w:rtl w:val="true"/>
          <w:lang w:bidi="ar-SA"/>
        </w:rPr>
        <w:t xml:space="preserve">. </w:t>
      </w:r>
      <w:bookmarkStart w:id="684" w:name="pg9015_97730"/>
    </w:p>
    <w:p>
      <w:pPr>
        <w:pStyle w:val="Heading2"/>
        <w:numPr>
          <w:ilvl w:val="1"/>
          <w:numId w:val="1"/>
        </w:numPr>
        <w:rPr/>
      </w:pPr>
      <w:bookmarkStart w:id="685" w:name="__RefHeading___Toc2001821_2870459653"/>
      <w:bookmarkStart w:id="686" w:name="_Toc260"/>
      <w:bookmarkEnd w:id="684"/>
      <w:bookmarkEnd w:id="685"/>
      <w:r>
        <w:rPr>
          <w:rtl w:val="true"/>
        </w:rPr>
        <w:t xml:space="preserve">أصل </w:t>
      </w:r>
      <w:r>
        <w:rPr>
          <w:rtl w:val="true"/>
        </w:rPr>
        <w:t>[</w:t>
      </w:r>
      <w:r>
        <w:rPr>
          <w:rtl w:val="true"/>
        </w:rPr>
        <w:t>في دوران الأمر بين المتباينين مع كون الشبهة في مصداق المكلف</w:t>
      </w:r>
      <w:r>
        <w:rPr>
          <w:rtl w:val="true"/>
        </w:rPr>
        <w:t>]</w:t>
      </w:r>
      <w:bookmarkEnd w:id="686"/>
    </w:p>
    <w:p>
      <w:pPr>
        <w:pStyle w:val="BookText"/>
        <w:rPr/>
      </w:pPr>
      <w:r>
        <w:rPr>
          <w:rFonts w:ascii="Amiri" w:hAnsi="Amiri" w:eastAsia="Amiri" w:cs="Amiri"/>
          <w:color w:val="111111"/>
          <w:sz w:val="28"/>
          <w:sz w:val="28"/>
          <w:szCs w:val="28"/>
          <w:rtl w:val="true"/>
          <w:lang w:bidi="ar-SA"/>
        </w:rPr>
        <w:t>اذا دار الأمر بين المتباينين، وكان الاشتباه في مصداق المكلّف لا المكلّف به، كواجد المني في ثوبه المشترك، والخنثى المشكل الذي اجتمع معه رجل وامرأة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براءة كل منهما عن التكليف؛ لأصالة الطهارة في المسبوق بها، ولأصالة وجوب الوضوء وكفايته، وعدم وجوب الغسل وعدم كفايته في المسبوق بالحدث الأصغر، واستصحاب بقاء الحالة السابقة، مضافاً إلى بناء أهل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 استصحاب الأمر بالصلاة المقتضي للاحتياط</w:t>
      </w:r>
      <w:r>
        <w:rPr>
          <w:rStyle w:val="FootnoteAnchor"/>
          <w:rtl w:val="true"/>
        </w:rPr>
        <w:footnoteReference w:id="2234"/>
      </w:r>
      <w:r>
        <w:rPr>
          <w:rFonts w:ascii="Amiri" w:hAnsi="Amiri" w:eastAsia="Amiri" w:cs="Amiri"/>
          <w:color w:val="111111"/>
          <w:sz w:val="28"/>
          <w:sz w:val="28"/>
          <w:szCs w:val="28"/>
          <w:rtl w:val="true"/>
          <w:lang w:bidi="ar-SA"/>
        </w:rPr>
        <w:t>، واستصحاب الأمر بالطهارة</w:t>
      </w:r>
      <w:r>
        <w:rPr>
          <w:rStyle w:val="FootnoteAnchor"/>
          <w:rtl w:val="true"/>
        </w:rPr>
        <w:footnoteReference w:id="2235"/>
      </w:r>
      <w:r>
        <w:rPr>
          <w:rFonts w:ascii="Amiri" w:hAnsi="Amiri" w:eastAsia="Amiri" w:cs="Amiri"/>
          <w:color w:val="111111"/>
          <w:sz w:val="28"/>
          <w:sz w:val="28"/>
          <w:szCs w:val="28"/>
          <w:rtl w:val="true"/>
          <w:lang w:bidi="ar-SA"/>
        </w:rPr>
        <w:t>، وأصالة الاشتغال بهما</w:t>
      </w:r>
      <w:r>
        <w:rPr>
          <w:rStyle w:val="FootnoteAnchor"/>
          <w:rtl w:val="true"/>
        </w:rPr>
        <w:footnoteReference w:id="2236"/>
      </w:r>
      <w:r>
        <w:rPr>
          <w:rFonts w:ascii="Amiri" w:hAnsi="Amiri" w:eastAsia="Amiri" w:cs="Amiri"/>
          <w:color w:val="111111"/>
          <w:sz w:val="28"/>
          <w:sz w:val="28"/>
          <w:szCs w:val="28"/>
          <w:rtl w:val="true"/>
          <w:lang w:bidi="ar-SA"/>
        </w:rPr>
        <w:t>، واستصحاب بقاء الحالة السابقة المانعة عن دخول الصلاة</w:t>
      </w:r>
      <w:r>
        <w:rPr>
          <w:rFonts w:eastAsia="Amiri" w:cs="Amiri" w:ascii="Amiri" w:hAnsi="Amiri"/>
          <w:color w:val="111111"/>
          <w:sz w:val="28"/>
          <w:szCs w:val="28"/>
          <w:rtl w:val="true"/>
          <w:lang w:bidi="ar-SA"/>
        </w:rPr>
        <w:t>.</w:t>
      </w:r>
    </w:p>
    <w:p>
      <w:pPr>
        <w:pStyle w:val="Heading2"/>
        <w:numPr>
          <w:ilvl w:val="1"/>
          <w:numId w:val="1"/>
        </w:numPr>
        <w:rPr/>
      </w:pPr>
      <w:bookmarkStart w:id="687" w:name="__RefHeading___Toc2001823_2870459653"/>
      <w:bookmarkStart w:id="688" w:name="_Toc261"/>
      <w:bookmarkEnd w:id="687"/>
      <w:r>
        <w:rPr>
          <w:rtl w:val="true"/>
        </w:rPr>
        <w:t xml:space="preserve">أصل </w:t>
      </w:r>
      <w:r>
        <w:rPr>
          <w:rtl w:val="true"/>
        </w:rPr>
        <w:t>[</w:t>
      </w:r>
      <w:r>
        <w:rPr>
          <w:rtl w:val="true"/>
        </w:rPr>
        <w:t>في دوران الأمر في الشبهة التحريمية مع الشك في التكليف</w:t>
      </w:r>
      <w:r>
        <w:rPr>
          <w:rtl w:val="true"/>
        </w:rPr>
        <w:t>]</w:t>
      </w:r>
      <w:bookmarkEnd w:id="688"/>
    </w:p>
    <w:p>
      <w:pPr>
        <w:pStyle w:val="BookText"/>
        <w:rPr/>
      </w:pPr>
      <w:r>
        <w:rPr>
          <w:rFonts w:ascii="Amiri" w:hAnsi="Amiri" w:eastAsia="Amiri" w:cs="Amiri"/>
          <w:color w:val="111111"/>
          <w:sz w:val="28"/>
          <w:sz w:val="28"/>
          <w:szCs w:val="28"/>
          <w:rtl w:val="true"/>
          <w:lang w:bidi="ar-SA"/>
        </w:rPr>
        <w:t>اذا دار الأمر بين الحرام وغير الواجب، وكان الشك في التكليف؛ لفقد العلم الإجمالي، فالأصل البراءة؛ لأكثر ما مرَّ في الشبهة الوجوبية، وعن الأخباريين الاحتياط</w:t>
      </w:r>
      <w:r>
        <w:rPr>
          <w:rStyle w:val="FootnoteAnchor"/>
          <w:rtl w:val="true"/>
        </w:rPr>
        <w:footnoteReference w:id="2237"/>
      </w:r>
      <w:r>
        <w:rPr>
          <w:rFonts w:ascii="Amiri" w:hAnsi="Amiri" w:eastAsia="Amiri" w:cs="Amiri"/>
          <w:color w:val="111111"/>
          <w:sz w:val="28"/>
          <w:sz w:val="28"/>
          <w:szCs w:val="28"/>
          <w:rtl w:val="true"/>
          <w:lang w:bidi="ar-SA"/>
        </w:rPr>
        <w:t xml:space="preserve">، ويظهر ضعف أدلتهم ما مرَّ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يكون الأصل الحرمة في بعض الموارد الخاصة؛ لأدلة خارجية كما في </w:t>
      </w:r>
    </w:p>
    <w:p>
      <w:pPr>
        <w:pStyle w:val="BookText"/>
        <w:rPr/>
      </w:pPr>
      <w:r>
        <w:rPr>
          <w:rFonts w:ascii="Amiri" w:hAnsi="Amiri" w:eastAsia="Amiri" w:cs="Amiri"/>
          <w:color w:val="111111"/>
          <w:sz w:val="28"/>
          <w:sz w:val="28"/>
          <w:szCs w:val="28"/>
          <w:rtl w:val="true"/>
          <w:lang w:bidi="ar-SA"/>
        </w:rPr>
        <w:t>اللحوم، فلو تولد حيوان من حيوانين أحدهما طاهر محلل كالغنم، والآخر نجس محرم كالكلب، ولا مماثل له من أحد أبويه، ولا من الخارج، فالأصل طهارته</w:t>
      </w:r>
      <w:r>
        <w:rPr>
          <w:rStyle w:val="FootnoteAnchor"/>
          <w:rtl w:val="true"/>
        </w:rPr>
        <w:footnoteReference w:id="2238"/>
      </w:r>
      <w:r>
        <w:rPr>
          <w:rFonts w:ascii="IRNazanin" w:hAnsi="IRNazanin" w:eastAsia="IRNazanin"/>
          <w:color w:val="111111"/>
          <w:sz w:val="28"/>
          <w:sz w:val="28"/>
          <w:szCs w:val="28"/>
          <w:rtl w:val="true"/>
          <w:lang w:bidi="fa-IR"/>
        </w:rPr>
        <w:t>لما دلّ على أن</w:t>
      </w:r>
      <w:r>
        <w:rPr>
          <w:rStyle w:val="FootnoteAnchor"/>
          <w:rtl w:val="true"/>
        </w:rPr>
        <w:footnoteReference w:id="2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انه قذر</w:t>
      </w:r>
      <w:r>
        <w:rPr>
          <w:rFonts w:eastAsia="Amiri" w:cs="Amiri" w:ascii="Amiri" w:hAnsi="Amiri"/>
          <w:color w:val="111111"/>
          <w:sz w:val="28"/>
          <w:szCs w:val="28"/>
          <w:rtl w:val="true"/>
          <w:lang w:bidi="ar-SA"/>
        </w:rPr>
        <w:t>»</w:t>
      </w:r>
      <w:r>
        <w:rPr>
          <w:rStyle w:val="FootnoteAnchor"/>
          <w:rtl w:val="true"/>
        </w:rPr>
        <w:footnoteReference w:id="2240"/>
      </w:r>
      <w:r>
        <w:rPr>
          <w:rFonts w:ascii="Amiri" w:hAnsi="Amiri" w:eastAsia="Amiri" w:cs="Amiri"/>
          <w:color w:val="111111"/>
          <w:sz w:val="28"/>
          <w:sz w:val="28"/>
          <w:szCs w:val="28"/>
          <w:rtl w:val="true"/>
          <w:lang w:bidi="ar-SA"/>
        </w:rPr>
        <w:t xml:space="preserve">، ولاستصحاب طهارة ملاقيه، ولأصالة عدم وجوب الاجتناب عنه، وحرمة لحمه؛ لأن أغلب اللحوم محرمة، ولأخبار الاحتياط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التمسّك باستصحاب نجاسته حال منويّته، أو حال ولادته؛ لملاقاة بدن الكلب مثلاً ، أو باستصحاب حرمته حال حياته، أو باستصحاب طهارة حال حياته، فمنظور فيه</w:t>
      </w:r>
      <w:r>
        <w:rPr>
          <w:rFonts w:eastAsia="Amiri" w:cs="Amiri" w:ascii="Amiri" w:hAnsi="Amiri"/>
          <w:color w:val="111111"/>
          <w:sz w:val="28"/>
          <w:szCs w:val="28"/>
          <w:rtl w:val="true"/>
          <w:lang w:bidi="ar-SA"/>
        </w:rPr>
        <w:t>.</w:t>
      </w:r>
      <w:r>
        <w:rPr>
          <w:rStyle w:val="FootnoteAnchor"/>
          <w:rtl w:val="true"/>
        </w:rPr>
        <w:footnoteReference w:id="224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كثيراً مما</w:t>
      </w:r>
      <w:r>
        <w:rPr>
          <w:rStyle w:val="FootnoteAnchor"/>
          <w:rtl w:val="true"/>
        </w:rPr>
        <w:footnoteReference w:id="2242"/>
      </w:r>
      <w:r>
        <w:rPr>
          <w:rFonts w:ascii="Amiri" w:hAnsi="Amiri" w:eastAsia="Amiri" w:cs="Amiri"/>
          <w:color w:val="111111"/>
          <w:sz w:val="28"/>
          <w:sz w:val="28"/>
          <w:szCs w:val="28"/>
          <w:rtl w:val="true"/>
          <w:lang w:bidi="ar-SA"/>
        </w:rPr>
        <w:t xml:space="preserve">فرضناه في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الوجوبية جارية في الشبهة</w:t>
      </w:r>
      <w:r>
        <w:rPr>
          <w:rFonts w:eastAsia="Amiri" w:cs="Amiri" w:ascii="Amiri" w:hAnsi="Amiri"/>
          <w:color w:val="111111"/>
          <w:sz w:val="28"/>
          <w:szCs w:val="28"/>
          <w:rtl w:val="true"/>
          <w:lang w:bidi="ar-SA"/>
        </w:rPr>
        <w:t>)</w:t>
      </w:r>
      <w:r>
        <w:rPr>
          <w:rStyle w:val="FootnoteAnchor"/>
          <w:rtl w:val="true"/>
        </w:rPr>
        <w:footnoteReference w:id="2243"/>
      </w:r>
      <w:r>
        <w:rPr>
          <w:rFonts w:ascii="Amiri" w:hAnsi="Amiri" w:eastAsia="Amiri" w:cs="Amiri"/>
          <w:color w:val="111111"/>
          <w:sz w:val="28"/>
          <w:sz w:val="28"/>
          <w:szCs w:val="28"/>
          <w:rtl w:val="true"/>
          <w:lang w:bidi="ar-SA"/>
        </w:rPr>
        <w:t>التحريميّة، يعلم حالها مما سبق، فلاحظ</w:t>
      </w:r>
      <w:r>
        <w:rPr>
          <w:rFonts w:eastAsia="Amiri" w:cs="Amiri" w:ascii="Amiri" w:hAnsi="Amiri"/>
          <w:color w:val="111111"/>
          <w:sz w:val="28"/>
          <w:szCs w:val="28"/>
          <w:rtl w:val="true"/>
          <w:lang w:bidi="ar-SA"/>
        </w:rPr>
        <w:t>.</w:t>
      </w:r>
      <w:r>
        <w:rPr>
          <w:rStyle w:val="FootnoteAnchor"/>
          <w:rtl w:val="true"/>
        </w:rPr>
        <w:footnoteReference w:id="2244"/>
      </w:r>
      <w:bookmarkStart w:id="689" w:name="pg9015_97734"/>
    </w:p>
    <w:p>
      <w:pPr>
        <w:pStyle w:val="Heading2"/>
        <w:numPr>
          <w:ilvl w:val="1"/>
          <w:numId w:val="1"/>
        </w:numPr>
        <w:rPr/>
      </w:pPr>
      <w:bookmarkStart w:id="690" w:name="__RefHeading___Toc2001825_2870459653"/>
      <w:bookmarkStart w:id="691" w:name="_Toc262"/>
      <w:bookmarkEnd w:id="689"/>
      <w:bookmarkEnd w:id="690"/>
      <w:r>
        <w:rPr>
          <w:rtl w:val="true"/>
        </w:rPr>
        <w:t xml:space="preserve">أصل </w:t>
      </w:r>
      <w:r>
        <w:rPr>
          <w:rtl w:val="true"/>
        </w:rPr>
        <w:t>[</w:t>
      </w:r>
      <w:r>
        <w:rPr>
          <w:rtl w:val="true"/>
        </w:rPr>
        <w:t>في الشبهة التحريمية ودوران الأمر بين المتباينين الشبهة المصداقية</w:t>
      </w:r>
      <w:r>
        <w:rPr>
          <w:rtl w:val="true"/>
        </w:rPr>
        <w:t>]</w:t>
      </w:r>
      <w:bookmarkEnd w:id="691"/>
    </w:p>
    <w:p>
      <w:pPr>
        <w:pStyle w:val="BookText"/>
        <w:rPr/>
      </w:pPr>
      <w:r>
        <w:rPr>
          <w:rFonts w:ascii="Amiri" w:hAnsi="Amiri" w:eastAsia="Amiri" w:cs="Amiri"/>
          <w:color w:val="111111"/>
          <w:sz w:val="28"/>
          <w:sz w:val="28"/>
          <w:szCs w:val="28"/>
          <w:rtl w:val="true"/>
          <w:lang w:bidi="ar-SA"/>
        </w:rPr>
        <w:t>إذا دار الأمر بين الحرام وغير الواجب، وكانت الشبهة موضوعية، والأمر دائراً بين المتباينين، فإن كانت الشبهة غير محصورة؛ لكون المشتبهات متعذرة الإحاطة أو متعسّرتها، ولو لأجل الهيئة الاجتماعية كجوائز الظلمة، أو لكون المشتبه لقلته كالمعدوم بين المشتبهات، بحيث اضمحل في جنبها ، واستقر سجية العقلاء على عدم التحرز عنها، لم يجب الاجتناب عنها؛ لفقد المقتضي في القسمين الأولين، فإن الخطاب لا ينصرف إلى مثلها</w:t>
      </w:r>
      <w:r>
        <w:rPr>
          <w:rStyle w:val="FootnoteAnchor"/>
          <w:rtl w:val="true"/>
        </w:rPr>
        <w:footnoteReference w:id="2245"/>
      </w:r>
      <w:r>
        <w:rPr>
          <w:rFonts w:ascii="IRNazanin" w:hAnsi="IRNazanin" w:eastAsia="IRNazanin"/>
          <w:color w:val="111111"/>
          <w:sz w:val="28"/>
          <w:sz w:val="28"/>
          <w:szCs w:val="28"/>
          <w:rtl w:val="true"/>
          <w:lang w:bidi="fa-IR"/>
        </w:rPr>
        <w:t>، مضافاً إلى الإجماع</w:t>
      </w:r>
      <w:r>
        <w:rPr>
          <w:rStyle w:val="FootnoteAnchor"/>
          <w:rtl w:val="true"/>
        </w:rPr>
        <w:footnoteReference w:id="2246"/>
      </w:r>
      <w:r>
        <w:rPr>
          <w:rFonts w:ascii="Amiri" w:hAnsi="Amiri" w:eastAsia="Amiri" w:cs="Amiri"/>
          <w:color w:val="111111"/>
          <w:sz w:val="28"/>
          <w:sz w:val="28"/>
          <w:szCs w:val="28"/>
          <w:rtl w:val="true"/>
          <w:lang w:bidi="ar-SA"/>
        </w:rPr>
        <w:t>، وأدلّة نفي العسر، وفي القسم الثالث يجري الدليل الأخير، وفي الأخير العسر ولو لبعض الأشخاص، بعد كون التبعيض في أشخاص المكلفين منفياً بالإجماع، فتأمل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محصورة، وكانت الشبهة غير مزجية كالإناء الطاهر المشتبه بالنجس، والمال الحلال المشتبه بالحرام، فمن جهة الحكم الوضعي يترتب الأثر من ضمان ونجاسة اتفاقاً، بعد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بالملاقاة والارتكاب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جهة الحكم التكليفي فيحتمل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ارتكاب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w:t>
      </w:r>
      <w:r>
        <w:rPr>
          <w:rStyle w:val="FootnoteAnchor"/>
          <w:rtl w:val="true"/>
        </w:rPr>
        <w:footnoteReference w:id="2247"/>
      </w:r>
      <w:r>
        <w:rPr>
          <w:rFonts w:ascii="Amiri" w:hAnsi="Amiri" w:eastAsia="Amiri" w:cs="Amiri"/>
          <w:color w:val="111111"/>
          <w:sz w:val="28"/>
          <w:sz w:val="28"/>
          <w:szCs w:val="28"/>
          <w:rtl w:val="true"/>
          <w:lang w:bidi="ar-SA"/>
        </w:rPr>
        <w:t>أو تدريجاً</w:t>
      </w:r>
      <w:r>
        <w:rPr>
          <w:rStyle w:val="FootnoteAnchor"/>
          <w:rtl w:val="true"/>
        </w:rPr>
        <w:footnoteReference w:id="2248"/>
      </w:r>
      <w:r>
        <w:rPr>
          <w:rFonts w:ascii="Amiri" w:hAnsi="Amiri" w:eastAsia="Amiri" w:cs="Amiri"/>
          <w:color w:val="111111"/>
          <w:sz w:val="28"/>
          <w:sz w:val="28"/>
          <w:szCs w:val="28"/>
          <w:rtl w:val="true"/>
          <w:lang w:bidi="ar-SA"/>
        </w:rPr>
        <w:t>، والقرعة</w:t>
      </w:r>
      <w:r>
        <w:rPr>
          <w:rStyle w:val="FootnoteAnchor"/>
          <w:rtl w:val="true"/>
        </w:rPr>
        <w:footnoteReference w:id="2249"/>
      </w:r>
      <w:r>
        <w:rPr>
          <w:rFonts w:ascii="IRNazanin" w:hAnsi="IRNazanin" w:eastAsia="IRNazanin"/>
          <w:color w:val="111111"/>
          <w:sz w:val="28"/>
          <w:sz w:val="28"/>
          <w:szCs w:val="28"/>
          <w:rtl w:val="true"/>
          <w:lang w:bidi="fa-IR"/>
        </w:rPr>
        <w:t>، ووجوب إبقاء مقدار الحرام</w:t>
      </w:r>
      <w:r>
        <w:rPr>
          <w:rStyle w:val="FootnoteAnchor"/>
          <w:rtl w:val="true"/>
        </w:rPr>
        <w:footnoteReference w:id="2250"/>
      </w:r>
      <w:r>
        <w:rPr>
          <w:rFonts w:ascii="Amiri" w:hAnsi="Amiri" w:eastAsia="Amiri" w:cs="Amiri"/>
          <w:color w:val="111111"/>
          <w:sz w:val="28"/>
          <w:sz w:val="28"/>
          <w:szCs w:val="28"/>
          <w:rtl w:val="true"/>
          <w:lang w:bidi="ar-SA"/>
        </w:rPr>
        <w:t>، واجتناب الكل</w:t>
      </w:r>
      <w:r>
        <w:rPr>
          <w:rStyle w:val="FootnoteAnchor"/>
          <w:rtl w:val="true"/>
        </w:rPr>
        <w:footnoteReference w:id="2251"/>
      </w:r>
      <w:r>
        <w:rPr>
          <w:rFonts w:ascii="Amiri" w:hAnsi="Amiri" w:eastAsia="Amiri" w:cs="Amiri"/>
          <w:color w:val="111111"/>
          <w:sz w:val="28"/>
          <w:sz w:val="28"/>
          <w:szCs w:val="28"/>
          <w:rtl w:val="true"/>
          <w:lang w:bidi="ar-SA"/>
        </w:rPr>
        <w:t xml:space="preserve">من باب المقدمة العقلية، أو من باب المقدمة </w:t>
      </w:r>
    </w:p>
    <w:p>
      <w:pPr>
        <w:pStyle w:val="BookText"/>
        <w:rPr/>
      </w:pPr>
      <w:r>
        <w:rPr>
          <w:rFonts w:ascii="Amiri" w:hAnsi="Amiri" w:eastAsia="Amiri" w:cs="Amiri"/>
          <w:color w:val="111111"/>
          <w:sz w:val="28"/>
          <w:sz w:val="28"/>
          <w:szCs w:val="28"/>
          <w:rtl w:val="true"/>
          <w:lang w:bidi="ar-SA"/>
        </w:rPr>
        <w:t>الشرعية، بحيث يتعدد العقاب على حسب تعدد الارتكاب، وإن انكشف أن ما ارتكبه لم يكن المحرم الواقعي؛ والأخير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w:t>
      </w:r>
      <w:r>
        <w:rPr>
          <w:rStyle w:val="FootnoteAnchor"/>
          <w:rtl w:val="true"/>
        </w:rPr>
        <w:footnoteReference w:id="2252"/>
      </w:r>
      <w:r>
        <w:rPr>
          <w:rFonts w:ascii="IRNazanin" w:hAnsi="IRNazanin" w:eastAsia="IRNazanin"/>
          <w:color w:val="111111"/>
          <w:sz w:val="28"/>
          <w:sz w:val="28"/>
          <w:szCs w:val="28"/>
          <w:rtl w:val="true"/>
          <w:lang w:bidi="fa-IR"/>
        </w:rPr>
        <w:t>بطلان الأولين؛ فللإجماع، وانصراف الخطاب إلى المعلوم ولو إجمالاً،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فيه حلال وحرام فهو حلال لك حتى تعرف الحرام بعينه</w:t>
      </w:r>
      <w:r>
        <w:rPr>
          <w:rFonts w:eastAsia="IRNazanin" w:cs="IRNazanin"/>
          <w:color w:val="111111"/>
          <w:sz w:val="28"/>
          <w:szCs w:val="28"/>
          <w:rtl w:val="true"/>
          <w:lang w:bidi="fa-IR"/>
        </w:rPr>
        <w:t>»</w:t>
      </w:r>
      <w:r>
        <w:rPr>
          <w:rStyle w:val="FootnoteAnchor"/>
          <w:rtl w:val="true"/>
        </w:rPr>
        <w:footnoteReference w:id="2253"/>
      </w:r>
      <w:r>
        <w:rPr>
          <w:rFonts w:ascii="Amiri" w:hAnsi="Amiri" w:eastAsia="Amiri" w:cs="Amiri"/>
          <w:color w:val="111111"/>
          <w:sz w:val="28"/>
          <w:sz w:val="28"/>
          <w:szCs w:val="28"/>
          <w:rtl w:val="true"/>
          <w:lang w:bidi="ar-SA"/>
        </w:rPr>
        <w:t>معارض مع حديث التثليث</w:t>
      </w:r>
      <w:r>
        <w:rPr>
          <w:rStyle w:val="FootnoteAnchor"/>
          <w:rtl w:val="true"/>
        </w:rPr>
        <w:footnoteReference w:id="2254"/>
      </w:r>
      <w:r>
        <w:rPr>
          <w:rFonts w:ascii="Amiri" w:hAnsi="Amiri" w:eastAsia="Amiri" w:cs="Amiri"/>
          <w:color w:val="111111"/>
          <w:sz w:val="28"/>
          <w:sz w:val="28"/>
          <w:szCs w:val="28"/>
          <w:rtl w:val="true"/>
          <w:lang w:bidi="ar-SA"/>
        </w:rPr>
        <w:t xml:space="preserve">، فيخصص </w:t>
      </w:r>
      <w:r>
        <w:rPr>
          <w:rStyle w:val="FootnoteAnchor"/>
          <w:rtl w:val="true"/>
        </w:rPr>
        <w:footnoteReference w:id="2255"/>
      </w:r>
      <w:r>
        <w:rPr>
          <w:rFonts w:ascii="Amiri" w:hAnsi="Amiri" w:eastAsia="Amiri" w:cs="Amiri"/>
          <w:color w:val="111111"/>
          <w:sz w:val="28"/>
          <w:sz w:val="28"/>
          <w:szCs w:val="28"/>
          <w:rtl w:val="true"/>
          <w:lang w:bidi="ar-SA"/>
        </w:rPr>
        <w:t>الأول على فرض دلالته بغير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مضافاً إلى الاستقراء وأما القرعة فيدفعها الأصل في ما يمكن فيه الاحتياط كما هنا، مع قصور أدلتها لو صح سندها وتم دلالتها</w:t>
      </w:r>
      <w:r>
        <w:rPr>
          <w:rStyle w:val="FootnoteAnchor"/>
          <w:rtl w:val="true"/>
        </w:rPr>
        <w:footnoteReference w:id="2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معارضة أخبار الاحتياط في مثل ما نحن فيه</w:t>
      </w:r>
      <w:r>
        <w:rPr>
          <w:rFonts w:eastAsia="Amiri" w:cs="Amiri" w:ascii="Amiri" w:hAnsi="Amiri"/>
          <w:color w:val="111111"/>
          <w:sz w:val="28"/>
          <w:szCs w:val="28"/>
          <w:rtl w:val="true"/>
          <w:lang w:bidi="ar-SA"/>
        </w:rPr>
        <w:t>.</w:t>
      </w:r>
      <w:r>
        <w:rPr>
          <w:rStyle w:val="FootnoteAnchor"/>
          <w:rtl w:val="true"/>
        </w:rPr>
        <w:footnoteReference w:id="225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 فيدفعه الاستصحاب، وقاعدة الاشتغال، والأدلة اللفظية، وأخبار الاحتياط، وخصوص حديث التثليث المعروف بين الخاصة والعامة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بين، وحرام بيّن، وشبهات بين ذلك، فمن ترك الشبهات نجا من المحرمات، ومن أخذ الشبهات ارتكب المحرمات، وهلك من حيث لا يعلم</w:t>
      </w:r>
      <w:r>
        <w:rPr>
          <w:rFonts w:eastAsia="Amiri" w:cs="Amiri" w:ascii="Amiri" w:hAnsi="Amiri"/>
          <w:color w:val="111111"/>
          <w:sz w:val="28"/>
          <w:szCs w:val="28"/>
          <w:rtl w:val="true"/>
          <w:lang w:bidi="ar-SA"/>
        </w:rPr>
        <w:t>».</w:t>
      </w:r>
      <w:r>
        <w:rPr>
          <w:rStyle w:val="FootnoteAnchor"/>
          <w:rtl w:val="true"/>
        </w:rPr>
        <w:footnoteReference w:id="2258"/>
      </w:r>
      <w:r>
        <w:rPr>
          <w:rFonts w:ascii="Amiri" w:hAnsi="Amiri" w:eastAsia="Amiri" w:cs="Amiri"/>
          <w:color w:val="111111"/>
          <w:sz w:val="28"/>
          <w:sz w:val="28"/>
          <w:szCs w:val="28"/>
          <w:rtl w:val="true"/>
          <w:lang w:bidi="ar-SA"/>
        </w:rPr>
        <w:t xml:space="preserve">ولا يمكن حمل الجمع المحلّى فيه على العهد ذهنياً وخارجياً، ولا على الاستغراق الحقيقي؛ إذ لا مورد له حينئذ، فلا </w:t>
      </w:r>
    </w:p>
    <w:p>
      <w:pPr>
        <w:pStyle w:val="BookText"/>
        <w:rPr/>
      </w:pPr>
      <w:r>
        <w:rPr>
          <w:rFonts w:ascii="IRNazanin" w:hAnsi="IRNazanin" w:eastAsia="IRNazanin"/>
          <w:color w:val="111111"/>
          <w:sz w:val="28"/>
          <w:sz w:val="28"/>
          <w:szCs w:val="28"/>
          <w:rtl w:val="true"/>
          <w:lang w:bidi="fa-IR"/>
        </w:rPr>
        <w:t xml:space="preserve">بد من 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على الجنس</w:t>
      </w:r>
      <w:r>
        <w:rPr>
          <w:rStyle w:val="FootnoteAnchor"/>
          <w:rtl w:val="true"/>
        </w:rPr>
        <w:footnoteReference w:id="2259"/>
      </w:r>
      <w:r>
        <w:rPr>
          <w:rFonts w:ascii="Amiri" w:hAnsi="Amiri" w:eastAsia="Amiri" w:cs="Amiri"/>
          <w:color w:val="111111"/>
          <w:sz w:val="28"/>
          <w:sz w:val="28"/>
          <w:szCs w:val="28"/>
          <w:rtl w:val="true"/>
          <w:lang w:bidi="ar-SA"/>
        </w:rPr>
        <w:t xml:space="preserve">المفرد، فيكون المراد أن من أخذ بالشبهة ارتكب المحرّم؛ أو على الاستغراق بالمعنى الأعمّ الذي يشمل جميع 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والمحرمات في الواقعة الخاصة،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أخذ جميع الشبهات</w:t>
      </w:r>
      <w:r>
        <w:rPr>
          <w:rFonts w:eastAsia="Amiri" w:cs="Amiri" w:ascii="Amiri" w:hAnsi="Amiri"/>
          <w:color w:val="111111"/>
          <w:sz w:val="28"/>
          <w:szCs w:val="28"/>
          <w:rtl w:val="true"/>
          <w:lang w:bidi="ar-SA"/>
        </w:rPr>
        <w:t>)</w:t>
      </w:r>
      <w:r>
        <w:rPr>
          <w:rStyle w:val="FootnoteAnchor"/>
          <w:rtl w:val="true"/>
        </w:rPr>
        <w:footnoteReference w:id="2260"/>
      </w:r>
      <w:r>
        <w:rPr>
          <w:rFonts w:ascii="Amiri" w:hAnsi="Amiri" w:eastAsia="Amiri" w:cs="Amiri"/>
          <w:color w:val="111111"/>
          <w:sz w:val="28"/>
          <w:sz w:val="28"/>
          <w:szCs w:val="28"/>
          <w:rtl w:val="true"/>
          <w:lang w:bidi="ar-SA"/>
        </w:rPr>
        <w:t>ولو في الواقعة الخاصة، فقد ارتكب المحرمات كذلك ، لكن الأول أقرب عرفاً، وإن كان المقصود يتم على الوجهين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الأول</w:t>
      </w:r>
      <w:r>
        <w:rPr>
          <w:rStyle w:val="FootnoteAnchor"/>
          <w:rtl w:val="true"/>
        </w:rPr>
        <w:footnoteReference w:id="2261"/>
      </w:r>
      <w:r>
        <w:rPr>
          <w:rFonts w:ascii="Amiri" w:hAnsi="Amiri" w:eastAsia="Amiri" w:cs="Amiri"/>
          <w:color w:val="111111"/>
          <w:sz w:val="28"/>
          <w:sz w:val="28"/>
          <w:szCs w:val="28"/>
          <w:rtl w:val="true"/>
          <w:lang w:bidi="ar-SA"/>
        </w:rPr>
        <w:t xml:space="preserve">منهما يحتمل أن يكون المراد من المحرّم المحرم الظاهري أو الواقعي حقيقة، أو الواقعي مجازاً، والأوسط كذب، والأخير بملاحظة التشبيه مستلزم لتعدد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كالأول، ويدل على تعدد العقاب</w:t>
      </w:r>
      <w:r>
        <w:rPr>
          <w:rFonts w:eastAsia="Amiri" w:cs="Amiri" w:ascii="Amiri" w:hAnsi="Amiri"/>
          <w:color w:val="111111"/>
          <w:sz w:val="28"/>
          <w:szCs w:val="28"/>
          <w:rtl w:val="true"/>
          <w:lang w:bidi="ar-SA"/>
        </w:rPr>
        <w:t>)</w:t>
      </w:r>
      <w:r>
        <w:rPr>
          <w:rStyle w:val="FootnoteAnchor"/>
          <w:rtl w:val="true"/>
        </w:rPr>
        <w:footnoteReference w:id="2262"/>
      </w:r>
      <w:r>
        <w:rPr>
          <w:rFonts w:ascii="Amiri" w:hAnsi="Amiri" w:eastAsia="Amiri" w:cs="Amiri"/>
          <w:color w:val="111111"/>
          <w:sz w:val="28"/>
          <w:sz w:val="28"/>
          <w:szCs w:val="28"/>
          <w:rtl w:val="true"/>
          <w:lang w:bidi="ar-SA"/>
        </w:rPr>
        <w:t>زيادة على ذلك خبر</w:t>
      </w:r>
      <w:r>
        <w:rPr>
          <w:rStyle w:val="FootnoteAnchor"/>
          <w:rtl w:val="true"/>
        </w:rPr>
        <w:footnoteReference w:id="2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 الاحتياط، وأن الترك الحكمي كالحقيقي، كما مرَّ في بحث مقدمة الواجب</w:t>
      </w:r>
      <w:r>
        <w:rPr>
          <w:rFonts w:eastAsia="Amiri" w:cs="Amiri" w:ascii="Amiri" w:hAnsi="Amiri"/>
          <w:color w:val="111111"/>
          <w:sz w:val="28"/>
          <w:szCs w:val="28"/>
          <w:rtl w:val="true"/>
          <w:lang w:bidi="ar-SA"/>
        </w:rPr>
        <w:t xml:space="preserve">. </w:t>
      </w:r>
      <w:bookmarkStart w:id="692" w:name="pg9015_97741"/>
    </w:p>
    <w:p>
      <w:pPr>
        <w:pStyle w:val="Heading2"/>
        <w:numPr>
          <w:ilvl w:val="1"/>
          <w:numId w:val="1"/>
        </w:numPr>
        <w:rPr/>
      </w:pPr>
      <w:bookmarkStart w:id="693" w:name="__RefHeading___Toc2001827_2870459653"/>
      <w:bookmarkStart w:id="694" w:name="_Toc263"/>
      <w:bookmarkEnd w:id="692"/>
      <w:bookmarkEnd w:id="693"/>
      <w:r>
        <w:rPr>
          <w:rtl w:val="true"/>
        </w:rPr>
        <w:t xml:space="preserve">أصل </w:t>
      </w:r>
      <w:r>
        <w:rPr>
          <w:rtl w:val="true"/>
        </w:rPr>
        <w:t>[</w:t>
      </w:r>
      <w:r>
        <w:rPr>
          <w:rtl w:val="true"/>
        </w:rPr>
        <w:t>في دوران الأمر بين المحذورين في الشبهة الحكمية</w:t>
      </w:r>
      <w:r>
        <w:rPr>
          <w:rtl w:val="true"/>
        </w:rPr>
        <w:t>]</w:t>
      </w:r>
      <w:bookmarkEnd w:id="694"/>
    </w:p>
    <w:p>
      <w:pPr>
        <w:pStyle w:val="BookText"/>
        <w:rPr/>
      </w:pPr>
      <w:r>
        <w:rPr>
          <w:rFonts w:ascii="IRNazanin" w:hAnsi="IRNazanin" w:eastAsia="IRNazanin"/>
          <w:color w:val="111111"/>
          <w:sz w:val="28"/>
          <w:sz w:val="28"/>
          <w:szCs w:val="28"/>
          <w:rtl w:val="true"/>
          <w:lang w:bidi="fa-IR"/>
        </w:rPr>
        <w:t>أصل</w:t>
      </w:r>
      <w:r>
        <w:rPr>
          <w:rStyle w:val="FootnoteAnchor"/>
          <w:rtl w:val="true"/>
        </w:rPr>
        <w:footnoteReference w:id="2264"/>
      </w:r>
    </w:p>
    <w:p>
      <w:pPr>
        <w:pStyle w:val="BookText"/>
        <w:rPr/>
      </w:pPr>
      <w:r>
        <w:rPr>
          <w:rFonts w:ascii="Amiri" w:hAnsi="Amiri" w:eastAsia="Amiri" w:cs="Amiri"/>
          <w:color w:val="111111"/>
          <w:sz w:val="28"/>
          <w:sz w:val="28"/>
          <w:szCs w:val="28"/>
          <w:rtl w:val="true"/>
          <w:lang w:bidi="ar-SA"/>
        </w:rPr>
        <w:t xml:space="preserve">إذا دار الأمر بعد العلم الإجمالي بين الواجب والحرام، وكانت الشبهة مرادية، كدوران الأمر بين وجوب السجدة وحرمتها بعد قراءة العزيمة في الفريضة، احتمل طرح الأمرين </w:t>
      </w:r>
      <w:r>
        <w:rPr>
          <w:rStyle w:val="FootnoteAnchor"/>
          <w:rtl w:val="true"/>
        </w:rPr>
        <w:footnoteReference w:id="2265"/>
      </w:r>
      <w:r>
        <w:rPr>
          <w:rFonts w:ascii="Amiri" w:hAnsi="Amiri" w:eastAsia="Amiri" w:cs="Amiri"/>
          <w:color w:val="111111"/>
          <w:sz w:val="28"/>
          <w:sz w:val="28"/>
          <w:szCs w:val="28"/>
          <w:rtl w:val="true"/>
          <w:lang w:bidi="ar-SA"/>
        </w:rPr>
        <w:t>، ويدفعه ظهور الإجماع، وأدلة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وتقديم جانب الحرمة</w:t>
      </w:r>
      <w:r>
        <w:rPr>
          <w:rStyle w:val="FootnoteAnchor"/>
          <w:rtl w:val="true"/>
        </w:rPr>
        <w:footnoteReference w:id="2266"/>
      </w:r>
      <w:r>
        <w:rPr>
          <w:rFonts w:ascii="Amiri" w:hAnsi="Amiri" w:eastAsia="Amiri" w:cs="Amiri"/>
          <w:color w:val="111111"/>
          <w:sz w:val="28"/>
          <w:sz w:val="28"/>
          <w:szCs w:val="28"/>
          <w:rtl w:val="true"/>
          <w:lang w:bidi="ar-SA"/>
        </w:rPr>
        <w:t>لأن دفع المضرة أولى من جلب</w:t>
      </w:r>
      <w:r>
        <w:rPr>
          <w:rStyle w:val="FootnoteAnchor"/>
          <w:rtl w:val="true"/>
        </w:rPr>
        <w:footnoteReference w:id="2267"/>
      </w:r>
      <w:r>
        <w:rPr>
          <w:rFonts w:ascii="Amiri" w:hAnsi="Amiri" w:eastAsia="Amiri" w:cs="Amiri"/>
          <w:color w:val="111111"/>
          <w:sz w:val="28"/>
          <w:sz w:val="28"/>
          <w:szCs w:val="28"/>
          <w:rtl w:val="true"/>
          <w:lang w:bidi="ar-SA"/>
        </w:rPr>
        <w:t>المنفعة، ويدفعه أن في ترك الواجب أيضاً مفسدة، وأن جلب المنفعة قد يترجح على دفع المفسدة، فلا يتم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والقرعة</w:t>
      </w:r>
      <w:r>
        <w:rPr>
          <w:rStyle w:val="FootnoteAnchor"/>
          <w:rtl w:val="true"/>
        </w:rPr>
        <w:footnoteReference w:id="2268"/>
      </w:r>
      <w:r>
        <w:rPr>
          <w:rFonts w:ascii="Amiri" w:hAnsi="Amiri" w:eastAsia="Amiri" w:cs="Amiri"/>
          <w:color w:val="111111"/>
          <w:sz w:val="28"/>
          <w:sz w:val="28"/>
          <w:szCs w:val="28"/>
          <w:rtl w:val="true"/>
          <w:lang w:bidi="ar-SA"/>
        </w:rPr>
        <w:t>، ويدفعها ظهور الإجماع على خلافها، وأخبار العلاج الدالة على التخيير في تعارض النصين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والتخيير الاستمراري، ويدفعه أصل الشغل</w:t>
      </w:r>
      <w:r>
        <w:rPr>
          <w:rStyle w:val="FootnoteAnchor"/>
          <w:rtl w:val="true"/>
        </w:rPr>
        <w:footnoteReference w:id="2269"/>
      </w:r>
      <w:r>
        <w:rPr>
          <w:rFonts w:ascii="IRNazanin" w:hAnsi="IRNazanin" w:eastAsia="IRNazanin"/>
          <w:color w:val="111111"/>
          <w:sz w:val="28"/>
          <w:sz w:val="28"/>
          <w:szCs w:val="28"/>
          <w:rtl w:val="true"/>
          <w:lang w:bidi="fa-IR"/>
        </w:rPr>
        <w:t xml:space="preserve">، والاستصحاب </w:t>
      </w:r>
      <w:r>
        <w:rPr>
          <w:rStyle w:val="FootnoteAnchor"/>
          <w:rtl w:val="true"/>
        </w:rPr>
        <w:footnoteReference w:id="2270"/>
      </w:r>
      <w:r>
        <w:rPr>
          <w:rFonts w:ascii="Amiri" w:hAnsi="Amiri" w:eastAsia="Amiri" w:cs="Amiri"/>
          <w:color w:val="111111"/>
          <w:sz w:val="28"/>
          <w:sz w:val="28"/>
          <w:szCs w:val="28"/>
          <w:rtl w:val="true"/>
          <w:lang w:bidi="ar-SA"/>
        </w:rPr>
        <w:t xml:space="preserve">، وظهور الإجماع على عدمه، وظاهر خبر التخيير، فإنّ ظاهره الخيار بدواً لا استمراراً، مع لزوم </w:t>
      </w:r>
    </w:p>
    <w:p>
      <w:pPr>
        <w:pStyle w:val="BookText"/>
        <w:rPr/>
      </w:pPr>
      <w:r>
        <w:rPr>
          <w:rFonts w:ascii="Amiri" w:hAnsi="Amiri" w:eastAsia="Amiri" w:cs="Amiri"/>
          <w:color w:val="111111"/>
          <w:sz w:val="28"/>
          <w:sz w:val="28"/>
          <w:szCs w:val="28"/>
          <w:rtl w:val="true"/>
          <w:lang w:bidi="ar-SA"/>
        </w:rPr>
        <w:t>المخالفة</w:t>
      </w:r>
      <w:r>
        <w:rPr>
          <w:rStyle w:val="FootnoteAnchor"/>
          <w:rtl w:val="true"/>
        </w:rPr>
        <w:footnoteReference w:id="2271"/>
      </w:r>
      <w:r>
        <w:rPr>
          <w:rFonts w:ascii="Amiri" w:hAnsi="Amiri" w:eastAsia="Amiri" w:cs="Amiri"/>
          <w:color w:val="111111"/>
          <w:sz w:val="28"/>
          <w:sz w:val="28"/>
          <w:szCs w:val="28"/>
          <w:rtl w:val="true"/>
          <w:lang w:bidi="ar-SA"/>
        </w:rPr>
        <w:t>القطعية، إلا أن يعارض بالموافقة القطعية، وأما التمسك باستصحاب التخيير، فهو فرع جريانه، ولا يجري</w:t>
      </w:r>
      <w:r>
        <w:rPr>
          <w:rStyle w:val="FootnoteAnchor"/>
          <w:rtl w:val="true"/>
        </w:rPr>
        <w:footnoteReference w:id="2272"/>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فيتعين التخيير البدوي</w:t>
      </w:r>
    </w:p>
    <w:p>
      <w:pPr>
        <w:pStyle w:val="BookText"/>
        <w:rPr/>
      </w:pPr>
      <w:r>
        <w:rPr>
          <w:rFonts w:ascii="IRNazanin" w:hAnsi="IRNazanin" w:eastAsia="IRNazanin"/>
          <w:color w:val="111111"/>
          <w:sz w:val="28"/>
          <w:sz w:val="28"/>
          <w:szCs w:val="28"/>
          <w:rtl w:val="true"/>
          <w:lang w:bidi="fa-IR"/>
        </w:rPr>
        <w:t>وهل المجتهد</w:t>
      </w:r>
      <w:r>
        <w:rPr>
          <w:rStyle w:val="FootnoteAnchor"/>
          <w:rtl w:val="true"/>
        </w:rPr>
        <w:footnoteReference w:id="2273"/>
      </w:r>
      <w:r>
        <w:rPr>
          <w:rFonts w:ascii="Amiri" w:hAnsi="Amiri" w:eastAsia="Amiri" w:cs="Amiri"/>
          <w:color w:val="111111"/>
          <w:sz w:val="28"/>
          <w:sz w:val="28"/>
          <w:szCs w:val="28"/>
          <w:rtl w:val="true"/>
          <w:lang w:bidi="ar-SA"/>
        </w:rPr>
        <w:t>حينئذ يفتي بالتخيير، كما في أمارتي المقلد، أو بالمختار؟،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خياره بين الأمرين، كما هو الأصل </w:t>
      </w:r>
      <w:r>
        <w:rPr>
          <w:rStyle w:val="FootnoteAnchor"/>
          <w:rtl w:val="true"/>
        </w:rPr>
        <w:footnoteReference w:id="2274"/>
      </w:r>
      <w:r>
        <w:rPr>
          <w:rFonts w:ascii="Amiri" w:hAnsi="Amiri" w:eastAsia="Amiri" w:cs="Amiri"/>
          <w:color w:val="111111"/>
          <w:sz w:val="28"/>
          <w:sz w:val="28"/>
          <w:szCs w:val="28"/>
          <w:rtl w:val="true"/>
          <w:lang w:bidi="ar-SA"/>
        </w:rPr>
        <w:t>، لكن الأظهر الأول؛ لسيرة العلماء، وحكاية ظهور عدم الخلاف</w:t>
      </w:r>
      <w:r>
        <w:rPr>
          <w:rFonts w:eastAsia="Amiri" w:cs="Amiri" w:ascii="Amiri" w:hAnsi="Amiri"/>
          <w:color w:val="111111"/>
          <w:sz w:val="28"/>
          <w:szCs w:val="28"/>
          <w:rtl w:val="true"/>
          <w:lang w:bidi="ar-SA"/>
        </w:rPr>
        <w:t>.</w:t>
      </w:r>
      <w:r>
        <w:rPr>
          <w:rStyle w:val="FootnoteAnchor"/>
          <w:rtl w:val="true"/>
        </w:rPr>
        <w:footnoteReference w:id="2275"/>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الشبهة مصداقية، فإن كان أصل</w:t>
      </w:r>
      <w:r>
        <w:rPr>
          <w:rStyle w:val="FootnoteAnchor"/>
          <w:rtl w:val="true"/>
        </w:rPr>
        <w:footnoteReference w:id="2276"/>
      </w:r>
      <w:r>
        <w:rPr>
          <w:rFonts w:ascii="Amiri" w:hAnsi="Amiri" w:eastAsia="Amiri" w:cs="Amiri"/>
          <w:color w:val="111111"/>
          <w:sz w:val="28"/>
          <w:sz w:val="28"/>
          <w:szCs w:val="28"/>
          <w:rtl w:val="true"/>
          <w:lang w:bidi="ar-SA"/>
        </w:rPr>
        <w:t xml:space="preserve">يرجح جانب الحرمة، كما في اشتباه آخر الحيض بالاستحاضة، أو جانب الوجوب ، كاشتباه آخر رمضان بأول شوال، عمل بالأصل، وان فقد من الجانبين، كالمنذور وطؤها المشتبهة بالأجنبية، جاء فيه الاحتمالات السابقة والمختار المختار </w:t>
      </w:r>
      <w:r>
        <w:rPr>
          <w:rStyle w:val="FootnoteAnchor"/>
          <w:rtl w:val="true"/>
        </w:rPr>
        <w:footnoteReference w:id="2277"/>
      </w:r>
      <w:r>
        <w:rPr>
          <w:rFonts w:ascii="Amiri" w:hAnsi="Amiri" w:eastAsia="Amiri" w:cs="Amiri"/>
          <w:color w:val="111111"/>
          <w:sz w:val="28"/>
          <w:sz w:val="28"/>
          <w:szCs w:val="28"/>
          <w:rtl w:val="true"/>
          <w:lang w:bidi="ar-SA"/>
        </w:rPr>
        <w:t>ويدل على بطلان طرح الأمرين</w:t>
      </w:r>
      <w:r>
        <w:rPr>
          <w:rStyle w:val="FootnoteAnchor"/>
          <w:rtl w:val="true"/>
        </w:rPr>
        <w:footnoteReference w:id="2278"/>
      </w:r>
      <w:r>
        <w:rPr>
          <w:rFonts w:ascii="IRNazanin" w:hAnsi="IRNazanin" w:eastAsia="IRNazanin"/>
          <w:color w:val="111111"/>
          <w:sz w:val="28"/>
          <w:sz w:val="28"/>
          <w:szCs w:val="28"/>
          <w:rtl w:val="true"/>
          <w:lang w:bidi="fa-IR"/>
        </w:rPr>
        <w:t>هنا انصراف الخطاب إلى المعلوم ولو إجمالاً، وظهور الإجماع</w:t>
      </w:r>
      <w:r>
        <w:rPr>
          <w:rFonts w:eastAsia="IRNazanin" w:cs="IRNazanin"/>
          <w:color w:val="111111"/>
          <w:sz w:val="28"/>
          <w:szCs w:val="28"/>
          <w:rtl w:val="true"/>
          <w:lang w:bidi="fa-IR"/>
        </w:rPr>
        <w:t>.</w:t>
      </w:r>
      <w:r>
        <w:rPr>
          <w:rStyle w:val="FootnoteAnchor"/>
          <w:rtl w:val="true"/>
        </w:rPr>
        <w:footnoteReference w:id="2279"/>
      </w:r>
      <w:bookmarkStart w:id="695" w:name="pg9015_97745"/>
    </w:p>
    <w:p>
      <w:pPr>
        <w:pStyle w:val="Heading2"/>
        <w:numPr>
          <w:ilvl w:val="1"/>
          <w:numId w:val="1"/>
        </w:numPr>
        <w:rPr/>
      </w:pPr>
      <w:bookmarkStart w:id="696" w:name="__RefHeading___Toc2001829_2870459653"/>
      <w:bookmarkStart w:id="697" w:name="_Toc264"/>
      <w:bookmarkEnd w:id="695"/>
      <w:bookmarkEnd w:id="696"/>
      <w:r>
        <w:rPr>
          <w:rtl w:val="true"/>
        </w:rPr>
        <w:t xml:space="preserve">أصل </w:t>
      </w:r>
      <w:r>
        <w:rPr>
          <w:rtl w:val="true"/>
        </w:rPr>
        <w:t>[</w:t>
      </w:r>
      <w:r>
        <w:rPr>
          <w:rtl w:val="true"/>
        </w:rPr>
        <w:t>في دوران الأمر بين الوجوب والكراهة، أو الحرمة والندب</w:t>
      </w:r>
      <w:r>
        <w:rPr>
          <w:rtl w:val="true"/>
        </w:rPr>
        <w:t>]</w:t>
      </w:r>
      <w:bookmarkEnd w:id="697"/>
    </w:p>
    <w:p>
      <w:pPr>
        <w:pStyle w:val="BookText"/>
        <w:rPr/>
      </w:pPr>
      <w:r>
        <w:rPr>
          <w:rFonts w:ascii="Amiri" w:hAnsi="Amiri" w:eastAsia="Amiri" w:cs="Amiri"/>
          <w:color w:val="111111"/>
          <w:sz w:val="28"/>
          <w:sz w:val="28"/>
          <w:szCs w:val="28"/>
          <w:rtl w:val="true"/>
          <w:lang w:bidi="ar-SA"/>
        </w:rPr>
        <w:t>اذا دار الأمر بين الوجوب والكراهة أو بين الحرمة والندب، جاء فيه الاحتمالات السابقة، والأظهر الاستحباب</w:t>
      </w:r>
      <w:r>
        <w:rPr>
          <w:rStyle w:val="FootnoteAnchor"/>
          <w:rtl w:val="true"/>
        </w:rPr>
        <w:footnoteReference w:id="2280"/>
      </w:r>
      <w:r>
        <w:rPr>
          <w:rFonts w:ascii="Amiri" w:hAnsi="Amiri" w:eastAsia="Amiri" w:cs="Amiri"/>
          <w:color w:val="111111"/>
          <w:sz w:val="28"/>
          <w:sz w:val="28"/>
          <w:szCs w:val="28"/>
          <w:rtl w:val="true"/>
          <w:lang w:bidi="ar-SA"/>
        </w:rPr>
        <w:t xml:space="preserve">الظاهري في الأول؛ لبناء أهل العقول، وحكم العقل بحسن اتيانه والكراهة الظاهرية في الثاني؛ لما ذكر </w:t>
      </w:r>
      <w:r>
        <w:rPr>
          <w:rFonts w:eastAsia="Amiri" w:cs="Amiri" w:ascii="Amiri" w:hAnsi="Amiri"/>
          <w:color w:val="111111"/>
          <w:sz w:val="28"/>
          <w:szCs w:val="28"/>
          <w:rtl w:val="true"/>
          <w:lang w:bidi="ar-SA"/>
        </w:rPr>
        <w:t>.</w:t>
      </w:r>
      <w:r>
        <w:rPr>
          <w:rStyle w:val="FootnoteAnchor"/>
          <w:rtl w:val="true"/>
        </w:rPr>
        <w:footnoteReference w:id="2281"/>
      </w:r>
    </w:p>
    <w:p>
      <w:pPr>
        <w:pStyle w:val="Heading2"/>
        <w:numPr>
          <w:ilvl w:val="1"/>
          <w:numId w:val="1"/>
        </w:numPr>
        <w:rPr/>
      </w:pPr>
      <w:bookmarkStart w:id="698" w:name="__RefHeading___Toc2001831_2870459653"/>
      <w:bookmarkStart w:id="699" w:name="_Toc265"/>
      <w:bookmarkEnd w:id="698"/>
      <w:r>
        <w:rPr>
          <w:rtl w:val="true"/>
        </w:rPr>
        <w:t xml:space="preserve">أصل </w:t>
      </w:r>
      <w:r>
        <w:rPr>
          <w:rtl w:val="true"/>
        </w:rPr>
        <w:t>[</w:t>
      </w:r>
      <w:r>
        <w:rPr>
          <w:rtl w:val="true"/>
        </w:rPr>
        <w:t>في وجوب الفحص قبل العمل بأصل البراءة</w:t>
      </w:r>
      <w:r>
        <w:rPr>
          <w:rtl w:val="true"/>
        </w:rPr>
        <w:t>]</w:t>
      </w:r>
      <w:bookmarkEnd w:id="69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عمل بأصل البراءة في الأحكام الشرعية قبل الفحص عن الدليل؛ لعدم جريان أدلته، فلا مقتضى للعمل به ، وللإجماع</w:t>
      </w:r>
      <w:r>
        <w:rPr>
          <w:rStyle w:val="FootnoteAnchor"/>
          <w:rtl w:val="true"/>
        </w:rPr>
        <w:footnoteReference w:id="2282"/>
      </w:r>
      <w:r>
        <w:rPr>
          <w:rFonts w:ascii="Amiri" w:hAnsi="Amiri" w:eastAsia="Amiri" w:cs="Amiri"/>
          <w:color w:val="111111"/>
          <w:sz w:val="28"/>
          <w:sz w:val="28"/>
          <w:szCs w:val="28"/>
          <w:rtl w:val="true"/>
          <w:lang w:bidi="ar-SA"/>
        </w:rPr>
        <w:t>، ولزوم الخروج عن الدين لولاه</w:t>
      </w:r>
      <w:r>
        <w:rPr>
          <w:rFonts w:eastAsia="Amiri" w:cs="Amiri" w:ascii="Amiri" w:hAnsi="Amiri"/>
          <w:color w:val="111111"/>
          <w:sz w:val="28"/>
          <w:szCs w:val="28"/>
          <w:rtl w:val="true"/>
          <w:lang w:bidi="ar-SA"/>
        </w:rPr>
        <w:t xml:space="preserve">. </w:t>
      </w:r>
      <w:bookmarkStart w:id="700" w:name="pg9015_97747"/>
    </w:p>
    <w:p>
      <w:pPr>
        <w:pStyle w:val="Heading2"/>
        <w:numPr>
          <w:ilvl w:val="1"/>
          <w:numId w:val="1"/>
        </w:numPr>
        <w:rPr/>
      </w:pPr>
      <w:bookmarkStart w:id="701" w:name="__RefHeading___Toc2001833_2870459653"/>
      <w:bookmarkStart w:id="702" w:name="_Toc266"/>
      <w:bookmarkEnd w:id="700"/>
      <w:bookmarkEnd w:id="701"/>
      <w:r>
        <w:rPr>
          <w:rtl w:val="true"/>
        </w:rPr>
        <w:t xml:space="preserve">أصل </w:t>
      </w:r>
      <w:r>
        <w:rPr>
          <w:rtl w:val="true"/>
        </w:rPr>
        <w:t>[</w:t>
      </w:r>
      <w:r>
        <w:rPr>
          <w:rtl w:val="true"/>
        </w:rPr>
        <w:t>في الاستقراء</w:t>
      </w:r>
      <w:r>
        <w:rPr>
          <w:rtl w:val="true"/>
        </w:rPr>
        <w:t>]</w:t>
      </w:r>
      <w:bookmarkEnd w:id="702"/>
    </w:p>
    <w:p>
      <w:pPr>
        <w:pStyle w:val="BookText"/>
        <w:rPr/>
      </w:pPr>
      <w:r>
        <w:rPr>
          <w:rFonts w:ascii="IRNazanin" w:hAnsi="IRNazanin" w:eastAsia="IRNazanin"/>
          <w:color w:val="111111"/>
          <w:sz w:val="28"/>
          <w:sz w:val="28"/>
          <w:szCs w:val="28"/>
          <w:rtl w:val="true"/>
          <w:lang w:bidi="fa-IR"/>
        </w:rPr>
        <w:t>أصل</w:t>
      </w:r>
      <w:r>
        <w:rPr>
          <w:rStyle w:val="FootnoteAnchor"/>
          <w:rtl w:val="true"/>
        </w:rPr>
        <w:footnoteReference w:id="2283"/>
      </w:r>
    </w:p>
    <w:p>
      <w:pPr>
        <w:pStyle w:val="BookText"/>
        <w:rPr/>
      </w:pPr>
      <w:r>
        <w:rPr>
          <w:rFonts w:ascii="Amiri" w:hAnsi="Amiri" w:eastAsia="Amiri" w:cs="Amiri"/>
          <w:color w:val="111111"/>
          <w:sz w:val="28"/>
          <w:sz w:val="28"/>
          <w:szCs w:val="28"/>
          <w:rtl w:val="true"/>
          <w:lang w:bidi="ar-SA"/>
        </w:rPr>
        <w:t>من الأدلة الاستقراء</w:t>
      </w:r>
      <w:r>
        <w:rPr>
          <w:rStyle w:val="FootnoteAnchor"/>
          <w:rtl w:val="true"/>
        </w:rPr>
        <w:footnoteReference w:id="2284"/>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وجد الحكم في جميع الجزئيات، وهو يفيد اليقين، ولا ريب في حجيته، لكنّه مما لا يكاد يوجد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ثبت الحكم في الأغلب وهو مما يفيد الظَّن الغالب، و يتفاوت الظن الغالب فيه بتفاوت مراتب الكثرة، فربّما يصير الظن متاخماً للعلم، وأمثلته في الشرع كثيرة</w:t>
      </w:r>
    </w:p>
    <w:p>
      <w:pPr>
        <w:pStyle w:val="BookText"/>
        <w:rPr/>
      </w:pPr>
      <w:r>
        <w:rPr>
          <w:rFonts w:ascii="Amiri" w:hAnsi="Amiri" w:eastAsia="Amiri" w:cs="Amiri"/>
          <w:color w:val="111111"/>
          <w:sz w:val="28"/>
          <w:sz w:val="28"/>
          <w:szCs w:val="28"/>
          <w:rtl w:val="true"/>
          <w:lang w:bidi="ar-SA"/>
        </w:rPr>
        <w:t>، فإن كان قطعياً فلا كلام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ظنياً ألحق المشكوك بالأغلب، فالمشكوك فيه إمّا فرد من صنف أو صنف من نوع، أو نوع من 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الصنف غالب معلوم بالتفصيل، وفي النوع أيضاً غلبة ،صنفية، أو فردية أو هما موافقة لغالب الصنف، أو لم يكن في النوع غالب لا صنفاً ولا فرداً، لا معاضداً ولا معارضاً ، ألحق المشكوك بالغالب؛ لحصول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الصنف غالب معلوم بالتفصيل، وفي النوع أيضاً غلبة صنفية، أو فردية، أو هما مخالفة لغالب الصنف، ألحق المشكوك بغالب الصنف؛ لأن الظن معه، مثاله المجاز المشهور عند تعارضه مع الحقيقة المرجوحة، وإن كنا متوقفين فيه؛ لاحتمال كون الشهرة قرينة، وكما في متحد المعنى في ردّ ابن جنّي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في الصنف غالب، ولا في النوع غالب، أو لم يكن في الصنف غالب، وكان في النوع غالب، أو كان وجود الغلبة في الصنف مشكوكاً، والنوع لا غالب فيه</w:t>
      </w:r>
      <w:r>
        <w:rPr>
          <w:rStyle w:val="FootnoteAnchor"/>
          <w:rtl w:val="true"/>
        </w:rPr>
        <w:footnoteReference w:id="2285"/>
      </w:r>
      <w:r>
        <w:rPr>
          <w:rFonts w:ascii="Amiri" w:hAnsi="Amiri" w:eastAsia="Amiri" w:cs="Amiri"/>
          <w:color w:val="111111"/>
          <w:sz w:val="28"/>
          <w:sz w:val="28"/>
          <w:szCs w:val="28"/>
          <w:rtl w:val="true"/>
          <w:lang w:bidi="ar-SA"/>
        </w:rPr>
        <w:t xml:space="preserve">، أو كانت في الصنف غلبة مجملة، ولا غالب في النوع، فالوقف على الأصح؛ </w:t>
      </w:r>
    </w:p>
    <w:p>
      <w:pPr>
        <w:pStyle w:val="BookText"/>
        <w:rPr/>
      </w:pPr>
      <w:r>
        <w:rPr>
          <w:rFonts w:ascii="IRNazanin" w:hAnsi="IRNazanin" w:eastAsia="IRNazanin"/>
          <w:color w:val="111111"/>
          <w:sz w:val="28"/>
          <w:sz w:val="28"/>
          <w:szCs w:val="28"/>
          <w:rtl w:val="true"/>
          <w:lang w:bidi="fa-IR"/>
        </w:rPr>
        <w:t>لفقد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كانت في الصنف غلبة مجملة، وفي النوع غالب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ما وراء الصنف المفروض من الأصناف ذات أغلب في الغالب على نهج واحد حكم ظناً بأن الغالب المعلوم بالإجمال على طبق الغالب في سائر الأصناف، وإما لا يكون كذلك، فالوقف؛ لفقد الظن، ولزوم التحكّم في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وجود الغالب في الصنف مشكوكاً، وفي النوع غالب، فكسابقه في الإلحاق</w:t>
      </w:r>
      <w:r>
        <w:rPr>
          <w:rFonts w:eastAsia="Amiri" w:cs="Amiri" w:ascii="Amiri" w:hAnsi="Amiri"/>
          <w:color w:val="111111"/>
          <w:sz w:val="28"/>
          <w:szCs w:val="28"/>
          <w:rtl w:val="true"/>
          <w:lang w:bidi="ar-SA"/>
        </w:rPr>
        <w:t>)</w:t>
      </w:r>
      <w:r>
        <w:rPr>
          <w:rStyle w:val="FootnoteAnchor"/>
          <w:rtl w:val="true"/>
        </w:rPr>
        <w:footnoteReference w:id="2286"/>
      </w:r>
      <w:r>
        <w:rPr>
          <w:rFonts w:ascii="Amiri" w:hAnsi="Amiri" w:eastAsia="Amiri" w:cs="Amiri"/>
          <w:color w:val="111111"/>
          <w:sz w:val="28"/>
          <w:sz w:val="28"/>
          <w:szCs w:val="28"/>
          <w:rtl w:val="true"/>
          <w:lang w:bidi="ar-SA"/>
        </w:rPr>
        <w:t>في الصورة الأولى منه، والوقف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وجود الغالب مشكوكاً في الصنف والنوع معاً، لوحظ الجنس، فإن كان فيه غالب من حيث</w:t>
      </w:r>
      <w:r>
        <w:rPr>
          <w:rStyle w:val="FootnoteAnchor"/>
          <w:rtl w:val="true"/>
        </w:rPr>
        <w:footnoteReference w:id="2287"/>
      </w:r>
      <w:r>
        <w:rPr>
          <w:rFonts w:ascii="Amiri" w:hAnsi="Amiri" w:eastAsia="Amiri" w:cs="Amiri"/>
          <w:color w:val="111111"/>
          <w:sz w:val="28"/>
          <w:sz w:val="28"/>
          <w:szCs w:val="28"/>
          <w:rtl w:val="true"/>
          <w:lang w:bidi="ar-SA"/>
        </w:rPr>
        <w:t xml:space="preserve">الأنواع،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غالب أنواع ذلك الجنس ذا غالب على نهج واحد، ألحق النوع بالجنس، والصنف بالنوع، والفرد</w:t>
      </w:r>
      <w:r>
        <w:rPr>
          <w:rFonts w:eastAsia="Amiri" w:cs="Amiri" w:ascii="Amiri" w:hAnsi="Amiri"/>
          <w:color w:val="111111"/>
          <w:sz w:val="28"/>
          <w:szCs w:val="28"/>
          <w:rtl w:val="true"/>
          <w:lang w:bidi="ar-SA"/>
        </w:rPr>
        <w:t>)</w:t>
      </w:r>
      <w:r>
        <w:rPr>
          <w:rStyle w:val="FootnoteAnchor"/>
          <w:rtl w:val="true"/>
        </w:rPr>
        <w:footnoteReference w:id="2288"/>
      </w:r>
      <w:r>
        <w:rPr>
          <w:rFonts w:ascii="IRNazanin" w:hAnsi="IRNazanin" w:eastAsia="IRNazanin"/>
          <w:color w:val="111111"/>
          <w:sz w:val="28"/>
          <w:sz w:val="28"/>
          <w:szCs w:val="28"/>
          <w:rtl w:val="true"/>
          <w:lang w:bidi="fa-IR"/>
        </w:rPr>
        <w:t>بالصنف؛ والا فالوقف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في القسم الثاني، فإن كان في النوع غلبة فردية فقط، ألحق الصنف المشكوك بغالب النوع على الأصح ، ويظهر من بعض التأمل في الإلحاق هنا؛ لاشتراط اتحاد المشكوك فيه مع المستقرأ فيه صنفاً، وهو وهم؛ إذ بعدما حملنا الصنف المشكوك على أكثر أفراد النوع للظن، حملنا </w:t>
      </w:r>
      <w:r>
        <w:rPr>
          <w:rStyle w:val="FootnoteAnchor"/>
          <w:rtl w:val="true"/>
        </w:rPr>
        <w:footnoteReference w:id="2289"/>
      </w:r>
      <w:r>
        <w:rPr>
          <w:rFonts w:ascii="Amiri" w:hAnsi="Amiri" w:eastAsia="Amiri" w:cs="Amiri"/>
          <w:color w:val="111111"/>
          <w:sz w:val="28"/>
          <w:sz w:val="28"/>
          <w:szCs w:val="28"/>
          <w:rtl w:val="true"/>
          <w:lang w:bidi="ar-SA"/>
        </w:rPr>
        <w:t>أفراد ذلك الصنف أيضاً على النوع للاستقراء</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صنفية فقط، أو صنفية وفردية، متعاضدتين فكذلك، أو متعارضتين مع عدم اضمحلال</w:t>
      </w:r>
      <w:r>
        <w:rPr>
          <w:rStyle w:val="FootnoteAnchor"/>
          <w:rtl w:val="true"/>
        </w:rPr>
        <w:footnoteReference w:id="2290"/>
      </w:r>
      <w:r>
        <w:rPr>
          <w:rFonts w:ascii="Amiri" w:hAnsi="Amiri" w:eastAsia="Amiri" w:cs="Amiri"/>
          <w:color w:val="111111"/>
          <w:sz w:val="28"/>
          <w:sz w:val="28"/>
          <w:szCs w:val="28"/>
          <w:rtl w:val="true"/>
          <w:lang w:bidi="ar-SA"/>
        </w:rPr>
        <w:t xml:space="preserve">إحدى الغلبتين في </w:t>
      </w:r>
      <w:r>
        <w:rPr>
          <w:rStyle w:val="FootnoteAnchor"/>
          <w:rtl w:val="true"/>
        </w:rPr>
        <w:footnoteReference w:id="2291"/>
      </w:r>
      <w:r>
        <w:rPr>
          <w:rFonts w:ascii="Amiri" w:hAnsi="Amiri" w:eastAsia="Amiri" w:cs="Amiri"/>
          <w:color w:val="111111"/>
          <w:sz w:val="28"/>
          <w:sz w:val="28"/>
          <w:szCs w:val="28"/>
          <w:rtl w:val="true"/>
          <w:lang w:bidi="ar-SA"/>
        </w:rPr>
        <w:t xml:space="preserve">جنب الأخرى، فالوقف؛ لفقد الظن، ولا يلاحظ </w:t>
      </w:r>
    </w:p>
    <w:p>
      <w:pPr>
        <w:pStyle w:val="BookText"/>
        <w:rPr/>
      </w:pPr>
      <w:r>
        <w:rPr>
          <w:rFonts w:ascii="Amiri" w:hAnsi="Amiri" w:eastAsia="Amiri" w:cs="Amiri"/>
          <w:color w:val="111111"/>
          <w:sz w:val="28"/>
          <w:sz w:val="28"/>
          <w:szCs w:val="28"/>
          <w:rtl w:val="true"/>
          <w:lang w:bidi="ar-SA"/>
        </w:rPr>
        <w:t xml:space="preserve">غالب الجنس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شك في وجود الغلبة في النوع، أو علم بوجودها وشك في الغالب، فحكمها</w:t>
      </w:r>
      <w:r>
        <w:rPr>
          <w:rStyle w:val="FootnoteAnchor"/>
          <w:rtl w:val="true"/>
        </w:rPr>
        <w:footnoteReference w:id="2292"/>
      </w:r>
      <w:r>
        <w:rPr>
          <w:rFonts w:ascii="Amiri" w:hAnsi="Amiri" w:eastAsia="Amiri" w:cs="Amiri"/>
          <w:color w:val="111111"/>
          <w:sz w:val="28"/>
          <w:sz w:val="28"/>
          <w:szCs w:val="28"/>
          <w:rtl w:val="true"/>
          <w:lang w:bidi="ar-SA"/>
        </w:rPr>
        <w:t>حكم القسمين فيما إذا كان المشكوك فرداً من صنف،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قطع بفقد الغلبة في النوع مطلقاً، فإن كان ما وراء الصنف المشكوك متبعضاً لا</w:t>
      </w:r>
      <w:r>
        <w:rPr>
          <w:rStyle w:val="FootnoteAnchor"/>
          <w:rtl w:val="true"/>
        </w:rPr>
        <w:footnoteReference w:id="2293"/>
      </w:r>
      <w:r>
        <w:rPr>
          <w:rFonts w:ascii="Amiri" w:hAnsi="Amiri" w:eastAsia="Amiri" w:cs="Amiri"/>
          <w:color w:val="111111"/>
          <w:sz w:val="28"/>
          <w:sz w:val="28"/>
          <w:szCs w:val="28"/>
          <w:rtl w:val="true"/>
          <w:lang w:bidi="ar-SA"/>
        </w:rPr>
        <w:t>على نهج واحد، فالوقف وإلا فالإلحاق للظن، وإن كان أفراد المشكوك فيه أكثر من أفراد المستقرأ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فسد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استعمال اللفظ الموضوع للجزء في الكل عند فقد شرطيه غير جائز ؛ تمسّكاً بفقد الاستقراء فيما فقدهما، وإن كنا مشاركين معه في عدم الجواز، لكن لوجود المانع وهو الاستهجان عرفاً، لا لفقد المقتضي</w:t>
      </w:r>
      <w:r>
        <w:rPr>
          <w:rFonts w:eastAsia="Amiri" w:cs="Amiri" w:ascii="Amiri" w:hAnsi="Amiri"/>
          <w:color w:val="111111"/>
          <w:sz w:val="28"/>
          <w:szCs w:val="28"/>
          <w:rtl w:val="true"/>
          <w:lang w:bidi="ar-SA"/>
        </w:rPr>
        <w:t>.</w:t>
      </w:r>
      <w:r>
        <w:rPr>
          <w:rStyle w:val="FootnoteAnchor"/>
          <w:rtl w:val="true"/>
        </w:rPr>
        <w:footnoteReference w:id="2294"/>
      </w:r>
    </w:p>
    <w:p>
      <w:pPr>
        <w:pStyle w:val="BookText"/>
        <w:rPr/>
      </w:pPr>
      <w:r>
        <w:rPr>
          <w:rFonts w:ascii="Amiri" w:hAnsi="Amiri" w:eastAsia="Amiri" w:cs="Amiri"/>
          <w:color w:val="111111"/>
          <w:sz w:val="28"/>
          <w:sz w:val="28"/>
          <w:szCs w:val="28"/>
          <w:rtl w:val="true"/>
          <w:lang w:bidi="ar-SA"/>
        </w:rPr>
        <w:t>وما قيل في إثبات فورية الأمر من أن أغلب</w:t>
      </w:r>
      <w:r>
        <w:rPr>
          <w:rStyle w:val="FootnoteAnchor"/>
          <w:rtl w:val="true"/>
        </w:rPr>
        <w:footnoteReference w:id="2295"/>
      </w:r>
      <w:r>
        <w:rPr>
          <w:rFonts w:ascii="Amiri" w:hAnsi="Amiri" w:eastAsia="Amiri" w:cs="Amiri"/>
          <w:color w:val="111111"/>
          <w:sz w:val="28"/>
          <w:sz w:val="28"/>
          <w:szCs w:val="28"/>
          <w:rtl w:val="true"/>
          <w:lang w:bidi="ar-SA"/>
        </w:rPr>
        <w:t xml:space="preserve">الألفاظ للفور بالمعنى الأعمّ من حال النطق وثاني الحال منه فيلحق المشكوك ،بالغالب فيثبت بذلك جنس الفور، ويتعيّن فصله بكون الفور حال النطق محالاً في الأمر، فتعين الآخر؛ وذلك لأن الاستقراء المحقق في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بنحو اتحاد المستقرأ فيه جنساً وفصلاً فيلحق المشكوك فيه به جنساً وفصلاً ، أو جنساً فقط مع اختلاف الفصل، فيلحق جنسا للظن، ويتوقف فصلا للتحكم إلّا أن يكون فصل المشكوك معلوماً بالتفصيل؛ لدليل خارجي فلا وقف</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جنساً لا فصلاً مع وجود صنف آخر مغاير للمستقرأ فيه جنساً أيضاً، بحيث يحتمل كون المشكوك فيه ملحقاً به في الواقع، كما يحتمل إلحاقه بجنس المستقرأ </w:t>
      </w:r>
    </w:p>
    <w:p>
      <w:pPr>
        <w:pStyle w:val="BookText"/>
        <w:rPr/>
      </w:pPr>
      <w:r>
        <w:rPr>
          <w:rFonts w:ascii="Amiri" w:hAnsi="Amiri" w:eastAsia="Amiri" w:cs="Amiri"/>
          <w:color w:val="111111"/>
          <w:sz w:val="28"/>
          <w:sz w:val="28"/>
          <w:szCs w:val="28"/>
          <w:rtl w:val="true"/>
          <w:lang w:bidi="ar-SA"/>
        </w:rPr>
        <w:t>فيه، لكن إذا الحق به</w:t>
      </w:r>
      <w:r>
        <w:rPr>
          <w:rStyle w:val="FootnoteAnchor"/>
          <w:rtl w:val="true"/>
        </w:rPr>
        <w:footnoteReference w:id="2296"/>
      </w:r>
      <w:r>
        <w:rPr>
          <w:rFonts w:ascii="Amiri" w:hAnsi="Amiri" w:eastAsia="Amiri" w:cs="Amiri"/>
          <w:color w:val="111111"/>
          <w:sz w:val="28"/>
          <w:sz w:val="28"/>
          <w:szCs w:val="28"/>
          <w:rtl w:val="true"/>
          <w:lang w:bidi="ar-SA"/>
        </w:rPr>
        <w:t xml:space="preserve">كان فصله معلوماً،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ما نحن فيه، لاحتمال كون الأمر كالمضارع، فالوقف جنساً</w:t>
      </w:r>
      <w:r>
        <w:rPr>
          <w:rFonts w:eastAsia="Amiri" w:cs="Amiri" w:ascii="Amiri" w:hAnsi="Amiri"/>
          <w:color w:val="111111"/>
          <w:sz w:val="28"/>
          <w:szCs w:val="28"/>
          <w:rtl w:val="true"/>
          <w:lang w:bidi="ar-SA"/>
        </w:rPr>
        <w:t>)</w:t>
      </w:r>
      <w:r>
        <w:rPr>
          <w:rStyle w:val="FootnoteAnchor"/>
          <w:rtl w:val="true"/>
        </w:rPr>
        <w:footnoteReference w:id="2297"/>
      </w:r>
      <w:r>
        <w:rPr>
          <w:rFonts w:ascii="IRNazanin" w:hAnsi="IRNazanin" w:eastAsia="IRNazanin"/>
          <w:color w:val="111111"/>
          <w:sz w:val="28"/>
          <w:sz w:val="28"/>
          <w:szCs w:val="28"/>
          <w:rtl w:val="true"/>
          <w:lang w:bidi="fa-IR"/>
        </w:rPr>
        <w:t>وفصلاً؛ لفقد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حال القسم الثالث مما مرَّ</w:t>
      </w:r>
      <w:r>
        <w:rPr>
          <w:rFonts w:eastAsia="Amiri" w:cs="Amiri" w:ascii="Amiri" w:hAnsi="Amiri"/>
          <w:color w:val="111111"/>
          <w:sz w:val="28"/>
          <w:szCs w:val="28"/>
          <w:rtl w:val="true"/>
          <w:lang w:bidi="ar-SA"/>
        </w:rPr>
        <w:t>.</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ذلك فاعلم أن الاستقراء يجري في الأحكام</w:t>
      </w:r>
      <w:r>
        <w:rPr>
          <w:rStyle w:val="FootnoteAnchor"/>
          <w:rtl w:val="true"/>
        </w:rPr>
        <w:footnoteReference w:id="2299"/>
      </w:r>
      <w:r>
        <w:rPr>
          <w:rFonts w:ascii="Amiri" w:hAnsi="Amiri" w:eastAsia="Amiri" w:cs="Amiri"/>
          <w:color w:val="111111"/>
          <w:sz w:val="28"/>
          <w:sz w:val="28"/>
          <w:szCs w:val="28"/>
          <w:rtl w:val="true"/>
          <w:lang w:bidi="ar-SA"/>
        </w:rPr>
        <w:t>، والموضوع الصرف، والمستنبط ، وغيرها، فكلّ مقام حكمنا بحجية الظن فيه عملنا به، وإلا فلا</w:t>
      </w:r>
      <w:r>
        <w:rPr>
          <w:rFonts w:eastAsia="Amiri" w:cs="Amiri" w:ascii="Amiri" w:hAnsi="Amiri"/>
          <w:color w:val="111111"/>
          <w:sz w:val="28"/>
          <w:szCs w:val="28"/>
          <w:rtl w:val="true"/>
          <w:lang w:bidi="ar-SA"/>
        </w:rPr>
        <w:t>.</w:t>
      </w:r>
      <w:r>
        <w:rPr>
          <w:rStyle w:val="FootnoteAnchor"/>
          <w:rtl w:val="true"/>
        </w:rPr>
        <w:footnoteReference w:id="230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يمكن حصول الاستقراء من مجموع النصوص، فيكون حجة عند العامل بالنصوص، من</w:t>
      </w:r>
      <w:r>
        <w:rPr>
          <w:rStyle w:val="FootnoteAnchor"/>
          <w:rtl w:val="true"/>
        </w:rPr>
        <w:footnoteReference w:id="2301"/>
      </w:r>
      <w:r>
        <w:rPr>
          <w:rFonts w:ascii="Amiri" w:hAnsi="Amiri" w:eastAsia="Amiri" w:cs="Amiri"/>
          <w:color w:val="111111"/>
          <w:sz w:val="28"/>
          <w:sz w:val="28"/>
          <w:szCs w:val="28"/>
          <w:rtl w:val="true"/>
          <w:lang w:bidi="ar-SA"/>
        </w:rPr>
        <w:t>باب الظن الخاص أيضاً؛ لأن مدلول مجموع النصوص حجة كمدلول النص الواحد، وعلى الظن المطلق، فالدائرة وسيعة</w:t>
      </w:r>
      <w:r>
        <w:rPr>
          <w:rFonts w:eastAsia="Amiri" w:cs="Amiri" w:ascii="Amiri" w:hAnsi="Amiri"/>
          <w:color w:val="111111"/>
          <w:sz w:val="28"/>
          <w:szCs w:val="28"/>
          <w:rtl w:val="true"/>
          <w:lang w:bidi="ar-SA"/>
        </w:rPr>
        <w:t xml:space="preserve">. </w:t>
      </w:r>
      <w:bookmarkStart w:id="703" w:name="pg9015_97756"/>
    </w:p>
    <w:p>
      <w:pPr>
        <w:pStyle w:val="Heading2"/>
        <w:numPr>
          <w:ilvl w:val="1"/>
          <w:numId w:val="1"/>
        </w:numPr>
        <w:rPr/>
      </w:pPr>
      <w:bookmarkStart w:id="704" w:name="__RefHeading___Toc2001835_2870459653"/>
      <w:bookmarkStart w:id="705" w:name="_Toc267"/>
      <w:bookmarkEnd w:id="703"/>
      <w:bookmarkEnd w:id="704"/>
      <w:r>
        <w:rPr>
          <w:rtl w:val="true"/>
        </w:rPr>
        <w:t xml:space="preserve">أصل </w:t>
      </w:r>
      <w:r>
        <w:rPr>
          <w:rtl w:val="true"/>
        </w:rPr>
        <w:t>[</w:t>
      </w:r>
      <w:r>
        <w:rPr>
          <w:rtl w:val="true"/>
        </w:rPr>
        <w:t>في الاستصحاب وتعريفه</w:t>
      </w:r>
      <w:r>
        <w:rPr>
          <w:rtl w:val="true"/>
        </w:rPr>
        <w:t>]</w:t>
      </w:r>
      <w:bookmarkEnd w:id="705"/>
    </w:p>
    <w:p>
      <w:pPr>
        <w:pStyle w:val="Heading3"/>
        <w:numPr>
          <w:ilvl w:val="2"/>
          <w:numId w:val="1"/>
        </w:numPr>
        <w:rPr/>
      </w:pPr>
      <w:bookmarkStart w:id="706" w:name="__RefHeading___Toc2001837_2870459653"/>
      <w:bookmarkStart w:id="707" w:name="_Toc268"/>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عرّفوا الاستصحاب بتعاريف لا تخلو من الخلل،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نفس الحالة السابقة </w:t>
      </w:r>
      <w:r>
        <w:rPr>
          <w:rStyle w:val="FootnoteAnchor"/>
          <w:rtl w:val="true"/>
        </w:rPr>
        <w:footnoteReference w:id="2302"/>
      </w:r>
      <w:r>
        <w:rPr>
          <w:rFonts w:ascii="Amiri" w:hAnsi="Amiri" w:eastAsia="Amiri" w:cs="Amiri"/>
          <w:color w:val="111111"/>
          <w:sz w:val="28"/>
          <w:sz w:val="28"/>
          <w:szCs w:val="28"/>
          <w:rtl w:val="true"/>
          <w:lang w:bidi="ar-SA"/>
        </w:rPr>
        <w:t>، أو إنه القاعدة الشرعية، وهي أن كل أمر ثبت تحققه حكم ببقائه مالم يعلم المزيل</w:t>
      </w:r>
      <w:r>
        <w:rPr>
          <w:rFonts w:eastAsia="Amiri" w:cs="Amiri" w:ascii="Amiri" w:hAnsi="Amiri"/>
          <w:color w:val="111111"/>
          <w:sz w:val="28"/>
          <w:szCs w:val="28"/>
          <w:rtl w:val="true"/>
          <w:lang w:bidi="ar-SA"/>
        </w:rPr>
        <w:t>.</w:t>
      </w:r>
      <w:r>
        <w:rPr>
          <w:rStyle w:val="FootnoteAnchor"/>
          <w:rtl w:val="true"/>
        </w:rPr>
        <w:footnoteReference w:id="2303"/>
      </w:r>
    </w:p>
    <w:p>
      <w:pPr>
        <w:pStyle w:val="BookText"/>
        <w:rPr/>
      </w:pPr>
      <w:r>
        <w:rPr>
          <w:rFonts w:ascii="Amiri" w:hAnsi="Amiri" w:eastAsia="Amiri" w:cs="Amiri"/>
          <w:color w:val="111111"/>
          <w:sz w:val="28"/>
          <w:sz w:val="28"/>
          <w:szCs w:val="28"/>
          <w:rtl w:val="true"/>
          <w:lang w:bidi="ar-SA"/>
        </w:rPr>
        <w:t xml:space="preserve">والأظهر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بقاء ما كان على ما كان</w:t>
      </w:r>
      <w:r>
        <w:rPr>
          <w:rFonts w:eastAsia="Amiri" w:cs="Amiri" w:ascii="Amiri" w:hAnsi="Amiri"/>
          <w:color w:val="111111"/>
          <w:sz w:val="28"/>
          <w:szCs w:val="28"/>
          <w:rtl w:val="true"/>
          <w:lang w:bidi="ar-SA"/>
        </w:rPr>
        <w:t>.</w:t>
      </w:r>
      <w:r>
        <w:rPr>
          <w:rStyle w:val="FootnoteAnchor"/>
          <w:rtl w:val="true"/>
        </w:rPr>
        <w:footnoteReference w:id="2304"/>
      </w:r>
      <w:r>
        <w:rPr>
          <w:rStyle w:val="FootnoteAnchor"/>
          <w:rtl w:val="true"/>
        </w:rPr>
        <w:footnoteReference w:id="2305"/>
      </w:r>
    </w:p>
    <w:p>
      <w:pPr>
        <w:pStyle w:val="BookText"/>
        <w:rPr/>
      </w:pPr>
      <w:r>
        <w:rPr>
          <w:rFonts w:ascii="Amiri" w:hAnsi="Amiri" w:eastAsia="Amiri" w:cs="Amiri"/>
          <w:color w:val="111111"/>
          <w:sz w:val="28"/>
          <w:sz w:val="28"/>
          <w:szCs w:val="28"/>
          <w:rtl w:val="true"/>
          <w:lang w:bidi="ar-SA"/>
        </w:rPr>
        <w:t>ثم في كون المسألة أصولية، أم فرعية، أم تابعة للمستصحب ، وجوه</w:t>
      </w:r>
      <w:r>
        <w:rPr>
          <w:rStyle w:val="FootnoteAnchor"/>
          <w:rtl w:val="true"/>
        </w:rPr>
        <w:footnoteReference w:id="2306"/>
      </w:r>
      <w:r>
        <w:rPr>
          <w:rFonts w:ascii="Amiri" w:hAnsi="Amiri" w:eastAsia="Amiri" w:cs="Amiri"/>
          <w:color w:val="111111"/>
          <w:sz w:val="28"/>
          <w:sz w:val="28"/>
          <w:szCs w:val="28"/>
          <w:rtl w:val="true"/>
          <w:lang w:bidi="ar-SA"/>
        </w:rPr>
        <w:t>كما أن في حجية الدليل الظني لإثباته مطلقاً، أو في بعض الموارد أم لا مطلقاً</w:t>
      </w:r>
    </w:p>
    <w:p>
      <w:pPr>
        <w:pStyle w:val="BookText"/>
        <w:rPr/>
      </w:pP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w:t>
      </w:r>
      <w:r>
        <w:rPr>
          <w:rStyle w:val="FootnoteAnchor"/>
          <w:rtl w:val="true"/>
        </w:rPr>
        <w:footnoteReference w:id="2307"/>
      </w:r>
    </w:p>
    <w:p>
      <w:pPr>
        <w:pStyle w:val="BookText"/>
        <w:rPr/>
      </w:pPr>
      <w:r>
        <w:rPr>
          <w:rFonts w:ascii="Amiri" w:hAnsi="Amiri" w:eastAsia="Amiri" w:cs="Amiri"/>
          <w:color w:val="111111"/>
          <w:sz w:val="28"/>
          <w:sz w:val="28"/>
          <w:szCs w:val="28"/>
          <w:rtl w:val="true"/>
          <w:lang w:bidi="ar-SA"/>
        </w:rPr>
        <w:t>ثم الاستصحاب باعتبار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وجودي، أو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حكمي، أو موضوعي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وباعتبار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استصحاب حال العقل، ويعبر عنه بأصالة النفي واستصحاب حال الشرع، 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استصحاب حال النص، وحال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يكون الاستصحاب استصحاباً لحالة شيء خارج عن الأدلة المعهودة</w:t>
      </w:r>
      <w:r>
        <w:rPr>
          <w:rStyle w:val="FootnoteAnchor"/>
          <w:rtl w:val="true"/>
        </w:rPr>
        <w:footnoteReference w:id="2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كاستصحاب بقاء معنى اللفظ وعدم هجره، وليس هو باستصحاب النفي وأصالته كما لا يخفى</w:t>
      </w:r>
      <w:r>
        <w:rPr>
          <w:rFonts w:eastAsia="Amiri" w:cs="Amiri" w:ascii="Amiri" w:hAnsi="Amiri"/>
          <w:color w:val="111111"/>
          <w:sz w:val="28"/>
          <w:szCs w:val="28"/>
          <w:rtl w:val="true"/>
          <w:lang w:bidi="ar-SA"/>
        </w:rPr>
        <w:t>).</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ثم في حجية الاستصحاب مطلقاً</w:t>
      </w:r>
      <w:r>
        <w:rPr>
          <w:rStyle w:val="FootnoteAnchor"/>
          <w:rtl w:val="true"/>
        </w:rPr>
        <w:footnoteReference w:id="2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خصوص الموضوعات</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2"/>
      </w:r>
      <w:r>
        <w:rPr>
          <w:rFonts w:ascii="Amiri" w:hAnsi="Amiri" w:eastAsia="Amiri" w:cs="Amiri"/>
          <w:color w:val="111111"/>
          <w:sz w:val="28"/>
          <w:sz w:val="28"/>
          <w:szCs w:val="28"/>
          <w:rtl w:val="true"/>
          <w:lang w:bidi="ar-SA"/>
        </w:rPr>
        <w:t>أو في خصوص الأحكام مطلقاً</w:t>
      </w:r>
      <w:r>
        <w:rPr>
          <w:rStyle w:val="FootnoteAnchor"/>
          <w:rtl w:val="true"/>
        </w:rPr>
        <w:footnoteReference w:id="2313"/>
      </w:r>
      <w:r>
        <w:rPr>
          <w:rFonts w:ascii="Amiri" w:hAnsi="Amiri" w:eastAsia="Amiri" w:cs="Amiri"/>
          <w:color w:val="111111"/>
          <w:sz w:val="28"/>
          <w:sz w:val="28"/>
          <w:szCs w:val="28"/>
          <w:rtl w:val="true"/>
          <w:lang w:bidi="ar-SA"/>
        </w:rPr>
        <w:t>أو في الوضعية خاصة</w:t>
      </w:r>
      <w:r>
        <w:rPr>
          <w:rStyle w:val="FootnoteAnchor"/>
          <w:rtl w:val="true"/>
        </w:rPr>
        <w:footnoteReference w:id="2314"/>
      </w:r>
      <w:r>
        <w:rPr>
          <w:rFonts w:ascii="Amiri" w:hAnsi="Amiri" w:eastAsia="Amiri" w:cs="Amiri"/>
          <w:color w:val="111111"/>
          <w:sz w:val="28"/>
          <w:sz w:val="28"/>
          <w:szCs w:val="28"/>
          <w:rtl w:val="true"/>
          <w:lang w:bidi="ar-SA"/>
        </w:rPr>
        <w:t>أو استصحاب حال غير الإجماع في الأحكام</w:t>
      </w:r>
      <w:r>
        <w:rPr>
          <w:rStyle w:val="FootnoteAnchor"/>
          <w:rtl w:val="true"/>
        </w:rPr>
        <w:footnoteReference w:id="2315"/>
      </w:r>
      <w:r>
        <w:rPr>
          <w:rFonts w:ascii="Amiri" w:hAnsi="Amiri" w:eastAsia="Amiri" w:cs="Amiri"/>
          <w:color w:val="111111"/>
          <w:sz w:val="28"/>
          <w:sz w:val="28"/>
          <w:szCs w:val="28"/>
          <w:rtl w:val="true"/>
          <w:lang w:bidi="ar-SA"/>
        </w:rPr>
        <w:t>، أو إذا كان الشك في طرو المانع</w:t>
      </w:r>
      <w:r>
        <w:rPr>
          <w:rStyle w:val="FootnoteAnchor"/>
          <w:rtl w:val="true"/>
        </w:rPr>
        <w:footnoteReference w:id="2316"/>
      </w:r>
      <w:r>
        <w:rPr>
          <w:rFonts w:ascii="Amiri" w:hAnsi="Amiri" w:eastAsia="Amiri" w:cs="Amiri"/>
          <w:color w:val="111111"/>
          <w:sz w:val="28"/>
          <w:sz w:val="28"/>
          <w:szCs w:val="28"/>
          <w:rtl w:val="true"/>
          <w:lang w:bidi="ar-SA"/>
        </w:rPr>
        <w:t>، أو إذا لم يكن الشك في المقتضي</w:t>
      </w:r>
      <w:r>
        <w:rPr>
          <w:rStyle w:val="FootnoteAnchor"/>
          <w:rtl w:val="true"/>
        </w:rPr>
        <w:footnoteReference w:id="2317"/>
      </w:r>
      <w:r>
        <w:rPr>
          <w:rFonts w:ascii="IRNazanin" w:hAnsi="IRNazanin" w:eastAsia="IRNazanin"/>
          <w:color w:val="111111"/>
          <w:sz w:val="28"/>
          <w:sz w:val="28"/>
          <w:szCs w:val="28"/>
          <w:rtl w:val="true"/>
          <w:lang w:bidi="fa-IR"/>
        </w:rPr>
        <w:t>، أو عدمها مطلقاً</w:t>
      </w:r>
      <w:r>
        <w:rPr>
          <w:rStyle w:val="FootnoteAnchor"/>
          <w:rtl w:val="true"/>
        </w:rPr>
        <w:footnoteReference w:id="2318"/>
      </w: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كون الحجية من باب الوصف أو السبب وجهان</w:t>
      </w:r>
      <w:r>
        <w:rPr>
          <w:rStyle w:val="FootnoteAnchor"/>
          <w:rtl w:val="true"/>
        </w:rPr>
        <w:footnoteReference w:id="2319"/>
      </w:r>
      <w:bookmarkStart w:id="708" w:name="pg9015_97760"/>
    </w:p>
    <w:p>
      <w:pPr>
        <w:pStyle w:val="Heading3"/>
        <w:numPr>
          <w:ilvl w:val="2"/>
          <w:numId w:val="1"/>
        </w:numPr>
        <w:rPr/>
      </w:pPr>
      <w:bookmarkStart w:id="709" w:name="__RefHeading___Toc2001839_2870459653"/>
      <w:bookmarkStart w:id="710" w:name="_Toc269"/>
      <w:bookmarkEnd w:id="708"/>
      <w:bookmarkEnd w:id="709"/>
      <w:r>
        <w:rPr>
          <w:rtl w:val="true"/>
        </w:rPr>
        <w:t>[</w:t>
      </w:r>
      <w:r>
        <w:rPr>
          <w:rtl w:val="true"/>
        </w:rPr>
        <w:t>تحرير محل النزاع</w:t>
      </w:r>
      <w:r>
        <w:rPr>
          <w:rtl w:val="true"/>
        </w:rPr>
        <w:t>]</w:t>
      </w:r>
      <w:bookmarkEnd w:id="710"/>
    </w:p>
    <w:p>
      <w:pPr>
        <w:pStyle w:val="BookText"/>
        <w:rPr/>
      </w:pPr>
      <w:r>
        <w:rPr>
          <w:rFonts w:ascii="IRNazanin" w:hAnsi="IRNazanin" w:eastAsia="IRNazanin"/>
          <w:color w:val="111111"/>
          <w:sz w:val="28"/>
          <w:sz w:val="28"/>
          <w:szCs w:val="28"/>
          <w:rtl w:val="true"/>
          <w:lang w:bidi="fa-IR"/>
        </w:rPr>
        <w:t>ثم إن استصحاب حال العقل</w:t>
      </w:r>
      <w:r>
        <w:rPr>
          <w:rStyle w:val="FootnoteAnchor"/>
          <w:rtl w:val="true"/>
        </w:rPr>
        <w:footnoteReference w:id="2320"/>
      </w:r>
      <w:r>
        <w:rPr>
          <w:rFonts w:ascii="Amiri" w:hAnsi="Amiri" w:eastAsia="Amiri" w:cs="Amiri"/>
          <w:color w:val="111111"/>
          <w:sz w:val="28"/>
          <w:sz w:val="28"/>
          <w:szCs w:val="28"/>
          <w:rtl w:val="true"/>
          <w:lang w:bidi="ar-SA"/>
        </w:rPr>
        <w:t>ليس داخلاً في هذا النزاع</w:t>
      </w:r>
      <w:r>
        <w:rPr>
          <w:rStyle w:val="FootnoteAnchor"/>
          <w:rtl w:val="true"/>
        </w:rPr>
        <w:footnoteReference w:id="2321"/>
      </w:r>
      <w:r>
        <w:rPr>
          <w:rFonts w:ascii="IRNazanin" w:hAnsi="IRNazanin" w:eastAsia="IRNazanin"/>
          <w:color w:val="111111"/>
          <w:sz w:val="28"/>
          <w:sz w:val="28"/>
          <w:szCs w:val="28"/>
          <w:rtl w:val="true"/>
          <w:lang w:bidi="fa-IR"/>
        </w:rPr>
        <w:t>لتعدد العنوان</w:t>
      </w:r>
      <w:r>
        <w:rPr>
          <w:rStyle w:val="FootnoteAnchor"/>
          <w:rtl w:val="true"/>
        </w:rPr>
        <w:footnoteReference w:id="2322"/>
      </w:r>
      <w:r>
        <w:rPr>
          <w:rFonts w:ascii="Amiri" w:hAnsi="Amiri" w:eastAsia="Amiri" w:cs="Amiri"/>
          <w:color w:val="111111"/>
          <w:sz w:val="28"/>
          <w:sz w:val="28"/>
          <w:szCs w:val="28"/>
          <w:rtl w:val="true"/>
          <w:lang w:bidi="ar-SA"/>
        </w:rPr>
        <w:t>، بل الاستصحاب العدمي مطلقاً ليس من محل النزاع؛ لمنقول الإجماع</w:t>
      </w:r>
      <w:r>
        <w:rPr>
          <w:rStyle w:val="FootnoteAnchor"/>
          <w:rtl w:val="true"/>
        </w:rPr>
        <w:footnoteReference w:id="2323"/>
      </w:r>
      <w:r>
        <w:rPr>
          <w:rFonts w:ascii="Amiri" w:hAnsi="Amiri" w:eastAsia="Amiri" w:cs="Amiri"/>
          <w:color w:val="111111"/>
          <w:sz w:val="28"/>
          <w:sz w:val="28"/>
          <w:szCs w:val="28"/>
          <w:rtl w:val="true"/>
          <w:lang w:bidi="ar-SA"/>
        </w:rPr>
        <w:t xml:space="preserve">، ولاتفاقهم قديماً وحديثاً على الاستدلال بالأدلة اللفظية، ولا يمكن </w:t>
      </w:r>
      <w:r>
        <w:rPr>
          <w:rStyle w:val="FootnoteAnchor"/>
          <w:rtl w:val="true"/>
        </w:rPr>
        <w:footnoteReference w:id="2324"/>
      </w:r>
      <w:r>
        <w:rPr>
          <w:rFonts w:ascii="Amiri" w:hAnsi="Amiri" w:eastAsia="Amiri" w:cs="Amiri"/>
          <w:color w:val="111111"/>
          <w:sz w:val="28"/>
          <w:sz w:val="28"/>
          <w:szCs w:val="28"/>
          <w:rtl w:val="true"/>
          <w:lang w:bidi="ar-SA"/>
        </w:rPr>
        <w:t>تتميمها الا بضمّ الأصول العدمية، مضافاً إلى ظهور دليلهم العقلي و</w:t>
      </w:r>
      <w:r>
        <w:rPr>
          <w:rStyle w:val="FootnoteAnchor"/>
          <w:rtl w:val="true"/>
        </w:rPr>
        <w:footnoteReference w:id="2325"/>
      </w:r>
      <w:r>
        <w:rPr>
          <w:rFonts w:ascii="Amiri" w:hAnsi="Amiri" w:eastAsia="Amiri" w:cs="Amiri"/>
          <w:color w:val="111111"/>
          <w:sz w:val="28"/>
          <w:sz w:val="28"/>
          <w:szCs w:val="28"/>
          <w:rtl w:val="true"/>
          <w:lang w:bidi="ar-SA"/>
        </w:rPr>
        <w:t>ردّه في ذلك</w:t>
      </w:r>
      <w:r>
        <w:rPr>
          <w:rFonts w:eastAsia="Amiri" w:cs="Amiri" w:ascii="Amiri" w:hAnsi="Amiri"/>
          <w:color w:val="111111"/>
          <w:sz w:val="28"/>
          <w:szCs w:val="28"/>
          <w:rtl w:val="true"/>
          <w:lang w:bidi="ar-SA"/>
        </w:rPr>
        <w:t>.</w:t>
      </w:r>
      <w:r>
        <w:rPr>
          <w:rStyle w:val="FootnoteAnchor"/>
          <w:rtl w:val="true"/>
        </w:rPr>
        <w:footnoteReference w:id="232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انه بعد ملاحظة الجواب والدليل يظهر ان النزاع في الوجودي</w:t>
      </w:r>
      <w:bookmarkStart w:id="711" w:name="pg9015_97762"/>
    </w:p>
    <w:p>
      <w:pPr>
        <w:pStyle w:val="Heading2"/>
        <w:numPr>
          <w:ilvl w:val="1"/>
          <w:numId w:val="1"/>
        </w:numPr>
        <w:rPr/>
      </w:pPr>
      <w:bookmarkStart w:id="712" w:name="__RefHeading___Toc2001841_2870459653"/>
      <w:bookmarkStart w:id="713" w:name="_Toc270"/>
      <w:bookmarkEnd w:id="711"/>
      <w:bookmarkEnd w:id="712"/>
      <w:r>
        <w:rPr>
          <w:rtl w:val="true"/>
        </w:rPr>
        <w:t xml:space="preserve">أصل </w:t>
      </w:r>
      <w:r>
        <w:rPr>
          <w:rtl w:val="true"/>
        </w:rPr>
        <w:t>[</w:t>
      </w:r>
      <w:r>
        <w:rPr>
          <w:rtl w:val="true"/>
        </w:rPr>
        <w:t>في حجية الاستصحاب في الجملة</w:t>
      </w:r>
      <w:r>
        <w:rPr>
          <w:rtl w:val="true"/>
        </w:rPr>
        <w:t>]</w:t>
      </w:r>
      <w:bookmarkEnd w:id="713"/>
    </w:p>
    <w:p>
      <w:pPr>
        <w:pStyle w:val="BookText"/>
        <w:rPr/>
      </w:pPr>
      <w:r>
        <w:rPr>
          <w:rFonts w:ascii="Amiri" w:hAnsi="Amiri" w:eastAsia="Amiri" w:cs="Amiri"/>
          <w:color w:val="111111"/>
          <w:sz w:val="28"/>
          <w:sz w:val="28"/>
          <w:szCs w:val="28"/>
          <w:rtl w:val="true"/>
          <w:lang w:bidi="ar-SA"/>
        </w:rPr>
        <w:t>في إثبات حجية الاستصحاب في الجملة دفعاً للسلب الكلي، والدليل عليه بعد الشهرة، ومحكي الإجماعات</w:t>
      </w:r>
      <w:r>
        <w:rPr>
          <w:rStyle w:val="FootnoteAnchor"/>
          <w:rtl w:val="true"/>
        </w:rPr>
        <w:footnoteReference w:id="2327"/>
      </w:r>
      <w:r>
        <w:rPr>
          <w:rFonts w:ascii="IRNazanin" w:hAnsi="IRNazanin" w:eastAsia="IRNazanin"/>
          <w:color w:val="111111"/>
          <w:sz w:val="28"/>
          <w:sz w:val="28"/>
          <w:szCs w:val="28"/>
          <w:rtl w:val="true"/>
          <w:lang w:bidi="fa-IR"/>
        </w:rPr>
        <w:t xml:space="preserve">، واستقراء الموارد الإجماعية، والأخبار الخاصة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w:t>
      </w:r>
      <w:r>
        <w:rPr>
          <w:rStyle w:val="FootnoteAnchor"/>
          <w:rtl w:val="true"/>
        </w:rPr>
        <w:footnoteReference w:id="2328"/>
      </w:r>
      <w:r>
        <w:rPr>
          <w:rFonts w:ascii="Amiri" w:hAnsi="Amiri" w:eastAsia="Amiri" w:cs="Amiri"/>
          <w:color w:val="111111"/>
          <w:sz w:val="28"/>
          <w:sz w:val="28"/>
          <w:szCs w:val="28"/>
          <w:rtl w:val="true"/>
          <w:lang w:bidi="ar-SA"/>
        </w:rPr>
        <w:t>نظيف حتى تعلم انه قذر</w:t>
      </w:r>
      <w:r>
        <w:rPr>
          <w:rFonts w:eastAsia="Amiri" w:cs="Amiri" w:ascii="Amiri" w:hAnsi="Amiri"/>
          <w:color w:val="111111"/>
          <w:sz w:val="28"/>
          <w:szCs w:val="28"/>
          <w:rtl w:val="true"/>
          <w:lang w:bidi="ar-SA"/>
        </w:rPr>
        <w:t xml:space="preserve">» </w:t>
      </w:r>
      <w:r>
        <w:rPr>
          <w:rStyle w:val="FootnoteAnchor"/>
          <w:rtl w:val="true"/>
        </w:rPr>
        <w:footnoteReference w:id="23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طاهر حتى تعلم أنه قذر</w:t>
      </w:r>
      <w:r>
        <w:rPr>
          <w:rFonts w:eastAsia="Amiri" w:cs="Amiri" w:ascii="Amiri" w:hAnsi="Amiri"/>
          <w:color w:val="111111"/>
          <w:sz w:val="28"/>
          <w:szCs w:val="28"/>
          <w:rtl w:val="true"/>
          <w:lang w:bidi="ar-SA"/>
        </w:rPr>
        <w:t>»</w:t>
      </w:r>
      <w:r>
        <w:rPr>
          <w:rStyle w:val="FootnoteAnchor"/>
          <w:rtl w:val="true"/>
        </w:rPr>
        <w:footnoteReference w:id="2330"/>
      </w:r>
      <w:r>
        <w:rPr>
          <w:rStyle w:val="FootnoteAnchor"/>
          <w:rtl w:val="true"/>
        </w:rPr>
        <w:footnoteReference w:id="233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تعرف الحرام بعينه</w:t>
      </w:r>
      <w:r>
        <w:rPr>
          <w:rFonts w:eastAsia="Amiri" w:cs="Amiri" w:ascii="Amiri" w:hAnsi="Amiri"/>
          <w:color w:val="111111"/>
          <w:sz w:val="28"/>
          <w:szCs w:val="28"/>
          <w:rtl w:val="true"/>
          <w:lang w:bidi="ar-SA"/>
        </w:rPr>
        <w:t>»</w:t>
      </w:r>
      <w:r>
        <w:rPr>
          <w:rStyle w:val="FootnoteAnchor"/>
          <w:rtl w:val="true"/>
        </w:rPr>
        <w:footnoteReference w:id="2332"/>
      </w:r>
      <w:r>
        <w:rPr>
          <w:rFonts w:ascii="Amiri" w:hAnsi="Amiri" w:eastAsia="Amiri" w:cs="Amiri"/>
          <w:color w:val="111111"/>
          <w:sz w:val="28"/>
          <w:sz w:val="28"/>
          <w:szCs w:val="28"/>
          <w:rtl w:val="true"/>
          <w:lang w:bidi="ar-SA"/>
        </w:rPr>
        <w:t>بناء على حملها على الشبهة الموضوعية، خاصة في المسبوق بالحالة السابقة على بعد فيه</w:t>
      </w:r>
      <w:r>
        <w:rPr>
          <w:rStyle w:val="FootnoteAnchor"/>
          <w:rtl w:val="true"/>
        </w:rPr>
        <w:footnoteReference w:id="2333"/>
      </w:r>
      <w:r>
        <w:rPr>
          <w:rFonts w:ascii="Amiri" w:hAnsi="Amiri" w:eastAsia="Amiri" w:cs="Amiri"/>
          <w:color w:val="111111"/>
          <w:sz w:val="28"/>
          <w:sz w:val="28"/>
          <w:szCs w:val="28"/>
          <w:rtl w:val="true"/>
          <w:lang w:bidi="ar-SA"/>
        </w:rPr>
        <w:t>، إلى غير ذلك من النصوص الخاصة، وجوه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العامة، كصحيحة زرارة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ينام وهو على وضوء أتوجب الخفقة والخفقتان عليه الوضوء؟ فقال علیه السلام يا زرارة، قد تنام العين ولا ينام القلب والإذن، فإذا نامت العين والإذن والقلب</w:t>
      </w:r>
      <w:r>
        <w:rPr>
          <w:rStyle w:val="FootnoteAnchor"/>
          <w:rtl w:val="true"/>
        </w:rPr>
        <w:footnoteReference w:id="2334"/>
      </w:r>
      <w:r>
        <w:rPr>
          <w:rFonts w:ascii="Amiri" w:hAnsi="Amiri" w:eastAsia="Amiri" w:cs="Amiri"/>
          <w:color w:val="111111"/>
          <w:sz w:val="28"/>
          <w:sz w:val="28"/>
          <w:szCs w:val="28"/>
          <w:rtl w:val="true"/>
          <w:lang w:bidi="ar-SA"/>
        </w:rPr>
        <w:t>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w:t>
      </w:r>
      <w:r>
        <w:rPr>
          <w:rStyle w:val="FootnoteAnchor"/>
          <w:rtl w:val="true"/>
        </w:rPr>
        <w:footnoteReference w:id="2335"/>
      </w:r>
      <w:r>
        <w:rPr>
          <w:rFonts w:ascii="Amiri" w:hAnsi="Amiri" w:eastAsia="Amiri" w:cs="Amiri"/>
          <w:color w:val="111111"/>
          <w:sz w:val="28"/>
          <w:sz w:val="28"/>
          <w:szCs w:val="28"/>
          <w:rtl w:val="true"/>
          <w:lang w:bidi="ar-SA"/>
        </w:rPr>
        <w:t>على جنبه شيء وهو لا يعلم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يستيقن انه قد حتى يجيء من ذلك أمر بينّ والا فإنه على يقين من وضوئه، ولا ينقض اليقين بالشك </w:t>
      </w:r>
    </w:p>
    <w:p>
      <w:pPr>
        <w:pStyle w:val="BookText"/>
        <w:rPr/>
      </w:pPr>
      <w:r>
        <w:rPr>
          <w:rFonts w:ascii="Amiri" w:hAnsi="Amiri" w:eastAsia="Amiri" w:cs="Amiri"/>
          <w:color w:val="111111"/>
          <w:sz w:val="28"/>
          <w:sz w:val="28"/>
          <w:szCs w:val="28"/>
          <w:rtl w:val="true"/>
          <w:lang w:bidi="ar-SA"/>
        </w:rPr>
        <w:t>أبداً ، ولكنه ينقضه بيقين آخر</w:t>
      </w:r>
      <w:r>
        <w:rPr>
          <w:rFonts w:eastAsia="Amiri" w:cs="Amiri" w:ascii="Amiri" w:hAnsi="Amiri"/>
          <w:color w:val="111111"/>
          <w:sz w:val="28"/>
          <w:szCs w:val="28"/>
          <w:rtl w:val="true"/>
          <w:lang w:bidi="ar-SA"/>
        </w:rPr>
        <w:t>»</w:t>
      </w:r>
      <w:r>
        <w:rPr>
          <w:rStyle w:val="FootnoteAnchor"/>
          <w:rtl w:val="true"/>
        </w:rPr>
        <w:footnoteReference w:id="2336"/>
      </w:r>
      <w:r>
        <w:rPr>
          <w:rFonts w:ascii="Amiri" w:hAnsi="Amiri" w:eastAsia="Amiri" w:cs="Amiri"/>
          <w:color w:val="111111"/>
          <w:sz w:val="28"/>
          <w:sz w:val="28"/>
          <w:szCs w:val="28"/>
          <w:rtl w:val="true"/>
          <w:lang w:bidi="ar-SA"/>
        </w:rPr>
        <w:t xml:space="preserve">، وذيلها يدل على المطلوب من جهة نص العلة، مع </w:t>
      </w:r>
      <w:r>
        <w:rPr>
          <w:rStyle w:val="FootnoteAnchor"/>
          <w:rtl w:val="true"/>
        </w:rPr>
        <w:footnoteReference w:id="2337"/>
      </w:r>
      <w:r>
        <w:rPr>
          <w:rFonts w:ascii="Amiri" w:hAnsi="Amiri" w:eastAsia="Amiri" w:cs="Amiri"/>
          <w:color w:val="111111"/>
          <w:sz w:val="28"/>
          <w:sz w:val="28"/>
          <w:szCs w:val="28"/>
          <w:rtl w:val="true"/>
          <w:lang w:bidi="ar-SA"/>
        </w:rPr>
        <w:t xml:space="preserve">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الكبرى الكلية، والمراد أنه لا ينقض اليقين</w:t>
      </w:r>
      <w:r>
        <w:rPr>
          <w:rStyle w:val="FootnoteAnchor"/>
          <w:rtl w:val="true"/>
        </w:rPr>
        <w:footnoteReference w:id="2338"/>
      </w:r>
      <w:r>
        <w:rPr>
          <w:rFonts w:ascii="Amiri" w:hAnsi="Amiri" w:eastAsia="Amiri" w:cs="Amiri"/>
          <w:color w:val="111111"/>
          <w:sz w:val="28"/>
          <w:sz w:val="28"/>
          <w:szCs w:val="28"/>
          <w:rtl w:val="true"/>
          <w:lang w:bidi="ar-SA"/>
        </w:rPr>
        <w:t>السابق بالشك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للجنس؛ للتبادر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العهد</w:t>
      </w:r>
      <w:r>
        <w:rPr>
          <w:rStyle w:val="FootnoteAnchor"/>
          <w:rtl w:val="true"/>
        </w:rPr>
        <w:footnoteReference w:id="2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فيفيد العموم</w:t>
      </w:r>
      <w:r>
        <w:rPr>
          <w:rStyle w:val="FootnoteAnchor"/>
          <w:rtl w:val="true"/>
        </w:rPr>
        <w:footnoteReference w:id="2340"/>
      </w:r>
      <w:r>
        <w:rPr>
          <w:rFonts w:ascii="Amiri" w:hAnsi="Amiri" w:eastAsia="Amiri" w:cs="Amiri"/>
          <w:color w:val="111111"/>
          <w:sz w:val="28"/>
          <w:sz w:val="28"/>
          <w:szCs w:val="28"/>
          <w:rtl w:val="true"/>
          <w:lang w:bidi="ar-SA"/>
        </w:rPr>
        <w:t>، كفاية عموم مع العلة</w:t>
      </w:r>
      <w:r>
        <w:rPr>
          <w:rStyle w:val="FootnoteAnchor"/>
          <w:rtl w:val="true"/>
        </w:rPr>
        <w:footnoteReference w:id="2341"/>
      </w:r>
      <w:r>
        <w:rPr>
          <w:rFonts w:ascii="Amiri" w:hAnsi="Amiri" w:eastAsia="Amiri" w:cs="Amiri"/>
          <w:color w:val="111111"/>
          <w:sz w:val="28"/>
          <w:sz w:val="28"/>
          <w:szCs w:val="28"/>
          <w:rtl w:val="true"/>
          <w:lang w:bidi="ar-SA"/>
        </w:rPr>
        <w:t>المنصوصة</w:t>
      </w:r>
      <w:r>
        <w:rPr>
          <w:rStyle w:val="FootnoteAnchor"/>
          <w:rtl w:val="true"/>
        </w:rPr>
        <w:footnoteReference w:id="2342"/>
      </w:r>
      <w:r>
        <w:rPr>
          <w:rFonts w:ascii="Amiri" w:hAnsi="Amiri" w:eastAsia="Amiri" w:cs="Amiri"/>
          <w:color w:val="111111"/>
          <w:sz w:val="28"/>
          <w:sz w:val="28"/>
          <w:szCs w:val="28"/>
          <w:rtl w:val="true"/>
          <w:lang w:bidi="ar-SA"/>
        </w:rPr>
        <w:t xml:space="preserve">، وجزاء الشرط مضمر ، فالتقدير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لا يستيقن انه قد نام فلا يجب عليه الوضوء؛ لأن الوضوء يقيني، وكل يقين لا ينقض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رعاية تلك القاعدة في مثل الشك بين الثلاث والأربع، ونحوه من الموارد</w:t>
      </w:r>
      <w:r>
        <w:rPr>
          <w:rStyle w:val="FootnoteAnchor"/>
          <w:rtl w:val="true"/>
        </w:rPr>
        <w:footnoteReference w:id="2343"/>
      </w:r>
      <w:r>
        <w:rPr>
          <w:rFonts w:ascii="Amiri" w:hAnsi="Amiri" w:eastAsia="Amiri" w:cs="Amiri"/>
          <w:color w:val="111111"/>
          <w:sz w:val="28"/>
          <w:sz w:val="28"/>
          <w:szCs w:val="28"/>
          <w:rtl w:val="true"/>
          <w:lang w:bidi="ar-SA"/>
        </w:rPr>
        <w:t>، لا يوجب القدح في النص</w:t>
      </w:r>
      <w:r>
        <w:rPr>
          <w:rStyle w:val="FootnoteAnchor"/>
          <w:rtl w:val="true"/>
        </w:rPr>
        <w:footnoteReference w:id="2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تلك الموارد مما نقض فيه اليقين باليقين؛ للدليل الوارد فهو تخصيص أو لأن العام المخصص حجة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عدم صدور هذا الخبر عن الإمام علیه السلام، فيلزم من حجية الاستصحاب للخبر عدم حجيته</w:t>
      </w:r>
      <w:r>
        <w:rPr>
          <w:rFonts w:eastAsia="IRNazanin" w:cs="IRNazanin"/>
          <w:color w:val="111111"/>
          <w:sz w:val="28"/>
          <w:szCs w:val="28"/>
          <w:rtl w:val="true"/>
          <w:lang w:bidi="fa-IR"/>
        </w:rPr>
        <w:t>.</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انصراف الخبر إلى نفي نفسه، وبأن الغرض تراكم الأدلة الظنية لتحصيل القطع</w:t>
      </w:r>
      <w:r>
        <w:rPr>
          <w:rStyle w:val="FootnoteAnchor"/>
          <w:rtl w:val="true"/>
        </w:rPr>
        <w:footnoteReference w:id="2346"/>
      </w:r>
      <w:r>
        <w:rPr>
          <w:rFonts w:ascii="Amiri" w:hAnsi="Amiri" w:eastAsia="Amiri" w:cs="Amiri"/>
          <w:color w:val="111111"/>
          <w:sz w:val="28"/>
          <w:sz w:val="28"/>
          <w:szCs w:val="28"/>
          <w:rtl w:val="true"/>
          <w:lang w:bidi="ar-SA"/>
        </w:rPr>
        <w:t>، واذا جعلنا ظني الصدور حجة هنا فلا إشكال؛ لانتقاض اليقين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إمكان العمل بالاستصحابين المتعارضين</w:t>
      </w:r>
      <w:r>
        <w:rPr>
          <w:rStyle w:val="FootnoteAnchor"/>
          <w:rtl w:val="true"/>
        </w:rPr>
        <w:footnoteReference w:id="2347"/>
      </w:r>
      <w:r>
        <w:rPr>
          <w:rFonts w:ascii="Amiri" w:hAnsi="Amiri" w:eastAsia="Amiri" w:cs="Amiri"/>
          <w:color w:val="111111"/>
          <w:sz w:val="28"/>
          <w:sz w:val="28"/>
          <w:szCs w:val="28"/>
          <w:rtl w:val="true"/>
          <w:lang w:bidi="ar-SA"/>
        </w:rPr>
        <w:t>لا ينافي كلية الكبرى؛ إذ الكلام منساق لإثبات الحجية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في الدلالة نصوص مستفيضة</w:t>
      </w:r>
      <w:r>
        <w:rPr>
          <w:rStyle w:val="FootnoteAnchor"/>
          <w:rtl w:val="true"/>
        </w:rPr>
        <w:footnoteReference w:id="2348"/>
      </w:r>
      <w:r>
        <w:rPr>
          <w:rFonts w:ascii="Amiri" w:hAnsi="Amiri" w:eastAsia="Amiri" w:cs="Amiri"/>
          <w:color w:val="111111"/>
          <w:sz w:val="28"/>
          <w:sz w:val="28"/>
          <w:szCs w:val="28"/>
          <w:rtl w:val="true"/>
          <w:lang w:bidi="ar-SA"/>
        </w:rPr>
        <w:t>، بل العلم الإجمالي بصدور بعضها حاصل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w:t>
      </w:r>
      <w:r>
        <w:rPr>
          <w:rStyle w:val="FootnoteAnchor"/>
          <w:rtl w:val="true"/>
        </w:rPr>
        <w:footnoteReference w:id="2349"/>
      </w:r>
      <w:r>
        <w:rPr>
          <w:rFonts w:ascii="IRNazanin" w:hAnsi="IRNazanin" w:eastAsia="IRNazanin"/>
          <w:color w:val="111111"/>
          <w:sz w:val="28"/>
          <w:sz w:val="28"/>
          <w:szCs w:val="28"/>
          <w:rtl w:val="true"/>
          <w:lang w:bidi="fa-IR"/>
        </w:rPr>
        <w:t>من لدن آدم على العمل بالاستصحاب</w:t>
      </w:r>
      <w:r>
        <w:rPr>
          <w:rStyle w:val="FootnoteAnchor"/>
          <w:rtl w:val="true"/>
        </w:rPr>
        <w:footnoteReference w:id="2350"/>
      </w:r>
      <w:r>
        <w:rPr>
          <w:rFonts w:ascii="Amiri" w:hAnsi="Amiri" w:eastAsia="Amiri" w:cs="Amiri"/>
          <w:color w:val="111111"/>
          <w:sz w:val="28"/>
          <w:sz w:val="28"/>
          <w:szCs w:val="28"/>
          <w:rtl w:val="true"/>
          <w:lang w:bidi="ar-SA"/>
        </w:rPr>
        <w:t>في الموضوعات والأحكام، وآيات النهي</w:t>
      </w:r>
      <w:r>
        <w:rPr>
          <w:rStyle w:val="FootnoteAnchor"/>
          <w:rtl w:val="true"/>
        </w:rPr>
        <w:footnoteReference w:id="2351"/>
      </w:r>
      <w:r>
        <w:rPr>
          <w:rFonts w:ascii="Amiri" w:hAnsi="Amiri" w:eastAsia="Amiri" w:cs="Amiri"/>
          <w:color w:val="111111"/>
          <w:sz w:val="28"/>
          <w:sz w:val="28"/>
          <w:szCs w:val="28"/>
          <w:rtl w:val="true"/>
          <w:lang w:bidi="ar-SA"/>
        </w:rPr>
        <w:t>ليست برادعة</w:t>
      </w:r>
      <w:r>
        <w:rPr>
          <w:rStyle w:val="FootnoteAnchor"/>
          <w:rtl w:val="true"/>
        </w:rPr>
        <w:footnoteReference w:id="2352"/>
      </w:r>
      <w:r>
        <w:rPr>
          <w:rFonts w:ascii="Amiri" w:hAnsi="Amiri" w:eastAsia="Amiri" w:cs="Amiri"/>
          <w:color w:val="111111"/>
          <w:sz w:val="28"/>
          <w:sz w:val="28"/>
          <w:szCs w:val="28"/>
          <w:rtl w:val="true"/>
          <w:lang w:bidi="ar-SA"/>
        </w:rPr>
        <w:t>لهم حتى يسقط بناؤهم عن الحجية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ويقرر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الشارع في أكثر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التوصليات والارتباطيات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وصفاً ، أو سبباً</w:t>
      </w:r>
    </w:p>
    <w:p>
      <w:pPr>
        <w:pStyle w:val="BookText"/>
        <w:rPr/>
      </w:pPr>
      <w:r>
        <w:rPr>
          <w:rFonts w:ascii="Amiri" w:hAnsi="Amiri" w:eastAsia="Amiri" w:cs="Amiri"/>
          <w:color w:val="111111"/>
          <w:sz w:val="28"/>
          <w:sz w:val="28"/>
          <w:szCs w:val="28"/>
          <w:rtl w:val="true"/>
          <w:lang w:bidi="ar-SA"/>
        </w:rPr>
        <w:t>وفيه نظر من وجهين</w:t>
      </w:r>
      <w:r>
        <w:rPr>
          <w:rFonts w:eastAsia="Amiri" w:cs="Amiri" w:ascii="Amiri" w:hAnsi="Amiri"/>
          <w:color w:val="111111"/>
          <w:sz w:val="28"/>
          <w:szCs w:val="28"/>
          <w:rtl w:val="true"/>
          <w:lang w:bidi="ar-SA"/>
        </w:rPr>
        <w:t>.</w:t>
      </w:r>
      <w:r>
        <w:rPr>
          <w:rStyle w:val="FootnoteAnchor"/>
          <w:rtl w:val="true"/>
        </w:rPr>
        <w:footnoteReference w:id="2353"/>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الأحكام الشرعية وضعية وتكليفية، بل أغلب الأحكام الإلهية، بل</w:t>
      </w:r>
      <w:r>
        <w:rPr>
          <w:rStyle w:val="FootnoteAnchor"/>
          <w:rtl w:val="true"/>
        </w:rPr>
        <w:footnoteReference w:id="2354"/>
      </w:r>
      <w:r>
        <w:rPr>
          <w:rFonts w:ascii="Amiri" w:hAnsi="Amiri" w:eastAsia="Amiri" w:cs="Amiri"/>
          <w:color w:val="111111"/>
          <w:sz w:val="28"/>
          <w:sz w:val="28"/>
          <w:szCs w:val="28"/>
          <w:rtl w:val="true"/>
          <w:lang w:bidi="ar-SA"/>
        </w:rPr>
        <w:t>أغلب الأحكام الصادرة من الموالي إلى العبيد، وجدناها</w:t>
      </w:r>
      <w:r>
        <w:rPr>
          <w:rStyle w:val="FootnoteAnchor"/>
          <w:rtl w:val="true"/>
        </w:rPr>
        <w:footnoteReference w:id="2355"/>
      </w:r>
      <w:r>
        <w:rPr>
          <w:rFonts w:ascii="Amiri" w:hAnsi="Amiri" w:eastAsia="Amiri" w:cs="Amiri"/>
          <w:color w:val="111111"/>
          <w:sz w:val="28"/>
          <w:sz w:val="28"/>
          <w:szCs w:val="28"/>
          <w:rtl w:val="true"/>
          <w:lang w:bidi="ar-SA"/>
        </w:rPr>
        <w:t>ثابتة غير منسوخة، فيلحق المشكوك بالأغلب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دار الأمر في المحدود بين التوسعة والضيق، فأغلب المحدودات الشرعية موسعات، أو دار الأمر بين التوقيت ،وعدمه، فأغلب الأحكام</w:t>
      </w:r>
      <w:r>
        <w:rPr>
          <w:rStyle w:val="FootnoteAnchor"/>
          <w:rtl w:val="true"/>
        </w:rPr>
        <w:footnoteReference w:id="2356"/>
      </w:r>
      <w:r>
        <w:rPr>
          <w:rFonts w:ascii="Amiri" w:hAnsi="Amiri" w:eastAsia="Amiri" w:cs="Amiri"/>
          <w:color w:val="111111"/>
          <w:sz w:val="28"/>
          <w:sz w:val="28"/>
          <w:szCs w:val="28"/>
          <w:rtl w:val="true"/>
          <w:lang w:bidi="ar-SA"/>
        </w:rPr>
        <w:t>الشرعية مؤبدات، دائرة مدار موضوعاتها، فما دام الموضوع باقياً فالحكم مترتب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شك في قدح وصف ،عارض، فأغلب الأوصاف غير مؤثرة في اختلاف الحكم، إلا أن يتسبب الشك في البقاء من ارتفاع سبب حدوث الحكم، وكان السبب</w:t>
      </w:r>
      <w:r>
        <w:rPr>
          <w:rStyle w:val="FootnoteAnchor"/>
          <w:rtl w:val="true"/>
        </w:rPr>
        <w:footnoteReference w:id="2357"/>
      </w:r>
      <w:r>
        <w:rPr>
          <w:rFonts w:ascii="IRNazanin" w:hAnsi="IRNazanin" w:eastAsia="IRNazanin"/>
          <w:color w:val="111111"/>
          <w:sz w:val="28"/>
          <w:sz w:val="28"/>
          <w:szCs w:val="28"/>
          <w:rtl w:val="true"/>
          <w:lang w:bidi="fa-IR"/>
        </w:rPr>
        <w:t>مماله</w:t>
      </w:r>
      <w:r>
        <w:rPr>
          <w:rStyle w:val="FootnoteAnchor"/>
          <w:rtl w:val="true"/>
        </w:rPr>
        <w:footnoteReference w:id="2358"/>
      </w:r>
      <w:r>
        <w:rPr>
          <w:rFonts w:ascii="Amiri" w:hAnsi="Amiri" w:eastAsia="Amiri" w:cs="Amiri"/>
          <w:color w:val="111111"/>
          <w:sz w:val="28"/>
          <w:sz w:val="28"/>
          <w:szCs w:val="28"/>
          <w:rtl w:val="true"/>
          <w:lang w:bidi="ar-SA"/>
        </w:rPr>
        <w:t>قرار واستقرار، فلا استقراء في هذا القسم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الشك</w:t>
      </w:r>
      <w:r>
        <w:rPr>
          <w:rStyle w:val="FootnoteAnchor"/>
          <w:rtl w:val="true"/>
        </w:rPr>
        <w:footnoteReference w:id="2359"/>
      </w:r>
      <w:r>
        <w:rPr>
          <w:rFonts w:ascii="Amiri" w:hAnsi="Amiri" w:eastAsia="Amiri" w:cs="Amiri"/>
          <w:color w:val="111111"/>
          <w:sz w:val="28"/>
          <w:sz w:val="28"/>
          <w:szCs w:val="28"/>
          <w:rtl w:val="true"/>
          <w:lang w:bidi="ar-SA"/>
        </w:rPr>
        <w:t>في بقاء الموضوع الصرف مما هو قارّ الذات</w:t>
      </w:r>
      <w:r>
        <w:rPr>
          <w:rStyle w:val="FootnoteAnchor"/>
          <w:rtl w:val="true"/>
        </w:rPr>
        <w:footnoteReference w:id="2360"/>
      </w:r>
      <w:r>
        <w:rPr>
          <w:rFonts w:ascii="Amiri" w:hAnsi="Amiri" w:eastAsia="Amiri" w:cs="Amiri"/>
          <w:color w:val="111111"/>
          <w:sz w:val="28"/>
          <w:sz w:val="28"/>
          <w:szCs w:val="28"/>
          <w:rtl w:val="true"/>
          <w:lang w:bidi="ar-SA"/>
        </w:rPr>
        <w:t>، فأغلب الممكنات القارّة باقية بحسب استعدادها للبقاء، فتأمل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2361"/>
      </w:r>
      <w:r>
        <w:rPr>
          <w:rFonts w:ascii="Amiri" w:hAnsi="Amiri" w:eastAsia="Amiri" w:cs="Amiri"/>
          <w:color w:val="111111"/>
          <w:sz w:val="28"/>
          <w:sz w:val="28"/>
          <w:szCs w:val="28"/>
          <w:rtl w:val="true"/>
          <w:lang w:bidi="ar-SA"/>
        </w:rPr>
        <w:t>لو شك في مقدار الاستعداد الحق بالجنس أو في الموضوع المستنبط، فالغالب بقاء الأوضاع على حالها، وندرة النقل والاشتراك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التمسك بمثل أصالة تأخر الحادث استناداً</w:t>
      </w:r>
      <w:r>
        <w:rPr>
          <w:rStyle w:val="FootnoteAnchor"/>
          <w:rtl w:val="true"/>
        </w:rPr>
        <w:footnoteReference w:id="2362"/>
      </w:r>
      <w:r>
        <w:rPr>
          <w:rFonts w:ascii="IRNazanin" w:hAnsi="IRNazanin" w:eastAsia="IRNazanin"/>
          <w:color w:val="111111"/>
          <w:sz w:val="28"/>
          <w:sz w:val="28"/>
          <w:szCs w:val="28"/>
          <w:rtl w:val="true"/>
          <w:lang w:bidi="fa-IR"/>
        </w:rPr>
        <w:t>إلى الاستقراء</w:t>
      </w:r>
      <w:r>
        <w:rPr>
          <w:rFonts w:eastAsia="IRNazanin" w:cs="IRNazanin"/>
          <w:color w:val="111111"/>
          <w:sz w:val="28"/>
          <w:szCs w:val="28"/>
          <w:rtl w:val="true"/>
          <w:lang w:bidi="fa-IR"/>
        </w:rPr>
        <w:t>.</w:t>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أصالة عدم التخصيص و</w:t>
      </w:r>
      <w:r>
        <w:rPr>
          <w:rStyle w:val="FootnoteAnchor"/>
          <w:rtl w:val="true"/>
        </w:rPr>
        <w:footnoteReference w:id="2364"/>
      </w:r>
      <w:r>
        <w:rPr>
          <w:rFonts w:ascii="Amiri" w:hAnsi="Amiri" w:eastAsia="Amiri" w:cs="Amiri"/>
          <w:color w:val="111111"/>
          <w:sz w:val="28"/>
          <w:sz w:val="28"/>
          <w:szCs w:val="28"/>
          <w:rtl w:val="true"/>
          <w:lang w:bidi="ar-SA"/>
        </w:rPr>
        <w:t>التقييد؛ لغلبة وجودهما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الحالة السابقة تورث الظن بالبقاء في موارد الاستصحاب، مع قطع النظر عن الاستقراء، وأنت إذا لاحظت مجموع ما ذكرناه</w:t>
      </w:r>
      <w:r>
        <w:rPr>
          <w:rStyle w:val="FootnoteAnchor"/>
          <w:rtl w:val="true"/>
        </w:rPr>
        <w:footnoteReference w:id="236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قطعت بحجية الاستصحاب في الجملة</w:t>
      </w:r>
      <w:r>
        <w:rPr>
          <w:rFonts w:eastAsia="Amiri" w:cs="Amiri" w:ascii="Amiri" w:hAnsi="Amiri"/>
          <w:color w:val="111111"/>
          <w:sz w:val="28"/>
          <w:szCs w:val="28"/>
          <w:rtl w:val="true"/>
          <w:lang w:bidi="ar-SA"/>
        </w:rPr>
        <w:t xml:space="preserve">. </w:t>
      </w:r>
      <w:bookmarkStart w:id="714" w:name="pg9015_97771"/>
    </w:p>
    <w:p>
      <w:pPr>
        <w:pStyle w:val="Heading2"/>
        <w:numPr>
          <w:ilvl w:val="1"/>
          <w:numId w:val="1"/>
        </w:numPr>
        <w:rPr/>
      </w:pPr>
      <w:bookmarkStart w:id="715" w:name="__RefHeading___Toc2001843_2870459653"/>
      <w:bookmarkStart w:id="716" w:name="_Toc271"/>
      <w:bookmarkEnd w:id="714"/>
      <w:bookmarkEnd w:id="715"/>
      <w:r>
        <w:rPr>
          <w:rtl w:val="true"/>
        </w:rPr>
        <w:t xml:space="preserve">أصل </w:t>
      </w:r>
      <w:r>
        <w:rPr>
          <w:rtl w:val="true"/>
        </w:rPr>
        <w:t>[</w:t>
      </w:r>
      <w:r>
        <w:rPr>
          <w:rtl w:val="true"/>
        </w:rPr>
        <w:t>في حجية الاستصحاب في الأمور الخارجية</w:t>
      </w:r>
      <w:r>
        <w:rPr>
          <w:rtl w:val="true"/>
        </w:rPr>
        <w:t>]</w:t>
      </w:r>
      <w:bookmarkEnd w:id="716"/>
    </w:p>
    <w:p>
      <w:pPr>
        <w:pStyle w:val="BookText"/>
        <w:rPr/>
      </w:pPr>
      <w:r>
        <w:rPr>
          <w:rFonts w:ascii="Amiri" w:hAnsi="Amiri" w:eastAsia="Amiri" w:cs="Amiri"/>
          <w:color w:val="111111"/>
          <w:sz w:val="28"/>
          <w:sz w:val="28"/>
          <w:szCs w:val="28"/>
          <w:rtl w:val="true"/>
          <w:lang w:bidi="ar-SA"/>
        </w:rPr>
        <w:t>ويدلّ عليها أصل الاشتغال</w:t>
      </w:r>
      <w:r>
        <w:rPr>
          <w:rStyle w:val="FootnoteAnchor"/>
          <w:rtl w:val="true"/>
        </w:rPr>
        <w:footnoteReference w:id="2366"/>
      </w:r>
      <w:r>
        <w:rPr>
          <w:rFonts w:ascii="Amiri" w:hAnsi="Amiri" w:eastAsia="Amiri" w:cs="Amiri"/>
          <w:color w:val="111111"/>
          <w:sz w:val="28"/>
          <w:sz w:val="28"/>
          <w:szCs w:val="28"/>
          <w:rtl w:val="true"/>
          <w:lang w:bidi="ar-SA"/>
        </w:rPr>
        <w:t>لأنا قد أثبتنا الحجية في الجملة، ولا يحصل القطع بالامتثال إلا بالعمل بكل أفراد الاستصحاب</w:t>
      </w:r>
      <w:r>
        <w:rPr>
          <w:rStyle w:val="FootnoteAnchor"/>
          <w:rtl w:val="true"/>
        </w:rPr>
        <w:footnoteReference w:id="2367"/>
      </w:r>
      <w:r>
        <w:rPr>
          <w:rFonts w:ascii="Amiri" w:hAnsi="Amiri" w:eastAsia="Amiri" w:cs="Amiri"/>
          <w:color w:val="111111"/>
          <w:sz w:val="28"/>
          <w:sz w:val="28"/>
          <w:szCs w:val="28"/>
          <w:rtl w:val="true"/>
          <w:lang w:bidi="ar-SA"/>
        </w:rPr>
        <w:t>إذ ليس في المقام قدر متيقن يؤخذ به، وهو أرجح هنا من أصالة حرمة العمل بما وراء العلم؛ لوجود العلم الإجمالي بحجية بعض أفراد الاستصحاب</w:t>
      </w:r>
      <w:r>
        <w:rPr>
          <w:rStyle w:val="FootnoteAnchor"/>
          <w:rtl w:val="true"/>
        </w:rPr>
        <w:footnoteReference w:id="2368"/>
      </w:r>
      <w:r>
        <w:rPr>
          <w:rFonts w:ascii="Amiri" w:hAnsi="Amiri" w:eastAsia="Amiri" w:cs="Amiri"/>
          <w:color w:val="111111"/>
          <w:sz w:val="28"/>
          <w:sz w:val="28"/>
          <w:szCs w:val="28"/>
          <w:rtl w:val="true"/>
          <w:lang w:bidi="ar-SA"/>
        </w:rPr>
        <w:t>، والظن بحجية كل أفراده، كما أنه أرجح من أ أصالة الاشتغال بالصلاة مثلاً في الطهارة المستصحبة بعد تعارض الأصلين بضم الإجماع المركب؛ وذلك لأن العمل بالمعارض مستلزم للمخالفة القطعية</w:t>
      </w:r>
      <w:r>
        <w:rPr>
          <w:rFonts w:eastAsia="Amiri" w:cs="Amiri" w:ascii="Amiri" w:hAnsi="Amiri"/>
          <w:color w:val="111111"/>
          <w:sz w:val="28"/>
          <w:szCs w:val="28"/>
          <w:rtl w:val="true"/>
          <w:lang w:bidi="ar-SA"/>
        </w:rPr>
        <w:t>.</w:t>
      </w:r>
      <w:r>
        <w:rPr>
          <w:rStyle w:val="FootnoteAnchor"/>
          <w:rtl w:val="true"/>
        </w:rPr>
        <w:footnoteReference w:id="2369"/>
      </w:r>
    </w:p>
    <w:p>
      <w:pPr>
        <w:pStyle w:val="BookText"/>
        <w:rPr/>
      </w:pPr>
      <w:r>
        <w:rPr>
          <w:rFonts w:ascii="Amiri" w:hAnsi="Amiri" w:eastAsia="Amiri" w:cs="Amiri"/>
          <w:color w:val="111111"/>
          <w:sz w:val="28"/>
          <w:sz w:val="28"/>
          <w:szCs w:val="28"/>
          <w:rtl w:val="true"/>
          <w:lang w:bidi="ar-SA"/>
        </w:rPr>
        <w:t xml:space="preserve">وفيه نظر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ذلك دلالة الأخبار العامة، وبناء العقلاء، أو مجموع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بيان الموضوعات ليس من شان الشارع؛ فلا تنصرف النصوص إليها</w:t>
      </w:r>
      <w:r>
        <w:rPr>
          <w:rFonts w:eastAsia="Amiri" w:cs="Amiri" w:ascii="Amiri" w:hAnsi="Amiri"/>
          <w:color w:val="111111"/>
          <w:sz w:val="28"/>
          <w:szCs w:val="28"/>
          <w:rtl w:val="true"/>
          <w:lang w:bidi="ar-SA"/>
        </w:rPr>
        <w:t>.</w:t>
      </w:r>
      <w:r>
        <w:rPr>
          <w:rStyle w:val="FootnoteAnchor"/>
          <w:rtl w:val="true"/>
        </w:rPr>
        <w:footnoteReference w:id="2370"/>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بيان الموضوعات</w:t>
      </w:r>
      <w:r>
        <w:rPr>
          <w:rStyle w:val="FootnoteAnchor"/>
          <w:rtl w:val="true"/>
        </w:rPr>
        <w:footnoteReference w:id="2371"/>
      </w:r>
      <w:r>
        <w:rPr>
          <w:rFonts w:ascii="Amiri" w:hAnsi="Amiri" w:eastAsia="Amiri" w:cs="Amiri"/>
          <w:color w:val="111111"/>
          <w:sz w:val="28"/>
          <w:sz w:val="28"/>
          <w:szCs w:val="28"/>
          <w:rtl w:val="true"/>
          <w:lang w:bidi="ar-SA"/>
        </w:rPr>
        <w:t xml:space="preserve">المرتبطة بالأحكام من شأنه؛ لأنه بيان للحكم </w:t>
      </w:r>
      <w:bookmarkStart w:id="717" w:name="pg9015_97773"/>
    </w:p>
    <w:p>
      <w:pPr>
        <w:pStyle w:val="BookText"/>
        <w:rPr/>
      </w:pPr>
      <w:bookmarkEnd w:id="717"/>
      <w:r>
        <w:rPr>
          <w:rFonts w:ascii="Amiri" w:hAnsi="Amiri" w:eastAsia="Amiri" w:cs="Amiri"/>
          <w:color w:val="111111"/>
          <w:sz w:val="28"/>
          <w:sz w:val="28"/>
          <w:szCs w:val="28"/>
          <w:rtl w:val="true"/>
          <w:lang w:bidi="ar-SA"/>
        </w:rPr>
        <w:t>الكلي بالواسطة</w:t>
      </w:r>
      <w:r>
        <w:rPr>
          <w:rStyle w:val="FootnoteAnchor"/>
          <w:rtl w:val="true"/>
        </w:rPr>
        <w:footnoteReference w:id="2372"/>
      </w:r>
      <w:r>
        <w:rPr>
          <w:rFonts w:ascii="Amiri" w:hAnsi="Amiri" w:eastAsia="Amiri" w:cs="Amiri"/>
          <w:color w:val="111111"/>
          <w:sz w:val="28"/>
          <w:sz w:val="28"/>
          <w:szCs w:val="28"/>
          <w:rtl w:val="true"/>
          <w:lang w:bidi="ar-SA"/>
        </w:rPr>
        <w:t>، مع أن عدم كونه من شأنه لا يستلزم قبح بيانه، فلم يصرف كلامه عن ظاهره إذا كان في البيان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وأفسد منه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تلك النصوص مع آيات النهي، وأخبار الاحتياط</w:t>
      </w:r>
      <w:r>
        <w:rPr>
          <w:rStyle w:val="FootnoteAnchor"/>
          <w:rtl w:val="true"/>
        </w:rPr>
        <w:footnoteReference w:id="2373"/>
      </w:r>
      <w:r>
        <w:rPr>
          <w:rFonts w:ascii="Amiri" w:hAnsi="Amiri" w:eastAsia="Amiri" w:cs="Amiri"/>
          <w:color w:val="111111"/>
          <w:sz w:val="28"/>
          <w:sz w:val="28"/>
          <w:szCs w:val="28"/>
          <w:rtl w:val="true"/>
          <w:lang w:bidi="ar-SA"/>
        </w:rPr>
        <w:t>، أو دعوى كون الأخبار آحاداً</w:t>
      </w:r>
      <w:r>
        <w:rPr>
          <w:rFonts w:eastAsia="Amiri" w:cs="Amiri" w:ascii="Amiri" w:hAnsi="Amiri"/>
          <w:color w:val="111111"/>
          <w:sz w:val="28"/>
          <w:szCs w:val="28"/>
          <w:rtl w:val="true"/>
          <w:lang w:bidi="ar-SA"/>
        </w:rPr>
        <w:t>.</w:t>
      </w:r>
    </w:p>
    <w:p>
      <w:pPr>
        <w:pStyle w:val="Heading2"/>
        <w:numPr>
          <w:ilvl w:val="1"/>
          <w:numId w:val="1"/>
        </w:numPr>
        <w:rPr/>
      </w:pPr>
      <w:bookmarkStart w:id="718" w:name="__RefHeading___Toc2001845_2870459653"/>
      <w:bookmarkStart w:id="719" w:name="_Toc272"/>
      <w:bookmarkEnd w:id="718"/>
      <w:r>
        <w:rPr>
          <w:rtl w:val="true"/>
        </w:rPr>
        <w:t xml:space="preserve">أصل </w:t>
      </w:r>
      <w:r>
        <w:rPr>
          <w:rtl w:val="true"/>
        </w:rPr>
        <w:t>[</w:t>
      </w:r>
      <w:r>
        <w:rPr>
          <w:rtl w:val="true"/>
        </w:rPr>
        <w:t>في حجية الاستصحاب في الأحكام</w:t>
      </w:r>
      <w:r>
        <w:rPr>
          <w:rtl w:val="true"/>
        </w:rPr>
        <w:t>]</w:t>
      </w:r>
      <w:bookmarkEnd w:id="719"/>
    </w:p>
    <w:p>
      <w:pPr>
        <w:pStyle w:val="Heading3"/>
        <w:numPr>
          <w:ilvl w:val="2"/>
          <w:numId w:val="1"/>
        </w:numPr>
        <w:rPr/>
      </w:pPr>
      <w:bookmarkStart w:id="720" w:name="__RefHeading___Toc2001847_2870459653"/>
      <w:bookmarkStart w:id="721" w:name="_Toc273"/>
      <w:bookmarkEnd w:id="720"/>
      <w:r>
        <w:rPr>
          <w:rtl w:val="true"/>
        </w:rPr>
        <w:t>اشارة</w:t>
      </w:r>
      <w:bookmarkEnd w:id="721"/>
    </w:p>
    <w:p>
      <w:pPr>
        <w:pStyle w:val="BookText"/>
        <w:rPr/>
      </w:pPr>
      <w:r>
        <w:rPr>
          <w:rFonts w:ascii="Amiri" w:hAnsi="Amiri" w:eastAsia="Amiri" w:cs="Amiri"/>
          <w:color w:val="111111"/>
          <w:sz w:val="28"/>
          <w:sz w:val="28"/>
          <w:szCs w:val="28"/>
          <w:rtl w:val="true"/>
          <w:lang w:bidi="ar-SA"/>
        </w:rPr>
        <w:t>ويدل عليها ما سبق في الأصل السابق، والمنكر لها</w:t>
      </w:r>
      <w:r>
        <w:rPr>
          <w:rStyle w:val="FootnoteAnchor"/>
          <w:rtl w:val="true"/>
        </w:rPr>
        <w:footnoteReference w:id="2374"/>
      </w:r>
      <w:r>
        <w:rPr>
          <w:rFonts w:ascii="Amiri" w:hAnsi="Amiri" w:eastAsia="Amiri" w:cs="Amiri"/>
          <w:color w:val="111111"/>
          <w:sz w:val="28"/>
          <w:sz w:val="28"/>
          <w:szCs w:val="28"/>
          <w:rtl w:val="true"/>
          <w:lang w:bidi="ar-SA"/>
        </w:rPr>
        <w:t>فيها مع قوله بحجيته في الموضوعات، إن كان يتوهم عدم دلالة الأخبار على ذلك؛ لكون موردها الموضوعات، فيختص الجواب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إن مثل طهارة الثوب والجسد من الأحكام لا الموضوع</w:t>
      </w:r>
      <w:r>
        <w:rPr>
          <w:rStyle w:val="FootnoteAnchor"/>
          <w:rtl w:val="true"/>
        </w:rPr>
        <w:footnoteReference w:id="2375"/>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عموم الجواب كاف</w:t>
      </w:r>
      <w:r>
        <w:rPr>
          <w:rStyle w:val="FootnoteAnchor"/>
          <w:rtl w:val="true"/>
        </w:rPr>
        <w:footnoteReference w:id="2376"/>
      </w:r>
      <w:r>
        <w:rPr>
          <w:rFonts w:ascii="Amiri" w:hAnsi="Amiri" w:eastAsia="Amiri" w:cs="Amiri"/>
          <w:color w:val="111111"/>
          <w:sz w:val="28"/>
          <w:sz w:val="28"/>
          <w:szCs w:val="28"/>
          <w:rtl w:val="true"/>
          <w:lang w:bidi="ar-SA"/>
        </w:rPr>
        <w:t>، ولو حمل اللام على العهد، لزمه عدم التعدي إلى سائر الموضوعات</w:t>
      </w:r>
      <w:r>
        <w:rPr>
          <w:rStyle w:val="FootnoteAnchor"/>
          <w:rtl w:val="true"/>
        </w:rPr>
        <w:footnoteReference w:id="2377"/>
      </w:r>
      <w:r>
        <w:rPr>
          <w:rFonts w:ascii="Amiri" w:hAnsi="Amiri" w:eastAsia="Amiri" w:cs="Amiri"/>
          <w:color w:val="111111"/>
          <w:sz w:val="28"/>
          <w:sz w:val="28"/>
          <w:szCs w:val="28"/>
          <w:rtl w:val="true"/>
          <w:lang w:bidi="ar-SA"/>
        </w:rPr>
        <w:t>، وان ذلك لا يتم فيما ليس مسبوقاً بالسؤال</w:t>
      </w:r>
      <w:r>
        <w:rPr>
          <w:rStyle w:val="FootnoteAnchor"/>
          <w:rtl w:val="true"/>
        </w:rPr>
        <w:footnoteReference w:id="2378"/>
      </w:r>
      <w:r>
        <w:rPr>
          <w:rFonts w:ascii="IRNazanin" w:hAnsi="IRNazanin" w:eastAsia="IRNazanin"/>
          <w:color w:val="111111"/>
          <w:sz w:val="28"/>
          <w:sz w:val="28"/>
          <w:szCs w:val="28"/>
          <w:rtl w:val="true"/>
          <w:lang w:bidi="fa-IR"/>
        </w:rPr>
        <w:t>، ولا</w:t>
      </w:r>
      <w:r>
        <w:rPr>
          <w:rStyle w:val="FootnoteAnchor"/>
          <w:rtl w:val="true"/>
        </w:rPr>
        <w:footnoteReference w:id="2379"/>
      </w:r>
      <w:r>
        <w:rPr>
          <w:rFonts w:ascii="Amiri" w:hAnsi="Amiri" w:eastAsia="Amiri" w:cs="Amiri"/>
          <w:color w:val="111111"/>
          <w:sz w:val="28"/>
          <w:sz w:val="28"/>
          <w:szCs w:val="28"/>
          <w:rtl w:val="true"/>
          <w:lang w:bidi="ar-SA"/>
        </w:rPr>
        <w:t xml:space="preserve">في سائر </w:t>
      </w:r>
    </w:p>
    <w:p>
      <w:pPr>
        <w:pStyle w:val="BookText"/>
        <w:rPr/>
      </w:pPr>
      <w:r>
        <w:rPr>
          <w:rFonts w:ascii="Amiri" w:hAnsi="Amiri" w:eastAsia="Amiri" w:cs="Amiri"/>
          <w:color w:val="111111"/>
          <w:sz w:val="28"/>
          <w:sz w:val="28"/>
          <w:szCs w:val="28"/>
          <w:rtl w:val="true"/>
          <w:lang w:bidi="ar-SA"/>
        </w:rPr>
        <w:t>ادلة</w:t>
      </w:r>
      <w:r>
        <w:rPr>
          <w:rStyle w:val="FootnoteAnchor"/>
          <w:rtl w:val="true"/>
        </w:rPr>
        <w:footnoteReference w:id="2380"/>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يتوهم أحادية الأخبار، فقد مرَّ علميّتها، مع أنه وارد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يتوهم أن تخصيص الأخبار بالموضوعات قبل الفحص وبعده أولى من تخصيصها بما بعد الفحص في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هما متساويان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بعمومها الا في الأحكام</w:t>
      </w:r>
      <w:r>
        <w:rPr>
          <w:rFonts w:eastAsia="Amiri" w:cs="Amiri" w:ascii="Amiri" w:hAnsi="Amiri"/>
          <w:color w:val="111111"/>
          <w:sz w:val="28"/>
          <w:szCs w:val="28"/>
          <w:rtl w:val="true"/>
          <w:lang w:bidi="ar-SA"/>
        </w:rPr>
        <w:t>)</w:t>
      </w:r>
      <w:r>
        <w:rPr>
          <w:rStyle w:val="FootnoteAnchor"/>
          <w:rtl w:val="true"/>
        </w:rPr>
        <w:footnoteReference w:id="2381"/>
      </w:r>
      <w:r>
        <w:rPr>
          <w:rFonts w:ascii="Amiri" w:hAnsi="Amiri" w:eastAsia="Amiri" w:cs="Amiri"/>
          <w:color w:val="111111"/>
          <w:sz w:val="28"/>
          <w:sz w:val="28"/>
          <w:szCs w:val="28"/>
          <w:rtl w:val="true"/>
          <w:lang w:bidi="ar-SA"/>
        </w:rPr>
        <w:t>قبل الفحص أقل تخصيصاً، مع إمكان منع العموم الأحوالي فيها</w:t>
      </w:r>
      <w:r>
        <w:rPr>
          <w:rStyle w:val="FootnoteAnchor"/>
          <w:rtl w:val="true"/>
        </w:rPr>
        <w:footnoteReference w:id="2382"/>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انه يلزم من العمل بها في الأحكام عدم العمل ؛ لاستصحاب حرمة العمل كما كانت</w:t>
      </w:r>
      <w:r>
        <w:rPr>
          <w:rStyle w:val="FootnoteAnchor"/>
          <w:rtl w:val="true"/>
        </w:rPr>
        <w:footnoteReference w:id="2383"/>
      </w:r>
      <w:r>
        <w:rPr>
          <w:rFonts w:ascii="IRNazanin" w:hAnsi="IRNazanin" w:eastAsia="IRNazanin"/>
          <w:color w:val="111111"/>
          <w:sz w:val="28"/>
          <w:sz w:val="28"/>
          <w:szCs w:val="28"/>
          <w:rtl w:val="true"/>
          <w:lang w:bidi="fa-IR"/>
        </w:rPr>
        <w:t>قبل الفحص</w:t>
      </w:r>
      <w:r>
        <w:rPr>
          <w:rFonts w:eastAsia="IRNazanin" w:cs="IRNazanin"/>
          <w:color w:val="111111"/>
          <w:sz w:val="28"/>
          <w:szCs w:val="28"/>
          <w:rtl w:val="true"/>
          <w:lang w:bidi="fa-IR"/>
        </w:rPr>
        <w:t>.</w:t>
      </w:r>
      <w:r>
        <w:rPr>
          <w:rStyle w:val="FootnoteAnchor"/>
          <w:rtl w:val="true"/>
        </w:rPr>
        <w:footnoteReference w:id="238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استصحاب عرضي</w:t>
      </w:r>
      <w:r>
        <w:rPr>
          <w:rStyle w:val="FootnoteAnchor"/>
          <w:rtl w:val="true"/>
        </w:rPr>
        <w:footnoteReference w:id="2385"/>
      </w:r>
      <w:r>
        <w:rPr>
          <w:rFonts w:ascii="Amiri" w:hAnsi="Amiri" w:eastAsia="Amiri" w:cs="Amiri"/>
          <w:color w:val="111111"/>
          <w:sz w:val="28"/>
          <w:sz w:val="28"/>
          <w:szCs w:val="28"/>
          <w:rtl w:val="true"/>
          <w:lang w:bidi="ar-SA"/>
        </w:rPr>
        <w:t xml:space="preserve">، وأنها لا تنصرف إلى نفي أنفسها، وأن ذلك من </w:t>
      </w:r>
    </w:p>
    <w:p>
      <w:pPr>
        <w:pStyle w:val="BookText"/>
        <w:rPr/>
      </w:pPr>
      <w:r>
        <w:rPr>
          <w:rFonts w:ascii="Amiri" w:hAnsi="Amiri" w:eastAsia="Amiri" w:cs="Amiri"/>
          <w:color w:val="111111"/>
          <w:sz w:val="28"/>
          <w:sz w:val="28"/>
          <w:szCs w:val="28"/>
          <w:rtl w:val="true"/>
          <w:lang w:bidi="ar-SA"/>
        </w:rPr>
        <w:t>باب نقض اليقين باليقين</w:t>
      </w:r>
      <w:r>
        <w:rPr>
          <w:rStyle w:val="FootnoteAnchor"/>
          <w:rtl w:val="true"/>
        </w:rPr>
        <w:footnoteReference w:id="2386"/>
      </w:r>
      <w:r>
        <w:rPr>
          <w:rFonts w:ascii="Amiri" w:hAnsi="Amiri" w:eastAsia="Amiri" w:cs="Amiri"/>
          <w:color w:val="111111"/>
          <w:sz w:val="28"/>
          <w:sz w:val="28"/>
          <w:szCs w:val="28"/>
          <w:rtl w:val="true"/>
          <w:lang w:bidi="ar-SA"/>
        </w:rPr>
        <w:t xml:space="preserve">لفرض دلالة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فرق في الأحكام بين التكليفية والوضعية؛ لوحدة الدليل، ومن يخصصها بالوضعية إن نظر إلى أنها مورد السؤال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اللام في الجواب إن حمل</w:t>
      </w:r>
      <w:r>
        <w:rPr>
          <w:rStyle w:val="FootnoteAnchor"/>
          <w:rtl w:val="true"/>
        </w:rPr>
        <w:footnoteReference w:id="2387"/>
      </w:r>
      <w:r>
        <w:rPr>
          <w:rFonts w:ascii="Amiri" w:hAnsi="Amiri" w:eastAsia="Amiri" w:cs="Amiri"/>
          <w:color w:val="111111"/>
          <w:sz w:val="28"/>
          <w:sz w:val="28"/>
          <w:szCs w:val="28"/>
          <w:rtl w:val="true"/>
          <w:lang w:bidi="ar-SA"/>
        </w:rPr>
        <w:t>على العهد، فكيف يعمم الحجية في كل الوضعيات، أو على الجنس، فما</w:t>
      </w:r>
      <w:r>
        <w:rPr>
          <w:rStyle w:val="FootnoteAnchor"/>
          <w:rtl w:val="true"/>
        </w:rPr>
        <w:footnoteReference w:id="2388"/>
      </w:r>
      <w:r>
        <w:rPr>
          <w:rFonts w:ascii="Amiri" w:hAnsi="Amiri" w:eastAsia="Amiri" w:cs="Amiri"/>
          <w:color w:val="111111"/>
          <w:sz w:val="28"/>
          <w:sz w:val="28"/>
          <w:szCs w:val="28"/>
          <w:rtl w:val="true"/>
          <w:lang w:bidi="ar-SA"/>
        </w:rPr>
        <w:t>الفارق بينها وبين التكليفيات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إلى أن مورد السؤال مادة تعارض الاستصحاب الوضعي،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استصحاب الطهارة ، مع التكليفي</w:t>
      </w:r>
      <w:r>
        <w:rPr>
          <w:rFonts w:eastAsia="Amiri" w:cs="Amiri" w:ascii="Amiri" w:hAnsi="Amiri"/>
          <w:color w:val="111111"/>
          <w:sz w:val="28"/>
          <w:szCs w:val="28"/>
          <w:rtl w:val="true"/>
          <w:lang w:bidi="ar-SA"/>
        </w:rPr>
        <w:t>)</w:t>
      </w:r>
      <w:r>
        <w:rPr>
          <w:rStyle w:val="FootnoteAnchor"/>
          <w:rtl w:val="true"/>
        </w:rPr>
        <w:footnoteReference w:id="2389"/>
      </w:r>
      <w:r>
        <w:rPr>
          <w:rFonts w:ascii="Amiri" w:hAnsi="Amiri" w:eastAsia="Amiri" w:cs="Amiri"/>
          <w:color w:val="111111"/>
          <w:sz w:val="28"/>
          <w:sz w:val="28"/>
          <w:szCs w:val="28"/>
          <w:rtl w:val="true"/>
          <w:lang w:bidi="ar-SA"/>
        </w:rPr>
        <w:t>، وهو استصحاب الأمر بالصلاة، والإمام رجح الوضعي؛ معللاً بالقدر المشترك بينهما، وهو اليقين السابق، وهذا محال</w:t>
      </w:r>
      <w:r>
        <w:rPr>
          <w:rFonts w:eastAsia="Amiri" w:cs="Amiri" w:ascii="Amiri" w:hAnsi="Amiri"/>
          <w:color w:val="111111"/>
          <w:sz w:val="28"/>
          <w:szCs w:val="28"/>
          <w:rtl w:val="true"/>
          <w:lang w:bidi="ar-SA"/>
        </w:rPr>
        <w:t>.</w:t>
      </w:r>
      <w:r>
        <w:rPr>
          <w:rStyle w:val="FootnoteAnchor"/>
          <w:rtl w:val="true"/>
        </w:rPr>
        <w:footnoteReference w:id="2390"/>
      </w:r>
    </w:p>
    <w:p>
      <w:pPr>
        <w:pStyle w:val="BookText"/>
        <w:rPr/>
      </w:pPr>
      <w:r>
        <w:rPr>
          <w:rFonts w:ascii="IRNazanin" w:hAnsi="IRNazanin" w:eastAsia="IRNazanin"/>
          <w:color w:val="111111"/>
          <w:sz w:val="28"/>
          <w:sz w:val="28"/>
          <w:szCs w:val="28"/>
          <w:rtl w:val="true"/>
          <w:lang w:bidi="fa-IR"/>
        </w:rPr>
        <w:t>فلا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حمل</w:t>
      </w:r>
      <w:r>
        <w:rPr>
          <w:rStyle w:val="FootnoteAnchor"/>
          <w:rtl w:val="true"/>
        </w:rPr>
        <w:footnoteReference w:id="2391"/>
      </w:r>
      <w:r>
        <w:rPr>
          <w:rFonts w:ascii="Amiri" w:hAnsi="Amiri" w:eastAsia="Amiri" w:cs="Amiri"/>
          <w:color w:val="111111"/>
          <w:sz w:val="28"/>
          <w:sz w:val="28"/>
          <w:szCs w:val="28"/>
          <w:rtl w:val="true"/>
          <w:lang w:bidi="ar-SA"/>
        </w:rPr>
        <w:t>اليقين في النص على اليقين بالحكم الوضعي، فيكون تخصيصاً، أو حمل العلة على المقتضي، فيصير مجازاً، والأول أرجح؛ فيفسد الاستدلال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 التساوي فيجمل</w:t>
      </w:r>
      <w:r>
        <w:rPr>
          <w:rStyle w:val="FootnoteAnchor"/>
          <w:rtl w:val="true"/>
        </w:rPr>
        <w:footnoteReference w:id="2392"/>
      </w:r>
      <w:r>
        <w:rPr>
          <w:rFonts w:ascii="Amiri" w:hAnsi="Amiri" w:eastAsia="Amiri" w:cs="Amiri"/>
          <w:color w:val="111111"/>
          <w:sz w:val="28"/>
          <w:sz w:val="28"/>
          <w:szCs w:val="28"/>
          <w:rtl w:val="true"/>
          <w:lang w:bidi="ar-SA"/>
        </w:rPr>
        <w:t xml:space="preserve">، والنصوص الابتدائية وحدها لا تكفي في </w:t>
      </w:r>
    </w:p>
    <w:p>
      <w:pPr>
        <w:pStyle w:val="BookText"/>
        <w:rPr/>
      </w:pPr>
      <w:r>
        <w:rPr>
          <w:rFonts w:ascii="IRNazanin" w:hAnsi="IRNazanin" w:eastAsia="IRNazanin"/>
          <w:color w:val="111111"/>
          <w:sz w:val="28"/>
          <w:sz w:val="28"/>
          <w:szCs w:val="28"/>
          <w:rtl w:val="true"/>
          <w:lang w:bidi="fa-IR"/>
        </w:rPr>
        <w:t>حصول القطع</w:t>
      </w:r>
      <w:r>
        <w:rPr>
          <w:rFonts w:eastAsia="IRNazanin" w:cs="IRNazanin"/>
          <w:color w:val="111111"/>
          <w:sz w:val="28"/>
          <w:szCs w:val="28"/>
          <w:rtl w:val="true"/>
          <w:lang w:bidi="fa-IR"/>
        </w:rPr>
        <w:t>.</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تعارض هنا قبل إتمام الصلاة</w:t>
      </w:r>
      <w:r>
        <w:rPr>
          <w:rStyle w:val="FootnoteAnchor"/>
          <w:rtl w:val="true"/>
        </w:rPr>
        <w:footnoteReference w:id="2394"/>
      </w:r>
      <w:r>
        <w:rPr>
          <w:rFonts w:ascii="Amiri" w:hAnsi="Amiri" w:eastAsia="Amiri" w:cs="Amiri"/>
          <w:color w:val="111111"/>
          <w:sz w:val="28"/>
          <w:sz w:val="28"/>
          <w:szCs w:val="28"/>
          <w:rtl w:val="true"/>
          <w:lang w:bidi="ar-SA"/>
        </w:rPr>
        <w:t xml:space="preserve">، ولا شك بعده </w:t>
      </w:r>
      <w:r>
        <w:rPr>
          <w:rStyle w:val="FootnoteAnchor"/>
          <w:rtl w:val="true"/>
        </w:rPr>
        <w:footnoteReference w:id="2395"/>
      </w:r>
      <w:r>
        <w:rPr>
          <w:rFonts w:ascii="Amiri" w:hAnsi="Amiri" w:eastAsia="Amiri" w:cs="Amiri"/>
          <w:color w:val="111111"/>
          <w:sz w:val="28"/>
          <w:sz w:val="28"/>
          <w:szCs w:val="28"/>
          <w:rtl w:val="true"/>
          <w:lang w:bidi="ar-SA"/>
        </w:rPr>
        <w:t>في الامتثال</w:t>
      </w:r>
      <w:r>
        <w:rPr>
          <w:rStyle w:val="FootnoteAnchor"/>
          <w:rtl w:val="true"/>
        </w:rPr>
        <w:footnoteReference w:id="2396"/>
      </w:r>
      <w:r>
        <w:rPr>
          <w:rFonts w:ascii="Amiri" w:hAnsi="Amiri" w:eastAsia="Amiri" w:cs="Amiri"/>
          <w:color w:val="111111"/>
          <w:sz w:val="28"/>
          <w:sz w:val="28"/>
          <w:szCs w:val="28"/>
          <w:rtl w:val="true"/>
          <w:lang w:bidi="ar-SA"/>
        </w:rPr>
        <w:t>، وانه يمكن تخصيص استقلال العلة بغير صورة التعارض</w:t>
      </w:r>
      <w:r>
        <w:rPr>
          <w:rStyle w:val="FootnoteAnchor"/>
          <w:rtl w:val="true"/>
        </w:rPr>
        <w:footnoteReference w:id="2397"/>
      </w:r>
      <w:r>
        <w:rPr>
          <w:rFonts w:ascii="Amiri" w:hAnsi="Amiri" w:eastAsia="Amiri" w:cs="Amiri"/>
          <w:color w:val="111111"/>
          <w:sz w:val="28"/>
          <w:sz w:val="28"/>
          <w:szCs w:val="28"/>
          <w:rtl w:val="true"/>
          <w:lang w:bidi="ar-SA"/>
        </w:rPr>
        <w:t>، وهو أقل إخراجاً من الأول، فيكون أولى من غيره، ولا ينافي ذلك حجية منصوص العلة</w:t>
      </w:r>
      <w:r>
        <w:rPr>
          <w:rFonts w:eastAsia="Amiri" w:cs="Amiri" w:ascii="Amiri" w:hAnsi="Amiri"/>
          <w:color w:val="111111"/>
          <w:sz w:val="28"/>
          <w:szCs w:val="28"/>
          <w:rtl w:val="true"/>
          <w:lang w:bidi="ar-SA"/>
        </w:rPr>
        <w:t>.</w:t>
      </w:r>
      <w:r>
        <w:rPr>
          <w:rStyle w:val="FootnoteAnchor"/>
          <w:rtl w:val="true"/>
        </w:rPr>
        <w:footnoteReference w:id="2398"/>
      </w:r>
    </w:p>
    <w:p>
      <w:pPr>
        <w:pStyle w:val="BookText"/>
        <w:rPr/>
      </w:pPr>
      <w:r>
        <w:rPr>
          <w:rFonts w:ascii="Amiri" w:hAnsi="Amiri" w:eastAsia="Amiri" w:cs="Amiri"/>
          <w:color w:val="111111"/>
          <w:sz w:val="28"/>
          <w:sz w:val="28"/>
          <w:szCs w:val="28"/>
          <w:rtl w:val="true"/>
          <w:lang w:bidi="ar-SA"/>
        </w:rPr>
        <w:t>أو إلى أن التكليفي إن كان موقتاً فلا استصحاب في الوقت؛ لبقاء الأمر قطعاً، ولا بعده؛ لارتفاعه كذلك</w:t>
      </w:r>
      <w:r>
        <w:rPr>
          <w:rStyle w:val="FootnoteAnchor"/>
          <w:rtl w:val="true"/>
        </w:rPr>
        <w:footnoteReference w:id="2399"/>
      </w:r>
      <w:r>
        <w:rPr>
          <w:rFonts w:ascii="Amiri" w:hAnsi="Amiri" w:eastAsia="Amiri" w:cs="Amiri"/>
          <w:color w:val="111111"/>
          <w:sz w:val="28"/>
          <w:sz w:val="28"/>
          <w:szCs w:val="28"/>
          <w:rtl w:val="true"/>
          <w:lang w:bidi="ar-SA"/>
        </w:rPr>
        <w:t>إذ القضاء بفرض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 موقت، فإن قلنا بدلالة الأمر على التكرار، فالإتيان من مقتضيات الأمر، أو بعدم الدلالة عليه، فعدم الإتيان ثانياً من لوازم الامتثال بالطبيعة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عروض الشك في الموقت، كما لو شك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حدث مرضه في أثناء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اتمام الصوم</w:t>
      </w:r>
      <w:r>
        <w:rPr>
          <w:rStyle w:val="FootnoteAnchor"/>
          <w:rtl w:val="true"/>
        </w:rPr>
        <w:footnoteReference w:id="2400"/>
      </w:r>
      <w:r>
        <w:rPr>
          <w:rFonts w:ascii="Amiri" w:hAnsi="Amiri" w:eastAsia="Amiri" w:cs="Amiri"/>
          <w:color w:val="111111"/>
          <w:sz w:val="28"/>
          <w:sz w:val="28"/>
          <w:szCs w:val="28"/>
          <w:rtl w:val="true"/>
          <w:lang w:bidi="ar-SA"/>
        </w:rPr>
        <w:t>إلى الليل، مع إمكان وجود الخطاب المهمل في التكليفيات أيضاً كالوضعيات</w:t>
      </w:r>
      <w:r>
        <w:rPr>
          <w:rFonts w:eastAsia="Amiri" w:cs="Amiri" w:ascii="Amiri" w:hAnsi="Amiri"/>
          <w:color w:val="111111"/>
          <w:sz w:val="28"/>
          <w:szCs w:val="28"/>
          <w:rtl w:val="true"/>
          <w:lang w:bidi="ar-SA"/>
        </w:rPr>
        <w:t xml:space="preserve">. </w:t>
      </w:r>
      <w:bookmarkStart w:id="722" w:name="pg9015_97781"/>
    </w:p>
    <w:p>
      <w:pPr>
        <w:pStyle w:val="Heading3"/>
        <w:numPr>
          <w:ilvl w:val="2"/>
          <w:numId w:val="1"/>
        </w:numPr>
        <w:rPr/>
      </w:pPr>
      <w:bookmarkStart w:id="723" w:name="__RefHeading___Toc2001849_2870459653"/>
      <w:bookmarkStart w:id="724" w:name="_Toc274"/>
      <w:bookmarkEnd w:id="722"/>
      <w:bookmarkEnd w:id="723"/>
      <w:r>
        <w:rPr>
          <w:rtl w:val="true"/>
        </w:rPr>
        <w:t>[</w:t>
      </w:r>
      <w:r>
        <w:rPr>
          <w:rtl w:val="true"/>
        </w:rPr>
        <w:t>في حجية الاستصحاب فيما ثبت من الإجماع كغيره من الأدلة</w:t>
      </w:r>
      <w:r>
        <w:rPr>
          <w:rtl w:val="true"/>
        </w:rPr>
        <w:t>]</w:t>
      </w:r>
      <w:bookmarkEnd w:id="724"/>
    </w:p>
    <w:p>
      <w:pPr>
        <w:pStyle w:val="BookText"/>
        <w:rPr/>
      </w:pPr>
      <w:r>
        <w:rPr>
          <w:rFonts w:ascii="Amiri" w:hAnsi="Amiri" w:eastAsia="Amiri" w:cs="Amiri"/>
          <w:color w:val="111111"/>
          <w:sz w:val="28"/>
          <w:sz w:val="28"/>
          <w:szCs w:val="28"/>
          <w:rtl w:val="true"/>
          <w:lang w:bidi="ar-SA"/>
        </w:rPr>
        <w:t>ولا بين حال الإجماع وغيره</w:t>
      </w:r>
      <w:r>
        <w:rPr>
          <w:rStyle w:val="FootnoteAnchor"/>
          <w:rtl w:val="true"/>
        </w:rPr>
        <w:footnoteReference w:id="2401"/>
      </w:r>
      <w:r>
        <w:rPr>
          <w:rFonts w:ascii="Amiri" w:hAnsi="Amiri" w:eastAsia="Amiri" w:cs="Amiri"/>
          <w:color w:val="111111"/>
          <w:sz w:val="28"/>
          <w:sz w:val="28"/>
          <w:szCs w:val="28"/>
          <w:rtl w:val="true"/>
          <w:lang w:bidi="ar-SA"/>
        </w:rPr>
        <w:t>للعموم، ومن منع من استصحاب حال الإجماع فيما إذا كان الشك في المقتضي</w:t>
      </w:r>
      <w:r>
        <w:rPr>
          <w:rStyle w:val="FootnoteAnchor"/>
          <w:rtl w:val="true"/>
        </w:rPr>
        <w:footnoteReference w:id="2402"/>
      </w:r>
      <w:r>
        <w:rPr>
          <w:rFonts w:ascii="IRNazanin" w:hAnsi="IRNazanin" w:eastAsia="IRNazanin"/>
          <w:color w:val="111111"/>
          <w:sz w:val="28"/>
          <w:sz w:val="28"/>
          <w:szCs w:val="28"/>
          <w:rtl w:val="true"/>
          <w:lang w:bidi="fa-IR"/>
        </w:rPr>
        <w:t xml:space="preserve">، أو قدح العارض </w:t>
      </w:r>
      <w:r>
        <w:rPr>
          <w:rStyle w:val="FootnoteAnchor"/>
          <w:rtl w:val="true"/>
        </w:rPr>
        <w:footnoteReference w:id="2403"/>
      </w:r>
      <w:r>
        <w:rPr>
          <w:rFonts w:ascii="Amiri" w:hAnsi="Amiri" w:eastAsia="Amiri" w:cs="Amiri"/>
          <w:color w:val="111111"/>
          <w:sz w:val="28"/>
          <w:sz w:val="28"/>
          <w:szCs w:val="28"/>
          <w:rtl w:val="true"/>
          <w:lang w:bidi="ar-SA"/>
        </w:rPr>
        <w:t>، إن نظر إلى أن الوصف لا يحصل، فهو مشترك</w:t>
      </w:r>
      <w:r>
        <w:rPr>
          <w:rStyle w:val="FootnoteAnchor"/>
          <w:rtl w:val="true"/>
        </w:rPr>
        <w:footnoteReference w:id="2404"/>
      </w:r>
      <w:r>
        <w:rPr>
          <w:rFonts w:ascii="Amiri" w:hAnsi="Amiri" w:eastAsia="Amiri" w:cs="Amiri"/>
          <w:color w:val="111111"/>
          <w:sz w:val="28"/>
          <w:sz w:val="28"/>
          <w:szCs w:val="28"/>
          <w:rtl w:val="true"/>
          <w:lang w:bidi="ar-SA"/>
        </w:rPr>
        <w:t>أو إلى أن الإجماع لو كان موجوداً في حال الشك لما حصل الخلاف</w:t>
      </w:r>
      <w:r>
        <w:rPr>
          <w:rFonts w:eastAsia="Amiri" w:cs="Amiri" w:ascii="Amiri" w:hAnsi="Amiri"/>
          <w:color w:val="111111"/>
          <w:sz w:val="28"/>
          <w:szCs w:val="28"/>
          <w:rtl w:val="true"/>
          <w:lang w:bidi="ar-SA"/>
        </w:rPr>
        <w:t>.</w:t>
      </w:r>
      <w:r>
        <w:rPr>
          <w:rStyle w:val="FootnoteAnchor"/>
          <w:rtl w:val="true"/>
        </w:rPr>
        <w:footnoteReference w:id="2405"/>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لازمه عدم حجية استصحاب </w:t>
      </w:r>
      <w:r>
        <w:rPr>
          <w:rStyle w:val="FootnoteAnchor"/>
          <w:rtl w:val="true"/>
        </w:rPr>
        <w:footnoteReference w:id="2406"/>
      </w:r>
      <w:r>
        <w:rPr>
          <w:rFonts w:ascii="Amiri" w:hAnsi="Amiri" w:eastAsia="Amiri" w:cs="Amiri"/>
          <w:color w:val="111111"/>
          <w:sz w:val="28"/>
          <w:sz w:val="28"/>
          <w:szCs w:val="28"/>
          <w:rtl w:val="true"/>
          <w:lang w:bidi="ar-SA"/>
        </w:rPr>
        <w:t>حال النص أيضاً؛ إذ لو كان دالاً على حكم حالة الشك لم يكن استصحاب</w:t>
      </w:r>
      <w:r>
        <w:rPr>
          <w:rFonts w:eastAsia="Amiri" w:cs="Amiri" w:ascii="Amiri" w:hAnsi="Amiri"/>
          <w:color w:val="111111"/>
          <w:sz w:val="28"/>
          <w:szCs w:val="28"/>
          <w:rtl w:val="true"/>
          <w:lang w:bidi="ar-SA"/>
        </w:rPr>
        <w:t>.</w:t>
      </w:r>
      <w:r>
        <w:rPr>
          <w:rStyle w:val="FootnoteAnchor"/>
          <w:rtl w:val="true"/>
        </w:rPr>
        <w:footnoteReference w:id="2407"/>
      </w:r>
      <w:bookmarkStart w:id="725" w:name="pg9015_97783"/>
    </w:p>
    <w:p>
      <w:pPr>
        <w:pStyle w:val="Heading2"/>
        <w:numPr>
          <w:ilvl w:val="1"/>
          <w:numId w:val="1"/>
        </w:numPr>
        <w:rPr/>
      </w:pPr>
      <w:bookmarkStart w:id="726" w:name="__RefHeading___Toc2001851_2870459653"/>
      <w:bookmarkStart w:id="727" w:name="_Toc275"/>
      <w:bookmarkEnd w:id="725"/>
      <w:bookmarkEnd w:id="726"/>
      <w:r>
        <w:rPr>
          <w:rtl w:val="true"/>
        </w:rPr>
        <w:t xml:space="preserve">أصل </w:t>
      </w:r>
      <w:r>
        <w:rPr>
          <w:rtl w:val="true"/>
        </w:rPr>
        <w:t>[</w:t>
      </w:r>
      <w:r>
        <w:rPr>
          <w:rtl w:val="true"/>
        </w:rPr>
        <w:t>في حجية الاستصحاب سواء كان الشك في وجود المقتضي أو المانع</w:t>
      </w:r>
      <w:r>
        <w:rPr>
          <w:rtl w:val="true"/>
        </w:rPr>
        <w:t>]</w:t>
      </w:r>
      <w:bookmarkEnd w:id="727"/>
    </w:p>
    <w:p>
      <w:pPr>
        <w:pStyle w:val="BookText"/>
        <w:rPr/>
      </w:pPr>
      <w:r>
        <w:rPr>
          <w:rFonts w:ascii="IRNazanin" w:hAnsi="IRNazanin" w:eastAsia="IRNazanin"/>
          <w:color w:val="111111"/>
          <w:sz w:val="28"/>
          <w:sz w:val="28"/>
          <w:szCs w:val="28"/>
          <w:rtl w:val="true"/>
          <w:lang w:bidi="fa-IR"/>
        </w:rPr>
        <w:t>أصل</w:t>
      </w:r>
      <w:r>
        <w:rPr>
          <w:rStyle w:val="FootnoteAnchor"/>
          <w:rtl w:val="true"/>
        </w:rPr>
        <w:footnoteReference w:id="2408"/>
      </w:r>
    </w:p>
    <w:p>
      <w:pPr>
        <w:pStyle w:val="BookText"/>
        <w:rPr/>
      </w:pPr>
      <w:r>
        <w:rPr>
          <w:rFonts w:ascii="Amiri" w:hAnsi="Amiri" w:eastAsia="Amiri" w:cs="Amiri"/>
          <w:color w:val="111111"/>
          <w:sz w:val="28"/>
          <w:sz w:val="28"/>
          <w:szCs w:val="28"/>
          <w:rtl w:val="true"/>
          <w:lang w:bidi="ar-SA"/>
        </w:rPr>
        <w:t>لا فرق في حجية الاستصحاب بين كون الشكّ في المقتضي أو غيره، والمحقق الحلي</w:t>
      </w:r>
      <w:r>
        <w:rPr>
          <w:rStyle w:val="FootnoteAnchor"/>
          <w:rtl w:val="true"/>
        </w:rPr>
        <w:footnoteReference w:id="2409"/>
      </w:r>
      <w:r>
        <w:rPr>
          <w:rFonts w:ascii="Amiri" w:hAnsi="Amiri" w:eastAsia="Amiri" w:cs="Amiri"/>
          <w:color w:val="111111"/>
          <w:sz w:val="28"/>
          <w:sz w:val="28"/>
          <w:szCs w:val="28"/>
          <w:rtl w:val="true"/>
          <w:lang w:bidi="ar-SA"/>
        </w:rPr>
        <w:t xml:space="preserve">والخوانساري </w:t>
      </w:r>
      <w:r>
        <w:rPr>
          <w:rStyle w:val="FootnoteAnchor"/>
          <w:rtl w:val="true"/>
        </w:rPr>
        <w:footnoteReference w:id="2410"/>
      </w:r>
      <w:r>
        <w:rPr>
          <w:rFonts w:ascii="Amiri" w:hAnsi="Amiri" w:eastAsia="Amiri" w:cs="Amiri"/>
          <w:color w:val="111111"/>
          <w:sz w:val="28"/>
          <w:sz w:val="28"/>
          <w:szCs w:val="28"/>
          <w:rtl w:val="true"/>
          <w:lang w:bidi="ar-SA"/>
        </w:rPr>
        <w:t>نفيا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الفرق على هذا القول بين الموضوعات والأحكام</w:t>
      </w:r>
      <w:r>
        <w:rPr>
          <w:rFonts w:eastAsia="Amiri" w:cs="Amiri" w:ascii="Amiri" w:hAnsi="Amiri"/>
          <w:color w:val="111111"/>
          <w:sz w:val="28"/>
          <w:szCs w:val="28"/>
          <w:rtl w:val="true"/>
          <w:lang w:bidi="ar-SA"/>
        </w:rPr>
        <w:t>.</w:t>
      </w:r>
      <w:r>
        <w:rPr>
          <w:rStyle w:val="FootnoteAnchor"/>
          <w:rtl w:val="true"/>
        </w:rPr>
        <w:footnoteReference w:id="2411"/>
      </w:r>
    </w:p>
    <w:p>
      <w:pPr>
        <w:pStyle w:val="BookText"/>
        <w:rPr/>
      </w:pPr>
      <w:r>
        <w:rPr>
          <w:rFonts w:ascii="Amiri" w:hAnsi="Amiri" w:eastAsia="Amiri" w:cs="Amiri"/>
          <w:color w:val="111111"/>
          <w:sz w:val="28"/>
          <w:sz w:val="28"/>
          <w:szCs w:val="28"/>
          <w:rtl w:val="true"/>
          <w:lang w:bidi="ar-SA"/>
        </w:rPr>
        <w:t>والأصح الحجية مطلقاً، سواء كان الشك في ذات المقتضي، أم في بقائه؛ للشك في قدر استعداده للبقاء، أو لاحتمال طرق مانع، أو مانعية طار؛ لعموم ماسبق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نظر المانع في المقتضي إلى عدم انصراف النصوص أو</w:t>
      </w:r>
      <w:r>
        <w:rPr>
          <w:rStyle w:val="FootnoteAnchor"/>
          <w:rtl w:val="true"/>
        </w:rPr>
        <w:footnoteReference w:id="2412"/>
      </w:r>
      <w:r>
        <w:rPr>
          <w:rFonts w:ascii="Amiri" w:hAnsi="Amiri" w:eastAsia="Amiri" w:cs="Amiri"/>
          <w:color w:val="111111"/>
          <w:sz w:val="28"/>
          <w:sz w:val="28"/>
          <w:szCs w:val="28"/>
          <w:rtl w:val="true"/>
          <w:lang w:bidi="ar-SA"/>
        </w:rPr>
        <w:t>أكثرها اليه</w:t>
      </w:r>
      <w:r>
        <w:rPr>
          <w:rStyle w:val="FootnoteAnchor"/>
          <w:rtl w:val="true"/>
        </w:rPr>
        <w:footnoteReference w:id="2413"/>
      </w:r>
      <w:r>
        <w:rPr>
          <w:rFonts w:ascii="Amiri" w:hAnsi="Amiri" w:eastAsia="Amiri" w:cs="Amiri"/>
          <w:color w:val="111111"/>
          <w:sz w:val="28"/>
          <w:sz w:val="28"/>
          <w:szCs w:val="28"/>
          <w:rtl w:val="true"/>
          <w:lang w:bidi="ar-SA"/>
        </w:rPr>
        <w:t xml:space="preserve">إذ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 xml:space="preserve">) </w:t>
      </w:r>
      <w:r>
        <w:rPr>
          <w:rStyle w:val="FootnoteAnchor"/>
          <w:rtl w:val="true"/>
        </w:rPr>
        <w:footnoteReference w:id="2414"/>
      </w:r>
      <w:r>
        <w:rPr>
          <w:rFonts w:ascii="Amiri" w:hAnsi="Amiri" w:eastAsia="Amiri" w:cs="Amiri"/>
          <w:color w:val="111111"/>
          <w:sz w:val="28"/>
          <w:sz w:val="28"/>
          <w:szCs w:val="28"/>
          <w:rtl w:val="true"/>
          <w:lang w:bidi="ar-SA"/>
        </w:rPr>
        <w:t>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المتيقن وما في حكمه،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حينئذٍ من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النقض الواقعي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أن المتيقن الواقعي</w:t>
      </w:r>
      <w:r>
        <w:rPr>
          <w:rFonts w:eastAsia="Amiri" w:cs="Amiri" w:ascii="Amiri" w:hAnsi="Amiri"/>
          <w:color w:val="111111"/>
          <w:sz w:val="28"/>
          <w:szCs w:val="28"/>
          <w:rtl w:val="true"/>
          <w:lang w:bidi="ar-SA"/>
        </w:rPr>
        <w:t>)</w:t>
      </w:r>
      <w:r>
        <w:rPr>
          <w:rStyle w:val="FootnoteAnchor"/>
          <w:rtl w:val="true"/>
        </w:rPr>
        <w:footnoteReference w:id="2415"/>
      </w:r>
      <w:r>
        <w:rPr>
          <w:rFonts w:ascii="Amiri" w:hAnsi="Amiri" w:eastAsia="Amiri" w:cs="Amiri"/>
          <w:color w:val="111111"/>
          <w:sz w:val="28"/>
          <w:sz w:val="28"/>
          <w:szCs w:val="28"/>
          <w:rtl w:val="true"/>
          <w:lang w:bidi="ar-SA"/>
        </w:rPr>
        <w:t>في الواقع لا ينقض بالشك، أو الظاهري، بمعنى أن المتيقن الظاهري في الظاهر لا ينقض بالشك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أو نفي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يراد من الشك معناه ، أو</w:t>
      </w:r>
      <w:r>
        <w:rPr>
          <w:rStyle w:val="FootnoteAnchor"/>
          <w:rtl w:val="true"/>
        </w:rPr>
        <w:footnoteReference w:id="2416"/>
      </w:r>
      <w:r>
        <w:rPr>
          <w:rFonts w:ascii="Amiri" w:hAnsi="Amiri" w:eastAsia="Amiri" w:cs="Amiri"/>
          <w:color w:val="111111"/>
          <w:sz w:val="28"/>
          <w:sz w:val="28"/>
          <w:szCs w:val="28"/>
          <w:rtl w:val="true"/>
          <w:lang w:bidi="ar-SA"/>
        </w:rPr>
        <w:t>المشكوك فيه، لا سبيل إلى الواقعيات بأقسامها ؛ امّا للكذب</w:t>
      </w:r>
      <w:r>
        <w:rPr>
          <w:rStyle w:val="FootnoteAnchor"/>
          <w:rtl w:val="true"/>
        </w:rPr>
        <w:footnoteReference w:id="2417"/>
      </w:r>
      <w:r>
        <w:rPr>
          <w:rFonts w:ascii="Amiri" w:hAnsi="Amiri" w:eastAsia="Amiri" w:cs="Amiri"/>
          <w:color w:val="111111"/>
          <w:sz w:val="28"/>
          <w:sz w:val="28"/>
          <w:szCs w:val="28"/>
          <w:rtl w:val="true"/>
          <w:lang w:bidi="ar-SA"/>
        </w:rPr>
        <w:t>أو التكليف بالمحال</w:t>
      </w:r>
      <w:r>
        <w:rPr>
          <w:rFonts w:eastAsia="Amiri" w:cs="Amiri" w:ascii="Amiri" w:hAnsi="Amiri"/>
          <w:color w:val="111111"/>
          <w:sz w:val="28"/>
          <w:szCs w:val="28"/>
          <w:rtl w:val="true"/>
          <w:lang w:bidi="ar-SA"/>
        </w:rPr>
        <w:t>.</w:t>
      </w:r>
      <w:r>
        <w:rPr>
          <w:rStyle w:val="FootnoteAnchor"/>
          <w:rtl w:val="true"/>
        </w:rPr>
        <w:footnoteReference w:id="2418"/>
      </w:r>
    </w:p>
    <w:p>
      <w:pPr>
        <w:pStyle w:val="BookText"/>
        <w:rPr/>
      </w:pPr>
      <w:r>
        <w:rPr>
          <w:rFonts w:ascii="Amiri" w:hAnsi="Amiri" w:eastAsia="Amiri" w:cs="Amiri"/>
          <w:color w:val="111111"/>
          <w:sz w:val="28"/>
          <w:sz w:val="28"/>
          <w:szCs w:val="28"/>
          <w:rtl w:val="true"/>
          <w:lang w:bidi="ar-SA"/>
        </w:rPr>
        <w:t xml:space="preserve">وفي الظاهريات إن أريد من الشك المشكوك فيه، فهو صحيح، لكن عدم نقض المتيقن بالمشكوك فيه انما يتصوّر إذا كان الشك في ناقضية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المشكوك فيه؛ إذ لو كان الشك في المقتضي لم يكن هناك نقض؛ إذ الشك حينئذٍ في الانقطاع وعدمه، لا النقض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الشك نفسه، فهو مناف لسؤال السائل ؛ إذ مورده الشك في ناقضية المشكوك فيه</w:t>
      </w:r>
      <w:r>
        <w:rPr>
          <w:rFonts w:eastAsia="Amiri" w:cs="Amiri" w:ascii="Amiri" w:hAnsi="Amiri"/>
          <w:color w:val="111111"/>
          <w:sz w:val="28"/>
          <w:szCs w:val="28"/>
          <w:rtl w:val="true"/>
          <w:lang w:bidi="ar-SA"/>
        </w:rPr>
        <w:t>)</w:t>
      </w:r>
      <w:r>
        <w:rPr>
          <w:rStyle w:val="FootnoteAnchor"/>
          <w:rtl w:val="true"/>
        </w:rPr>
        <w:footnoteReference w:id="2419"/>
      </w:r>
      <w:r>
        <w:rPr>
          <w:rFonts w:ascii="Amiri" w:hAnsi="Amiri" w:eastAsia="Amiri" w:cs="Amiri"/>
          <w:color w:val="111111"/>
          <w:sz w:val="28"/>
          <w:sz w:val="28"/>
          <w:szCs w:val="28"/>
          <w:rtl w:val="true"/>
          <w:lang w:bidi="ar-SA"/>
        </w:rPr>
        <w:t>، أي الخفقة،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أتوجب الخفقة والخفقتان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ناقضية نفس الشك، بل من المعلوم أن الشك بنفسه ليس ناقضاً، مع قطع النظر عن متعلقه</w:t>
      </w:r>
      <w:r>
        <w:rPr>
          <w:rFonts w:eastAsia="Amiri" w:cs="Amiri" w:ascii="Amiri" w:hAnsi="Amiri"/>
          <w:color w:val="111111"/>
          <w:sz w:val="28"/>
          <w:szCs w:val="28"/>
          <w:rtl w:val="true"/>
          <w:lang w:bidi="ar-SA"/>
        </w:rPr>
        <w:t>.</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ولعل ما ذكرناه مراد الخوانساري في استدلاله على مدّعاه والا فدليله واه جداً</w:t>
      </w:r>
      <w:r>
        <w:rPr>
          <w:rStyle w:val="FootnoteAnchor"/>
          <w:rtl w:val="true"/>
        </w:rPr>
        <w:footnoteReference w:id="2421"/>
      </w:r>
      <w:r>
        <w:rPr>
          <w:rFonts w:ascii="Amiri" w:hAnsi="Amiri" w:eastAsia="Amiri" w:cs="Amiri"/>
          <w:color w:val="111111"/>
          <w:sz w:val="28"/>
          <w:sz w:val="28"/>
          <w:szCs w:val="28"/>
          <w:rtl w:val="true"/>
          <w:lang w:bidi="ar-SA"/>
        </w:rPr>
        <w:t>، وفيه صدق النقض عرفاً في الشك في المقتضي، فتأمل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المتبادر من النصوص عرفاً حجية الاستصحاب مطلقاً، مع أن من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ينبغى لك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لا يجري فيه الوجه المذكور</w:t>
      </w:r>
      <w:r>
        <w:rPr>
          <w:rStyle w:val="FootnoteAnchor"/>
          <w:rtl w:val="true"/>
        </w:rPr>
        <w:footnoteReference w:id="2422"/>
      </w:r>
      <w:r>
        <w:rPr>
          <w:rFonts w:ascii="Amiri" w:hAnsi="Amiri" w:eastAsia="Amiri" w:cs="Amiri"/>
          <w:color w:val="111111"/>
          <w:sz w:val="28"/>
          <w:sz w:val="28"/>
          <w:szCs w:val="28"/>
          <w:rtl w:val="true"/>
          <w:lang w:bidi="ar-SA"/>
        </w:rPr>
        <w:t>، مضافاً إلى كفاية ما عدا النصوص من الأدلة</w:t>
      </w:r>
      <w:r>
        <w:rPr>
          <w:rFonts w:eastAsia="Amiri" w:cs="Amiri" w:ascii="Amiri" w:hAnsi="Amiri"/>
          <w:color w:val="111111"/>
          <w:sz w:val="28"/>
          <w:szCs w:val="28"/>
          <w:rtl w:val="true"/>
          <w:lang w:bidi="ar-SA"/>
        </w:rPr>
        <w:t xml:space="preserve">. </w:t>
      </w:r>
      <w:bookmarkStart w:id="728" w:name="pg9015_97785"/>
    </w:p>
    <w:p>
      <w:pPr>
        <w:pStyle w:val="Heading2"/>
        <w:numPr>
          <w:ilvl w:val="1"/>
          <w:numId w:val="1"/>
        </w:numPr>
        <w:rPr/>
      </w:pPr>
      <w:bookmarkStart w:id="729" w:name="__RefHeading___Toc2001853_2870459653"/>
      <w:bookmarkStart w:id="730" w:name="_Toc276"/>
      <w:bookmarkEnd w:id="728"/>
      <w:bookmarkEnd w:id="729"/>
      <w:r>
        <w:rPr>
          <w:rtl w:val="true"/>
        </w:rPr>
        <w:t xml:space="preserve">أصل </w:t>
      </w:r>
      <w:r>
        <w:rPr>
          <w:rtl w:val="true"/>
        </w:rPr>
        <w:t>[</w:t>
      </w:r>
      <w:r>
        <w:rPr>
          <w:rtl w:val="true"/>
        </w:rPr>
        <w:t>في أقسام الشك في المانع</w:t>
      </w:r>
      <w:r>
        <w:rPr>
          <w:rtl w:val="true"/>
        </w:rPr>
        <w:t>]</w:t>
      </w:r>
      <w:bookmarkEnd w:id="730"/>
    </w:p>
    <w:p>
      <w:pPr>
        <w:pStyle w:val="BookText"/>
        <w:rPr/>
      </w:pPr>
      <w:r>
        <w:rPr>
          <w:rFonts w:ascii="Amiri" w:hAnsi="Amiri" w:eastAsia="Amiri" w:cs="Amiri"/>
          <w:color w:val="111111"/>
          <w:sz w:val="28"/>
          <w:sz w:val="28"/>
          <w:szCs w:val="28"/>
          <w:rtl w:val="true"/>
          <w:lang w:bidi="ar-SA"/>
        </w:rPr>
        <w:t>الشك في المانع على أقسام اما شك</w:t>
      </w:r>
      <w:r>
        <w:rPr>
          <w:rStyle w:val="FootnoteAnchor"/>
          <w:rtl w:val="true"/>
        </w:rPr>
        <w:footnoteReference w:id="2423"/>
      </w:r>
      <w:r>
        <w:rPr>
          <w:rFonts w:ascii="Amiri" w:hAnsi="Amiri" w:eastAsia="Amiri" w:cs="Amiri"/>
          <w:color w:val="111111"/>
          <w:sz w:val="28"/>
          <w:sz w:val="28"/>
          <w:szCs w:val="28"/>
          <w:rtl w:val="true"/>
          <w:lang w:bidi="ar-SA"/>
        </w:rPr>
        <w:t>في حدوث المانع المعلوم المانعية، أو مشكوكها، أو شك في مانعية الشيء الحادث؛ لأجل الشك في الحكم الشرعي، أو في الموضوع المستنبط أو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 تعدد المشكوك فيه في الشك </w:t>
      </w:r>
      <w:r>
        <w:rPr>
          <w:rStyle w:val="FootnoteAnchor"/>
          <w:rtl w:val="true"/>
        </w:rPr>
        <w:footnoteReference w:id="2424"/>
      </w:r>
      <w:r>
        <w:rPr>
          <w:rFonts w:ascii="Amiri" w:hAnsi="Amiri" w:eastAsia="Amiri" w:cs="Amiri"/>
          <w:color w:val="111111"/>
          <w:sz w:val="28"/>
          <w:sz w:val="28"/>
          <w:szCs w:val="28"/>
          <w:rtl w:val="true"/>
          <w:lang w:bidi="ar-SA"/>
        </w:rPr>
        <w:t>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 يعلم بمانعية أحد الأمور المتعددة ولو إجمالاً، أو يعلم إجمالاً بنا قضية أحدها، سواء حدث الكل في دفعة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تخلل عبادة، أم على وجه التعاقب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السبزواري</w:t>
      </w:r>
      <w:r>
        <w:rPr>
          <w:rStyle w:val="FootnoteAnchor"/>
          <w:rtl w:val="true"/>
        </w:rPr>
        <w:footnoteReference w:id="2425"/>
      </w:r>
      <w:r>
        <w:rPr>
          <w:rFonts w:ascii="Amiri" w:hAnsi="Amiri" w:eastAsia="Amiri" w:cs="Amiri"/>
          <w:color w:val="111111"/>
          <w:sz w:val="28"/>
          <w:sz w:val="28"/>
          <w:szCs w:val="28"/>
          <w:rtl w:val="true"/>
          <w:lang w:bidi="ar-SA"/>
        </w:rPr>
        <w:t xml:space="preserve">أنكر حجية الاستصحاب إذا كان الشك في الحادث بأقسامه،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ووافقه الخوانساري</w:t>
      </w:r>
      <w:r>
        <w:rPr>
          <w:rStyle w:val="FootnoteAnchor"/>
          <w:rtl w:val="true"/>
        </w:rPr>
        <w:footnoteReference w:id="2426"/>
      </w:r>
      <w:r>
        <w:rPr>
          <w:rFonts w:ascii="Amiri" w:hAnsi="Amiri" w:eastAsia="Amiri" w:cs="Amiri"/>
          <w:color w:val="111111"/>
          <w:sz w:val="28"/>
          <w:sz w:val="28"/>
          <w:szCs w:val="28"/>
          <w:rtl w:val="true"/>
          <w:lang w:bidi="ar-SA"/>
        </w:rPr>
        <w:t>فيما إذا كان الشك في الحادث</w:t>
      </w:r>
      <w:r>
        <w:rPr>
          <w:rFonts w:eastAsia="Amiri" w:cs="Amiri" w:ascii="Amiri" w:hAnsi="Amiri"/>
          <w:color w:val="111111"/>
          <w:sz w:val="28"/>
          <w:szCs w:val="28"/>
          <w:rtl w:val="true"/>
          <w:lang w:bidi="ar-SA"/>
        </w:rPr>
        <w:t>)</w:t>
      </w:r>
      <w:r>
        <w:rPr>
          <w:rStyle w:val="FootnoteAnchor"/>
          <w:rtl w:val="true"/>
        </w:rPr>
        <w:footnoteReference w:id="2427"/>
      </w:r>
      <w:r>
        <w:rPr>
          <w:rFonts w:ascii="Amiri" w:hAnsi="Amiri" w:eastAsia="Amiri" w:cs="Amiri"/>
          <w:color w:val="111111"/>
          <w:sz w:val="28"/>
          <w:sz w:val="28"/>
          <w:szCs w:val="28"/>
          <w:rtl w:val="true"/>
          <w:lang w:bidi="ar-SA"/>
        </w:rPr>
        <w:t xml:space="preserve">مسبباً عن الشبهة الحكمية ،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المستنبط، ولعله لأن المتبادر من الشك في النص الشك لا</w:t>
      </w:r>
      <w:r>
        <w:rPr>
          <w:rStyle w:val="FootnoteAnchor"/>
          <w:rtl w:val="true"/>
        </w:rPr>
        <w:footnoteReference w:id="2428"/>
      </w:r>
      <w:r>
        <w:rPr>
          <w:rFonts w:ascii="Amiri" w:hAnsi="Amiri" w:eastAsia="Amiri" w:cs="Amiri"/>
          <w:color w:val="111111"/>
          <w:sz w:val="28"/>
          <w:sz w:val="28"/>
          <w:szCs w:val="28"/>
          <w:rtl w:val="true"/>
          <w:lang w:bidi="ar-SA"/>
        </w:rPr>
        <w:t xml:space="preserve">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السابق الذي كان حاصلاً ،قبل، ومن اليقين اليقين</w:t>
      </w:r>
      <w:r>
        <w:rPr>
          <w:rStyle w:val="FootnoteAnchor"/>
          <w:rtl w:val="true"/>
        </w:rPr>
        <w:footnoteReference w:id="2429"/>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الشك فيه أيضاً هو الشك اللاحق</w:t>
      </w:r>
      <w:r>
        <w:rPr>
          <w:rFonts w:eastAsia="Amiri" w:cs="Amiri" w:ascii="Amiri" w:hAnsi="Amiri"/>
          <w:color w:val="111111"/>
          <w:sz w:val="28"/>
          <w:szCs w:val="28"/>
          <w:rtl w:val="true"/>
          <w:lang w:bidi="ar-SA"/>
        </w:rPr>
        <w:t>)</w:t>
      </w:r>
      <w:r>
        <w:rPr>
          <w:rStyle w:val="FootnoteAnchor"/>
          <w:rtl w:val="true"/>
        </w:rPr>
        <w:footnoteReference w:id="2430"/>
      </w:r>
      <w:r>
        <w:rPr>
          <w:rFonts w:ascii="Amiri" w:hAnsi="Amiri" w:eastAsia="Amiri" w:cs="Amiri"/>
          <w:color w:val="111111"/>
          <w:sz w:val="28"/>
          <w:sz w:val="28"/>
          <w:szCs w:val="28"/>
          <w:rtl w:val="true"/>
          <w:lang w:bidi="ar-SA"/>
        </w:rPr>
        <w:t>الذي يوجب الشك في البقاء، وهذا لا يتصوّر الا في الشك في حدوث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w:t>
      </w:r>
      <w:r>
        <w:rPr>
          <w:rStyle w:val="FootnoteAnchor"/>
          <w:rtl w:val="true"/>
        </w:rPr>
        <w:footnoteReference w:id="2431"/>
      </w:r>
      <w:r>
        <w:rPr>
          <w:rFonts w:ascii="Amiri" w:hAnsi="Amiri" w:eastAsia="Amiri" w:cs="Amiri"/>
          <w:color w:val="111111"/>
          <w:sz w:val="28"/>
          <w:sz w:val="28"/>
          <w:szCs w:val="28"/>
          <w:rtl w:val="true"/>
          <w:lang w:bidi="ar-SA"/>
        </w:rPr>
        <w:t xml:space="preserve">الشك في المانعية، فالشك الذي يكون جزء سبب </w:t>
      </w:r>
      <w:r>
        <w:rPr>
          <w:rStyle w:val="FootnoteAnchor"/>
          <w:rtl w:val="true"/>
        </w:rPr>
        <w:footnoteReference w:id="2432"/>
      </w:r>
      <w:r>
        <w:rPr>
          <w:rFonts w:ascii="Amiri" w:hAnsi="Amiri" w:eastAsia="Amiri" w:cs="Amiri"/>
          <w:color w:val="111111"/>
          <w:sz w:val="28"/>
          <w:sz w:val="28"/>
          <w:szCs w:val="28"/>
          <w:rtl w:val="true"/>
          <w:lang w:bidi="ar-SA"/>
        </w:rPr>
        <w:t>للشك في البقاء مقدم على اليقين بالحدوث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رواية الخفقة هو الشك في المانعية،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هذا الوجه يقتضي الحجية إذا كان الشك في المانعية؛ للشك</w:t>
      </w:r>
      <w:r>
        <w:rPr>
          <w:rFonts w:eastAsia="Amiri" w:cs="Amiri" w:ascii="Amiri" w:hAnsi="Amiri"/>
          <w:color w:val="111111"/>
          <w:sz w:val="28"/>
          <w:szCs w:val="28"/>
          <w:rtl w:val="true"/>
          <w:lang w:bidi="ar-SA"/>
        </w:rPr>
        <w:t>)</w:t>
      </w:r>
      <w:r>
        <w:rPr>
          <w:rStyle w:val="FootnoteAnchor"/>
          <w:rtl w:val="true"/>
        </w:rPr>
        <w:footnoteReference w:id="2433"/>
      </w:r>
      <w:r>
        <w:rPr>
          <w:rFonts w:ascii="Amiri" w:hAnsi="Amiri" w:eastAsia="Amiri" w:cs="Amiri"/>
          <w:color w:val="111111"/>
          <w:sz w:val="28"/>
          <w:sz w:val="28"/>
          <w:szCs w:val="28"/>
          <w:rtl w:val="true"/>
          <w:lang w:bidi="ar-SA"/>
        </w:rPr>
        <w:t>في الموضوع الصرف، فكيف يدعى السلب الكلي</w:t>
      </w:r>
      <w:r>
        <w:rPr>
          <w:rStyle w:val="FootnoteAnchor"/>
          <w:rtl w:val="true"/>
        </w:rPr>
        <w:footnoteReference w:id="2434"/>
      </w:r>
    </w:p>
    <w:p>
      <w:pPr>
        <w:pStyle w:val="BookText"/>
        <w:rPr/>
      </w:pPr>
      <w:r>
        <w:rPr>
          <w:rFonts w:ascii="Amiri" w:hAnsi="Amiri" w:eastAsia="Amiri" w:cs="Amiri"/>
          <w:color w:val="111111"/>
          <w:sz w:val="28"/>
          <w:sz w:val="28"/>
          <w:szCs w:val="28"/>
          <w:rtl w:val="true"/>
          <w:lang w:bidi="ar-SA"/>
        </w:rPr>
        <w:t>الرواية</w:t>
      </w:r>
    </w:p>
    <w:p>
      <w:pPr>
        <w:pStyle w:val="BookText"/>
        <w:rPr/>
      </w:pPr>
      <w:r>
        <w:rPr>
          <w:rFonts w:ascii="Amiri" w:hAnsi="Amiri" w:eastAsia="Amiri" w:cs="Amiri"/>
          <w:color w:val="111111"/>
          <w:sz w:val="28"/>
          <w:sz w:val="28"/>
          <w:szCs w:val="28"/>
          <w:rtl w:val="true"/>
          <w:lang w:bidi="ar-SA"/>
        </w:rPr>
        <w:t xml:space="preserve">، وان ظاهر النصوص كون المراد من الشك الشك في البقاء، لا الشك السببي؛ حذراً من التفكيك، ودلالة سياق بعضها، مع أن دليل الاستصحاب غير منحصر في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ادّعى الخصم انصراف الأخبار إلى الشك في الحدوث؛ لأنه مورد السؤال في بعضها، أو ادّعى اختصاص النصوص بالموضوعات لا الأحكام، ولا الأعمّ منهما ، بقرينة عدم اشتراط الفحص فيها، والشك في الموضوعات يختص بالشك في الحدوث</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فجوابه يظهر مما سبق، كما تظهر أحكام سائر أقسام الشك في الحادث بعد التأمل</w:t>
      </w:r>
      <w:r>
        <w:rPr>
          <w:rFonts w:eastAsia="Amiri" w:cs="Amiri" w:ascii="Amiri" w:hAnsi="Amiri"/>
          <w:color w:val="111111"/>
          <w:sz w:val="28"/>
          <w:szCs w:val="28"/>
          <w:rtl w:val="true"/>
          <w:lang w:bidi="ar-SA"/>
        </w:rPr>
        <w:t xml:space="preserve">. </w:t>
      </w:r>
      <w:bookmarkStart w:id="731" w:name="pg9015_97788"/>
    </w:p>
    <w:p>
      <w:pPr>
        <w:pStyle w:val="Heading2"/>
        <w:numPr>
          <w:ilvl w:val="1"/>
          <w:numId w:val="1"/>
        </w:numPr>
        <w:rPr/>
      </w:pPr>
      <w:bookmarkStart w:id="732" w:name="__RefHeading___Toc2001855_2870459653"/>
      <w:bookmarkStart w:id="733" w:name="_Toc277"/>
      <w:bookmarkEnd w:id="731"/>
      <w:bookmarkEnd w:id="732"/>
      <w:r>
        <w:rPr>
          <w:rtl w:val="true"/>
        </w:rPr>
        <w:t xml:space="preserve">أصل </w:t>
      </w:r>
      <w:r>
        <w:rPr>
          <w:rtl w:val="true"/>
        </w:rPr>
        <w:t>[</w:t>
      </w:r>
      <w:r>
        <w:rPr>
          <w:rtl w:val="true"/>
        </w:rPr>
        <w:t>فى الشك الطارئ والساري</w:t>
      </w:r>
      <w:r>
        <w:rPr>
          <w:rtl w:val="true"/>
        </w:rPr>
        <w:t>]</w:t>
      </w:r>
      <w:bookmarkEnd w:id="733"/>
    </w:p>
    <w:p>
      <w:pPr>
        <w:pStyle w:val="BookText"/>
        <w:rPr/>
      </w:pPr>
      <w:r>
        <w:rPr>
          <w:rFonts w:ascii="Amiri" w:hAnsi="Amiri" w:eastAsia="Amiri" w:cs="Amiri"/>
          <w:color w:val="111111"/>
          <w:sz w:val="28"/>
          <w:sz w:val="28"/>
          <w:szCs w:val="28"/>
          <w:rtl w:val="true"/>
          <w:lang w:bidi="ar-SA"/>
        </w:rPr>
        <w:t>إذا لم يكن الشاك حين شكه مستيقناً بالمتيقن السابق، بحيث يكون أن الشك ظرفاً لليقين والشك معاً</w:t>
      </w:r>
      <w:r>
        <w:rPr>
          <w:rStyle w:val="FootnoteAnchor"/>
          <w:rtl w:val="true"/>
        </w:rPr>
        <w:footnoteReference w:id="2435"/>
      </w:r>
      <w:r>
        <w:rPr>
          <w:rFonts w:ascii="Amiri" w:hAnsi="Amiri" w:eastAsia="Amiri" w:cs="Amiri"/>
          <w:color w:val="111111"/>
          <w:sz w:val="28"/>
          <w:sz w:val="28"/>
          <w:szCs w:val="28"/>
          <w:rtl w:val="true"/>
          <w:lang w:bidi="ar-SA"/>
        </w:rPr>
        <w:t>، لم يكن الاستصحاب حجة، وإن كان حين الشكّ متيقناً باليقين السابق</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إذا علم بحكم، أو وصف في محل واحد في زمان سابق، وكان له جهتان، وكان ذلك الشيء من احدى الجهتين قطعي التحقق، ومن الأخرى مشكوك التحقق، فشك في بقاء ما ثبت سابقاً بعد القطع بارتفاعه من الجهة التي كانت مقطوعة، كل ذلك لعدم مساعدة أدلة الاستصحاب مثل</w:t>
      </w:r>
      <w:r>
        <w:rPr>
          <w:rStyle w:val="FootnoteAnchor"/>
          <w:rtl w:val="true"/>
        </w:rPr>
        <w:footnoteReference w:id="2436"/>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2437"/>
      </w:r>
      <w:bookmarkStart w:id="734" w:name="pg9015_97790"/>
    </w:p>
    <w:p>
      <w:pPr>
        <w:pStyle w:val="Heading2"/>
        <w:numPr>
          <w:ilvl w:val="1"/>
          <w:numId w:val="1"/>
        </w:numPr>
        <w:rPr/>
      </w:pPr>
      <w:bookmarkStart w:id="735" w:name="__RefHeading___Toc2001857_2870459653"/>
      <w:bookmarkStart w:id="736" w:name="_Toc278"/>
      <w:bookmarkEnd w:id="734"/>
      <w:bookmarkEnd w:id="735"/>
      <w:r>
        <w:rPr>
          <w:rtl w:val="true"/>
        </w:rPr>
        <w:t xml:space="preserve">أصل </w:t>
      </w:r>
      <w:r>
        <w:rPr>
          <w:rtl w:val="true"/>
        </w:rPr>
        <w:t>[</w:t>
      </w:r>
      <w:r>
        <w:rPr>
          <w:rtl w:val="true"/>
        </w:rPr>
        <w:t>في الاستصحاب في الشك في الحادث</w:t>
      </w:r>
      <w:r>
        <w:rPr>
          <w:rtl w:val="true"/>
        </w:rPr>
        <w:t>]</w:t>
      </w:r>
      <w:bookmarkEnd w:id="736"/>
    </w:p>
    <w:p>
      <w:pPr>
        <w:pStyle w:val="BookText"/>
        <w:rPr/>
      </w:pPr>
      <w:r>
        <w:rPr>
          <w:rFonts w:ascii="Amiri" w:hAnsi="Amiri" w:eastAsia="Amiri" w:cs="Amiri"/>
          <w:color w:val="111111"/>
          <w:sz w:val="28"/>
          <w:sz w:val="28"/>
          <w:szCs w:val="28"/>
          <w:rtl w:val="true"/>
          <w:lang w:bidi="ar-SA"/>
        </w:rPr>
        <w:t>قد اشتهر في الألسن عدم جواز التمسك بالاستصحاب إذا كان الشك في الحادث</w:t>
      </w:r>
      <w:r>
        <w:rPr>
          <w:rStyle w:val="FootnoteAnchor"/>
          <w:rtl w:val="true"/>
        </w:rPr>
        <w:footnoteReference w:id="2438"/>
      </w:r>
      <w:r>
        <w:rPr>
          <w:rFonts w:ascii="Amiri" w:hAnsi="Amiri" w:eastAsia="Amiri" w:cs="Amiri"/>
          <w:color w:val="111111"/>
          <w:sz w:val="28"/>
          <w:sz w:val="28"/>
          <w:szCs w:val="28"/>
          <w:rtl w:val="true"/>
          <w:lang w:bidi="ar-SA"/>
        </w:rPr>
        <w:t>، وقد يتوهم التناقض بين قولهم بهذا واختلافهم في بحث تعارض الاستصحابين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فيمكن</w:t>
      </w:r>
      <w:r>
        <w:rPr>
          <w:rStyle w:val="FootnoteAnchor"/>
          <w:rtl w:val="true"/>
        </w:rPr>
        <w:footnoteReference w:id="2439"/>
      </w:r>
      <w:r>
        <w:rPr>
          <w:rFonts w:ascii="Amiri" w:hAnsi="Amiri" w:eastAsia="Amiri" w:cs="Amiri"/>
          <w:color w:val="111111"/>
          <w:sz w:val="28"/>
          <w:sz w:val="28"/>
          <w:szCs w:val="28"/>
          <w:rtl w:val="true"/>
          <w:lang w:bidi="ar-SA"/>
        </w:rPr>
        <w:t>التفصيل في الشك في الحادث بأن المتوجه إلى المكلّف إن كان</w:t>
      </w:r>
      <w:r>
        <w:rPr>
          <w:rStyle w:val="FootnoteAnchor"/>
          <w:rtl w:val="true"/>
        </w:rPr>
        <w:footnoteReference w:id="2440"/>
      </w:r>
      <w:r>
        <w:rPr>
          <w:rFonts w:ascii="Amiri" w:hAnsi="Amiri" w:eastAsia="Amiri" w:cs="Amiri"/>
          <w:color w:val="111111"/>
          <w:sz w:val="28"/>
          <w:sz w:val="28"/>
          <w:szCs w:val="28"/>
          <w:rtl w:val="true"/>
          <w:lang w:bidi="ar-SA"/>
        </w:rPr>
        <w:t>أصلاً واحداً، كما في الثوبين اللذين كل منهما لشخص غير الآخر، فالعمل بالأصل مطلقاً، وإن كان المرجّح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أصلين متوافقين نوعاً من حيث المستصحب، فالعمل بالعلم الإجمالي، وطرح الأصل، سواء كانا</w:t>
      </w:r>
      <w:r>
        <w:rPr>
          <w:rStyle w:val="FootnoteAnchor"/>
          <w:rtl w:val="true"/>
        </w:rPr>
        <w:footnoteReference w:id="2441"/>
      </w:r>
      <w:r>
        <w:rPr>
          <w:rFonts w:ascii="Amiri" w:hAnsi="Amiri" w:eastAsia="Amiri" w:cs="Amiri"/>
          <w:color w:val="111111"/>
          <w:sz w:val="28"/>
          <w:sz w:val="28"/>
          <w:szCs w:val="28"/>
          <w:rtl w:val="true"/>
          <w:lang w:bidi="ar-SA"/>
        </w:rPr>
        <w:t>موضوعيين، أم حكميين، أم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أصلين متخالفين، فالعمل بالأصل والعلم الإجمالي معاً، فيرجع إلى المرجحات ويؤخذ بالأرجح، والا فالطرح أو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الموضوع المستنبط، فيظهر منهم طرح الأصلين وإن وجد مرجح لأحد الطرفين، والمحصّل ان المعيار طريقة أرباب العقول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وانتظر لمزيد البيان في باب تعارض الاستصحابين</w:t>
      </w:r>
      <w:r>
        <w:rPr>
          <w:rFonts w:eastAsia="Amiri" w:cs="Amiri" w:ascii="Amiri" w:hAnsi="Amiri"/>
          <w:color w:val="111111"/>
          <w:sz w:val="28"/>
          <w:szCs w:val="28"/>
          <w:rtl w:val="true"/>
          <w:lang w:bidi="ar-SA"/>
        </w:rPr>
        <w:t xml:space="preserve">. </w:t>
      </w:r>
      <w:bookmarkStart w:id="737" w:name="pg9015_97792"/>
    </w:p>
    <w:p>
      <w:pPr>
        <w:pStyle w:val="Heading2"/>
        <w:numPr>
          <w:ilvl w:val="1"/>
          <w:numId w:val="1"/>
        </w:numPr>
        <w:rPr/>
      </w:pPr>
      <w:bookmarkStart w:id="738" w:name="__RefHeading___Toc2001859_2870459653"/>
      <w:bookmarkStart w:id="739" w:name="_Toc279"/>
      <w:bookmarkEnd w:id="737"/>
      <w:bookmarkEnd w:id="738"/>
      <w:r>
        <w:rPr>
          <w:rtl w:val="true"/>
        </w:rPr>
        <w:t xml:space="preserve">أصل </w:t>
      </w:r>
      <w:r>
        <w:rPr>
          <w:rtl w:val="true"/>
        </w:rPr>
        <w:t>[</w:t>
      </w:r>
      <w:r>
        <w:rPr>
          <w:rtl w:val="true"/>
        </w:rPr>
        <w:t>في الاستصحاب في الموضوع المستنبط</w:t>
      </w:r>
      <w:r>
        <w:rPr>
          <w:rtl w:val="true"/>
        </w:rPr>
        <w:t>]</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الاستصحاب في الموضوع المستنبط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الاستصحاب في الموضوع المستنبط حجة</w:t>
      </w:r>
      <w:r>
        <w:rPr>
          <w:rStyle w:val="FootnoteAnchor"/>
          <w:rtl w:val="true"/>
        </w:rPr>
        <w:footnoteReference w:id="2443"/>
      </w:r>
      <w:r>
        <w:rPr>
          <w:rFonts w:ascii="Amiri" w:hAnsi="Amiri" w:eastAsia="Amiri" w:cs="Amiri"/>
          <w:color w:val="111111"/>
          <w:sz w:val="28"/>
          <w:sz w:val="28"/>
          <w:szCs w:val="28"/>
          <w:rtl w:val="true"/>
          <w:lang w:bidi="ar-SA"/>
        </w:rPr>
        <w:t>، وإن لم يكن عدمياً، ولا منضماً إليه، وإن لم نجد مثاله؛ وذلك لطريقة أهل العقول وفي انصراف النصوص إليه تأمل؛ لبعد ارتباطه بالأحكام</w:t>
      </w:r>
      <w:r>
        <w:rPr>
          <w:rStyle w:val="FootnoteAnchor"/>
          <w:rtl w:val="true"/>
        </w:rPr>
        <w:footnoteReference w:id="2444"/>
      </w:r>
      <w:r>
        <w:rPr>
          <w:rFonts w:ascii="IRNazanin" w:hAnsi="IRNazanin" w:eastAsia="IRNazanin"/>
          <w:color w:val="111111"/>
          <w:sz w:val="28"/>
          <w:sz w:val="28"/>
          <w:szCs w:val="28"/>
          <w:rtl w:val="true"/>
          <w:lang w:bidi="fa-IR"/>
        </w:rPr>
        <w:t>بخلاف الصرف</w:t>
      </w:r>
      <w:r>
        <w:rPr>
          <w:rFonts w:eastAsia="IRNazanin" w:cs="IRNazanin"/>
          <w:color w:val="111111"/>
          <w:sz w:val="28"/>
          <w:szCs w:val="28"/>
          <w:rtl w:val="true"/>
          <w:lang w:bidi="fa-IR"/>
        </w:rPr>
        <w:t>.</w:t>
      </w:r>
      <w:r>
        <w:rPr>
          <w:rStyle w:val="FootnoteAnchor"/>
          <w:rtl w:val="true"/>
        </w:rPr>
        <w:footnoteReference w:id="2445"/>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حجيته فيه من باب الظن الخاص، أو المطلق</w:t>
      </w:r>
      <w:r>
        <w:rPr>
          <w:rStyle w:val="FootnoteAnchor"/>
          <w:rtl w:val="true"/>
        </w:rPr>
        <w:footnoteReference w:id="2446"/>
      </w:r>
      <w:r>
        <w:rPr>
          <w:rFonts w:ascii="Amiri" w:hAnsi="Amiri" w:eastAsia="Amiri" w:cs="Amiri"/>
          <w:color w:val="111111"/>
          <w:sz w:val="28"/>
          <w:sz w:val="28"/>
          <w:szCs w:val="28"/>
          <w:rtl w:val="true"/>
          <w:lang w:bidi="ar-SA"/>
        </w:rPr>
        <w:t>، أو السببية المطلقة، أو المقيدة</w:t>
      </w:r>
      <w:r>
        <w:rPr>
          <w:rStyle w:val="FootnoteAnchor"/>
          <w:rtl w:val="true"/>
        </w:rPr>
        <w:footnoteReference w:id="2447"/>
      </w:r>
      <w:r>
        <w:rPr>
          <w:rFonts w:ascii="Amiri" w:hAnsi="Amiri" w:eastAsia="Amiri" w:cs="Amiri"/>
          <w:color w:val="111111"/>
          <w:sz w:val="28"/>
          <w:sz w:val="28"/>
          <w:szCs w:val="28"/>
          <w:rtl w:val="true"/>
          <w:lang w:bidi="ar-SA"/>
        </w:rPr>
        <w:t xml:space="preserve">، أو التفصيل بين ما إذا تعلق الاستصحاب بالوضع، كأصل عدم الوضع </w:t>
      </w:r>
    </w:p>
    <w:p>
      <w:pPr>
        <w:pStyle w:val="BookText"/>
        <w:rPr/>
      </w:pPr>
      <w:r>
        <w:rPr>
          <w:rFonts w:ascii="Amiri" w:hAnsi="Amiri" w:eastAsia="Amiri" w:cs="Amiri"/>
          <w:color w:val="111111"/>
          <w:sz w:val="28"/>
          <w:sz w:val="28"/>
          <w:szCs w:val="28"/>
          <w:rtl w:val="true"/>
          <w:lang w:bidi="ar-SA"/>
        </w:rPr>
        <w:t xml:space="preserve">والنقل والاشتراك </w:t>
      </w:r>
      <w:r>
        <w:rPr>
          <w:rStyle w:val="FootnoteAnchor"/>
          <w:rtl w:val="true"/>
        </w:rPr>
        <w:footnoteReference w:id="2448"/>
      </w:r>
      <w:r>
        <w:rPr>
          <w:rFonts w:ascii="Amiri" w:hAnsi="Amiri" w:eastAsia="Amiri" w:cs="Amiri"/>
          <w:color w:val="111111"/>
          <w:sz w:val="28"/>
          <w:sz w:val="28"/>
          <w:szCs w:val="28"/>
          <w:rtl w:val="true"/>
          <w:lang w:bidi="ar-SA"/>
        </w:rPr>
        <w:t>، أو بالمراد كاصل عدم القرينة والتخصيص والتقييد</w:t>
      </w:r>
      <w:r>
        <w:rPr>
          <w:rStyle w:val="FootnoteAnchor"/>
          <w:rtl w:val="true"/>
        </w:rPr>
        <w:footnoteReference w:id="2449"/>
      </w:r>
      <w:r>
        <w:rPr>
          <w:rFonts w:ascii="Amiri" w:hAnsi="Amiri" w:eastAsia="Amiri" w:cs="Amiri"/>
          <w:color w:val="111111"/>
          <w:sz w:val="28"/>
          <w:sz w:val="28"/>
          <w:szCs w:val="28"/>
          <w:rtl w:val="true"/>
          <w:lang w:bidi="ar-SA"/>
        </w:rPr>
        <w:t>، أو بنفس الموضوع كأصل عدم السقط، وجوه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حجيته في الأحكام والموضوعات من باب السببية المطلقة، إلى أن يجيء دليل معتبر على الخلاف لدلالة النصوص</w:t>
      </w:r>
      <w:r>
        <w:rPr>
          <w:rStyle w:val="FootnoteAnchor"/>
          <w:rtl w:val="true"/>
        </w:rPr>
        <w:footnoteReference w:id="2450"/>
      </w:r>
      <w:r>
        <w:rPr>
          <w:rFonts w:ascii="Amiri" w:hAnsi="Amiri" w:eastAsia="Amiri" w:cs="Amiri"/>
          <w:color w:val="111111"/>
          <w:sz w:val="28"/>
          <w:sz w:val="28"/>
          <w:szCs w:val="28"/>
          <w:rtl w:val="true"/>
          <w:lang w:bidi="ar-SA"/>
        </w:rPr>
        <w:t>، فإن المراد من الشك فيها</w:t>
      </w:r>
      <w:r>
        <w:rPr>
          <w:rStyle w:val="FootnoteAnchor"/>
          <w:rtl w:val="true"/>
        </w:rPr>
        <w:footnoteReference w:id="2451"/>
      </w:r>
      <w:r>
        <w:rPr>
          <w:rFonts w:ascii="Amiri" w:hAnsi="Amiri" w:eastAsia="Amiri" w:cs="Amiri"/>
          <w:color w:val="111111"/>
          <w:sz w:val="28"/>
          <w:sz w:val="28"/>
          <w:szCs w:val="28"/>
          <w:rtl w:val="true"/>
          <w:lang w:bidi="ar-SA"/>
        </w:rPr>
        <w:t xml:space="preserve">مطلق الاحتمال بقرينة السّياق </w:t>
      </w:r>
      <w:r>
        <w:rPr>
          <w:rStyle w:val="FootnoteAnchor"/>
          <w:rtl w:val="true"/>
        </w:rPr>
        <w:footnoteReference w:id="2452"/>
      </w:r>
      <w:r>
        <w:rPr>
          <w:rFonts w:ascii="Amiri" w:hAnsi="Amiri" w:eastAsia="Amiri" w:cs="Amiri"/>
          <w:color w:val="111111"/>
          <w:sz w:val="28"/>
          <w:sz w:val="28"/>
          <w:szCs w:val="28"/>
          <w:rtl w:val="true"/>
          <w:lang w:bidi="ar-SA"/>
        </w:rPr>
        <w:t>، بل هو معناه لغة</w:t>
      </w:r>
      <w:r>
        <w:rPr>
          <w:rStyle w:val="FootnoteAnchor"/>
          <w:rtl w:val="true"/>
        </w:rPr>
        <w:footnoteReference w:id="2453"/>
      </w:r>
      <w:r>
        <w:rPr>
          <w:rFonts w:ascii="Amiri" w:hAnsi="Amiri" w:eastAsia="Amiri" w:cs="Amiri"/>
          <w:color w:val="111111"/>
          <w:sz w:val="28"/>
          <w:sz w:val="28"/>
          <w:szCs w:val="28"/>
          <w:rtl w:val="true"/>
          <w:lang w:bidi="ar-SA"/>
        </w:rPr>
        <w:t>، مضافاً إلى بناء العقلاء في الجملة</w:t>
      </w:r>
      <w:r>
        <w:rPr>
          <w:rFonts w:eastAsia="Amiri" w:cs="Amiri" w:ascii="Amiri" w:hAnsi="Amiri"/>
          <w:color w:val="111111"/>
          <w:sz w:val="28"/>
          <w:szCs w:val="28"/>
          <w:rtl w:val="true"/>
          <w:lang w:bidi="ar-SA"/>
        </w:rPr>
        <w:t xml:space="preserve">. </w:t>
      </w:r>
      <w:bookmarkStart w:id="740" w:name="pg9015_97796"/>
    </w:p>
    <w:p>
      <w:pPr>
        <w:pStyle w:val="Heading2"/>
        <w:numPr>
          <w:ilvl w:val="1"/>
          <w:numId w:val="1"/>
        </w:numPr>
        <w:rPr/>
      </w:pPr>
      <w:bookmarkStart w:id="741" w:name="__RefHeading___Toc2001861_2870459653"/>
      <w:bookmarkStart w:id="742" w:name="_Toc280"/>
      <w:bookmarkEnd w:id="740"/>
      <w:bookmarkEnd w:id="741"/>
      <w:r>
        <w:rPr>
          <w:rtl w:val="true"/>
        </w:rPr>
        <w:t xml:space="preserve">أصل </w:t>
      </w:r>
      <w:r>
        <w:rPr>
          <w:rtl w:val="true"/>
        </w:rPr>
        <w:t>[</w:t>
      </w:r>
      <w:r>
        <w:rPr>
          <w:rtl w:val="true"/>
        </w:rPr>
        <w:t>في الأصول العملية اللفظية</w:t>
      </w:r>
      <w:r>
        <w:rPr>
          <w:rtl w:val="true"/>
        </w:rPr>
        <w:t>]</w:t>
      </w:r>
      <w:bookmarkEnd w:id="742"/>
    </w:p>
    <w:p>
      <w:pPr>
        <w:pStyle w:val="Heading3"/>
        <w:numPr>
          <w:ilvl w:val="2"/>
          <w:numId w:val="1"/>
        </w:numPr>
        <w:rPr/>
      </w:pPr>
      <w:bookmarkStart w:id="743" w:name="__RefHeading___Toc2001863_2870459653"/>
      <w:bookmarkStart w:id="744" w:name="_Toc281"/>
      <w:bookmarkEnd w:id="743"/>
      <w:r>
        <w:rPr>
          <w:rtl w:val="true"/>
        </w:rPr>
        <w:t>[</w:t>
      </w:r>
      <w:r>
        <w:rPr>
          <w:rtl w:val="true"/>
        </w:rPr>
        <w:t>تحرير محل النزاع</w:t>
      </w:r>
      <w:r>
        <w:rPr>
          <w:rtl w:val="true"/>
        </w:rPr>
        <w:t>]</w:t>
      </w:r>
      <w:bookmarkEnd w:id="744"/>
    </w:p>
    <w:p>
      <w:pPr>
        <w:pStyle w:val="BookText"/>
        <w:rPr/>
      </w:pPr>
      <w:r>
        <w:rPr>
          <w:rFonts w:ascii="Amiri" w:hAnsi="Amiri" w:eastAsia="Amiri" w:cs="Amiri"/>
          <w:color w:val="111111"/>
          <w:sz w:val="28"/>
          <w:sz w:val="28"/>
          <w:szCs w:val="28"/>
          <w:rtl w:val="true"/>
          <w:lang w:bidi="ar-SA"/>
        </w:rPr>
        <w:t>قد يتمسك في إثبات ماهيّة العبادة المركبة بأصالة الإطلاق، أو قاعدة البراءة عن الجزء المشكوك، أو أصالة عدم الوجوب، أو عدم الشرطية</w:t>
      </w:r>
      <w:r>
        <w:rPr>
          <w:rStyle w:val="FootnoteAnchor"/>
          <w:rtl w:val="true"/>
        </w:rPr>
        <w:footnoteReference w:id="2454"/>
      </w:r>
      <w:r>
        <w:rPr>
          <w:rFonts w:ascii="Amiri" w:hAnsi="Amiri" w:eastAsia="Amiri" w:cs="Amiri"/>
          <w:color w:val="111111"/>
          <w:sz w:val="28"/>
          <w:sz w:val="28"/>
          <w:szCs w:val="28"/>
          <w:rtl w:val="true"/>
          <w:lang w:bidi="ar-SA"/>
        </w:rPr>
        <w:t>والجزئية، أو عدم الدليل، أو استصحاب الصحة، ومحل الكلام هنا الأخير</w:t>
      </w:r>
      <w:r>
        <w:rPr>
          <w:rFonts w:eastAsia="Amiri" w:cs="Amiri" w:ascii="Amiri" w:hAnsi="Amiri"/>
          <w:color w:val="111111"/>
          <w:sz w:val="28"/>
          <w:szCs w:val="28"/>
          <w:rtl w:val="true"/>
          <w:lang w:bidi="ar-SA"/>
        </w:rPr>
        <w:t>.</w:t>
      </w:r>
    </w:p>
    <w:p>
      <w:pPr>
        <w:pStyle w:val="Heading2"/>
        <w:numPr>
          <w:ilvl w:val="1"/>
          <w:numId w:val="1"/>
        </w:numPr>
        <w:rPr/>
      </w:pPr>
      <w:bookmarkStart w:id="745" w:name="__RefHeading___Toc2001865_2870459653"/>
      <w:bookmarkStart w:id="746" w:name="_Toc282"/>
      <w:bookmarkEnd w:id="745"/>
      <w:r>
        <w:rPr>
          <w:rtl w:val="true"/>
        </w:rPr>
        <w:t>[</w:t>
      </w:r>
      <w:r>
        <w:rPr>
          <w:rtl w:val="true"/>
        </w:rPr>
        <w:t>المختار في المسألة</w:t>
      </w:r>
      <w:r>
        <w:rPr>
          <w:rtl w:val="true"/>
        </w:rPr>
        <w:t>]</w:t>
      </w:r>
      <w:bookmarkEnd w:id="746"/>
    </w:p>
    <w:p>
      <w:pPr>
        <w:pStyle w:val="BookText"/>
        <w:rPr/>
      </w:pPr>
      <w:r>
        <w:rPr>
          <w:rFonts w:ascii="Amiri" w:hAnsi="Amiri" w:eastAsia="Amiri" w:cs="Amiri"/>
          <w:color w:val="111111"/>
          <w:sz w:val="28"/>
          <w:sz w:val="28"/>
          <w:szCs w:val="28"/>
          <w:rtl w:val="true"/>
          <w:lang w:bidi="ar-SA"/>
        </w:rPr>
        <w:t xml:space="preserve">والحق عدم جريانه فيها، سواء كان المشكوك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بدوياً كالنية، أم اثنائياً كالسورة، كان الشك</w:t>
      </w:r>
      <w:r>
        <w:rPr>
          <w:rFonts w:eastAsia="Amiri" w:cs="Amiri" w:ascii="Amiri" w:hAnsi="Amiri"/>
          <w:color w:val="111111"/>
          <w:sz w:val="28"/>
          <w:szCs w:val="28"/>
          <w:rtl w:val="true"/>
          <w:lang w:bidi="ar-SA"/>
        </w:rPr>
        <w:t>)</w:t>
      </w:r>
      <w:r>
        <w:rPr>
          <w:rStyle w:val="FootnoteAnchor"/>
          <w:rtl w:val="true"/>
        </w:rPr>
        <w:footnoteReference w:id="2455"/>
      </w:r>
      <w:r>
        <w:rPr>
          <w:rFonts w:ascii="Amiri" w:hAnsi="Amiri" w:eastAsia="Amiri" w:cs="Amiri"/>
          <w:color w:val="111111"/>
          <w:sz w:val="28"/>
          <w:sz w:val="28"/>
          <w:szCs w:val="28"/>
          <w:rtl w:val="true"/>
          <w:lang w:bidi="ar-SA"/>
        </w:rPr>
        <w:t>بدوياً أم اثنائياً، مقصراً كان الشاك أم قاصراً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للزوم الدور</w:t>
      </w:r>
      <w:r>
        <w:rPr>
          <w:rStyle w:val="FootnoteAnchor"/>
          <w:rtl w:val="true"/>
        </w:rPr>
        <w:footnoteReference w:id="2456"/>
      </w:r>
      <w:r>
        <w:rPr>
          <w:rStyle w:val="FootnoteAnchor"/>
          <w:rtl w:val="true"/>
        </w:rPr>
        <w:footnoteReference w:id="2457"/>
      </w:r>
      <w:r>
        <w:rPr>
          <w:rFonts w:ascii="IRNazanin" w:hAnsi="IRNazanin" w:eastAsia="IRNazanin"/>
          <w:color w:val="111111"/>
          <w:sz w:val="28"/>
          <w:sz w:val="28"/>
          <w:szCs w:val="28"/>
          <w:rtl w:val="true"/>
          <w:lang w:bidi="fa-IR"/>
        </w:rPr>
        <w:t>، أو</w:t>
      </w:r>
      <w:r>
        <w:rPr>
          <w:rStyle w:val="FootnoteAnchor"/>
          <w:rtl w:val="true"/>
        </w:rPr>
        <w:footnoteReference w:id="2458"/>
      </w:r>
      <w:r>
        <w:rPr>
          <w:rFonts w:ascii="IRNazanin" w:hAnsi="IRNazanin" w:eastAsia="IRNazanin"/>
          <w:color w:val="111111"/>
          <w:sz w:val="28"/>
          <w:sz w:val="28"/>
          <w:szCs w:val="28"/>
          <w:rtl w:val="true"/>
          <w:lang w:bidi="fa-IR"/>
        </w:rPr>
        <w:t>العمل بالأصل قبل الفحص</w:t>
      </w:r>
      <w:r>
        <w:rPr>
          <w:rStyle w:val="FootnoteAnchor"/>
          <w:rtl w:val="true"/>
        </w:rPr>
        <w:footnoteReference w:id="2459"/>
      </w:r>
      <w:r>
        <w:rPr>
          <w:rFonts w:ascii="Amiri" w:hAnsi="Amiri" w:eastAsia="Amiri" w:cs="Amiri"/>
          <w:color w:val="111111"/>
          <w:sz w:val="28"/>
          <w:sz w:val="28"/>
          <w:szCs w:val="28"/>
          <w:rtl w:val="true"/>
          <w:lang w:bidi="ar-SA"/>
        </w:rPr>
        <w:t>، أو فقد المستصحب اليقيني، أو لعدم الدليل على الاعتبار</w:t>
      </w:r>
      <w:r>
        <w:rPr>
          <w:rStyle w:val="FootnoteAnchor"/>
          <w:rtl w:val="true"/>
        </w:rPr>
        <w:footnoteReference w:id="2460"/>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إثبات ماهيات مداليل الألفاظ، كأصالة عدم ملاحظة الواضع الجزء </w:t>
      </w:r>
    </w:p>
    <w:p>
      <w:pPr>
        <w:pStyle w:val="BookText"/>
        <w:rPr/>
      </w:pPr>
      <w:r>
        <w:rPr>
          <w:rFonts w:ascii="Amiri" w:hAnsi="Amiri" w:eastAsia="Amiri" w:cs="Amiri"/>
          <w:color w:val="111111"/>
          <w:sz w:val="28"/>
          <w:sz w:val="28"/>
          <w:szCs w:val="28"/>
          <w:rtl w:val="true"/>
          <w:lang w:bidi="ar-SA"/>
        </w:rPr>
        <w:t>المشكوك، وإن ظهر من القمي خلافه</w:t>
      </w:r>
      <w:r>
        <w:rPr>
          <w:rStyle w:val="FootnoteAnchor"/>
          <w:rtl w:val="true"/>
        </w:rPr>
        <w:footnoteReference w:id="2461"/>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 الشك في الحادث، أو لعدم الدليل على الاعتبار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في إثبات حكم المركب الجزئه بعد فقده، باستصحاب حكم نفس المركب، عقلياً كان التركيب أم خارجيّاً ، أمّا الأول فلانتفاء الجنس بذهاب فصله، فلا مستصحب</w:t>
      </w:r>
      <w:r>
        <w:rPr>
          <w:rStyle w:val="FootnoteAnchor"/>
          <w:rtl w:val="true"/>
        </w:rPr>
        <w:footnoteReference w:id="2462"/>
      </w:r>
      <w:r>
        <w:rPr>
          <w:rFonts w:ascii="Amiri" w:hAnsi="Amiri" w:eastAsia="Amiri" w:cs="Amiri"/>
          <w:color w:val="111111"/>
          <w:sz w:val="28"/>
          <w:sz w:val="28"/>
          <w:szCs w:val="28"/>
          <w:rtl w:val="true"/>
          <w:lang w:bidi="ar-SA"/>
        </w:rPr>
        <w:t>، وأمّا الثاني فلكون استصحابه عرضياً</w:t>
      </w:r>
      <w:r>
        <w:rPr>
          <w:rFonts w:eastAsia="Amiri" w:cs="Amiri" w:ascii="Amiri" w:hAnsi="Amiri"/>
          <w:color w:val="111111"/>
          <w:sz w:val="28"/>
          <w:szCs w:val="28"/>
          <w:rtl w:val="true"/>
          <w:lang w:bidi="ar-SA"/>
        </w:rPr>
        <w:t>.</w:t>
      </w:r>
      <w:r>
        <w:rPr>
          <w:rStyle w:val="FootnoteAnchor"/>
          <w:rtl w:val="true"/>
        </w:rPr>
        <w:footnoteReference w:id="2463"/>
      </w:r>
      <w:bookmarkStart w:id="747" w:name="pg9015_97800"/>
    </w:p>
    <w:p>
      <w:pPr>
        <w:pStyle w:val="Heading2"/>
        <w:numPr>
          <w:ilvl w:val="1"/>
          <w:numId w:val="1"/>
        </w:numPr>
        <w:rPr/>
      </w:pPr>
      <w:bookmarkStart w:id="748" w:name="__RefHeading___Toc2001867_2870459653"/>
      <w:bookmarkStart w:id="749" w:name="_Toc283"/>
      <w:bookmarkEnd w:id="747"/>
      <w:bookmarkEnd w:id="748"/>
      <w:r>
        <w:rPr>
          <w:rtl w:val="true"/>
        </w:rPr>
        <w:t xml:space="preserve">أصل </w:t>
      </w:r>
      <w:r>
        <w:rPr>
          <w:rtl w:val="true"/>
        </w:rPr>
        <w:t>[</w:t>
      </w:r>
      <w:r>
        <w:rPr>
          <w:rtl w:val="true"/>
        </w:rPr>
        <w:t>في الاستصحاب في التوابع واللوازم</w:t>
      </w:r>
      <w:r>
        <w:rPr>
          <w:rtl w:val="true"/>
        </w:rPr>
        <w:t>]</w:t>
      </w:r>
      <w:bookmarkEnd w:id="74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يستلزم لازم الحادث حدوثاً غير حدوث الملزوم، كالزوجية للأربعة، لم يجر الاستصحاب في ذلك اللازم</w:t>
      </w:r>
      <w:r>
        <w:rPr>
          <w:rStyle w:val="FootnoteAnchor"/>
          <w:rtl w:val="true"/>
        </w:rPr>
        <w:footnoteReference w:id="2464"/>
      </w:r>
      <w:r>
        <w:rPr>
          <w:rFonts w:ascii="IRNazanin" w:hAnsi="IRNazanin" w:eastAsia="IRNazanin"/>
          <w:color w:val="111111"/>
          <w:sz w:val="28"/>
          <w:sz w:val="28"/>
          <w:szCs w:val="28"/>
          <w:rtl w:val="true"/>
          <w:lang w:bidi="fa-IR"/>
        </w:rPr>
        <w:t>، وإن استلزم حدوثاً غير حدوث ملزومه، بأن لا يكونا متحدي الوجود، جری</w:t>
      </w:r>
      <w:r>
        <w:rPr>
          <w:rStyle w:val="FootnoteAnchor"/>
          <w:rtl w:val="true"/>
        </w:rPr>
        <w:footnoteReference w:id="2465"/>
      </w:r>
      <w:r>
        <w:rPr>
          <w:rFonts w:ascii="Amiri" w:hAnsi="Amiri" w:eastAsia="Amiri" w:cs="Amiri"/>
          <w:color w:val="111111"/>
          <w:sz w:val="28"/>
          <w:sz w:val="28"/>
          <w:szCs w:val="28"/>
          <w:rtl w:val="true"/>
          <w:lang w:bidi="ar-SA"/>
        </w:rPr>
        <w:t>فيه الاستصحاب، سواء كان اللزوم عقلياً، أم عادياً، أم شرعياً؛ لبناء العقلاء، ولأن مرجع الشك حينئذ إلى الشك في المانعية، وقد مرَّ جريانه فيه بأقسامه، فلو أصاب ثوبه مائع لا يعلم أنه ماء أم ،بول، استصحب طهارة ثوبه، وإن لم يحكم بأن المائع ماء، بل الأمر من</w:t>
      </w:r>
      <w:r>
        <w:rPr>
          <w:rStyle w:val="FootnoteAnchor"/>
          <w:rtl w:val="true"/>
        </w:rPr>
        <w:footnoteReference w:id="2466"/>
      </w:r>
      <w:r>
        <w:rPr>
          <w:rFonts w:ascii="Amiri" w:hAnsi="Amiri" w:eastAsia="Amiri" w:cs="Amiri"/>
          <w:color w:val="111111"/>
          <w:sz w:val="28"/>
          <w:sz w:val="28"/>
          <w:szCs w:val="28"/>
          <w:rtl w:val="true"/>
          <w:lang w:bidi="ar-SA"/>
        </w:rPr>
        <w:t>تلك الجهة يدور مدار الأصول الفقاهتية</w:t>
      </w:r>
      <w:r>
        <w:rPr>
          <w:rFonts w:eastAsia="Amiri" w:cs="Amiri" w:ascii="Amiri" w:hAnsi="Amiri"/>
          <w:color w:val="111111"/>
          <w:sz w:val="28"/>
          <w:szCs w:val="28"/>
          <w:rtl w:val="true"/>
          <w:lang w:bidi="ar-SA"/>
        </w:rPr>
        <w:t xml:space="preserve">. </w:t>
      </w:r>
      <w:bookmarkStart w:id="750" w:name="pg9015_97802"/>
    </w:p>
    <w:p>
      <w:pPr>
        <w:pStyle w:val="Heading2"/>
        <w:numPr>
          <w:ilvl w:val="1"/>
          <w:numId w:val="1"/>
        </w:numPr>
        <w:rPr/>
      </w:pPr>
      <w:bookmarkStart w:id="751" w:name="__RefHeading___Toc2001869_2870459653"/>
      <w:bookmarkStart w:id="752" w:name="_Toc284"/>
      <w:bookmarkEnd w:id="750"/>
      <w:bookmarkEnd w:id="751"/>
      <w:r>
        <w:rPr>
          <w:rtl w:val="true"/>
        </w:rPr>
        <w:t xml:space="preserve">أصل </w:t>
      </w:r>
      <w:r>
        <w:rPr>
          <w:rtl w:val="true"/>
        </w:rPr>
        <w:t>[</w:t>
      </w:r>
      <w:r>
        <w:rPr>
          <w:rtl w:val="true"/>
        </w:rPr>
        <w:t>في مجرى أصالة تأخر الحادث</w:t>
      </w:r>
      <w:r>
        <w:rPr>
          <w:rtl w:val="true"/>
        </w:rPr>
        <w:t>]</w:t>
      </w:r>
      <w:bookmarkEnd w:id="752"/>
    </w:p>
    <w:p>
      <w:pPr>
        <w:pStyle w:val="Heading3"/>
        <w:numPr>
          <w:ilvl w:val="2"/>
          <w:numId w:val="1"/>
        </w:numPr>
        <w:rPr/>
      </w:pPr>
      <w:bookmarkStart w:id="753" w:name="__RefHeading___Toc2001871_2870459653"/>
      <w:bookmarkStart w:id="754" w:name="_Toc285"/>
      <w:bookmarkEnd w:id="753"/>
      <w:r>
        <w:rPr>
          <w:rtl w:val="true"/>
        </w:rPr>
        <w:t>[</w:t>
      </w:r>
      <w:r>
        <w:rPr>
          <w:rtl w:val="true"/>
        </w:rPr>
        <w:t>تحرير محل النزاع</w:t>
      </w:r>
      <w:r>
        <w:rPr>
          <w:rtl w:val="true"/>
        </w:rPr>
        <w:t>]</w:t>
      </w:r>
      <w:bookmarkEnd w:id="754"/>
    </w:p>
    <w:p>
      <w:pPr>
        <w:pStyle w:val="BookText"/>
        <w:rPr/>
      </w:pPr>
      <w:r>
        <w:rPr>
          <w:rFonts w:ascii="Amiri" w:hAnsi="Amiri" w:eastAsia="Amiri" w:cs="Amiri"/>
          <w:color w:val="111111"/>
          <w:sz w:val="28"/>
          <w:sz w:val="28"/>
          <w:szCs w:val="28"/>
          <w:rtl w:val="true"/>
          <w:lang w:bidi="ar-SA"/>
        </w:rPr>
        <w:t>مجرى أصالة تأخر الحادث فيما قطع بحدوث حادث وشك في مبدأ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يتوهم</w:t>
      </w:r>
      <w:r>
        <w:rPr>
          <w:rStyle w:val="FootnoteAnchor"/>
          <w:rtl w:val="true"/>
        </w:rPr>
        <w:footnoteReference w:id="2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ثبت للفظ معنى في العرف العام وشك في اتحاده مع المعنى اللغوي، فأصالة عدم النقل معارضة بأصالة تأخر المعنى العرفي عن زمن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علم للفظ معنى في العرف العام، فإن علم أنه كان له معنى في اللغة أيضاً، وشك في اتحادهما، فأصل عدم النقل لا معارض له؛ إذ النقل حينئذ يستلزم حوادث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الوضعان للمعنيين وهجر الأول</w:t>
      </w:r>
      <w:r>
        <w:rPr>
          <w:rFonts w:eastAsia="Amiri" w:cs="Amiri" w:ascii="Amiri" w:hAnsi="Amiri"/>
          <w:color w:val="111111"/>
          <w:sz w:val="28"/>
          <w:szCs w:val="28"/>
          <w:rtl w:val="true"/>
          <w:lang w:bidi="ar-SA"/>
        </w:rPr>
        <w:t>.</w:t>
      </w:r>
      <w:r>
        <w:rPr>
          <w:rStyle w:val="FootnoteAnchor"/>
          <w:rtl w:val="true"/>
        </w:rPr>
        <w:footnoteReference w:id="2468"/>
      </w:r>
    </w:p>
    <w:p>
      <w:pPr>
        <w:pStyle w:val="BookText"/>
        <w:rPr/>
      </w:pPr>
      <w:r>
        <w:rPr>
          <w:rFonts w:ascii="Amiri" w:hAnsi="Amiri" w:eastAsia="Amiri" w:cs="Amiri"/>
          <w:color w:val="111111"/>
          <w:sz w:val="28"/>
          <w:sz w:val="28"/>
          <w:szCs w:val="28"/>
          <w:rtl w:val="true"/>
          <w:lang w:bidi="ar-SA"/>
        </w:rPr>
        <w:t>وأما أصل عدم تقدم هذا المعنى العرفي، فمعارض بأصل عدم تقدم معنى آخر</w:t>
      </w:r>
      <w:r>
        <w:rPr>
          <w:rFonts w:eastAsia="Amiri" w:cs="Amiri" w:ascii="Amiri" w:hAnsi="Amiri"/>
          <w:color w:val="111111"/>
          <w:sz w:val="28"/>
          <w:szCs w:val="28"/>
          <w:rtl w:val="true"/>
          <w:lang w:bidi="ar-SA"/>
        </w:rPr>
        <w:t>.</w:t>
      </w:r>
      <w:r>
        <w:rPr>
          <w:rStyle w:val="FootnoteAnchor"/>
          <w:rtl w:val="true"/>
        </w:rPr>
        <w:footnoteReference w:id="2469"/>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علم أنه كان له معنى في اللغة غير هذا المعنى العرفي</w:t>
      </w:r>
      <w:r>
        <w:rPr>
          <w:rFonts w:eastAsia="Amiri" w:cs="Amiri" w:ascii="Amiri" w:hAnsi="Amiri"/>
          <w:color w:val="111111"/>
          <w:sz w:val="28"/>
          <w:szCs w:val="28"/>
          <w:rtl w:val="true"/>
          <w:lang w:bidi="ar-SA"/>
        </w:rPr>
        <w:t>)</w:t>
      </w:r>
      <w:r>
        <w:rPr>
          <w:rStyle w:val="FootnoteAnchor"/>
          <w:rtl w:val="true"/>
        </w:rPr>
        <w:footnoteReference w:id="2470"/>
      </w:r>
      <w:r>
        <w:rPr>
          <w:rFonts w:ascii="Amiri" w:hAnsi="Amiri" w:eastAsia="Amiri" w:cs="Amiri"/>
          <w:color w:val="111111"/>
          <w:sz w:val="28"/>
          <w:sz w:val="28"/>
          <w:szCs w:val="28"/>
          <w:rtl w:val="true"/>
          <w:lang w:bidi="ar-SA"/>
        </w:rPr>
        <w:t>، لكن احتمل اشتراكه في اللغة</w:t>
      </w:r>
      <w:r>
        <w:rPr>
          <w:rStyle w:val="FootnoteAnchor"/>
          <w:rtl w:val="true"/>
        </w:rPr>
        <w:footnoteReference w:id="2471"/>
      </w:r>
      <w:r>
        <w:rPr>
          <w:rFonts w:ascii="Amiri" w:hAnsi="Amiri" w:eastAsia="Amiri" w:cs="Amiri"/>
          <w:color w:val="111111"/>
          <w:sz w:val="28"/>
          <w:sz w:val="28"/>
          <w:szCs w:val="28"/>
          <w:rtl w:val="true"/>
          <w:lang w:bidi="ar-SA"/>
        </w:rPr>
        <w:t>بين المعنى</w:t>
      </w:r>
      <w:r>
        <w:rPr>
          <w:rStyle w:val="FootnoteAnchor"/>
          <w:rtl w:val="true"/>
        </w:rPr>
        <w:footnoteReference w:id="2472"/>
      </w:r>
      <w:r>
        <w:rPr>
          <w:rFonts w:ascii="Amiri" w:hAnsi="Amiri" w:eastAsia="Amiri" w:cs="Amiri"/>
          <w:color w:val="111111"/>
          <w:sz w:val="28"/>
          <w:sz w:val="28"/>
          <w:szCs w:val="28"/>
          <w:rtl w:val="true"/>
          <w:lang w:bidi="ar-SA"/>
        </w:rPr>
        <w:t xml:space="preserve">العرفي وذلك المعنى المهجور، فأصل تأخر الحادث حينئذ سليم عن المعارض معتضد بأصالة عدم الاشتراك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النقل </w:t>
      </w:r>
    </w:p>
    <w:p>
      <w:pPr>
        <w:pStyle w:val="BookText"/>
        <w:rPr/>
      </w:pPr>
      <w:r>
        <w:rPr>
          <w:rFonts w:ascii="Amiri" w:hAnsi="Amiri" w:eastAsia="Amiri" w:cs="Amiri"/>
          <w:color w:val="111111"/>
          <w:sz w:val="28"/>
          <w:sz w:val="28"/>
          <w:szCs w:val="28"/>
          <w:rtl w:val="true"/>
          <w:lang w:bidi="ar-SA"/>
        </w:rPr>
        <w:t>فمعلوم هنا لا يمكن نفيه بالأصل</w:t>
      </w:r>
      <w:r>
        <w:rPr>
          <w:rFonts w:eastAsia="Amiri" w:cs="Amiri" w:ascii="Amiri" w:hAnsi="Amiri"/>
          <w:color w:val="111111"/>
          <w:sz w:val="28"/>
          <w:szCs w:val="28"/>
          <w:rtl w:val="true"/>
          <w:lang w:bidi="ar-SA"/>
        </w:rPr>
        <w:t>.</w:t>
      </w:r>
      <w:r>
        <w:rPr>
          <w:rStyle w:val="FootnoteAnchor"/>
          <w:rtl w:val="true"/>
        </w:rPr>
        <w:footnoteReference w:id="2473"/>
      </w:r>
    </w:p>
    <w:p>
      <w:pPr>
        <w:pStyle w:val="BookText"/>
        <w:rPr/>
      </w:pPr>
      <w:r>
        <w:rPr>
          <w:rFonts w:ascii="Amiri" w:hAnsi="Amiri" w:eastAsia="Amiri" w:cs="Amiri"/>
          <w:color w:val="111111"/>
          <w:sz w:val="28"/>
          <w:sz w:val="28"/>
          <w:szCs w:val="28"/>
          <w:rtl w:val="true"/>
          <w:lang w:bidi="ar-SA"/>
        </w:rPr>
        <w:t>وإن شككنا في أن هذا اللفظ هل كان في اللغة</w:t>
      </w:r>
      <w:r>
        <w:rPr>
          <w:rFonts w:eastAsia="Amiri" w:cs="Amiri" w:ascii="Amiri" w:hAnsi="Amiri"/>
          <w:color w:val="111111"/>
          <w:sz w:val="28"/>
          <w:szCs w:val="28"/>
          <w:rtl w:val="true"/>
          <w:lang w:bidi="ar-SA"/>
        </w:rPr>
        <w:t>)</w:t>
      </w:r>
      <w:r>
        <w:rPr>
          <w:rStyle w:val="FootnoteAnchor"/>
          <w:rtl w:val="true"/>
        </w:rPr>
        <w:footnoteReference w:id="2474"/>
      </w:r>
      <w:r>
        <w:rPr>
          <w:rFonts w:ascii="Amiri" w:hAnsi="Amiri" w:eastAsia="Amiri" w:cs="Amiri"/>
          <w:color w:val="111111"/>
          <w:sz w:val="28"/>
          <w:sz w:val="28"/>
          <w:szCs w:val="28"/>
          <w:rtl w:val="true"/>
          <w:lang w:bidi="ar-SA"/>
        </w:rPr>
        <w:t>موضوعاً لمعنى أم لا، بل كان من الألفاظ المستحدثة، لكن نعلم</w:t>
      </w:r>
      <w:r>
        <w:rPr>
          <w:rStyle w:val="FootnoteAnchor"/>
          <w:rtl w:val="true"/>
        </w:rPr>
        <w:footnoteReference w:id="2475"/>
      </w:r>
      <w:r>
        <w:rPr>
          <w:rFonts w:ascii="IRNazanin" w:hAnsi="IRNazanin" w:eastAsia="IRNazanin"/>
          <w:color w:val="111111"/>
          <w:sz w:val="28"/>
          <w:sz w:val="28"/>
          <w:szCs w:val="28"/>
          <w:rtl w:val="true"/>
          <w:lang w:bidi="fa-IR"/>
        </w:rPr>
        <w:t>بأن المعنى</w:t>
      </w:r>
      <w:r>
        <w:rPr>
          <w:rStyle w:val="FootnoteAnchor"/>
          <w:rtl w:val="true"/>
        </w:rPr>
        <w:footnoteReference w:id="2476"/>
      </w:r>
      <w:r>
        <w:rPr>
          <w:rFonts w:ascii="Amiri" w:hAnsi="Amiri" w:eastAsia="Amiri" w:cs="Amiri"/>
          <w:color w:val="111111"/>
          <w:sz w:val="28"/>
          <w:sz w:val="28"/>
          <w:szCs w:val="28"/>
          <w:rtl w:val="true"/>
          <w:lang w:bidi="ar-SA"/>
        </w:rPr>
        <w:t xml:space="preserve">كان موجوداً فيها، وكان لفظ من الألفاظ موضوعاً بإزائه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هذا اللفظ، أو غيره ، حكمنا باتحاد اللغة والعرف؛ الأصالة عدم تعدد الوضع، وأصل تأخر الحادث معارض بمثله</w:t>
      </w:r>
      <w:r>
        <w:rPr>
          <w:rFonts w:eastAsia="Amiri" w:cs="Amiri" w:ascii="Amiri" w:hAnsi="Amiri"/>
          <w:color w:val="111111"/>
          <w:sz w:val="28"/>
          <w:szCs w:val="28"/>
          <w:rtl w:val="true"/>
          <w:lang w:bidi="ar-SA"/>
        </w:rPr>
        <w:t>.</w:t>
      </w:r>
      <w:r>
        <w:rPr>
          <w:rStyle w:val="FootnoteAnchor"/>
          <w:rtl w:val="true"/>
        </w:rPr>
        <w:footnoteReference w:id="2477"/>
      </w:r>
    </w:p>
    <w:p>
      <w:pPr>
        <w:pStyle w:val="BookText"/>
        <w:rPr/>
      </w:pPr>
      <w:r>
        <w:rPr>
          <w:rFonts w:ascii="Amiri" w:hAnsi="Amiri" w:eastAsia="Amiri" w:cs="Amiri"/>
          <w:color w:val="111111"/>
          <w:sz w:val="28"/>
          <w:sz w:val="28"/>
          <w:szCs w:val="28"/>
          <w:rtl w:val="true"/>
          <w:lang w:bidi="ar-SA"/>
        </w:rPr>
        <w:t xml:space="preserve">وإن شككنا في وجود </w:t>
      </w:r>
      <w:r>
        <w:rPr>
          <w:rStyle w:val="FootnoteAnchor"/>
          <w:rtl w:val="true"/>
        </w:rPr>
        <w:footnoteReference w:id="2478"/>
      </w:r>
      <w:r>
        <w:rPr>
          <w:rFonts w:ascii="Amiri" w:hAnsi="Amiri" w:eastAsia="Amiri" w:cs="Amiri"/>
          <w:color w:val="111111"/>
          <w:sz w:val="28"/>
          <w:sz w:val="28"/>
          <w:szCs w:val="28"/>
          <w:rtl w:val="true"/>
          <w:lang w:bidi="ar-SA"/>
        </w:rPr>
        <w:t>اللفظ والمعنى في اللغة، فأصل تأخر الحادث سليم عن المعارض</w:t>
      </w:r>
    </w:p>
    <w:p>
      <w:pPr>
        <w:pStyle w:val="BookText"/>
        <w:rPr/>
      </w:pPr>
      <w:r>
        <w:rPr>
          <w:rFonts w:ascii="Amiri" w:hAnsi="Amiri" w:eastAsia="Amiri" w:cs="Amiri"/>
          <w:color w:val="111111"/>
          <w:sz w:val="28"/>
          <w:sz w:val="28"/>
          <w:szCs w:val="28"/>
          <w:rtl w:val="true"/>
          <w:lang w:bidi="ar-SA"/>
        </w:rPr>
        <w:t>ثم أصل تأخر الحادث باعتبار نفس الحادث إما وجودي، أو عدمي</w:t>
      </w:r>
      <w:r>
        <w:rPr>
          <w:rFonts w:eastAsia="Amiri" w:cs="Amiri" w:ascii="Amiri" w:hAnsi="Amiri"/>
          <w:color w:val="111111"/>
          <w:sz w:val="28"/>
          <w:szCs w:val="28"/>
          <w:rtl w:val="true"/>
          <w:lang w:bidi="ar-SA"/>
        </w:rPr>
        <w:t>.</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 xml:space="preserve">ثم زمان الشك والمشكوك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متحد، أو مختلف بتقدم زمان أحدهما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حكم فرعي، أو أصلي، أو موضوع صرف، أو مستنبط</w:t>
      </w:r>
      <w:r>
        <w:rPr>
          <w:rFonts w:eastAsia="Amiri" w:cs="Amiri" w:ascii="Amiri" w:hAnsi="Amiri"/>
          <w:color w:val="111111"/>
          <w:sz w:val="28"/>
          <w:szCs w:val="28"/>
          <w:rtl w:val="true"/>
          <w:lang w:bidi="ar-SA"/>
        </w:rPr>
        <w:t>.</w:t>
      </w:r>
      <w:r>
        <w:rPr>
          <w:rStyle w:val="FootnoteAnchor"/>
          <w:rtl w:val="true"/>
        </w:rPr>
        <w:footnoteReference w:id="2480"/>
      </w:r>
      <w:bookmarkStart w:id="755" w:name="pg9015_97806"/>
    </w:p>
    <w:p>
      <w:pPr>
        <w:pStyle w:val="Heading3"/>
        <w:numPr>
          <w:ilvl w:val="2"/>
          <w:numId w:val="1"/>
        </w:numPr>
        <w:rPr/>
      </w:pPr>
      <w:bookmarkStart w:id="756" w:name="__RefHeading___Toc2001873_2870459653"/>
      <w:bookmarkStart w:id="757" w:name="_Toc286"/>
      <w:bookmarkEnd w:id="755"/>
      <w:bookmarkEnd w:id="756"/>
      <w:r>
        <w:rPr>
          <w:rtl w:val="true"/>
        </w:rPr>
        <w:t>[</w:t>
      </w:r>
      <w:r>
        <w:rPr>
          <w:rtl w:val="true"/>
        </w:rPr>
        <w:t>الحق في المسألة</w:t>
      </w:r>
      <w:r>
        <w:rPr>
          <w:rtl w:val="true"/>
        </w:rPr>
        <w:t>]</w:t>
      </w:r>
      <w:bookmarkEnd w:id="757"/>
    </w:p>
    <w:p>
      <w:pPr>
        <w:pStyle w:val="BookText"/>
        <w:rPr/>
      </w:pPr>
      <w:r>
        <w:rPr>
          <w:rFonts w:ascii="Amiri" w:hAnsi="Amiri" w:eastAsia="Amiri" w:cs="Amiri"/>
          <w:color w:val="111111"/>
          <w:sz w:val="28"/>
          <w:sz w:val="28"/>
          <w:szCs w:val="28"/>
          <w:rtl w:val="true"/>
          <w:lang w:bidi="ar-SA"/>
        </w:rPr>
        <w:t>والحق جريان أصل تأخر الحادث فيما إذا اتحد زمان الشكّ والمشكوك فيه، أو تأخر زمان المشكوك فيه عن زمان الشك من غير فرق بين الأقسام المذكورة، وبين كون المراد من أصل تأخر الحادث استصحاب الحالة السابقة، أم عدم عروض القادح ؛ وذلك للأخبار، وبناء العقلاء، ولأن كل من قال بحجية الاستصحاب قال بذلك، ولأنه لولاه لزم عدم حجية الاستصحاب في الشك في عروض القادح</w:t>
      </w:r>
      <w:r>
        <w:rPr>
          <w:rStyle w:val="FootnoteAnchor"/>
          <w:rtl w:val="true"/>
        </w:rPr>
        <w:footnoteReference w:id="2481"/>
      </w:r>
      <w:r>
        <w:rPr>
          <w:rFonts w:ascii="Amiri" w:hAnsi="Amiri" w:eastAsia="Amiri" w:cs="Amiri"/>
          <w:color w:val="111111"/>
          <w:sz w:val="28"/>
          <w:sz w:val="28"/>
          <w:szCs w:val="28"/>
          <w:rtl w:val="true"/>
          <w:lang w:bidi="ar-SA"/>
        </w:rPr>
        <w:t>، لا إذا تأخر زمان الشك عن زمان 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هو مرادهم من أصالة تأخر الحادث، فالحق حينئذ عدم اعتبار أصل تأخر الحادث، ولا الاستصحاب المعكوس الذي هو ضدّه؛ لعدم الدليل، فتأمل</w:t>
      </w:r>
      <w:r>
        <w:rPr>
          <w:rFonts w:eastAsia="Amiri" w:cs="Amiri" w:ascii="Amiri" w:hAnsi="Amiri"/>
          <w:color w:val="111111"/>
          <w:sz w:val="28"/>
          <w:szCs w:val="28"/>
          <w:rtl w:val="true"/>
          <w:lang w:bidi="ar-SA"/>
        </w:rPr>
        <w:t>.</w:t>
      </w:r>
    </w:p>
    <w:p>
      <w:pPr>
        <w:pStyle w:val="Heading2"/>
        <w:numPr>
          <w:ilvl w:val="1"/>
          <w:numId w:val="1"/>
        </w:numPr>
        <w:rPr/>
      </w:pPr>
      <w:bookmarkStart w:id="758" w:name="__RefHeading___Toc2001875_2870459653"/>
      <w:bookmarkStart w:id="759" w:name="_Toc287"/>
      <w:bookmarkEnd w:id="758"/>
      <w:r>
        <w:rPr>
          <w:rtl w:val="true"/>
        </w:rPr>
        <w:t xml:space="preserve">أصل </w:t>
      </w:r>
      <w:r>
        <w:rPr>
          <w:rtl w:val="true"/>
        </w:rPr>
        <w:t>[</w:t>
      </w:r>
      <w:r>
        <w:rPr>
          <w:rtl w:val="true"/>
        </w:rPr>
        <w:t>في جريان الاستصحاب في الأحكام الظاهرية و الواقعية كليهما</w:t>
      </w:r>
      <w:r>
        <w:rPr>
          <w:rtl w:val="true"/>
        </w:rPr>
        <w:t>]</w:t>
      </w:r>
      <w:bookmarkEnd w:id="759"/>
    </w:p>
    <w:p>
      <w:pPr>
        <w:pStyle w:val="BookText"/>
        <w:rPr/>
      </w:pPr>
      <w:r>
        <w:rPr>
          <w:rFonts w:ascii="Amiri" w:hAnsi="Amiri" w:eastAsia="Amiri" w:cs="Amiri"/>
          <w:color w:val="111111"/>
          <w:sz w:val="28"/>
          <w:sz w:val="28"/>
          <w:szCs w:val="28"/>
          <w:rtl w:val="true"/>
          <w:lang w:bidi="ar-SA"/>
        </w:rPr>
        <w:t>لا فرق في حجية الاستصحاب بين الأحكام الواقعية والظاهرية، فلو ثبت نجاسة شيء بالبينة الشرعية، ثم شك في ارتفاعها استصحب بقاؤها؛ للإجماع المركب ، ودلالة النصوص بعموم حذف المتعلق، وطريقة أهل العقول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الظن الشرعي ناقض لليقين إما من باب التخصص، أو التخصيص</w:t>
      </w:r>
      <w:r>
        <w:rPr>
          <w:rFonts w:eastAsia="Amiri" w:cs="Amiri" w:ascii="Amiri" w:hAnsi="Amiri"/>
          <w:color w:val="111111"/>
          <w:sz w:val="28"/>
          <w:szCs w:val="28"/>
          <w:rtl w:val="true"/>
          <w:lang w:bidi="ar-SA"/>
        </w:rPr>
        <w:t>.</w:t>
      </w:r>
      <w:r>
        <w:rPr>
          <w:rStyle w:val="FootnoteAnchor"/>
          <w:rtl w:val="true"/>
        </w:rPr>
        <w:footnoteReference w:id="2482"/>
      </w:r>
      <w:bookmarkStart w:id="760" w:name="pg9015_97808"/>
    </w:p>
    <w:p>
      <w:pPr>
        <w:pStyle w:val="Heading2"/>
        <w:numPr>
          <w:ilvl w:val="1"/>
          <w:numId w:val="1"/>
        </w:numPr>
        <w:rPr/>
      </w:pPr>
      <w:bookmarkStart w:id="761" w:name="__RefHeading___Toc2001877_2870459653"/>
      <w:bookmarkStart w:id="762" w:name="_Toc288"/>
      <w:bookmarkEnd w:id="760"/>
      <w:bookmarkEnd w:id="761"/>
      <w:r>
        <w:rPr>
          <w:rtl w:val="true"/>
        </w:rPr>
        <w:t xml:space="preserve">أصل </w:t>
      </w:r>
      <w:r>
        <w:rPr>
          <w:rtl w:val="true"/>
        </w:rPr>
        <w:t>[</w:t>
      </w:r>
      <w:r>
        <w:rPr>
          <w:rtl w:val="true"/>
        </w:rPr>
        <w:t>في الاستصحاب في الأمور التدريجية</w:t>
      </w:r>
      <w:r>
        <w:rPr>
          <w:rtl w:val="true"/>
        </w:rPr>
        <w:t>]</w:t>
      </w:r>
      <w:bookmarkEnd w:id="762"/>
    </w:p>
    <w:p>
      <w:pPr>
        <w:pStyle w:val="BookText"/>
        <w:rPr/>
      </w:pPr>
      <w:r>
        <w:rPr>
          <w:rFonts w:ascii="Amiri" w:hAnsi="Amiri" w:eastAsia="Amiri" w:cs="Amiri"/>
          <w:color w:val="111111"/>
          <w:sz w:val="28"/>
          <w:sz w:val="28"/>
          <w:szCs w:val="28"/>
          <w:rtl w:val="true"/>
          <w:lang w:bidi="ar-SA"/>
        </w:rPr>
        <w:t>في جواز إجراء الاستصحاب في الأمور التدريجية بحسب الواقع، والدفعية في نظر ،العرف كالأكل، والتكلم، وإلقاء الدلاء على الماء القليل في مجلس واحد عرفاً</w:t>
      </w:r>
      <w:r>
        <w:rPr>
          <w:rStyle w:val="FootnoteAnchor"/>
          <w:rtl w:val="true"/>
        </w:rPr>
        <w:footnoteReference w:id="2483"/>
      </w:r>
      <w:r>
        <w:rPr>
          <w:rFonts w:ascii="Amiri" w:hAnsi="Amiri" w:eastAsia="Amiri" w:cs="Amiri"/>
          <w:color w:val="111111"/>
          <w:sz w:val="28"/>
          <w:sz w:val="28"/>
          <w:szCs w:val="28"/>
          <w:rtl w:val="true"/>
          <w:lang w:bidi="ar-SA"/>
        </w:rPr>
        <w:t>، وفي التعليقيات</w:t>
      </w:r>
      <w:r>
        <w:rPr>
          <w:rStyle w:val="FootnoteAnchor"/>
          <w:rtl w:val="true"/>
        </w:rPr>
        <w:footnoteReference w:id="2484"/>
      </w:r>
      <w:r>
        <w:rPr>
          <w:rFonts w:ascii="Amiri" w:hAnsi="Amiri" w:eastAsia="Amiri" w:cs="Amiri"/>
          <w:color w:val="111111"/>
          <w:sz w:val="28"/>
          <w:sz w:val="28"/>
          <w:szCs w:val="28"/>
          <w:rtl w:val="true"/>
          <w:lang w:bidi="ar-SA"/>
        </w:rPr>
        <w:t>، وفيما يتمسك فيه بأصل الشغل، كما لو شك في وجوب السورة في الصلاة وهو لم يشرع فيها بعد،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احطت خبراً بتضاعيف ما ذكر، قدرت على استخراج الدليل</w:t>
      </w:r>
      <w:r>
        <w:rPr>
          <w:rFonts w:eastAsia="Amiri" w:cs="Amiri" w:ascii="Amiri" w:hAnsi="Amiri"/>
          <w:color w:val="111111"/>
          <w:sz w:val="28"/>
          <w:szCs w:val="28"/>
          <w:rtl w:val="true"/>
          <w:lang w:bidi="ar-SA"/>
        </w:rPr>
        <w:t>.</w:t>
      </w:r>
    </w:p>
    <w:p>
      <w:pPr>
        <w:pStyle w:val="Heading2"/>
        <w:numPr>
          <w:ilvl w:val="1"/>
          <w:numId w:val="1"/>
        </w:numPr>
        <w:rPr/>
      </w:pPr>
      <w:bookmarkStart w:id="763" w:name="__RefHeading___Toc2001879_2870459653"/>
      <w:bookmarkStart w:id="764" w:name="_Toc289"/>
      <w:bookmarkEnd w:id="763"/>
      <w:r>
        <w:rPr>
          <w:rtl w:val="true"/>
        </w:rPr>
        <w:t xml:space="preserve">أصل </w:t>
      </w:r>
      <w:r>
        <w:rPr>
          <w:rtl w:val="true"/>
        </w:rPr>
        <w:t>[</w:t>
      </w:r>
      <w:r>
        <w:rPr>
          <w:rtl w:val="true"/>
        </w:rPr>
        <w:t>في مجاري الاستصحاب بالنسبة إلى الدليل الدال على المستصحب</w:t>
      </w:r>
      <w:r>
        <w:rPr>
          <w:rtl w:val="true"/>
        </w:rPr>
        <w:t>]</w:t>
      </w:r>
      <w:bookmarkEnd w:id="764"/>
    </w:p>
    <w:p>
      <w:pPr>
        <w:pStyle w:val="BookText"/>
        <w:rPr/>
      </w:pPr>
      <w:r>
        <w:rPr>
          <w:rFonts w:ascii="Amiri" w:hAnsi="Amiri" w:eastAsia="Amiri" w:cs="Amiri"/>
          <w:color w:val="111111"/>
          <w:sz w:val="28"/>
          <w:sz w:val="28"/>
          <w:szCs w:val="28"/>
          <w:rtl w:val="true"/>
          <w:lang w:bidi="ar-SA"/>
        </w:rPr>
        <w:t xml:space="preserve">فاعلم أن الدليل على الحكم إن كان مقيداً بوصف يوجب ارتفاعه ارتفاع الحكم،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بالنجاسة متنجس ما دام متغيراً، فهذا بمفهومه ينفي الانفعال بعد</w:t>
      </w:r>
      <w:r>
        <w:rPr>
          <w:rStyle w:val="FootnoteAnchor"/>
          <w:rtl w:val="true"/>
        </w:rPr>
        <w:footnoteReference w:id="2485"/>
      </w:r>
      <w:r>
        <w:rPr>
          <w:rFonts w:ascii="IRNazanin" w:hAnsi="IRNazanin" w:eastAsia="IRNazanin"/>
          <w:color w:val="111111"/>
          <w:sz w:val="28"/>
          <w:sz w:val="28"/>
          <w:szCs w:val="28"/>
          <w:rtl w:val="true"/>
          <w:lang w:bidi="fa-IR"/>
        </w:rPr>
        <w:t>زوال الوصف، فلا استصحاب</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متنجس لا لدلالة</w:t>
      </w:r>
      <w:r>
        <w:rPr>
          <w:rStyle w:val="FootnoteAnchor"/>
          <w:rtl w:val="true"/>
        </w:rPr>
        <w:footnoteReference w:id="2486"/>
      </w:r>
      <w:r>
        <w:rPr>
          <w:rFonts w:ascii="Amiri" w:hAnsi="Amiri" w:eastAsia="Amiri" w:cs="Amiri"/>
          <w:color w:val="111111"/>
          <w:sz w:val="28"/>
          <w:sz w:val="28"/>
          <w:szCs w:val="28"/>
          <w:rtl w:val="true"/>
          <w:lang w:bidi="ar-SA"/>
        </w:rPr>
        <w:t xml:space="preserve">مفهوم الوصف؛ لأنه ليس حجة على الأصح، بل لانتفاء الموضوع بزوال التغيّر، فلا استصحاب من حيث </w:t>
      </w:r>
    </w:p>
    <w:p>
      <w:pPr>
        <w:pStyle w:val="BookText"/>
        <w:rPr/>
      </w:pPr>
      <w:r>
        <w:rPr>
          <w:rFonts w:ascii="IRNazanin" w:hAnsi="IRNazanin" w:eastAsia="IRNazanin"/>
          <w:color w:val="111111"/>
          <w:sz w:val="28"/>
          <w:sz w:val="28"/>
          <w:szCs w:val="28"/>
          <w:rtl w:val="true"/>
          <w:lang w:bidi="fa-IR"/>
        </w:rPr>
        <w:t>مدلول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حيث اللبّ، فسيأتي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دالا على ثبوت الحكم للموضوع المجرد عن القيود والأوصاف،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إذا تغيّر تنجس، فإن كان هذا الكلام بحسب العرف متواطئاً، بالإضافة إلى حالة زوال التغيّر، وهو المسمى بالمؤبدة ، كفانا الإطلاق، فلا استصحاب، أو مشككاً مبين العدم</w:t>
      </w:r>
      <w:r>
        <w:rPr>
          <w:rStyle w:val="FootnoteAnchor"/>
          <w:rtl w:val="true"/>
        </w:rPr>
        <w:footnoteReference w:id="2487"/>
      </w:r>
      <w:r>
        <w:rPr>
          <w:rFonts w:ascii="Amiri" w:hAnsi="Amiri" w:eastAsia="Amiri" w:cs="Amiri"/>
          <w:color w:val="111111"/>
          <w:sz w:val="28"/>
          <w:sz w:val="28"/>
          <w:szCs w:val="28"/>
          <w:rtl w:val="true"/>
          <w:lang w:bidi="ar-SA"/>
        </w:rPr>
        <w:t>، فمرجعه إلى القسم الثاني، أو مشككاً إجمالياً</w:t>
      </w:r>
      <w:r>
        <w:rPr>
          <w:rStyle w:val="FootnoteAnchor"/>
          <w:rtl w:val="true"/>
        </w:rPr>
        <w:footnoteReference w:id="2488"/>
      </w:r>
      <w:r>
        <w:rPr>
          <w:rFonts w:ascii="Amiri" w:hAnsi="Amiri" w:eastAsia="Amiri" w:cs="Amiri"/>
          <w:color w:val="111111"/>
          <w:sz w:val="28"/>
          <w:sz w:val="28"/>
          <w:szCs w:val="28"/>
          <w:rtl w:val="true"/>
          <w:lang w:bidi="ar-SA"/>
        </w:rPr>
        <w:t>وهو المسمى بالمطلقة، جرى فيه الاستصحاب، سواء كان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الدليل مردداً بين المطلقة وغيرها من الأقسام، أو بين المؤبدة والأولين،فالحق جريان الاستصحاب؛ لإطلاق النصوص</w:t>
      </w:r>
      <w:r>
        <w:rPr>
          <w:rStyle w:val="FootnoteAnchor"/>
          <w:rtl w:val="true"/>
        </w:rPr>
        <w:footnoteReference w:id="2489"/>
      </w:r>
      <w:r>
        <w:rPr>
          <w:rFonts w:ascii="Amiri" w:hAnsi="Amiri" w:eastAsia="Amiri" w:cs="Amiri"/>
          <w:color w:val="111111"/>
          <w:sz w:val="28"/>
          <w:sz w:val="28"/>
          <w:szCs w:val="28"/>
          <w:rtl w:val="true"/>
          <w:lang w:bidi="ar-SA"/>
        </w:rPr>
        <w:t>، وبناء العقلاء، وتنقيح المناط، وهو حصول الظن بالبقاء، وفقد الفارق بين هذين والمطلقة التي هي المهملة حقيقة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ظهر بطلان إبطال استصحاب دين موسى، أو عيسى علیهما السلام إلى أن يثبت حقيّة</w:t>
      </w:r>
      <w:r>
        <w:rPr>
          <w:rStyle w:val="FootnoteAnchor"/>
          <w:rtl w:val="true"/>
        </w:rPr>
        <w:footnoteReference w:id="2490"/>
      </w:r>
      <w:r>
        <w:rPr>
          <w:rFonts w:ascii="Amiri" w:hAnsi="Amiri" w:eastAsia="Amiri" w:cs="Amiri"/>
          <w:color w:val="111111"/>
          <w:sz w:val="28"/>
          <w:sz w:val="28"/>
          <w:szCs w:val="28"/>
          <w:rtl w:val="true"/>
          <w:lang w:bidi="ar-SA"/>
        </w:rPr>
        <w:t xml:space="preserve">الإسلام؛ بكون الأمر فيه مردداً بين المطلقة وغيرها، وان الاستصحاب لا يجري حينئذ ، وقد أوردنا على هذا الجواب </w:t>
      </w:r>
      <w:r>
        <w:rPr>
          <w:rStyle w:val="FootnoteAnchor"/>
          <w:rtl w:val="true"/>
        </w:rPr>
        <w:footnoteReference w:id="2491"/>
      </w:r>
      <w:r>
        <w:rPr>
          <w:rFonts w:ascii="Amiri" w:hAnsi="Amiri" w:eastAsia="Amiri" w:cs="Amiri"/>
          <w:color w:val="111111"/>
          <w:sz w:val="28"/>
          <w:sz w:val="28"/>
          <w:szCs w:val="28"/>
          <w:rtl w:val="true"/>
          <w:lang w:bidi="ar-SA"/>
        </w:rPr>
        <w:t xml:space="preserve">في ضوابطنا إيرادات خمسة </w:t>
      </w:r>
      <w:r>
        <w:rPr>
          <w:rStyle w:val="FootnoteAnchor"/>
          <w:rtl w:val="true"/>
        </w:rPr>
        <w:footnoteReference w:id="2492"/>
      </w:r>
      <w:r>
        <w:rPr>
          <w:rFonts w:ascii="Amiri" w:hAnsi="Amiri" w:eastAsia="Amiri" w:cs="Amiri"/>
          <w:color w:val="111111"/>
          <w:sz w:val="28"/>
          <w:sz w:val="28"/>
          <w:szCs w:val="28"/>
          <w:rtl w:val="true"/>
          <w:lang w:bidi="ar-SA"/>
        </w:rPr>
        <w:t>، والصواب في الجواب عن هذا الاستصحاب رده بالأدلة الواردة من المعجزات لابمنع الجريان مع أنه لا يرد على</w:t>
      </w:r>
      <w:r>
        <w:rPr>
          <w:rStyle w:val="FootnoteAnchor"/>
          <w:rtl w:val="true"/>
        </w:rPr>
        <w:footnoteReference w:id="2493"/>
      </w:r>
      <w:r>
        <w:rPr>
          <w:rFonts w:ascii="Amiri" w:hAnsi="Amiri" w:eastAsia="Amiri" w:cs="Amiri"/>
          <w:color w:val="111111"/>
          <w:sz w:val="28"/>
          <w:sz w:val="28"/>
          <w:szCs w:val="28"/>
          <w:rtl w:val="true"/>
          <w:lang w:bidi="ar-SA"/>
        </w:rPr>
        <w:t xml:space="preserve">من ينكر حجية الاستصحاب رأساً، ولا على من يقول بحجيته </w:t>
      </w:r>
      <w:bookmarkStart w:id="765" w:name="pg9015_97812"/>
    </w:p>
    <w:p>
      <w:pPr>
        <w:pStyle w:val="BookText"/>
        <w:rPr/>
      </w:pPr>
      <w:bookmarkEnd w:id="765"/>
      <w:r>
        <w:rPr>
          <w:rFonts w:ascii="Amiri" w:hAnsi="Amiri" w:eastAsia="Amiri" w:cs="Amiri"/>
          <w:color w:val="111111"/>
          <w:sz w:val="28"/>
          <w:sz w:val="28"/>
          <w:szCs w:val="28"/>
          <w:rtl w:val="true"/>
          <w:lang w:bidi="ar-SA"/>
        </w:rPr>
        <w:t>للنصوص حتى إلزاماً، ولا على من يقول بحجيته لتراكم النصوص وغيرها</w:t>
      </w:r>
      <w:r>
        <w:rPr>
          <w:rFonts w:eastAsia="Amiri" w:cs="Amiri" w:ascii="Amiri" w:hAnsi="Amiri"/>
          <w:color w:val="111111"/>
          <w:sz w:val="28"/>
          <w:szCs w:val="28"/>
          <w:rtl w:val="true"/>
          <w:lang w:bidi="ar-SA"/>
        </w:rPr>
        <w:t>.</w:t>
      </w:r>
    </w:p>
    <w:p>
      <w:pPr>
        <w:pStyle w:val="Heading2"/>
        <w:numPr>
          <w:ilvl w:val="1"/>
          <w:numId w:val="1"/>
        </w:numPr>
        <w:rPr/>
      </w:pPr>
      <w:bookmarkStart w:id="766" w:name="__RefHeading___Toc2001881_2870459653"/>
      <w:bookmarkStart w:id="767" w:name="_Toc290"/>
      <w:bookmarkEnd w:id="766"/>
      <w:r>
        <w:rPr>
          <w:rtl w:val="true"/>
        </w:rPr>
        <w:t xml:space="preserve">أصل </w:t>
      </w:r>
      <w:r>
        <w:rPr>
          <w:rtl w:val="true"/>
        </w:rPr>
        <w:t>[</w:t>
      </w:r>
      <w:r>
        <w:rPr>
          <w:rtl w:val="true"/>
        </w:rPr>
        <w:t>في اشتراط بقاء الموضوع في الاستصحاب</w:t>
      </w:r>
      <w:r>
        <w:rPr>
          <w:rtl w:val="true"/>
        </w:rPr>
        <w:t>]</w:t>
      </w:r>
      <w:bookmarkEnd w:id="767"/>
    </w:p>
    <w:p>
      <w:pPr>
        <w:pStyle w:val="Heading3"/>
        <w:numPr>
          <w:ilvl w:val="2"/>
          <w:numId w:val="1"/>
        </w:numPr>
        <w:rPr/>
      </w:pPr>
      <w:bookmarkStart w:id="768" w:name="__RefHeading___Toc2001883_2870459653"/>
      <w:bookmarkStart w:id="769" w:name="_Toc291"/>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الاستصحاب</w:t>
      </w:r>
      <w:r>
        <w:rPr>
          <w:rStyle w:val="FootnoteAnchor"/>
          <w:rtl w:val="true"/>
        </w:rPr>
        <w:footnoteReference w:id="2494"/>
      </w:r>
      <w:r>
        <w:rPr>
          <w:rFonts w:ascii="IRNazanin" w:hAnsi="IRNazanin" w:eastAsia="IRNazanin"/>
          <w:color w:val="111111"/>
          <w:sz w:val="28"/>
          <w:sz w:val="28"/>
          <w:szCs w:val="28"/>
          <w:rtl w:val="true"/>
          <w:lang w:bidi="fa-IR"/>
        </w:rPr>
        <w:t>بقاء الموضوع</w:t>
      </w:r>
      <w:r>
        <w:rPr>
          <w:rStyle w:val="FootnoteAnchor"/>
          <w:rtl w:val="true"/>
        </w:rPr>
        <w:footnoteReference w:id="2495"/>
      </w:r>
      <w:r>
        <w:rPr>
          <w:rFonts w:ascii="Amiri" w:hAnsi="Amiri" w:eastAsia="Amiri" w:cs="Amiri"/>
          <w:color w:val="111111"/>
          <w:sz w:val="28"/>
          <w:sz w:val="28"/>
          <w:szCs w:val="28"/>
          <w:rtl w:val="true"/>
          <w:lang w:bidi="ar-SA"/>
        </w:rPr>
        <w:t>، والظاهر أن مرادهم عدم العلم بانتفائه، فلا ينتقض باستصحاب حياة زيد مثلاً، وباستصحاب نجاسة الماء المتغير إذا شك في بقاء التغير، مع فرض كون الموضوع هو الماء المتغير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المستصحب وموضوع الاستصحاب أن الأول هو الشيء الذي علم به سابقاً وشك في بقائه، والثاني معروض ذلك الشيء ولو</w:t>
      </w:r>
      <w:r>
        <w:rPr>
          <w:rStyle w:val="FootnoteAnchor"/>
          <w:rtl w:val="true"/>
        </w:rPr>
        <w:footnoteReference w:id="2496"/>
      </w:r>
      <w:r>
        <w:rPr>
          <w:rFonts w:ascii="Amiri" w:hAnsi="Amiri" w:eastAsia="Amiri" w:cs="Amiri"/>
          <w:color w:val="111111"/>
          <w:sz w:val="28"/>
          <w:sz w:val="28"/>
          <w:szCs w:val="28"/>
          <w:rtl w:val="true"/>
          <w:lang w:bidi="ar-SA"/>
        </w:rPr>
        <w:t>بالواسطة</w:t>
      </w:r>
      <w:r>
        <w:rPr>
          <w:rFonts w:eastAsia="Amiri" w:cs="Amiri" w:ascii="Amiri" w:hAnsi="Amiri"/>
          <w:color w:val="111111"/>
          <w:sz w:val="28"/>
          <w:szCs w:val="28"/>
          <w:rtl w:val="true"/>
          <w:lang w:bidi="ar-SA"/>
        </w:rPr>
        <w:t>.</w:t>
      </w:r>
      <w:r>
        <w:rPr>
          <w:rStyle w:val="FootnoteAnchor"/>
          <w:rtl w:val="true"/>
        </w:rPr>
        <w:footnoteReference w:id="2497"/>
      </w:r>
    </w:p>
    <w:p>
      <w:pPr>
        <w:pStyle w:val="Heading3"/>
        <w:numPr>
          <w:ilvl w:val="2"/>
          <w:numId w:val="1"/>
        </w:numPr>
        <w:rPr/>
      </w:pPr>
      <w:bookmarkStart w:id="770" w:name="__RefHeading___Toc2001885_2870459653"/>
      <w:bookmarkStart w:id="771" w:name="_Toc292"/>
      <w:bookmarkEnd w:id="770"/>
      <w:r>
        <w:rPr>
          <w:rtl w:val="true"/>
        </w:rPr>
        <w:t>[</w:t>
      </w:r>
      <w:r>
        <w:rPr>
          <w:rtl w:val="true"/>
        </w:rPr>
        <w:t>في بيان بعض من الاصطلاحات المرتبطة بالمقام</w:t>
      </w:r>
      <w:r>
        <w:rPr>
          <w:rtl w:val="true"/>
        </w:rPr>
        <w:t>]</w:t>
      </w:r>
      <w:bookmarkEnd w:id="771"/>
    </w:p>
    <w:p>
      <w:pPr>
        <w:pStyle w:val="BookText"/>
        <w:rPr/>
      </w:pPr>
      <w:r>
        <w:rPr>
          <w:rFonts w:ascii="Amiri" w:hAnsi="Amiri" w:eastAsia="Amiri" w:cs="Amiri"/>
          <w:color w:val="111111"/>
          <w:sz w:val="28"/>
          <w:sz w:val="28"/>
          <w:szCs w:val="28"/>
          <w:rtl w:val="true"/>
          <w:lang w:bidi="ar-SA"/>
        </w:rPr>
        <w:t>ثم الانتقال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جسم إلى جوف حيوان ، مع تبدل الاسم ، والقدر المعلوم منه ما إذا كان المنتقل منه واليه مائعين</w:t>
      </w:r>
      <w:r>
        <w:rPr>
          <w:rStyle w:val="FootnoteAnchor"/>
          <w:rtl w:val="true"/>
        </w:rPr>
        <w:footnoteReference w:id="2498"/>
      </w:r>
      <w:r>
        <w:rPr>
          <w:rFonts w:ascii="Amiri" w:hAnsi="Amiri" w:eastAsia="Amiri" w:cs="Amiri"/>
          <w:color w:val="111111"/>
          <w:sz w:val="28"/>
          <w:sz w:val="28"/>
          <w:szCs w:val="28"/>
          <w:rtl w:val="true"/>
          <w:lang w:bidi="ar-SA"/>
        </w:rPr>
        <w:t>، وفي المختلفين</w:t>
      </w:r>
      <w:r>
        <w:rPr>
          <w:rStyle w:val="FootnoteAnchor"/>
          <w:rtl w:val="true"/>
        </w:rPr>
        <w:footnoteReference w:id="2499"/>
      </w:r>
      <w:r>
        <w:rPr>
          <w:rFonts w:ascii="Amiri" w:hAnsi="Amiri" w:eastAsia="Amiri" w:cs="Amiri"/>
          <w:color w:val="111111"/>
          <w:sz w:val="28"/>
          <w:sz w:val="28"/>
          <w:szCs w:val="28"/>
          <w:rtl w:val="true"/>
          <w:lang w:bidi="ar-SA"/>
        </w:rPr>
        <w:t>وجهان دون الجامدين</w:t>
      </w:r>
      <w:r>
        <w:rPr>
          <w:rFonts w:eastAsia="Amiri" w:cs="Amiri" w:ascii="Amiri" w:hAnsi="Amiri"/>
          <w:color w:val="111111"/>
          <w:sz w:val="28"/>
          <w:szCs w:val="28"/>
          <w:rtl w:val="true"/>
          <w:lang w:bidi="ar-SA"/>
        </w:rPr>
        <w:t>.</w:t>
      </w:r>
      <w:r>
        <w:rPr>
          <w:rStyle w:val="FootnoteAnchor"/>
          <w:rtl w:val="true"/>
        </w:rPr>
        <w:footnoteReference w:id="2500"/>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والانقلاب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جسم بآخر، من غير جهة الانتقال، وهو كسابقه </w:t>
      </w:r>
    </w:p>
    <w:p>
      <w:pPr>
        <w:pStyle w:val="BookText"/>
        <w:rPr/>
      </w:pPr>
      <w:r>
        <w:rPr>
          <w:rFonts w:ascii="Amiri" w:hAnsi="Amiri" w:eastAsia="Amiri" w:cs="Amiri"/>
          <w:color w:val="111111"/>
          <w:sz w:val="28"/>
          <w:sz w:val="28"/>
          <w:szCs w:val="28"/>
          <w:rtl w:val="true"/>
          <w:lang w:bidi="ar-SA"/>
        </w:rPr>
        <w:t>في الصور الأربع</w:t>
      </w:r>
      <w:r>
        <w:rPr>
          <w:rFonts w:eastAsia="Amiri" w:cs="Amiri" w:ascii="Amiri" w:hAnsi="Amiri"/>
          <w:color w:val="111111"/>
          <w:sz w:val="28"/>
          <w:szCs w:val="28"/>
          <w:rtl w:val="true"/>
          <w:lang w:bidi="ar-SA"/>
        </w:rPr>
        <w:t>.</w:t>
      </w:r>
      <w:r>
        <w:rPr>
          <w:rStyle w:val="FootnoteAnchor"/>
          <w:rtl w:val="true"/>
        </w:rPr>
        <w:footnoteReference w:id="2501"/>
      </w:r>
    </w:p>
    <w:p>
      <w:pPr>
        <w:pStyle w:val="BookText"/>
        <w:rPr/>
      </w:pPr>
      <w:r>
        <w:rPr>
          <w:rFonts w:ascii="Amiri" w:hAnsi="Amiri" w:eastAsia="Amiri" w:cs="Amiri"/>
          <w:color w:val="111111"/>
          <w:sz w:val="28"/>
          <w:sz w:val="28"/>
          <w:szCs w:val="28"/>
          <w:rtl w:val="true"/>
          <w:lang w:bidi="ar-SA"/>
        </w:rPr>
        <w:t>والقدر الثابت من التسمية بالانقلاب اصطلاحاً هو الصورة الأولى، وعدم كون الاخيرة انقلاباً، والثانية والثالثة محل الشك</w:t>
      </w:r>
    </w:p>
    <w:p>
      <w:pPr>
        <w:pStyle w:val="BookText"/>
        <w:rPr/>
      </w:pPr>
      <w:r>
        <w:rPr>
          <w:rFonts w:ascii="Amiri" w:hAnsi="Amiri" w:eastAsia="Amiri" w:cs="Amiri"/>
          <w:color w:val="111111"/>
          <w:sz w:val="28"/>
          <w:sz w:val="28"/>
          <w:szCs w:val="28"/>
          <w:rtl w:val="true"/>
          <w:lang w:bidi="ar-SA"/>
        </w:rPr>
        <w:t>والاستحالة اصطلاحاً تبدل ماهيّة بأخرى سواء كان المنقلب منه أو إليه، مائعاً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وبينها وبين الأول تباين كلي ، وبين الثاني عموم وخصوص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نازعوا في جريان الاستصحاب في الثلاثة على أقوال</w:t>
      </w:r>
      <w:r>
        <w:rPr>
          <w:rStyle w:val="FootnoteAnchor"/>
          <w:rtl w:val="true"/>
        </w:rPr>
        <w:footnoteReference w:id="2502"/>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الجريان مطلقاً، وهو المشهور</w:t>
      </w:r>
    </w:p>
    <w:p>
      <w:pPr>
        <w:pStyle w:val="BookText"/>
        <w:rPr/>
      </w:pPr>
      <w:r>
        <w:rPr>
          <w:rFonts w:ascii="Amiri" w:hAnsi="Amiri" w:eastAsia="Amiri" w:cs="Amiri"/>
          <w:color w:val="111111"/>
          <w:sz w:val="28"/>
          <w:sz w:val="28"/>
          <w:szCs w:val="28"/>
          <w:rtl w:val="true"/>
          <w:lang w:bidi="ar-SA"/>
        </w:rPr>
        <w:t>، ثالثها التفصيل بين النجس ،الذاتي، والمتنجس بالعرض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ونزاعهم صغروي لا كبروي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هذه الثلاثة ما زال عنه الاسم دون الصّورة النوعية، كالحنطة المتنجسة إذا صارت دقيقاً، والمقيدات</w:t>
      </w:r>
      <w:r>
        <w:rPr>
          <w:rStyle w:val="FootnoteAnchor"/>
          <w:rtl w:val="true"/>
        </w:rPr>
        <w:footnoteReference w:id="2503"/>
      </w:r>
      <w:r>
        <w:rPr>
          <w:rFonts w:ascii="Amiri" w:hAnsi="Amiri" w:eastAsia="Amiri" w:cs="Amiri"/>
          <w:color w:val="111111"/>
          <w:sz w:val="28"/>
          <w:sz w:val="28"/>
          <w:szCs w:val="28"/>
          <w:rtl w:val="true"/>
          <w:lang w:bidi="ar-SA"/>
        </w:rPr>
        <w:t>بعد زوال قيدها</w:t>
      </w:r>
      <w:r>
        <w:rPr>
          <w:rStyle w:val="FootnoteAnchor"/>
          <w:rtl w:val="true"/>
        </w:rPr>
        <w:footnoteReference w:id="2504"/>
      </w:r>
      <w:r>
        <w:rPr>
          <w:rStyle w:val="FootnoteAnchor"/>
          <w:rtl w:val="true"/>
        </w:rPr>
        <w:footnoteReference w:id="2505"/>
      </w:r>
      <w:r>
        <w:rPr>
          <w:rFonts w:ascii="IRNazanin" w:hAnsi="IRNazanin" w:eastAsia="IRNazanin"/>
          <w:color w:val="111111"/>
          <w:sz w:val="28"/>
          <w:sz w:val="28"/>
          <w:szCs w:val="28"/>
          <w:rtl w:val="true"/>
          <w:lang w:bidi="fa-IR"/>
        </w:rPr>
        <w:t>، والمؤقتات بعد خروج وقتها</w:t>
      </w:r>
      <w:r>
        <w:rPr>
          <w:rFonts w:eastAsia="IRNazanin" w:cs="IRNazanin"/>
          <w:color w:val="111111"/>
          <w:sz w:val="28"/>
          <w:szCs w:val="28"/>
          <w:rtl w:val="true"/>
          <w:lang w:bidi="fa-IR"/>
        </w:rPr>
        <w:t>.</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والحق في مقام تشخيص الكبريات فيما تبدلت فيه الصورة النوعية والحقيقة إلى أخرى، سواء كان بطريق الاستحالة، أو الانتقال، أو الانقلاب، أنه إن علم أن الموضوع هو الصورة النوعية، أو شك فيه، فلا استصحاب؛ للعلم بانتفاء الموضوع في الأول، وكون الشك في الثاني شكاً في الحادث إن</w:t>
      </w:r>
      <w:r>
        <w:rPr>
          <w:rStyle w:val="FootnoteAnchor"/>
          <w:rtl w:val="true"/>
        </w:rPr>
        <w:footnoteReference w:id="2507"/>
      </w:r>
      <w:r>
        <w:rPr>
          <w:rFonts w:ascii="Amiri" w:hAnsi="Amiri" w:eastAsia="Amiri" w:cs="Amiri"/>
          <w:color w:val="111111"/>
          <w:sz w:val="28"/>
          <w:sz w:val="28"/>
          <w:szCs w:val="28"/>
          <w:rtl w:val="true"/>
          <w:lang w:bidi="ar-SA"/>
        </w:rPr>
        <w:t>أريد استصحاب الموضوع</w:t>
      </w:r>
      <w:r>
        <w:rPr>
          <w:rStyle w:val="FootnoteAnchor"/>
          <w:rtl w:val="true"/>
        </w:rPr>
        <w:footnoteReference w:id="2508"/>
      </w:r>
      <w:r>
        <w:rPr>
          <w:rStyle w:val="FootnoteAnchor"/>
          <w:rtl w:val="true"/>
        </w:rPr>
        <w:footnoteReference w:id="2509"/>
      </w:r>
      <w:r>
        <w:rPr>
          <w:rFonts w:ascii="Amiri" w:hAnsi="Amiri" w:eastAsia="Amiri" w:cs="Amiri"/>
          <w:color w:val="111111"/>
          <w:sz w:val="28"/>
          <w:sz w:val="28"/>
          <w:szCs w:val="28"/>
          <w:rtl w:val="true"/>
          <w:lang w:bidi="ar-SA"/>
        </w:rPr>
        <w:t>، وعرضياً إن أريد استصحاب الحكم</w:t>
      </w:r>
      <w:r>
        <w:rPr>
          <w:rFonts w:eastAsia="Amiri" w:cs="Amiri" w:ascii="Amiri" w:hAnsi="Amiri"/>
          <w:color w:val="111111"/>
          <w:sz w:val="28"/>
          <w:szCs w:val="28"/>
          <w:rtl w:val="true"/>
          <w:lang w:bidi="ar-SA"/>
        </w:rPr>
        <w:t>.</w:t>
      </w:r>
      <w:r>
        <w:rPr>
          <w:rStyle w:val="FootnoteAnchor"/>
          <w:rtl w:val="true"/>
        </w:rPr>
        <w:footnoteReference w:id="2510"/>
      </w:r>
    </w:p>
    <w:p>
      <w:pPr>
        <w:pStyle w:val="BookText"/>
        <w:rPr/>
      </w:pPr>
      <w:r>
        <w:rPr>
          <w:rFonts w:ascii="IRNazanin" w:hAnsi="IRNazanin" w:eastAsia="IRNazanin"/>
          <w:color w:val="111111"/>
          <w:sz w:val="28"/>
          <w:sz w:val="28"/>
          <w:szCs w:val="28"/>
          <w:rtl w:val="true"/>
          <w:lang w:bidi="fa-IR"/>
        </w:rPr>
        <w:t xml:space="preserve">أو </w:t>
      </w:r>
      <w:r>
        <w:rPr>
          <w:rStyle w:val="FootnoteAnchor"/>
          <w:rtl w:val="true"/>
        </w:rPr>
        <w:footnoteReference w:id="2511"/>
      </w:r>
      <w:r>
        <w:rPr>
          <w:rFonts w:ascii="Amiri" w:hAnsi="Amiri" w:eastAsia="Amiri" w:cs="Amiri"/>
          <w:color w:val="111111"/>
          <w:sz w:val="28"/>
          <w:sz w:val="28"/>
          <w:szCs w:val="28"/>
          <w:rtl w:val="true"/>
          <w:lang w:bidi="ar-SA"/>
        </w:rPr>
        <w:t>هو الأجزاء الجنسية جرى الاستصحاب، إلّا إذا علمنا بأن الصورة النوعية علة لحدوث الحكم في الأجزاء الجنسية، ولبقائه أيضاً</w:t>
      </w:r>
      <w:r>
        <w:rPr>
          <w:rStyle w:val="FootnoteAnchor"/>
          <w:rtl w:val="true"/>
        </w:rPr>
        <w:footnoteReference w:id="2512"/>
      </w:r>
      <w:r>
        <w:rPr>
          <w:rFonts w:ascii="Amiri" w:hAnsi="Amiri" w:eastAsia="Amiri" w:cs="Amiri"/>
          <w:color w:val="111111"/>
          <w:sz w:val="28"/>
          <w:sz w:val="28"/>
          <w:szCs w:val="28"/>
          <w:rtl w:val="true"/>
          <w:lang w:bidi="ar-SA"/>
        </w:rPr>
        <w:t>، من غير فرق فيما ذكر بين الذاتي والعرضي، بعد رعاية أن المتبادر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الملاقي للنجس 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ما دام بقاء الملاقي على صورته النوعية، فيكون الموضوع أيضاً هو الصورة النوعية، أو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بقاء الصورة النوعية وعدم بقائها، كما في الخشب إذا صار فحماً، جرى فيه الاستصحاب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ما عرفت ذلك عرفت</w:t>
      </w:r>
      <w:r>
        <w:rPr>
          <w:rStyle w:val="FootnoteAnchor"/>
          <w:rtl w:val="true"/>
        </w:rPr>
        <w:footnoteReference w:id="2513"/>
      </w:r>
      <w:r>
        <w:rPr>
          <w:rFonts w:ascii="Amiri" w:hAnsi="Amiri" w:eastAsia="Amiri" w:cs="Amiri"/>
          <w:color w:val="111111"/>
          <w:sz w:val="28"/>
          <w:sz w:val="28"/>
          <w:szCs w:val="28"/>
          <w:rtl w:val="true"/>
          <w:lang w:bidi="ar-SA"/>
        </w:rPr>
        <w:t xml:space="preserve">أحكام الأقسام الستة، بعد رعاية ظواهر </w:t>
      </w:r>
    </w:p>
    <w:p>
      <w:pPr>
        <w:pStyle w:val="BookText"/>
        <w:rPr/>
      </w:pPr>
      <w:r>
        <w:rPr>
          <w:rFonts w:ascii="IRNazanin" w:hAnsi="IRNazanin" w:eastAsia="IRNazanin"/>
          <w:color w:val="111111"/>
          <w:sz w:val="28"/>
          <w:sz w:val="28"/>
          <w:szCs w:val="28"/>
          <w:rtl w:val="true"/>
          <w:lang w:bidi="fa-IR"/>
        </w:rPr>
        <w:t>خطابات الشرع</w:t>
      </w:r>
      <w:r>
        <w:rPr>
          <w:rStyle w:val="FootnoteAnchor"/>
          <w:rtl w:val="true"/>
        </w:rPr>
        <w:footnoteReference w:id="2514"/>
      </w:r>
      <w:r>
        <w:rPr>
          <w:rFonts w:ascii="Amiri" w:hAnsi="Amiri" w:eastAsia="Amiri" w:cs="Amiri"/>
          <w:color w:val="111111"/>
          <w:sz w:val="28"/>
          <w:sz w:val="28"/>
          <w:szCs w:val="28"/>
          <w:rtl w:val="true"/>
          <w:lang w:bidi="ar-SA"/>
        </w:rPr>
        <w:t>في مقام تميز الصغريات ، فكل موضع</w:t>
      </w:r>
      <w:r>
        <w:rPr>
          <w:rStyle w:val="FootnoteAnchor"/>
          <w:rtl w:val="true"/>
        </w:rPr>
        <w:footnoteReference w:id="2515"/>
      </w:r>
      <w:r>
        <w:rPr>
          <w:rFonts w:ascii="Amiri" w:hAnsi="Amiri" w:eastAsia="Amiri" w:cs="Amiri"/>
          <w:color w:val="111111"/>
          <w:sz w:val="28"/>
          <w:sz w:val="28"/>
          <w:szCs w:val="28"/>
          <w:rtl w:val="true"/>
          <w:lang w:bidi="ar-SA"/>
        </w:rPr>
        <w:t>جرى فيه الاستصحاب كان حجة،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دليل اجتهادي عام يوجب اندراج الطبيعة الحادثة في أفراد تلك الطبيعة من حيث الحكم عملنا به والا فبالأصول الفقاهتية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قالوا إن الأحكام تدور مدار الأسماء</w:t>
      </w:r>
      <w:r>
        <w:rPr>
          <w:rStyle w:val="FootnoteAnchor"/>
          <w:rtl w:val="true"/>
        </w:rPr>
        <w:footnoteReference w:id="25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ومرادهم دوران الأحكام مدار الأسماء</w:t>
      </w:r>
      <w:r>
        <w:rPr>
          <w:rFonts w:eastAsia="Amiri" w:cs="Amiri" w:ascii="Amiri" w:hAnsi="Amiri"/>
          <w:color w:val="111111"/>
          <w:sz w:val="28"/>
          <w:szCs w:val="28"/>
          <w:rtl w:val="true"/>
          <w:lang w:bidi="ar-SA"/>
        </w:rPr>
        <w:t>)</w:t>
      </w:r>
      <w:r>
        <w:rPr>
          <w:rStyle w:val="FootnoteAnchor"/>
          <w:rtl w:val="true"/>
        </w:rPr>
        <w:footnoteReference w:id="2517"/>
      </w:r>
      <w:r>
        <w:rPr>
          <w:rFonts w:ascii="Amiri" w:hAnsi="Amiri" w:eastAsia="Amiri" w:cs="Amiri"/>
          <w:color w:val="111111"/>
          <w:sz w:val="28"/>
          <w:sz w:val="28"/>
          <w:szCs w:val="28"/>
          <w:rtl w:val="true"/>
          <w:lang w:bidi="ar-SA"/>
        </w:rPr>
        <w:t>إذا كان تبدل الاسم لتبدل المسمى، كالكلب إذا صار ملحاً مثلاً، مع ملاحظة اتحاد زمن الحضور والغيبة من حيث التسمية، علماً أو أصلاً، لا أن العرف إذا غير اسم الكلب وسماه ملحاً تغير الحكم</w:t>
      </w:r>
      <w:r>
        <w:rPr>
          <w:rFonts w:eastAsia="Amiri" w:cs="Amiri" w:ascii="Amiri" w:hAnsi="Amiri"/>
          <w:color w:val="111111"/>
          <w:sz w:val="28"/>
          <w:szCs w:val="28"/>
          <w:rtl w:val="true"/>
          <w:lang w:bidi="ar-SA"/>
        </w:rPr>
        <w:t>.</w:t>
      </w:r>
      <w:r>
        <w:rPr>
          <w:rStyle w:val="FootnoteAnchor"/>
          <w:rtl w:val="true"/>
        </w:rPr>
        <w:footnoteReference w:id="2518"/>
      </w:r>
      <w:bookmarkStart w:id="772" w:name="pg9015_97819"/>
    </w:p>
    <w:p>
      <w:pPr>
        <w:pStyle w:val="Heading2"/>
        <w:numPr>
          <w:ilvl w:val="1"/>
          <w:numId w:val="1"/>
        </w:numPr>
        <w:rPr/>
      </w:pPr>
      <w:bookmarkStart w:id="773" w:name="__RefHeading___Toc2001887_2870459653"/>
      <w:bookmarkStart w:id="774" w:name="_Toc293"/>
      <w:bookmarkEnd w:id="772"/>
      <w:bookmarkEnd w:id="773"/>
      <w:r>
        <w:rPr>
          <w:rtl w:val="true"/>
        </w:rPr>
        <w:t xml:space="preserve">أصل </w:t>
      </w:r>
      <w:r>
        <w:rPr>
          <w:rtl w:val="true"/>
        </w:rPr>
        <w:t>[</w:t>
      </w:r>
      <w:r>
        <w:rPr>
          <w:rtl w:val="true"/>
        </w:rPr>
        <w:t>في تعارض الاستصحابين</w:t>
      </w:r>
      <w:r>
        <w:rPr>
          <w:rtl w:val="true"/>
        </w:rPr>
        <w:t>]</w:t>
      </w:r>
      <w:bookmarkEnd w:id="774"/>
    </w:p>
    <w:p>
      <w:pPr>
        <w:pStyle w:val="BookText"/>
        <w:rPr/>
      </w:pPr>
      <w:r>
        <w:rPr>
          <w:rFonts w:ascii="Amiri" w:hAnsi="Amiri" w:eastAsia="Amiri" w:cs="Amiri"/>
          <w:color w:val="111111"/>
          <w:sz w:val="28"/>
          <w:sz w:val="28"/>
          <w:szCs w:val="28"/>
          <w:rtl w:val="true"/>
          <w:lang w:bidi="ar-SA"/>
        </w:rPr>
        <w:t>اذا تعارض استصحابان فإما حكميان أو موضوعيان، أو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إما وجوديان، أو عدميان، أو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الحكميان الوجوديان إما تعارضها لأمر خارج</w:t>
      </w:r>
      <w:r>
        <w:rPr>
          <w:rStyle w:val="FootnoteAnchor"/>
          <w:rtl w:val="true"/>
        </w:rPr>
        <w:footnoteReference w:id="2519"/>
      </w:r>
      <w:r>
        <w:rPr>
          <w:rFonts w:ascii="IRNazanin" w:hAnsi="IRNazanin" w:eastAsia="IRNazanin"/>
          <w:color w:val="111111"/>
          <w:sz w:val="28"/>
          <w:sz w:val="28"/>
          <w:szCs w:val="28"/>
          <w:rtl w:val="true"/>
          <w:lang w:bidi="fa-IR"/>
        </w:rPr>
        <w:t>أو لأنفسهما</w:t>
      </w:r>
      <w:r>
        <w:rPr>
          <w:rFonts w:eastAsia="IRNazanin" w:cs="IRNazanin"/>
          <w:color w:val="111111"/>
          <w:sz w:val="28"/>
          <w:szCs w:val="28"/>
          <w:rtl w:val="true"/>
          <w:lang w:bidi="fa-IR"/>
        </w:rPr>
        <w:t>.</w:t>
      </w:r>
      <w:r>
        <w:rPr>
          <w:rStyle w:val="FootnoteAnchor"/>
          <w:rtl w:val="true"/>
        </w:rPr>
        <w:footnoteReference w:id="2520"/>
      </w:r>
    </w:p>
    <w:p>
      <w:pPr>
        <w:pStyle w:val="BookText"/>
        <w:rPr/>
      </w:pPr>
      <w:r>
        <w:rPr>
          <w:rFonts w:ascii="Amiri" w:hAnsi="Amiri" w:eastAsia="Amiri" w:cs="Amiri"/>
          <w:color w:val="111111"/>
          <w:sz w:val="28"/>
          <w:sz w:val="28"/>
          <w:szCs w:val="28"/>
          <w:rtl w:val="true"/>
          <w:lang w:bidi="ar-SA"/>
        </w:rPr>
        <w:t>وعلى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أحد الشكين سبب للشك الآخر ، أم</w:t>
      </w:r>
      <w:r>
        <w:rPr>
          <w:rStyle w:val="FootnoteAnchor"/>
          <w:rtl w:val="true"/>
        </w:rPr>
        <w:footnoteReference w:id="2521"/>
      </w:r>
      <w:r>
        <w:rPr>
          <w:rFonts w:ascii="IRNazanin" w:hAnsi="IRNazanin" w:eastAsia="IRNazanin"/>
          <w:color w:val="111111"/>
          <w:sz w:val="28"/>
          <w:sz w:val="28"/>
          <w:szCs w:val="28"/>
          <w:rtl w:val="true"/>
          <w:lang w:bidi="fa-IR"/>
        </w:rPr>
        <w:t>مسببان من أمر ثالث</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الاستصحابان المتعارضان حكميين وجوديين متعارضين لأنفسهما، مع سببية أحد الشكين للآخر، كتعارض استصحاب</w:t>
      </w:r>
      <w:r>
        <w:rPr>
          <w:rStyle w:val="FootnoteAnchor"/>
          <w:rtl w:val="true"/>
        </w:rPr>
        <w:footnoteReference w:id="2522"/>
      </w:r>
      <w:r>
        <w:rPr>
          <w:rFonts w:ascii="Amiri" w:hAnsi="Amiri" w:eastAsia="Amiri" w:cs="Amiri"/>
          <w:color w:val="111111"/>
          <w:sz w:val="28"/>
          <w:sz w:val="28"/>
          <w:szCs w:val="28"/>
          <w:rtl w:val="true"/>
          <w:lang w:bidi="ar-SA"/>
        </w:rPr>
        <w:t>طهارة الماء مع مع استصحاب نجاسة المغسول واستصحاب نجاسة مستصحب النجاسة مع استصحاب طهارة الملاقي، ففي العمل بهما معاً كما عليه بعض من</w:t>
      </w:r>
      <w:r>
        <w:rPr>
          <w:rStyle w:val="FootnoteAnchor"/>
          <w:rtl w:val="true"/>
        </w:rPr>
        <w:footnoteReference w:id="2523"/>
      </w:r>
      <w:r>
        <w:rPr>
          <w:rFonts w:ascii="IRNazanin" w:hAnsi="IRNazanin" w:eastAsia="IRNazanin"/>
          <w:color w:val="111111"/>
          <w:sz w:val="28"/>
          <w:sz w:val="28"/>
          <w:szCs w:val="28"/>
          <w:rtl w:val="true"/>
          <w:lang w:bidi="fa-IR"/>
        </w:rPr>
        <w:t>تأخر</w:t>
      </w:r>
      <w:r>
        <w:rPr>
          <w:rStyle w:val="FootnoteAnchor"/>
          <w:rtl w:val="true"/>
        </w:rPr>
        <w:footnoteReference w:id="2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يثبت أن مستصحب النجاسة منجّس</w:t>
      </w:r>
      <w:r>
        <w:rPr>
          <w:rStyle w:val="FootnoteAnchor"/>
          <w:rtl w:val="true"/>
        </w:rPr>
        <w:footnoteReference w:id="2525"/>
      </w:r>
      <w:r>
        <w:rPr>
          <w:rFonts w:ascii="Amiri" w:hAnsi="Amiri" w:eastAsia="Amiri" w:cs="Amiri"/>
          <w:color w:val="111111"/>
          <w:sz w:val="28"/>
          <w:sz w:val="28"/>
          <w:szCs w:val="28"/>
          <w:rtl w:val="true"/>
          <w:lang w:bidi="ar-SA"/>
        </w:rPr>
        <w:t>، أم يقدّم استصحاب السبب، وجهان، أوجههما الأخير؛ لأن الظاهر من أمره الليلها بإبقاء ما كان على ما كان هو ترتيب</w:t>
      </w:r>
      <w:r>
        <w:rPr>
          <w:rStyle w:val="FootnoteAnchor"/>
          <w:rtl w:val="true"/>
        </w:rPr>
        <w:footnoteReference w:id="2526"/>
      </w:r>
      <w:r>
        <w:rPr>
          <w:rFonts w:ascii="Amiri" w:hAnsi="Amiri" w:eastAsia="Amiri" w:cs="Amiri"/>
          <w:color w:val="111111"/>
          <w:sz w:val="28"/>
          <w:sz w:val="28"/>
          <w:szCs w:val="28"/>
          <w:rtl w:val="true"/>
          <w:lang w:bidi="ar-SA"/>
        </w:rPr>
        <w:t xml:space="preserve">آثاره عليه، ومن </w:t>
      </w:r>
    </w:p>
    <w:p>
      <w:pPr>
        <w:pStyle w:val="BookText"/>
        <w:rPr/>
      </w:pPr>
      <w:r>
        <w:rPr>
          <w:rFonts w:ascii="Amiri" w:hAnsi="Amiri" w:eastAsia="Amiri" w:cs="Amiri"/>
          <w:color w:val="111111"/>
          <w:sz w:val="28"/>
          <w:sz w:val="28"/>
          <w:szCs w:val="28"/>
          <w:rtl w:val="true"/>
          <w:lang w:bidi="ar-SA"/>
        </w:rPr>
        <w:t>جملتها نجاسة ،ملاقيه فقبل ملاقاة الطاهر لمستصحب النجاسة نحكم</w:t>
      </w:r>
      <w:r>
        <w:rPr>
          <w:rStyle w:val="FootnoteAnchor"/>
          <w:rtl w:val="true"/>
        </w:rPr>
        <w:footnoteReference w:id="2527"/>
      </w:r>
      <w:r>
        <w:rPr>
          <w:rFonts w:ascii="Amiri" w:hAnsi="Amiri" w:eastAsia="Amiri" w:cs="Amiri"/>
          <w:color w:val="111111"/>
          <w:sz w:val="28"/>
          <w:sz w:val="28"/>
          <w:szCs w:val="28"/>
          <w:rtl w:val="true"/>
          <w:lang w:bidi="ar-SA"/>
        </w:rPr>
        <w:t xml:space="preserve">بنجاسة المستصحب؛ لسلامة الاستصحاب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المعارض، فهو حينئذ</w:t>
      </w:r>
      <w:r>
        <w:rPr>
          <w:rFonts w:eastAsia="Amiri" w:cs="Amiri" w:ascii="Amiri" w:hAnsi="Amiri"/>
          <w:color w:val="111111"/>
          <w:sz w:val="28"/>
          <w:szCs w:val="28"/>
          <w:rtl w:val="true"/>
          <w:lang w:bidi="ar-SA"/>
        </w:rPr>
        <w:t>)</w:t>
      </w:r>
      <w:r>
        <w:rPr>
          <w:rStyle w:val="FootnoteAnchor"/>
          <w:rtl w:val="true"/>
        </w:rPr>
        <w:footnoteReference w:id="2528"/>
      </w:r>
      <w:r>
        <w:rPr>
          <w:rFonts w:ascii="Amiri" w:hAnsi="Amiri" w:eastAsia="Amiri" w:cs="Amiri"/>
          <w:color w:val="111111"/>
          <w:sz w:val="28"/>
          <w:sz w:val="28"/>
          <w:szCs w:val="28"/>
          <w:rtl w:val="true"/>
          <w:lang w:bidi="ar-SA"/>
        </w:rPr>
        <w:t>متنجس شرعاً ينجس ملاقيه بالعموم ، فالتعارض هنا ابتدائي، ولا تعارض حقيقة، وهكذا في نظائره، مضافاً إلى بناء العقلاء، وظهور الإجماع من القائلين بحجية الاستصحاب</w:t>
      </w:r>
      <w:r>
        <w:rPr>
          <w:rFonts w:eastAsia="Amiri" w:cs="Amiri" w:ascii="Amiri" w:hAnsi="Amiri"/>
          <w:color w:val="111111"/>
          <w:sz w:val="28"/>
          <w:szCs w:val="28"/>
          <w:rtl w:val="true"/>
          <w:lang w:bidi="ar-SA"/>
        </w:rPr>
        <w:t>.</w:t>
      </w:r>
      <w:r>
        <w:rPr>
          <w:rStyle w:val="FootnoteAnchor"/>
          <w:rtl w:val="true"/>
        </w:rPr>
        <w:footnoteReference w:id="2529"/>
      </w:r>
    </w:p>
    <w:p>
      <w:pPr>
        <w:pStyle w:val="BookText"/>
        <w:rPr/>
      </w:pPr>
      <w:r>
        <w:rPr>
          <w:rFonts w:ascii="Amiri" w:hAnsi="Amiri" w:eastAsia="Amiri" w:cs="Amiri"/>
          <w:color w:val="111111"/>
          <w:sz w:val="28"/>
          <w:sz w:val="28"/>
          <w:szCs w:val="28"/>
          <w:rtl w:val="true"/>
          <w:lang w:bidi="ar-SA"/>
        </w:rPr>
        <w:t>ويرد على العامل بالأصلين هنا حكمه بطهارة غسالة هذا</w:t>
      </w:r>
      <w:r>
        <w:rPr>
          <w:rStyle w:val="FootnoteAnchor"/>
          <w:rtl w:val="true"/>
        </w:rPr>
        <w:footnoteReference w:id="2530"/>
      </w:r>
      <w:r>
        <w:rPr>
          <w:rFonts w:ascii="Amiri" w:hAnsi="Amiri" w:eastAsia="Amiri" w:cs="Amiri"/>
          <w:color w:val="111111"/>
          <w:sz w:val="28"/>
          <w:sz w:val="28"/>
          <w:szCs w:val="28"/>
          <w:rtl w:val="true"/>
          <w:lang w:bidi="ar-SA"/>
        </w:rPr>
        <w:t xml:space="preserve">المتنجس،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ونجاسة غسالة المتنجس</w:t>
      </w:r>
      <w:r>
        <w:rPr>
          <w:rFonts w:eastAsia="Amiri" w:cs="Amiri" w:ascii="Amiri" w:hAnsi="Amiri"/>
          <w:color w:val="111111"/>
          <w:sz w:val="28"/>
          <w:szCs w:val="28"/>
          <w:rtl w:val="true"/>
          <w:lang w:bidi="ar-SA"/>
        </w:rPr>
        <w:t xml:space="preserve">) </w:t>
      </w:r>
      <w:r>
        <w:rPr>
          <w:rStyle w:val="FootnoteAnchor"/>
          <w:rtl w:val="true"/>
        </w:rPr>
        <w:footnoteReference w:id="2531"/>
      </w:r>
      <w:r>
        <w:rPr>
          <w:rFonts w:ascii="Amiri" w:hAnsi="Amiri" w:eastAsia="Amiri" w:cs="Amiri"/>
          <w:color w:val="111111"/>
          <w:sz w:val="28"/>
          <w:sz w:val="28"/>
          <w:szCs w:val="28"/>
          <w:rtl w:val="true"/>
          <w:lang w:bidi="ar-SA"/>
        </w:rPr>
        <w:t>المعلوم نجاسته، ولم نجد هذا التفصيل في باب الغسالة، وحكمه بطهارة الأرض الملاقية له لاستصحاب طهارتها، وعدم جواز السجود والتيمم عليها لاستصحاب الأمر</w:t>
      </w:r>
      <w:r>
        <w:rPr>
          <w:rStyle w:val="FootnoteAnchor"/>
          <w:rtl w:val="true"/>
        </w:rPr>
        <w:footnoteReference w:id="2532"/>
      </w:r>
      <w:r>
        <w:rPr>
          <w:rFonts w:ascii="Amiri" w:hAnsi="Amiri" w:eastAsia="Amiri" w:cs="Amiri"/>
          <w:color w:val="111111"/>
          <w:sz w:val="28"/>
          <w:sz w:val="28"/>
          <w:szCs w:val="28"/>
          <w:rtl w:val="true"/>
          <w:lang w:bidi="ar-SA"/>
        </w:rPr>
        <w:t>، عملاً بالأصلين، والحال أنه صرح بجوازهما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إن</w:t>
      </w:r>
      <w:r>
        <w:rPr>
          <w:rStyle w:val="FootnoteAnchor"/>
          <w:rtl w:val="true"/>
        </w:rPr>
        <w:footnoteReference w:id="2533"/>
      </w:r>
      <w:r>
        <w:rPr>
          <w:rFonts w:ascii="Amiri" w:hAnsi="Amiri" w:eastAsia="Amiri" w:cs="Amiri"/>
          <w:color w:val="111111"/>
          <w:sz w:val="28"/>
          <w:sz w:val="28"/>
          <w:szCs w:val="28"/>
          <w:rtl w:val="true"/>
          <w:lang w:bidi="ar-SA"/>
        </w:rPr>
        <w:t>قال بعدم تعارض بين الأصلين</w:t>
      </w:r>
      <w:r>
        <w:rPr>
          <w:rStyle w:val="FootnoteAnchor"/>
          <w:rtl w:val="true"/>
        </w:rPr>
        <w:footnoteReference w:id="2534"/>
      </w:r>
      <w:r>
        <w:rPr>
          <w:rFonts w:ascii="Amiri" w:hAnsi="Amiri" w:eastAsia="Amiri" w:cs="Amiri"/>
          <w:color w:val="111111"/>
          <w:sz w:val="28"/>
          <w:sz w:val="28"/>
          <w:szCs w:val="28"/>
          <w:rtl w:val="true"/>
          <w:lang w:bidi="ar-SA"/>
        </w:rPr>
        <w:t>ولذا يعمل بهما، فقد خرج عن الفرض</w:t>
      </w:r>
      <w:r>
        <w:rPr>
          <w:rStyle w:val="FootnoteAnchor"/>
          <w:rtl w:val="true"/>
        </w:rPr>
        <w:footnoteReference w:id="2535"/>
      </w:r>
      <w:r>
        <w:rPr>
          <w:rFonts w:ascii="IRNazanin" w:hAnsi="IRNazanin" w:eastAsia="IRNazanin"/>
          <w:color w:val="111111"/>
          <w:sz w:val="28"/>
          <w:sz w:val="28"/>
          <w:szCs w:val="28"/>
          <w:rtl w:val="true"/>
          <w:lang w:bidi="fa-IR"/>
        </w:rPr>
        <w:t>، أو بوجود</w:t>
      </w:r>
      <w:r>
        <w:rPr>
          <w:rStyle w:val="FootnoteAnchor"/>
          <w:rtl w:val="true"/>
        </w:rPr>
        <w:footnoteReference w:id="2536"/>
      </w:r>
      <w:r>
        <w:rPr>
          <w:rFonts w:ascii="Amiri" w:hAnsi="Amiri" w:eastAsia="Amiri" w:cs="Amiri"/>
          <w:color w:val="111111"/>
          <w:sz w:val="28"/>
          <w:sz w:val="28"/>
          <w:szCs w:val="28"/>
          <w:rtl w:val="true"/>
          <w:lang w:bidi="ar-SA"/>
        </w:rPr>
        <w:t xml:space="preserve">التعارض بينهما ، فتعارضهما من باب التباين الكلي، لا العامين </w:t>
      </w:r>
    </w:p>
    <w:p>
      <w:pPr>
        <w:pStyle w:val="BookText"/>
        <w:rPr/>
      </w:pPr>
      <w:r>
        <w:rPr>
          <w:rFonts w:ascii="Amiri" w:hAnsi="Amiri" w:eastAsia="Amiri" w:cs="Amiri"/>
          <w:color w:val="111111"/>
          <w:sz w:val="28"/>
          <w:sz w:val="28"/>
          <w:szCs w:val="28"/>
          <w:rtl w:val="true"/>
          <w:lang w:bidi="ar-SA"/>
        </w:rPr>
        <w:t>من وجه، حتى يبعض في العمل بلوازم كل منهما من غير دليل</w:t>
      </w:r>
      <w:r>
        <w:rPr>
          <w:rFonts w:eastAsia="Amiri" w:cs="Amiri" w:ascii="Amiri" w:hAnsi="Amiri"/>
          <w:color w:val="111111"/>
          <w:sz w:val="28"/>
          <w:szCs w:val="28"/>
          <w:rtl w:val="true"/>
          <w:lang w:bidi="ar-SA"/>
        </w:rPr>
        <w:t>.</w:t>
      </w:r>
      <w:r>
        <w:rPr>
          <w:rStyle w:val="FootnoteAnchor"/>
          <w:rtl w:val="true"/>
        </w:rPr>
        <w:footnoteReference w:id="2537"/>
      </w:r>
    </w:p>
    <w:p>
      <w:pPr>
        <w:pStyle w:val="BookText"/>
        <w:rPr/>
      </w:pPr>
      <w:r>
        <w:rPr>
          <w:rFonts w:ascii="Amiri" w:hAnsi="Amiri" w:eastAsia="Amiri" w:cs="Amiri"/>
          <w:color w:val="111111"/>
          <w:sz w:val="28"/>
          <w:sz w:val="28"/>
          <w:szCs w:val="28"/>
          <w:rtl w:val="true"/>
          <w:lang w:bidi="ar-SA"/>
        </w:rPr>
        <w:t>ثم إنا إذا قلنا بعدم حجية الاستصحاب في الشك في المانعية، فاستصحاب الشك السببي خال عن المعارض رأساً ، فيقدم بلا ريب، ولا فرق فيما ذكرنا بين تقارن الشكين، وتقدّم الشك السببي زماناً؛ لوحدة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الشكان في الصورة المفروضة مسبيّين عن أمر ثالث، كما في الكرّ الوارد على الماء المتنجس تدريجاً، وفي نظائره من موارد</w:t>
      </w:r>
      <w:r>
        <w:rPr>
          <w:rStyle w:val="FootnoteAnchor"/>
          <w:rtl w:val="true"/>
        </w:rPr>
        <w:footnoteReference w:id="2538"/>
      </w:r>
      <w:r>
        <w:rPr>
          <w:rFonts w:ascii="Amiri" w:hAnsi="Amiri" w:eastAsia="Amiri" w:cs="Amiri"/>
          <w:color w:val="111111"/>
          <w:sz w:val="28"/>
          <w:sz w:val="28"/>
          <w:szCs w:val="28"/>
          <w:rtl w:val="true"/>
          <w:lang w:bidi="ar-SA"/>
        </w:rPr>
        <w:t xml:space="preserve">تعدد الموضوع، فالوقف إلى أن يوجد مرجّح لأحدهما </w:t>
      </w:r>
      <w:r>
        <w:rPr>
          <w:rStyle w:val="FootnoteAnchor"/>
          <w:rtl w:val="true"/>
        </w:rPr>
        <w:footnoteReference w:id="2539"/>
      </w:r>
      <w:r>
        <w:rPr>
          <w:rFonts w:ascii="Amiri" w:hAnsi="Amiri" w:eastAsia="Amiri" w:cs="Amiri"/>
          <w:color w:val="111111"/>
          <w:sz w:val="28"/>
          <w:sz w:val="28"/>
          <w:szCs w:val="28"/>
          <w:rtl w:val="true"/>
          <w:lang w:bidi="ar-SA"/>
        </w:rPr>
        <w:t xml:space="preserve">البطلان الترجيح بلا مرجّح ، وعدم الدليل على التخيير </w:t>
      </w:r>
      <w:r>
        <w:rPr>
          <w:rStyle w:val="FootnoteAnchor"/>
          <w:rtl w:val="true"/>
        </w:rPr>
        <w:footnoteReference w:id="2540"/>
      </w:r>
      <w:r>
        <w:rPr>
          <w:rFonts w:ascii="Amiri" w:hAnsi="Amiri" w:eastAsia="Amiri" w:cs="Amiri"/>
          <w:color w:val="111111"/>
          <w:sz w:val="28"/>
          <w:sz w:val="28"/>
          <w:szCs w:val="28"/>
          <w:rtl w:val="true"/>
          <w:lang w:bidi="ar-SA"/>
        </w:rPr>
        <w:t>بعد إمكان طرحهما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والحكميان العدميان، أو المختلفان، حالهما كماسبق من تقديم الشك السببي، والتوقف عند تسببهما من أمر ثالث؛ لوحدة الدليل، والإجماع المركب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الحكميان المتعارضان لا لأنفسهما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 ذلك بالشك في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 العمل بالأصلين</w:t>
      </w:r>
      <w:r>
        <w:rPr>
          <w:rStyle w:val="FootnoteAnchor"/>
          <w:rtl w:val="true"/>
        </w:rPr>
        <w:footnoteReference w:id="2541"/>
      </w:r>
      <w:r>
        <w:rPr>
          <w:rFonts w:ascii="Amiri" w:hAnsi="Amiri" w:eastAsia="Amiri" w:cs="Amiri"/>
          <w:color w:val="111111"/>
          <w:sz w:val="28"/>
          <w:sz w:val="28"/>
          <w:szCs w:val="28"/>
          <w:rtl w:val="true"/>
          <w:lang w:bidi="ar-SA"/>
        </w:rPr>
        <w:t>المكلّفين فصاعداً، كالثوب المشترك الذي فيه</w:t>
      </w:r>
      <w:r>
        <w:rPr>
          <w:rStyle w:val="FootnoteAnchor"/>
          <w:rtl w:val="true"/>
        </w:rPr>
        <w:footnoteReference w:id="2542"/>
      </w:r>
      <w:r>
        <w:rPr>
          <w:rFonts w:ascii="Amiri" w:hAnsi="Amiri" w:eastAsia="Amiri" w:cs="Amiri"/>
          <w:color w:val="111111"/>
          <w:sz w:val="28"/>
          <w:sz w:val="28"/>
          <w:szCs w:val="28"/>
          <w:rtl w:val="true"/>
          <w:lang w:bidi="ar-SA"/>
        </w:rPr>
        <w:t xml:space="preserve">المني، وكما إذا علم بنجاسة أحد الثوبين اللذين هما لشخصين، فكل يعمل بالأصل في حق </w:t>
      </w:r>
    </w:p>
    <w:p>
      <w:pPr>
        <w:pStyle w:val="BookText"/>
        <w:rPr/>
      </w:pPr>
      <w:r>
        <w:rPr>
          <w:rFonts w:ascii="Amiri" w:hAnsi="Amiri" w:eastAsia="Amiri" w:cs="Amiri"/>
          <w:color w:val="111111"/>
          <w:sz w:val="28"/>
          <w:sz w:val="28"/>
          <w:szCs w:val="28"/>
          <w:rtl w:val="true"/>
          <w:lang w:bidi="ar-SA"/>
        </w:rPr>
        <w:t>نفسه؛ لبناء العقلاء، ولا يشمله عموم أخبار عدم نقض اليقين بالشك</w:t>
      </w:r>
      <w:r>
        <w:rPr>
          <w:rFonts w:eastAsia="Amiri" w:cs="Amiri" w:ascii="Amiri" w:hAnsi="Amiri"/>
          <w:color w:val="111111"/>
          <w:sz w:val="28"/>
          <w:szCs w:val="28"/>
          <w:rtl w:val="true"/>
          <w:lang w:bidi="ar-SA"/>
        </w:rPr>
        <w:t>.</w:t>
      </w:r>
      <w:r>
        <w:rPr>
          <w:rStyle w:val="FootnoteAnchor"/>
          <w:rtl w:val="true"/>
        </w:rPr>
        <w:footnoteReference w:id="2543"/>
      </w:r>
    </w:p>
    <w:p>
      <w:pPr>
        <w:pStyle w:val="BookText"/>
        <w:rPr/>
      </w:pPr>
      <w:r>
        <w:rPr>
          <w:rFonts w:ascii="Amiri" w:hAnsi="Amiri" w:eastAsia="Amiri" w:cs="Amiri"/>
          <w:color w:val="111111"/>
          <w:sz w:val="28"/>
          <w:sz w:val="28"/>
          <w:szCs w:val="28"/>
          <w:rtl w:val="true"/>
          <w:lang w:bidi="ar-SA"/>
        </w:rPr>
        <w:t>أو لمكلف واحد فالوقف، إلّا إذا كان أحد المستصحبين موافقاً لأصل البراءة دون الآخر، فيعمل بالأصلين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تعارض الموضوعي مع الحكمي، قدّم الأول على الأصح؛ لمنقول الإجماع</w:t>
      </w:r>
      <w:r>
        <w:rPr>
          <w:rStyle w:val="FootnoteAnchor"/>
          <w:rtl w:val="true"/>
        </w:rPr>
        <w:footnoteReference w:id="2544"/>
      </w:r>
      <w:r>
        <w:rPr>
          <w:rFonts w:ascii="Amiri" w:hAnsi="Amiri" w:eastAsia="Amiri" w:cs="Amiri"/>
          <w:color w:val="111111"/>
          <w:sz w:val="28"/>
          <w:sz w:val="28"/>
          <w:szCs w:val="28"/>
          <w:rtl w:val="true"/>
          <w:lang w:bidi="ar-SA"/>
        </w:rPr>
        <w:t>، فانه يكفي مرجحاً لأحد الأصلين، ولأن كل من قدم الشك السببي</w:t>
      </w:r>
      <w:r>
        <w:rPr>
          <w:rStyle w:val="FootnoteAnchor"/>
          <w:rtl w:val="true"/>
        </w:rPr>
        <w:footnoteReference w:id="2545"/>
      </w:r>
      <w:r>
        <w:rPr>
          <w:rFonts w:ascii="Amiri" w:hAnsi="Amiri" w:eastAsia="Amiri" w:cs="Amiri"/>
          <w:color w:val="111111"/>
          <w:sz w:val="28"/>
          <w:sz w:val="28"/>
          <w:szCs w:val="28"/>
          <w:rtl w:val="true"/>
          <w:lang w:bidi="ar-SA"/>
        </w:rPr>
        <w:t>في القسم الأول قدم الموضوعي هنا، و</w:t>
      </w:r>
      <w:r>
        <w:rPr>
          <w:rStyle w:val="FootnoteAnchor"/>
          <w:rtl w:val="true"/>
        </w:rPr>
        <w:footnoteReference w:id="2546"/>
      </w:r>
      <w:r>
        <w:rPr>
          <w:rFonts w:ascii="Amiri" w:hAnsi="Amiri" w:eastAsia="Amiri" w:cs="Amiri"/>
          <w:color w:val="111111"/>
          <w:sz w:val="28"/>
          <w:sz w:val="28"/>
          <w:szCs w:val="28"/>
          <w:rtl w:val="true"/>
          <w:lang w:bidi="ar-SA"/>
        </w:rPr>
        <w:t>البناء العقلاء، ودلالة النصوص، فإن الموضوعي مزيل للحكمي، ولعمل الأكثر ، وظهور إجماع العاملين بالاستصحاب، ولا يضر مخالفة البعض</w:t>
      </w:r>
      <w:r>
        <w:rPr>
          <w:rFonts w:eastAsia="Amiri" w:cs="Amiri" w:ascii="Amiri" w:hAnsi="Amiri"/>
          <w:color w:val="111111"/>
          <w:sz w:val="28"/>
          <w:szCs w:val="28"/>
          <w:rtl w:val="true"/>
          <w:lang w:bidi="ar-SA"/>
        </w:rPr>
        <w:t>.</w:t>
      </w:r>
      <w:r>
        <w:rPr>
          <w:rStyle w:val="FootnoteAnchor"/>
          <w:rtl w:val="true"/>
        </w:rPr>
        <w:footnoteReference w:id="2547"/>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2548"/>
      </w:r>
      <w:r>
        <w:rPr>
          <w:rFonts w:ascii="Amiri" w:hAnsi="Amiri" w:eastAsia="Amiri" w:cs="Amiri"/>
          <w:color w:val="111111"/>
          <w:sz w:val="28"/>
          <w:sz w:val="28"/>
          <w:szCs w:val="28"/>
          <w:rtl w:val="true"/>
          <w:lang w:bidi="ar-SA"/>
        </w:rPr>
        <w:t>لو فرض هنا تسبب التعارض من أمر خارج، حتى صار الشك في الحادث</w:t>
      </w:r>
      <w:r>
        <w:rPr>
          <w:rStyle w:val="FootnoteAnchor"/>
          <w:rtl w:val="true"/>
        </w:rPr>
        <w:footnoteReference w:id="2549"/>
      </w:r>
      <w:r>
        <w:rPr>
          <w:rFonts w:ascii="Amiri" w:hAnsi="Amiri" w:eastAsia="Amiri" w:cs="Amiri"/>
          <w:color w:val="111111"/>
          <w:sz w:val="28"/>
          <w:sz w:val="28"/>
          <w:szCs w:val="28"/>
          <w:rtl w:val="true"/>
          <w:lang w:bidi="ar-SA"/>
        </w:rPr>
        <w:t>، عملنا بالأصلين، وطرحنا العلم الإجمالي؛ لطريقة أهل العقول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تعارض استصحابان موضوعيان، قدمنا المزيل على المزال كما مرَّ ، والا</w:t>
      </w:r>
      <w:r>
        <w:rPr>
          <w:rStyle w:val="FootnoteAnchor"/>
          <w:rtl w:val="true"/>
        </w:rPr>
        <w:footnoteReference w:id="2550"/>
      </w:r>
      <w:r>
        <w:rPr>
          <w:rFonts w:ascii="Amiri" w:hAnsi="Amiri" w:eastAsia="Amiri" w:cs="Amiri"/>
          <w:color w:val="111111"/>
          <w:sz w:val="28"/>
          <w:sz w:val="28"/>
          <w:szCs w:val="28"/>
          <w:rtl w:val="true"/>
          <w:lang w:bidi="ar-SA"/>
        </w:rPr>
        <w:t>فالوقف، نعم لوتسبب التعارض من أمر خارج ، وصار الشك في الحادث، عملنا بالأصلين إذا كان العمل من شخصين، والا فالوقف أيضاً، إلا أن يوجد مرجح لأحد الأصلين، بحيث يكون نفس المرجح دليلاً مستقلاً</w:t>
      </w:r>
      <w:r>
        <w:rPr>
          <w:rFonts w:eastAsia="Amiri" w:cs="Amiri" w:ascii="Amiri" w:hAnsi="Amiri"/>
          <w:color w:val="111111"/>
          <w:sz w:val="28"/>
          <w:szCs w:val="28"/>
          <w:rtl w:val="true"/>
          <w:lang w:bidi="ar-SA"/>
        </w:rPr>
        <w:t xml:space="preserve">. </w:t>
      </w:r>
      <w:bookmarkStart w:id="775" w:name="pg9015_97827"/>
    </w:p>
    <w:p>
      <w:pPr>
        <w:pStyle w:val="Heading2"/>
        <w:numPr>
          <w:ilvl w:val="1"/>
          <w:numId w:val="1"/>
        </w:numPr>
        <w:rPr/>
      </w:pPr>
      <w:bookmarkStart w:id="776" w:name="__RefHeading___Toc2001889_2870459653"/>
      <w:bookmarkStart w:id="777" w:name="_Toc294"/>
      <w:bookmarkEnd w:id="775"/>
      <w:bookmarkEnd w:id="776"/>
      <w:r>
        <w:rPr>
          <w:rtl w:val="true"/>
        </w:rPr>
        <w:t xml:space="preserve">أصل </w:t>
      </w:r>
      <w:r>
        <w:rPr>
          <w:rtl w:val="true"/>
        </w:rPr>
        <w:t>[</w:t>
      </w:r>
      <w:r>
        <w:rPr>
          <w:rtl w:val="true"/>
        </w:rPr>
        <w:t>في لزوم الفحص قبل العمل بالاستصحاب</w:t>
      </w:r>
      <w:r>
        <w:rPr>
          <w:rtl w:val="true"/>
        </w:rPr>
        <w:t>]</w:t>
      </w:r>
      <w:bookmarkEnd w:id="777"/>
    </w:p>
    <w:p>
      <w:pPr>
        <w:pStyle w:val="BookText"/>
        <w:rPr/>
      </w:pPr>
      <w:r>
        <w:rPr>
          <w:rFonts w:ascii="Amiri" w:hAnsi="Amiri" w:eastAsia="Amiri" w:cs="Amiri"/>
          <w:color w:val="111111"/>
          <w:sz w:val="28"/>
          <w:sz w:val="28"/>
          <w:szCs w:val="28"/>
          <w:rtl w:val="true"/>
          <w:lang w:bidi="ar-SA"/>
        </w:rPr>
        <w:t>لا عمل بالاستصحاب في الأحكام قبل الفحص عن المعارض؛ للأصل تكليفاً ووضعاً</w:t>
      </w:r>
      <w:r>
        <w:rPr>
          <w:rStyle w:val="FootnoteAnchor"/>
          <w:rtl w:val="true"/>
        </w:rPr>
        <w:footnoteReference w:id="2551"/>
      </w:r>
      <w:r>
        <w:rPr>
          <w:rFonts w:ascii="IRNazanin" w:hAnsi="IRNazanin" w:eastAsia="IRNazanin"/>
          <w:color w:val="111111"/>
          <w:sz w:val="28"/>
          <w:sz w:val="28"/>
          <w:szCs w:val="28"/>
          <w:rtl w:val="true"/>
          <w:lang w:bidi="fa-IR"/>
        </w:rPr>
        <w:t>، والإجماع</w:t>
      </w:r>
      <w:r>
        <w:rPr>
          <w:rStyle w:val="FootnoteAnchor"/>
          <w:rtl w:val="true"/>
        </w:rPr>
        <w:footnoteReference w:id="2552"/>
      </w:r>
      <w:r>
        <w:rPr>
          <w:rFonts w:ascii="Amiri" w:hAnsi="Amiri" w:eastAsia="Amiri" w:cs="Amiri"/>
          <w:color w:val="111111"/>
          <w:sz w:val="28"/>
          <w:sz w:val="28"/>
          <w:szCs w:val="28"/>
          <w:rtl w:val="true"/>
          <w:lang w:bidi="ar-SA"/>
        </w:rPr>
        <w:t>، ولزوم الخروج عن الدين في العمل بالأصول الفقاهتية قبله، والأولوية بالنسبة إلى الأدلة الاجتهادية</w:t>
      </w:r>
      <w:r>
        <w:rPr>
          <w:rFonts w:eastAsia="Amiri" w:cs="Amiri" w:ascii="Amiri" w:hAnsi="Amiri"/>
          <w:color w:val="111111"/>
          <w:sz w:val="28"/>
          <w:szCs w:val="28"/>
          <w:rtl w:val="true"/>
          <w:lang w:bidi="ar-SA"/>
        </w:rPr>
        <w:t>.</w:t>
      </w:r>
      <w:r>
        <w:rPr>
          <w:rStyle w:val="FootnoteAnchor"/>
          <w:rtl w:val="true"/>
        </w:rPr>
        <w:footnoteReference w:id="2553"/>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ومثلها </w:t>
      </w:r>
      <w:r>
        <w:rPr>
          <w:rStyle w:val="FootnoteAnchor"/>
          <w:rtl w:val="true"/>
        </w:rPr>
        <w:footnoteReference w:id="2554"/>
      </w:r>
      <w:r>
        <w:rPr>
          <w:rFonts w:ascii="Amiri" w:hAnsi="Amiri" w:eastAsia="Amiri" w:cs="Amiri"/>
          <w:color w:val="111111"/>
          <w:sz w:val="28"/>
          <w:sz w:val="28"/>
          <w:szCs w:val="28"/>
          <w:rtl w:val="true"/>
          <w:lang w:bidi="ar-SA"/>
        </w:rPr>
        <w:t>الموضوع المستنبط؛ للأصل، وظهور الوفاق، والأولوية</w:t>
      </w:r>
      <w:r>
        <w:rPr>
          <w:rStyle w:val="FootnoteAnchor"/>
          <w:rtl w:val="true"/>
        </w:rPr>
        <w:footnoteReference w:id="2555"/>
      </w:r>
      <w:r>
        <w:rPr>
          <w:rFonts w:ascii="Amiri" w:hAnsi="Amiri" w:eastAsia="Amiri" w:cs="Amiri"/>
          <w:color w:val="111111"/>
          <w:sz w:val="28"/>
          <w:sz w:val="28"/>
          <w:szCs w:val="28"/>
          <w:rtl w:val="true"/>
          <w:lang w:bidi="ar-SA"/>
        </w:rPr>
        <w:t>، ولزوم المخالفة القطعية لولاه لا الصرف على الاصح عندي</w:t>
      </w:r>
      <w:r>
        <w:rPr>
          <w:rStyle w:val="FootnoteAnchor"/>
          <w:rtl w:val="true"/>
        </w:rPr>
        <w:footnoteReference w:id="2556"/>
      </w:r>
      <w:r>
        <w:rPr>
          <w:rFonts w:ascii="Amiri" w:hAnsi="Amiri" w:eastAsia="Amiri" w:cs="Amiri"/>
          <w:color w:val="111111"/>
          <w:sz w:val="28"/>
          <w:sz w:val="28"/>
          <w:szCs w:val="28"/>
          <w:rtl w:val="true"/>
          <w:lang w:bidi="ar-SA"/>
        </w:rPr>
        <w:t>لدلالة النصوص بالعموم والخصوص</w:t>
      </w:r>
      <w:r>
        <w:rPr>
          <w:rFonts w:eastAsia="Amiri" w:cs="Amiri" w:ascii="Amiri" w:hAnsi="Amiri"/>
          <w:color w:val="111111"/>
          <w:sz w:val="28"/>
          <w:szCs w:val="28"/>
          <w:rtl w:val="true"/>
          <w:lang w:bidi="ar-SA"/>
        </w:rPr>
        <w:t xml:space="preserve">. </w:t>
      </w:r>
      <w:bookmarkStart w:id="778" w:name="pg9015_97829"/>
    </w:p>
    <w:p>
      <w:pPr>
        <w:pStyle w:val="Heading2"/>
        <w:numPr>
          <w:ilvl w:val="1"/>
          <w:numId w:val="1"/>
        </w:numPr>
        <w:rPr/>
      </w:pPr>
      <w:bookmarkStart w:id="779" w:name="__RefHeading___Toc2001891_2870459653"/>
      <w:bookmarkStart w:id="780" w:name="_Toc295"/>
      <w:bookmarkEnd w:id="778"/>
      <w:bookmarkEnd w:id="779"/>
      <w:r>
        <w:rPr>
          <w:rtl w:val="true"/>
        </w:rPr>
        <w:t xml:space="preserve">أصل </w:t>
      </w:r>
      <w:r>
        <w:rPr>
          <w:rtl w:val="true"/>
        </w:rPr>
        <w:t>[</w:t>
      </w:r>
      <w:r>
        <w:rPr>
          <w:rtl w:val="true"/>
        </w:rPr>
        <w:t>في استصحاب الشرائع السابقة</w:t>
      </w:r>
      <w:r>
        <w:rPr>
          <w:rtl w:val="true"/>
        </w:rPr>
        <w:t>]</w:t>
      </w:r>
      <w:bookmarkEnd w:id="780"/>
    </w:p>
    <w:p>
      <w:pPr>
        <w:pStyle w:val="BookText"/>
        <w:rPr/>
      </w:pPr>
      <w:r>
        <w:rPr>
          <w:rFonts w:ascii="Amiri" w:hAnsi="Amiri" w:eastAsia="Amiri" w:cs="Amiri"/>
          <w:color w:val="111111"/>
          <w:sz w:val="28"/>
          <w:sz w:val="28"/>
          <w:szCs w:val="28"/>
          <w:rtl w:val="true"/>
          <w:lang w:bidi="ar-SA"/>
        </w:rPr>
        <w:t>لا يصح التمسك باستصحاب ما لم يعلم نسخه من أحكام الشرائع السابقة، كان في المشتبهات علم إجمالي قليلاً في كثير ، أم كثيراً في كثير، أم لم يكن</w:t>
      </w:r>
      <w:r>
        <w:rPr>
          <w:rStyle w:val="FootnoteAnchor"/>
          <w:rtl w:val="true"/>
        </w:rPr>
        <w:footnoteReference w:id="2557"/>
      </w:r>
      <w:r>
        <w:rPr>
          <w:rFonts w:ascii="IRNazanin" w:hAnsi="IRNazanin" w:eastAsia="IRNazanin"/>
          <w:color w:val="111111"/>
          <w:sz w:val="28"/>
          <w:sz w:val="28"/>
          <w:szCs w:val="28"/>
          <w:rtl w:val="true"/>
          <w:lang w:bidi="fa-IR"/>
        </w:rPr>
        <w:t>لعدم انصراف النصوص إلى مثله</w:t>
      </w:r>
      <w:r>
        <w:rPr>
          <w:rStyle w:val="FootnoteAnchor"/>
          <w:rtl w:val="true"/>
        </w:rPr>
        <w:footnoteReference w:id="2558"/>
      </w:r>
      <w:r>
        <w:rPr>
          <w:rFonts w:ascii="Amiri" w:hAnsi="Amiri" w:eastAsia="Amiri" w:cs="Amiri"/>
          <w:color w:val="111111"/>
          <w:sz w:val="28"/>
          <w:sz w:val="28"/>
          <w:szCs w:val="28"/>
          <w:rtl w:val="true"/>
          <w:lang w:bidi="ar-SA"/>
        </w:rPr>
        <w:t>، وكون بناء العقلاء على خلافه، فيسلم أصالة عدم حجية الاستصحاب؛ لكونه عملاً بما وراء العلم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المتدين بالدين السابق</w:t>
      </w:r>
      <w:r>
        <w:rPr>
          <w:rStyle w:val="FootnoteAnchor"/>
          <w:rtl w:val="true"/>
        </w:rPr>
        <w:footnoteReference w:id="2559"/>
      </w:r>
      <w:r>
        <w:rPr>
          <w:rFonts w:ascii="Amiri" w:hAnsi="Amiri" w:eastAsia="Amiri" w:cs="Amiri"/>
          <w:color w:val="111111"/>
          <w:sz w:val="28"/>
          <w:sz w:val="28"/>
          <w:szCs w:val="28"/>
          <w:rtl w:val="true"/>
          <w:lang w:bidi="ar-SA"/>
        </w:rPr>
        <w:t>في زمان لو شك في النسخ لعمل بالاستصحاب، كما عليه بناء العقلاء، ويتم في من عداه بالإجماع المركب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مقلوب بمثله</w:t>
      </w:r>
      <w:r>
        <w:rPr>
          <w:rStyle w:val="FootnoteAnchor"/>
          <w:rtl w:val="true"/>
        </w:rPr>
        <w:footnoteReference w:id="2560"/>
      </w:r>
      <w:r>
        <w:rPr>
          <w:rFonts w:ascii="Amiri" w:hAnsi="Amiri" w:eastAsia="Amiri" w:cs="Amiri"/>
          <w:color w:val="111111"/>
          <w:sz w:val="28"/>
          <w:sz w:val="28"/>
          <w:szCs w:val="28"/>
          <w:rtl w:val="true"/>
          <w:lang w:bidi="ar-SA"/>
        </w:rPr>
        <w:t>، فالأصل أيضاً سليم</w:t>
      </w:r>
      <w:r>
        <w:rPr>
          <w:rFonts w:eastAsia="Amiri" w:cs="Amiri" w:ascii="Amiri" w:hAnsi="Amiri"/>
          <w:color w:val="111111"/>
          <w:sz w:val="28"/>
          <w:szCs w:val="28"/>
          <w:rtl w:val="true"/>
          <w:lang w:bidi="ar-SA"/>
        </w:rPr>
        <w:t>.</w:t>
      </w:r>
      <w:r>
        <w:rPr>
          <w:rStyle w:val="FootnoteAnchor"/>
          <w:rtl w:val="true"/>
        </w:rPr>
        <w:footnoteReference w:id="256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ولقائل دعوى كون عمل الفقهاء على ذلك، ودلالة النصوص عليه، فيدفع بالأصل</w:t>
      </w:r>
      <w:r>
        <w:rPr>
          <w:rFonts w:eastAsia="Amiri" w:cs="Amiri" w:ascii="Amiri" w:hAnsi="Amiri"/>
          <w:color w:val="111111"/>
          <w:sz w:val="28"/>
          <w:szCs w:val="28"/>
          <w:rtl w:val="true"/>
          <w:lang w:bidi="ar-SA"/>
        </w:rPr>
        <w:t>.</w:t>
      </w:r>
      <w:r>
        <w:rPr>
          <w:rStyle w:val="FootnoteAnchor"/>
          <w:rtl w:val="true"/>
        </w:rPr>
        <w:footnoteReference w:id="2562"/>
      </w:r>
      <w:bookmarkStart w:id="781" w:name="pg9015_97831"/>
    </w:p>
    <w:p>
      <w:pPr>
        <w:pStyle w:val="Heading2"/>
        <w:numPr>
          <w:ilvl w:val="1"/>
          <w:numId w:val="1"/>
        </w:numPr>
        <w:rPr/>
      </w:pPr>
      <w:bookmarkStart w:id="782" w:name="__RefHeading___Toc2001893_2870459653"/>
      <w:bookmarkStart w:id="783" w:name="_Toc296"/>
      <w:bookmarkEnd w:id="781"/>
      <w:bookmarkEnd w:id="782"/>
      <w:r>
        <w:rPr>
          <w:rtl w:val="true"/>
        </w:rPr>
        <w:t xml:space="preserve">أصل </w:t>
      </w:r>
      <w:r>
        <w:rPr>
          <w:rtl w:val="true"/>
        </w:rPr>
        <w:t>[</w:t>
      </w:r>
      <w:r>
        <w:rPr>
          <w:rtl w:val="true"/>
        </w:rPr>
        <w:t>في الاجتهاد والتقليد</w:t>
      </w:r>
      <w:r>
        <w:rPr>
          <w:rtl w:val="true"/>
        </w:rPr>
        <w:t>]</w:t>
      </w:r>
      <w:bookmarkEnd w:id="783"/>
    </w:p>
    <w:p>
      <w:pPr>
        <w:pStyle w:val="BookText"/>
        <w:rPr/>
      </w:pPr>
      <w:r>
        <w:rPr>
          <w:rFonts w:ascii="Amiri" w:hAnsi="Amiri" w:eastAsia="Amiri" w:cs="Amiri"/>
          <w:color w:val="111111"/>
          <w:sz w:val="28"/>
          <w:sz w:val="28"/>
          <w:szCs w:val="28"/>
          <w:rtl w:val="true"/>
          <w:lang w:bidi="ar-SA"/>
        </w:rPr>
        <w:t xml:space="preserve">عرّفوا الاجتهاد الاصطلاحي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استفراغ</w:t>
      </w:r>
      <w:r>
        <w:rPr>
          <w:rStyle w:val="FootnoteAnchor"/>
          <w:rtl w:val="true"/>
        </w:rPr>
        <w:footnoteReference w:id="2563"/>
      </w:r>
      <w:r>
        <w:rPr>
          <w:rFonts w:ascii="Amiri" w:hAnsi="Amiri" w:eastAsia="Amiri" w:cs="Amiri"/>
          <w:color w:val="111111"/>
          <w:sz w:val="28"/>
          <w:sz w:val="28"/>
          <w:szCs w:val="28"/>
          <w:rtl w:val="true"/>
          <w:lang w:bidi="ar-SA"/>
        </w:rPr>
        <w:t>الفقيه الوسع في تحصيل الظن بالحكم الشرعي</w:t>
      </w:r>
      <w:r>
        <w:rPr>
          <w:rFonts w:eastAsia="Amiri" w:cs="Amiri" w:ascii="Amiri" w:hAnsi="Amiri"/>
          <w:color w:val="111111"/>
          <w:sz w:val="28"/>
          <w:szCs w:val="28"/>
          <w:rtl w:val="true"/>
          <w:lang w:bidi="ar-SA"/>
        </w:rPr>
        <w:t>.</w:t>
      </w:r>
      <w:r>
        <w:rPr>
          <w:rStyle w:val="FootnoteAnchor"/>
          <w:rtl w:val="true"/>
        </w:rPr>
        <w:footnoteReference w:id="2564"/>
      </w:r>
    </w:p>
    <w:p>
      <w:pPr>
        <w:pStyle w:val="BookText"/>
        <w:rPr/>
      </w:pPr>
      <w:r>
        <w:rPr>
          <w:rFonts w:ascii="Amiri" w:hAnsi="Amiri" w:eastAsia="Amiri" w:cs="Amiri"/>
          <w:color w:val="111111"/>
          <w:sz w:val="28"/>
          <w:sz w:val="28"/>
          <w:szCs w:val="28"/>
          <w:rtl w:val="true"/>
          <w:lang w:bidi="ar-SA"/>
        </w:rPr>
        <w:t>وملكة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ملكة</w:t>
      </w:r>
      <w:r>
        <w:rPr>
          <w:rStyle w:val="FootnoteAnchor"/>
          <w:rtl w:val="true"/>
        </w:rPr>
        <w:footnoteReference w:id="2565"/>
      </w:r>
      <w:r>
        <w:rPr>
          <w:rFonts w:ascii="Amiri" w:hAnsi="Amiri" w:eastAsia="Amiri" w:cs="Amiri"/>
          <w:color w:val="111111"/>
          <w:sz w:val="28"/>
          <w:sz w:val="28"/>
          <w:szCs w:val="28"/>
          <w:rtl w:val="true"/>
          <w:lang w:bidi="ar-SA"/>
        </w:rPr>
        <w:t>يقتدر بها على استنباط الحكم</w:t>
      </w:r>
      <w:r>
        <w:rPr>
          <w:rFonts w:eastAsia="Amiri" w:cs="Amiri" w:ascii="Amiri" w:hAnsi="Amiri"/>
          <w:color w:val="111111"/>
          <w:sz w:val="28"/>
          <w:szCs w:val="28"/>
          <w:rtl w:val="true"/>
          <w:lang w:bidi="ar-SA"/>
        </w:rPr>
        <w:t>.</w:t>
      </w:r>
      <w:r>
        <w:rPr>
          <w:rStyle w:val="FootnoteAnchor"/>
          <w:rtl w:val="true"/>
        </w:rPr>
        <w:footnoteReference w:id="2566"/>
      </w:r>
    </w:p>
    <w:p>
      <w:pPr>
        <w:pStyle w:val="BookText"/>
        <w:rPr/>
      </w:pPr>
      <w:r>
        <w:rPr>
          <w:rFonts w:ascii="Amiri" w:hAnsi="Amiri" w:eastAsia="Amiri" w:cs="Amiri"/>
          <w:color w:val="111111"/>
          <w:sz w:val="28"/>
          <w:sz w:val="28"/>
          <w:szCs w:val="28"/>
          <w:rtl w:val="true"/>
          <w:lang w:bidi="ar-SA"/>
        </w:rPr>
        <w:t>ويرد على كل منهما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والأحسن تعريف الملكي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يقتدر بها على تحصيل الاعتقاد بالحكم الشرعي الواقعي</w:t>
      </w:r>
      <w:r>
        <w:rPr>
          <w:rStyle w:val="FootnoteAnchor"/>
          <w:rtl w:val="true"/>
        </w:rPr>
        <w:footnoteReference w:id="2567"/>
      </w:r>
      <w:r>
        <w:rPr>
          <w:rFonts w:ascii="Amiri" w:hAnsi="Amiri" w:eastAsia="Amiri" w:cs="Amiri"/>
          <w:color w:val="111111"/>
          <w:sz w:val="28"/>
          <w:sz w:val="28"/>
          <w:szCs w:val="28"/>
          <w:rtl w:val="true"/>
          <w:lang w:bidi="ar-SA"/>
        </w:rPr>
        <w:t>تحصيلاً نظرياً، والحالي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استفراغ الفقيه وسعه في تحصيل الاعتقاد بالحكم الشرعي الفرعي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مشترك بين</w:t>
      </w:r>
      <w:r>
        <w:rPr>
          <w:rStyle w:val="FootnoteAnchor"/>
          <w:rtl w:val="true"/>
        </w:rPr>
        <w:footnoteReference w:id="2568"/>
      </w:r>
      <w:r>
        <w:rPr>
          <w:rFonts w:ascii="Amiri" w:hAnsi="Amiri" w:eastAsia="Amiri" w:cs="Amiri"/>
          <w:color w:val="111111"/>
          <w:sz w:val="28"/>
          <w:sz w:val="28"/>
          <w:szCs w:val="28"/>
          <w:rtl w:val="true"/>
          <w:lang w:bidi="ar-SA"/>
        </w:rPr>
        <w:t xml:space="preserve">المعنيين لفظاً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والفقه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بالحكم الظاهري والملكي ملكة تحصيل العلم بالحكم الظاهري</w:t>
      </w:r>
      <w:r>
        <w:rPr>
          <w:rFonts w:eastAsia="Amiri" w:cs="Amiri" w:ascii="Amiri" w:hAnsi="Amiri"/>
          <w:color w:val="111111"/>
          <w:sz w:val="28"/>
          <w:szCs w:val="28"/>
          <w:rtl w:val="true"/>
          <w:lang w:bidi="ar-SA"/>
        </w:rPr>
        <w:t>.</w:t>
      </w:r>
      <w:r>
        <w:rPr>
          <w:rStyle w:val="FootnoteAnchor"/>
          <w:rtl w:val="true"/>
        </w:rPr>
        <w:footnoteReference w:id="2569"/>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من يشتغل بإظهار الأحكام عن رأيه واجتهاده</w:t>
      </w:r>
      <w:r>
        <w:rPr>
          <w:rStyle w:val="FootnoteAnchor"/>
          <w:rtl w:val="true"/>
        </w:rPr>
        <w:footnoteReference w:id="2570"/>
      </w:r>
      <w:r>
        <w:rPr>
          <w:rFonts w:ascii="IRNazanin" w:hAnsi="IRNazanin" w:eastAsia="IRNazanin"/>
          <w:color w:val="111111"/>
          <w:sz w:val="28"/>
          <w:sz w:val="28"/>
          <w:szCs w:val="28"/>
          <w:rtl w:val="true"/>
          <w:lang w:bidi="fa-IR"/>
        </w:rPr>
        <w:t>وعلى من له هذا المنصب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من</w:t>
      </w:r>
      <w:r>
        <w:rPr>
          <w:rStyle w:val="FootnoteAnchor"/>
          <w:rtl w:val="true"/>
        </w:rPr>
        <w:footnoteReference w:id="2571"/>
      </w:r>
      <w:r>
        <w:rPr>
          <w:rFonts w:ascii="Amiri" w:hAnsi="Amiri" w:eastAsia="Amiri" w:cs="Amiri"/>
          <w:color w:val="111111"/>
          <w:sz w:val="28"/>
          <w:sz w:val="28"/>
          <w:szCs w:val="28"/>
          <w:rtl w:val="true"/>
          <w:lang w:bidi="ar-SA"/>
        </w:rPr>
        <w:t>يرفع الخصومة بين الخصمين على الوجه المخصوص</w:t>
      </w:r>
      <w:r>
        <w:rPr>
          <w:rStyle w:val="FootnoteAnchor"/>
          <w:rtl w:val="true"/>
        </w:rPr>
        <w:footnoteReference w:id="2572"/>
      </w:r>
      <w:r>
        <w:rPr>
          <w:rFonts w:ascii="IRNazanin" w:hAnsi="IRNazanin" w:eastAsia="IRNazanin"/>
          <w:color w:val="111111"/>
          <w:sz w:val="28"/>
          <w:sz w:val="28"/>
          <w:szCs w:val="28"/>
          <w:rtl w:val="true"/>
          <w:lang w:bidi="fa-IR"/>
        </w:rPr>
        <w:t xml:space="preserve">وعلى من </w:t>
      </w:r>
      <w:r>
        <w:rPr>
          <w:rStyle w:val="FootnoteAnchor"/>
          <w:rtl w:val="true"/>
        </w:rPr>
        <w:footnoteReference w:id="2573"/>
      </w:r>
      <w:r>
        <w:rPr>
          <w:rFonts w:ascii="IRNazanin" w:hAnsi="IRNazanin" w:eastAsia="IRNazanin"/>
          <w:color w:val="111111"/>
          <w:sz w:val="28"/>
          <w:sz w:val="28"/>
          <w:szCs w:val="28"/>
          <w:rtl w:val="true"/>
          <w:lang w:bidi="fa-IR"/>
        </w:rPr>
        <w:t>له هذا المنصب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المتصرف في أموال الغيب والمجانين ونحوهم، على الوجه الشرعي المخصوص</w:t>
      </w:r>
      <w:r>
        <w:rPr>
          <w:rStyle w:val="FootnoteAnchor"/>
          <w:rtl w:val="true"/>
        </w:rPr>
        <w:footnoteReference w:id="2574"/>
      </w:r>
      <w:r>
        <w:rPr>
          <w:rFonts w:ascii="IRNazanin" w:hAnsi="IRNazanin" w:eastAsia="IRNazanin"/>
          <w:color w:val="111111"/>
          <w:sz w:val="28"/>
          <w:sz w:val="28"/>
          <w:szCs w:val="28"/>
          <w:rtl w:val="true"/>
          <w:lang w:bidi="fa-IR"/>
        </w:rPr>
        <w:t xml:space="preserve">، وعلى من </w:t>
      </w:r>
      <w:r>
        <w:rPr>
          <w:rStyle w:val="FootnoteAnchor"/>
          <w:rtl w:val="true"/>
        </w:rPr>
        <w:footnoteReference w:id="2575"/>
      </w:r>
      <w:r>
        <w:rPr>
          <w:rFonts w:ascii="IRNazanin" w:hAnsi="IRNazanin" w:eastAsia="IRNazanin"/>
          <w:color w:val="111111"/>
          <w:sz w:val="28"/>
          <w:sz w:val="28"/>
          <w:szCs w:val="28"/>
          <w:rtl w:val="true"/>
          <w:lang w:bidi="fa-IR"/>
        </w:rPr>
        <w:t>له هذا المنصب</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عندي أن</w:t>
      </w:r>
      <w:r>
        <w:rPr>
          <w:rStyle w:val="FootnoteAnchor"/>
          <w:rtl w:val="true"/>
        </w:rPr>
        <w:footnoteReference w:id="2576"/>
      </w:r>
      <w:r>
        <w:rPr>
          <w:rFonts w:ascii="Amiri" w:hAnsi="Amiri" w:eastAsia="Amiri" w:cs="Amiri"/>
          <w:color w:val="111111"/>
          <w:sz w:val="28"/>
          <w:sz w:val="28"/>
          <w:szCs w:val="28"/>
          <w:rtl w:val="true"/>
          <w:lang w:bidi="ar-SA"/>
        </w:rPr>
        <w:t>الحاكم يطلق على الأعم من القاضي، ويحتمل ترادفها</w:t>
      </w:r>
      <w:r>
        <w:rPr>
          <w:rFonts w:eastAsia="Amiri" w:cs="Amiri" w:ascii="Amiri" w:hAnsi="Amiri"/>
          <w:color w:val="111111"/>
          <w:sz w:val="28"/>
          <w:szCs w:val="28"/>
          <w:rtl w:val="true"/>
          <w:lang w:bidi="ar-SA"/>
        </w:rPr>
        <w:t xml:space="preserve">. </w:t>
      </w:r>
      <w:bookmarkStart w:id="784" w:name="pg9015_97835"/>
    </w:p>
    <w:p>
      <w:pPr>
        <w:pStyle w:val="Heading2"/>
        <w:numPr>
          <w:ilvl w:val="1"/>
          <w:numId w:val="1"/>
        </w:numPr>
        <w:rPr/>
      </w:pPr>
      <w:bookmarkStart w:id="785" w:name="__RefHeading___Toc2001895_2870459653"/>
      <w:bookmarkStart w:id="786" w:name="_Toc297"/>
      <w:bookmarkEnd w:id="784"/>
      <w:bookmarkEnd w:id="785"/>
      <w:r>
        <w:rPr>
          <w:rtl w:val="true"/>
        </w:rPr>
        <w:t xml:space="preserve">أصل </w:t>
      </w:r>
      <w:r>
        <w:rPr>
          <w:rtl w:val="true"/>
        </w:rPr>
        <w:t>[</w:t>
      </w:r>
      <w:r>
        <w:rPr>
          <w:rtl w:val="true"/>
        </w:rPr>
        <w:t>في التجزي في الاجتهاد</w:t>
      </w:r>
      <w:r>
        <w:rPr>
          <w:rtl w:val="true"/>
        </w:rPr>
        <w:t>]</w:t>
      </w:r>
      <w:bookmarkEnd w:id="786"/>
    </w:p>
    <w:p>
      <w:pPr>
        <w:pStyle w:val="Heading3"/>
        <w:numPr>
          <w:ilvl w:val="2"/>
          <w:numId w:val="1"/>
        </w:numPr>
        <w:rPr/>
      </w:pPr>
      <w:bookmarkStart w:id="787" w:name="__RefHeading___Toc2001897_2870459653"/>
      <w:bookmarkStart w:id="788" w:name="_Toc298"/>
      <w:bookmarkEnd w:id="787"/>
      <w:r>
        <w:rPr>
          <w:rtl w:val="true"/>
        </w:rPr>
        <w:t>اشارة</w:t>
      </w:r>
      <w:bookmarkEnd w:id="788"/>
    </w:p>
    <w:p>
      <w:pPr>
        <w:pStyle w:val="BookText"/>
        <w:rPr/>
      </w:pPr>
      <w:r>
        <w:rPr>
          <w:rFonts w:ascii="Amiri" w:hAnsi="Amiri" w:eastAsia="Amiri" w:cs="Amiri"/>
          <w:color w:val="111111"/>
          <w:sz w:val="28"/>
          <w:sz w:val="28"/>
          <w:szCs w:val="28"/>
          <w:rtl w:val="true"/>
          <w:lang w:bidi="ar-SA"/>
        </w:rPr>
        <w:t>اختلفوا في جواز تجزّي</w:t>
      </w:r>
      <w:r>
        <w:rPr>
          <w:rStyle w:val="FootnoteAnchor"/>
          <w:rtl w:val="true"/>
        </w:rPr>
        <w:footnoteReference w:id="2577"/>
      </w:r>
      <w:r>
        <w:rPr>
          <w:rFonts w:ascii="Amiri" w:hAnsi="Amiri" w:eastAsia="Amiri" w:cs="Amiri"/>
          <w:color w:val="111111"/>
          <w:sz w:val="28"/>
          <w:sz w:val="28"/>
          <w:szCs w:val="28"/>
          <w:rtl w:val="true"/>
          <w:lang w:bidi="ar-SA"/>
        </w:rPr>
        <w:t>ملكة الاجتهاد وعدمه في الفروع، وادعوا الوفاق على جوازه في الأصول</w:t>
      </w:r>
      <w:r>
        <w:rPr>
          <w:rFonts w:eastAsia="Amiri" w:cs="Amiri" w:ascii="Amiri" w:hAnsi="Amiri"/>
          <w:color w:val="111111"/>
          <w:sz w:val="28"/>
          <w:szCs w:val="28"/>
          <w:rtl w:val="true"/>
          <w:lang w:bidi="ar-SA"/>
        </w:rPr>
        <w:t>.</w:t>
      </w:r>
      <w:r>
        <w:rPr>
          <w:rStyle w:val="FootnoteAnchor"/>
          <w:rtl w:val="true"/>
        </w:rPr>
        <w:footnoteReference w:id="2578"/>
      </w:r>
    </w:p>
    <w:p>
      <w:pPr>
        <w:pStyle w:val="BookText"/>
        <w:rPr/>
      </w:pPr>
      <w:r>
        <w:rPr>
          <w:rFonts w:ascii="Amiri" w:hAnsi="Amiri" w:eastAsia="Amiri" w:cs="Amiri"/>
          <w:color w:val="111111"/>
          <w:sz w:val="28"/>
          <w:sz w:val="28"/>
          <w:szCs w:val="28"/>
          <w:rtl w:val="true"/>
          <w:lang w:bidi="ar-SA"/>
        </w:rPr>
        <w:t>وقد يتخيل تناقضهما</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2001899_2870459653"/>
      <w:bookmarkStart w:id="790" w:name="_Toc299"/>
      <w:bookmarkEnd w:id="789"/>
      <w:r>
        <w:rPr>
          <w:rtl w:val="true"/>
        </w:rPr>
        <w:t>[</w:t>
      </w:r>
      <w:r>
        <w:rPr>
          <w:rtl w:val="true"/>
        </w:rPr>
        <w:t>المختار في المسألة</w:t>
      </w:r>
      <w:r>
        <w:rPr>
          <w:rtl w:val="true"/>
        </w:rPr>
        <w:t>]</w:t>
      </w:r>
      <w:bookmarkEnd w:id="790"/>
    </w:p>
    <w:p>
      <w:pPr>
        <w:pStyle w:val="BookText"/>
        <w:rPr/>
      </w:pPr>
      <w:r>
        <w:rPr>
          <w:rFonts w:ascii="Amiri" w:hAnsi="Amiri" w:eastAsia="Amiri" w:cs="Amiri"/>
          <w:color w:val="111111"/>
          <w:sz w:val="28"/>
          <w:sz w:val="28"/>
          <w:szCs w:val="28"/>
          <w:rtl w:val="true"/>
          <w:lang w:bidi="ar-SA"/>
        </w:rPr>
        <w:t>والحق إمكان التجزي</w:t>
      </w:r>
      <w:r>
        <w:rPr>
          <w:rStyle w:val="FootnoteAnchor"/>
          <w:rtl w:val="true"/>
        </w:rPr>
        <w:footnoteReference w:id="2579"/>
      </w:r>
      <w:r>
        <w:rPr>
          <w:rFonts w:ascii="IRNazanin" w:hAnsi="IRNazanin" w:eastAsia="IRNazanin"/>
          <w:color w:val="111111"/>
          <w:sz w:val="28"/>
          <w:sz w:val="28"/>
          <w:szCs w:val="28"/>
          <w:rtl w:val="true"/>
          <w:lang w:bidi="fa-IR"/>
        </w:rPr>
        <w:t xml:space="preserve">للأصل </w:t>
      </w:r>
      <w:r>
        <w:rPr>
          <w:rStyle w:val="FootnoteAnchor"/>
          <w:rtl w:val="true"/>
        </w:rPr>
        <w:footnoteReference w:id="2580"/>
      </w:r>
      <w:r>
        <w:rPr>
          <w:rFonts w:ascii="IRNazanin" w:hAnsi="IRNazanin" w:eastAsia="IRNazanin"/>
          <w:color w:val="111111"/>
          <w:sz w:val="28"/>
          <w:sz w:val="28"/>
          <w:szCs w:val="28"/>
          <w:rtl w:val="true"/>
          <w:lang w:bidi="fa-IR"/>
        </w:rPr>
        <w:t>، والوجدان</w:t>
      </w:r>
      <w:r>
        <w:rPr>
          <w:rStyle w:val="FootnoteAnchor"/>
          <w:rtl w:val="true"/>
        </w:rPr>
        <w:footnoteReference w:id="2581"/>
      </w:r>
      <w:r>
        <w:rPr>
          <w:rFonts w:ascii="Amiri" w:hAnsi="Amiri" w:eastAsia="Amiri" w:cs="Amiri"/>
          <w:color w:val="111111"/>
          <w:sz w:val="28"/>
          <w:sz w:val="28"/>
          <w:szCs w:val="28"/>
          <w:rtl w:val="true"/>
          <w:lang w:bidi="ar-SA"/>
        </w:rPr>
        <w:t>، وعدم إمكان الإطلاق لولاه</w:t>
      </w:r>
      <w:r>
        <w:rPr>
          <w:rFonts w:eastAsia="Amiri" w:cs="Amiri" w:ascii="Amiri" w:hAnsi="Amiri"/>
          <w:color w:val="111111"/>
          <w:sz w:val="28"/>
          <w:szCs w:val="28"/>
          <w:rtl w:val="true"/>
          <w:lang w:bidi="ar-SA"/>
        </w:rPr>
        <w:t>.</w:t>
      </w:r>
      <w:r>
        <w:rPr>
          <w:rStyle w:val="FootnoteAnchor"/>
          <w:rtl w:val="true"/>
        </w:rPr>
        <w:footnoteReference w:id="2582"/>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ولزوم عمله بظنه كما يعمل بعلمه</w:t>
      </w:r>
      <w:r>
        <w:rPr>
          <w:rStyle w:val="FootnoteAnchor"/>
          <w:rtl w:val="true"/>
        </w:rPr>
        <w:footnoteReference w:id="2583"/>
      </w:r>
      <w:r>
        <w:rPr>
          <w:rFonts w:ascii="Amiri" w:hAnsi="Amiri" w:eastAsia="Amiri" w:cs="Amiri"/>
          <w:color w:val="111111"/>
          <w:sz w:val="28"/>
          <w:sz w:val="28"/>
          <w:szCs w:val="28"/>
          <w:rtl w:val="true"/>
          <w:lang w:bidi="ar-SA"/>
        </w:rPr>
        <w:t>لأن احتمال عدم كونه مكلفاً بشيء</w:t>
      </w:r>
      <w:r>
        <w:rPr>
          <w:rStyle w:val="FootnoteAnchor"/>
          <w:rtl w:val="true"/>
        </w:rPr>
        <w:footnoteReference w:id="2584"/>
      </w:r>
      <w:r>
        <w:rPr>
          <w:rFonts w:ascii="Amiri" w:hAnsi="Amiri" w:eastAsia="Amiri" w:cs="Amiri"/>
          <w:color w:val="111111"/>
          <w:sz w:val="28"/>
          <w:sz w:val="28"/>
          <w:szCs w:val="28"/>
          <w:rtl w:val="true"/>
          <w:lang w:bidi="ar-SA"/>
        </w:rPr>
        <w:t xml:space="preserve">، أو كونه مكلفاً بالاحتياط، أو التبعيض، منفي بالإجماع، فأمره دائر بين التقليد والاجتهاد </w:t>
      </w:r>
    </w:p>
    <w:p>
      <w:pPr>
        <w:pStyle w:val="BookText"/>
        <w:rPr/>
      </w:pPr>
      <w:r>
        <w:rPr>
          <w:rFonts w:ascii="Amiri" w:hAnsi="Amiri" w:eastAsia="Amiri" w:cs="Amiri"/>
          <w:color w:val="111111"/>
          <w:sz w:val="28"/>
          <w:sz w:val="28"/>
          <w:szCs w:val="28"/>
          <w:rtl w:val="true"/>
          <w:lang w:bidi="ar-SA"/>
        </w:rPr>
        <w:t>والتخيير بدواً</w:t>
      </w:r>
      <w:r>
        <w:rPr>
          <w:rStyle w:val="FootnoteAnchor"/>
          <w:rtl w:val="true"/>
        </w:rPr>
        <w:footnoteReference w:id="2585"/>
      </w:r>
      <w:r>
        <w:rPr>
          <w:rFonts w:ascii="Amiri" w:hAnsi="Amiri" w:eastAsia="Amiri" w:cs="Amiri"/>
          <w:color w:val="111111"/>
          <w:sz w:val="28"/>
          <w:sz w:val="28"/>
          <w:szCs w:val="28"/>
          <w:rtl w:val="true"/>
          <w:lang w:bidi="ar-SA"/>
        </w:rPr>
        <w:t>، وخيرها أوسطها</w:t>
      </w:r>
      <w:r>
        <w:rPr>
          <w:rStyle w:val="FootnoteAnchor"/>
          <w:rtl w:val="true"/>
        </w:rPr>
        <w:footnoteReference w:id="2586"/>
      </w:r>
      <w:r>
        <w:rPr>
          <w:rFonts w:ascii="Amiri" w:hAnsi="Amiri" w:eastAsia="Amiri" w:cs="Amiri"/>
          <w:color w:val="111111"/>
          <w:sz w:val="28"/>
          <w:sz w:val="28"/>
          <w:szCs w:val="28"/>
          <w:rtl w:val="true"/>
          <w:lang w:bidi="ar-SA"/>
        </w:rPr>
        <w:t>للدليل العقلي الحاكم حينئذ ببطلان ترجيح المرجوح على الراجح، أو التسوية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يحصل له الظن بعد الفحص عمل بالأصول الفقاهتية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فتواه ، و</w:t>
      </w:r>
      <w:r>
        <w:rPr>
          <w:rStyle w:val="FootnoteAnchor"/>
          <w:rtl w:val="true"/>
        </w:rPr>
        <w:footnoteReference w:id="2587"/>
      </w:r>
      <w:r>
        <w:rPr>
          <w:rFonts w:ascii="Amiri" w:hAnsi="Amiri" w:eastAsia="Amiri" w:cs="Amiri"/>
          <w:color w:val="111111"/>
          <w:sz w:val="28"/>
          <w:sz w:val="28"/>
          <w:szCs w:val="28"/>
          <w:rtl w:val="true"/>
          <w:lang w:bidi="ar-SA"/>
        </w:rPr>
        <w:t>تقليد الغير إياه</w:t>
      </w:r>
      <w:r>
        <w:rPr>
          <w:rStyle w:val="FootnoteAnchor"/>
          <w:rtl w:val="true"/>
        </w:rPr>
        <w:footnoteReference w:id="2588"/>
      </w:r>
      <w:r>
        <w:rPr>
          <w:rFonts w:ascii="Amiri" w:hAnsi="Amiri" w:eastAsia="Amiri" w:cs="Amiri"/>
          <w:color w:val="111111"/>
          <w:sz w:val="28"/>
          <w:sz w:val="28"/>
          <w:szCs w:val="28"/>
          <w:rtl w:val="true"/>
          <w:lang w:bidi="ar-SA"/>
        </w:rPr>
        <w:t>، وجواز قضائه وحكومته، وجهان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في وجوب اجتهاد المتجزي في مسألة التجزي، أو تقليده، أو خياره بينهما، وجوها</w:t>
      </w:r>
      <w:r>
        <w:rPr>
          <w:rFonts w:eastAsia="Amiri" w:cs="Amiri" w:ascii="Amiri" w:hAnsi="Amiri"/>
          <w:color w:val="111111"/>
          <w:sz w:val="28"/>
          <w:szCs w:val="28"/>
          <w:rtl w:val="true"/>
          <w:lang w:bidi="ar-SA"/>
        </w:rPr>
        <w:t xml:space="preserve">. </w:t>
      </w:r>
      <w:bookmarkStart w:id="791" w:name="pg9015_97839"/>
    </w:p>
    <w:p>
      <w:pPr>
        <w:pStyle w:val="Heading2"/>
        <w:numPr>
          <w:ilvl w:val="1"/>
          <w:numId w:val="1"/>
        </w:numPr>
        <w:rPr/>
      </w:pPr>
      <w:bookmarkStart w:id="792" w:name="__RefHeading___Toc2001901_2870459653"/>
      <w:bookmarkStart w:id="793" w:name="_Toc300"/>
      <w:bookmarkEnd w:id="791"/>
      <w:bookmarkEnd w:id="792"/>
      <w:r>
        <w:rPr>
          <w:rtl w:val="true"/>
        </w:rPr>
        <w:t xml:space="preserve">أصل </w:t>
      </w:r>
      <w:r>
        <w:rPr>
          <w:rtl w:val="true"/>
        </w:rPr>
        <w:t>[</w:t>
      </w:r>
      <w:r>
        <w:rPr>
          <w:rtl w:val="true"/>
        </w:rPr>
        <w:t>في شرائط الاجتهاد المطلق</w:t>
      </w:r>
      <w:r>
        <w:rPr>
          <w:rtl w:val="true"/>
        </w:rPr>
        <w:t>]</w:t>
      </w:r>
      <w:bookmarkEnd w:id="793"/>
    </w:p>
    <w:p>
      <w:pPr>
        <w:pStyle w:val="BookText"/>
        <w:rPr/>
      </w:pPr>
      <w:r>
        <w:rPr>
          <w:rFonts w:ascii="IRNazanin" w:hAnsi="IRNazanin" w:eastAsia="IRNazanin"/>
          <w:color w:val="111111"/>
          <w:sz w:val="28"/>
          <w:sz w:val="28"/>
          <w:szCs w:val="28"/>
          <w:rtl w:val="true"/>
          <w:lang w:bidi="fa-IR"/>
        </w:rPr>
        <w:t>من شرط الاجتهاد المطلق</w:t>
      </w:r>
      <w:r>
        <w:rPr>
          <w:rStyle w:val="FootnoteAnchor"/>
          <w:rtl w:val="true"/>
        </w:rPr>
        <w:footnoteReference w:id="2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العربية</w:t>
      </w:r>
      <w:r>
        <w:rPr>
          <w:rStyle w:val="FootnoteAnchor"/>
          <w:rtl w:val="true"/>
        </w:rPr>
        <w:footnoteReference w:id="2590"/>
      </w:r>
      <w:r>
        <w:rPr>
          <w:rFonts w:ascii="Amiri" w:hAnsi="Amiri" w:eastAsia="Amiri" w:cs="Amiri"/>
          <w:color w:val="111111"/>
          <w:sz w:val="28"/>
          <w:sz w:val="28"/>
          <w:szCs w:val="28"/>
          <w:rtl w:val="true"/>
          <w:lang w:bidi="ar-SA"/>
        </w:rPr>
        <w:t>مادة وهيئة، ولو لبًّا</w:t>
      </w:r>
      <w:r>
        <w:rPr>
          <w:rStyle w:val="FootnoteAnchor"/>
          <w:rtl w:val="true"/>
        </w:rPr>
        <w:footnoteReference w:id="2591"/>
      </w:r>
      <w:r>
        <w:rPr>
          <w:rFonts w:ascii="Amiri" w:hAnsi="Amiri" w:eastAsia="Amiri" w:cs="Amiri"/>
          <w:color w:val="111111"/>
          <w:sz w:val="28"/>
          <w:sz w:val="28"/>
          <w:szCs w:val="28"/>
          <w:rtl w:val="true"/>
          <w:lang w:bidi="ar-SA"/>
        </w:rPr>
        <w:t>، ولو بالتقليد</w:t>
      </w:r>
      <w:r>
        <w:rPr>
          <w:rStyle w:val="FootnoteAnchor"/>
          <w:rtl w:val="true"/>
        </w:rPr>
        <w:footnoteReference w:id="2592"/>
      </w:r>
      <w:r>
        <w:rPr>
          <w:rFonts w:ascii="Amiri" w:hAnsi="Amiri" w:eastAsia="Amiri" w:cs="Amiri"/>
          <w:color w:val="111111"/>
          <w:sz w:val="28"/>
          <w:sz w:val="28"/>
          <w:szCs w:val="28"/>
          <w:rtl w:val="true"/>
          <w:lang w:bidi="ar-SA"/>
        </w:rPr>
        <w:t xml:space="preserve">المحصّل للظن الطبعي </w:t>
      </w:r>
      <w:r>
        <w:rPr>
          <w:rStyle w:val="FootnoteAnchor"/>
          <w:rtl w:val="true"/>
        </w:rPr>
        <w:footnoteReference w:id="2593"/>
      </w:r>
      <w:r>
        <w:rPr>
          <w:rFonts w:ascii="Amiri" w:hAnsi="Amiri" w:eastAsia="Amiri" w:cs="Amiri"/>
          <w:color w:val="111111"/>
          <w:sz w:val="28"/>
          <w:sz w:val="28"/>
          <w:szCs w:val="28"/>
          <w:rtl w:val="true"/>
          <w:lang w:bidi="ar-SA"/>
        </w:rPr>
        <w:t>، الا إذا كان المدرك في أيدينا</w:t>
      </w:r>
      <w:r>
        <w:rPr>
          <w:rStyle w:val="FootnoteAnchor"/>
          <w:rtl w:val="true"/>
        </w:rPr>
        <w:footnoteReference w:id="2594"/>
      </w:r>
      <w:r>
        <w:rPr>
          <w:rFonts w:ascii="IRNazanin" w:hAnsi="IRNazanin" w:eastAsia="IRNazanin"/>
          <w:color w:val="111111"/>
          <w:sz w:val="28"/>
          <w:sz w:val="28"/>
          <w:szCs w:val="28"/>
          <w:rtl w:val="true"/>
          <w:lang w:bidi="fa-IR"/>
        </w:rPr>
        <w:t>، فلا بد من الاجتهاد؛ للأصل</w:t>
      </w:r>
      <w:r>
        <w:rPr>
          <w:rStyle w:val="FootnoteAnchor"/>
          <w:rtl w:val="true"/>
        </w:rPr>
        <w:footnoteReference w:id="2595"/>
      </w:r>
      <w:r>
        <w:rPr>
          <w:rFonts w:ascii="Amiri" w:hAnsi="Amiri" w:eastAsia="Amiri" w:cs="Amiri"/>
          <w:color w:val="111111"/>
          <w:sz w:val="28"/>
          <w:sz w:val="28"/>
          <w:szCs w:val="28"/>
          <w:rtl w:val="true"/>
          <w:lang w:bidi="ar-SA"/>
        </w:rPr>
        <w:t xml:space="preserve">، وتكفي معرفة مقدار الحاجة في الاستنباط </w:t>
      </w:r>
      <w:r>
        <w:rPr>
          <w:rStyle w:val="FootnoteAnchor"/>
          <w:rtl w:val="true"/>
        </w:rPr>
        <w:footnoteReference w:id="2596"/>
      </w:r>
      <w:r>
        <w:rPr>
          <w:rFonts w:ascii="Amiri" w:hAnsi="Amiri" w:eastAsia="Amiri" w:cs="Amiri"/>
          <w:color w:val="111111"/>
          <w:sz w:val="28"/>
          <w:sz w:val="28"/>
          <w:szCs w:val="28"/>
          <w:rtl w:val="true"/>
          <w:lang w:bidi="ar-SA"/>
        </w:rPr>
        <w:t>ولو بالقوة؛ دفعا للعسر أو التعطيل</w:t>
      </w:r>
      <w:r>
        <w:rPr>
          <w:rFonts w:eastAsia="Amiri" w:cs="Amiri" w:ascii="Amiri" w:hAnsi="Amiri"/>
          <w:color w:val="111111"/>
          <w:sz w:val="28"/>
          <w:szCs w:val="28"/>
          <w:rtl w:val="true"/>
          <w:lang w:bidi="ar-SA"/>
        </w:rPr>
        <w:t>.</w:t>
      </w:r>
      <w:r>
        <w:rPr>
          <w:rStyle w:val="FootnoteAnchor"/>
          <w:rtl w:val="true"/>
        </w:rPr>
        <w:footnoteReference w:id="2597"/>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ومعرفة علم الكلام</w:t>
      </w:r>
      <w:r>
        <w:rPr>
          <w:rStyle w:val="FootnoteAnchor"/>
          <w:rtl w:val="true"/>
        </w:rPr>
        <w:footnoteReference w:id="2598"/>
      </w:r>
      <w:r>
        <w:rPr>
          <w:rFonts w:ascii="Amiri" w:hAnsi="Amiri" w:eastAsia="Amiri" w:cs="Amiri"/>
          <w:color w:val="111111"/>
          <w:sz w:val="28"/>
          <w:sz w:val="28"/>
          <w:szCs w:val="28"/>
          <w:rtl w:val="true"/>
          <w:lang w:bidi="ar-SA"/>
        </w:rPr>
        <w:t xml:space="preserve">بقدر ما يتوقف عليه حصول الاعتقاد بالحكم </w:t>
      </w:r>
    </w:p>
    <w:p>
      <w:pPr>
        <w:pStyle w:val="BookText"/>
        <w:rPr/>
      </w:pPr>
      <w:r>
        <w:rPr>
          <w:rFonts w:ascii="Amiri" w:hAnsi="Amiri" w:eastAsia="Amiri" w:cs="Amiri"/>
          <w:color w:val="111111"/>
          <w:sz w:val="28"/>
          <w:sz w:val="28"/>
          <w:szCs w:val="28"/>
          <w:rtl w:val="true"/>
          <w:lang w:bidi="ar-SA"/>
        </w:rPr>
        <w:t>الشرعي</w:t>
      </w:r>
      <w:r>
        <w:rPr>
          <w:rStyle w:val="FootnoteAnchor"/>
          <w:rtl w:val="true"/>
        </w:rPr>
        <w:footnoteReference w:id="2599"/>
      </w:r>
      <w:r>
        <w:rPr>
          <w:rFonts w:ascii="Amiri" w:hAnsi="Amiri" w:eastAsia="Amiri" w:cs="Amiri"/>
          <w:color w:val="111111"/>
          <w:sz w:val="28"/>
          <w:sz w:val="28"/>
          <w:szCs w:val="28"/>
          <w:rtl w:val="true"/>
          <w:lang w:bidi="ar-SA"/>
        </w:rPr>
        <w:t>، ولو لم يكن بنحو مراجعة كتب الكلام، وفي اشتراط الاجتهاد، أو كفاية</w:t>
      </w:r>
      <w:r>
        <w:rPr>
          <w:rStyle w:val="FootnoteAnchor"/>
          <w:rtl w:val="true"/>
        </w:rPr>
        <w:footnoteReference w:id="2600"/>
      </w:r>
      <w:r>
        <w:rPr>
          <w:rFonts w:ascii="Amiri" w:hAnsi="Amiri" w:eastAsia="Amiri" w:cs="Amiri"/>
          <w:color w:val="111111"/>
          <w:sz w:val="28"/>
          <w:sz w:val="28"/>
          <w:szCs w:val="28"/>
          <w:rtl w:val="true"/>
          <w:lang w:bidi="ar-SA"/>
        </w:rPr>
        <w:t>التقليد، وجهان يأتيان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ومعرفة علم</w:t>
      </w:r>
      <w:r>
        <w:rPr>
          <w:rStyle w:val="FootnoteAnchor"/>
          <w:rtl w:val="true"/>
        </w:rPr>
        <w:footnoteReference w:id="2601"/>
      </w:r>
      <w:r>
        <w:rPr>
          <w:rFonts w:ascii="IRNazanin" w:hAnsi="IRNazanin" w:eastAsia="IRNazanin"/>
          <w:color w:val="111111"/>
          <w:sz w:val="28"/>
          <w:sz w:val="28"/>
          <w:szCs w:val="28"/>
          <w:rtl w:val="true"/>
          <w:lang w:bidi="fa-IR"/>
        </w:rPr>
        <w:t>الرجال</w:t>
      </w:r>
      <w:r>
        <w:rPr>
          <w:rStyle w:val="FootnoteAnchor"/>
          <w:rtl w:val="true"/>
        </w:rPr>
        <w:footnoteReference w:id="2602"/>
      </w:r>
      <w:r>
        <w:rPr>
          <w:rFonts w:ascii="Amiri" w:hAnsi="Amiri" w:eastAsia="Amiri" w:cs="Amiri"/>
          <w:color w:val="111111"/>
          <w:sz w:val="28"/>
          <w:sz w:val="28"/>
          <w:szCs w:val="28"/>
          <w:rtl w:val="true"/>
          <w:lang w:bidi="ar-SA"/>
        </w:rPr>
        <w:t xml:space="preserve">، إما 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تحصيل شرائط الراوي، أو تحصيل أسباب الظن </w:t>
      </w:r>
      <w:r>
        <w:rPr>
          <w:rStyle w:val="FootnoteAnchor"/>
          <w:rtl w:val="true"/>
        </w:rPr>
        <w:footnoteReference w:id="2603"/>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Style w:val="FootnoteAnchor"/>
          <w:rtl w:val="true"/>
        </w:rPr>
        <w:footnoteReference w:id="2604"/>
      </w:r>
      <w:r>
        <w:rPr>
          <w:rFonts w:ascii="Amiri" w:hAnsi="Amiri" w:eastAsia="Amiri" w:cs="Amiri"/>
          <w:color w:val="111111"/>
          <w:sz w:val="28"/>
          <w:sz w:val="28"/>
          <w:szCs w:val="28"/>
          <w:rtl w:val="true"/>
          <w:lang w:bidi="ar-SA"/>
        </w:rPr>
        <w:t>تحصيل قرائن القطع ، أو لترجيح القطعيات إذا تصادمت وشكوك الأخباريين واهية كما مرَّ</w:t>
      </w:r>
      <w:r>
        <w:rPr>
          <w:rFonts w:eastAsia="Amiri" w:cs="Amiri" w:ascii="Amiri" w:hAnsi="Amiri"/>
          <w:color w:val="111111"/>
          <w:sz w:val="28"/>
          <w:szCs w:val="28"/>
          <w:rtl w:val="true"/>
          <w:lang w:bidi="ar-SA"/>
        </w:rPr>
        <w:t>.</w:t>
      </w:r>
      <w:r>
        <w:rPr>
          <w:rStyle w:val="FootnoteAnchor"/>
          <w:rtl w:val="true"/>
        </w:rPr>
        <w:footnoteReference w:id="2605"/>
      </w:r>
    </w:p>
    <w:p>
      <w:pPr>
        <w:pStyle w:val="BookText"/>
        <w:rPr/>
      </w:pPr>
      <w:r>
        <w:rPr>
          <w:rFonts w:ascii="Amiri" w:hAnsi="Amiri" w:eastAsia="Amiri" w:cs="Amiri"/>
          <w:color w:val="111111"/>
          <w:sz w:val="28"/>
          <w:sz w:val="28"/>
          <w:szCs w:val="28"/>
          <w:rtl w:val="true"/>
          <w:lang w:bidi="ar-SA"/>
        </w:rPr>
        <w:t>وفي جواز الاكتفاء بتصحيح الغير وتضعيفه، وجهان تقدّما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ومعرفة علم أصول الفقه</w:t>
      </w:r>
      <w:r>
        <w:rPr>
          <w:rStyle w:val="FootnoteAnchor"/>
          <w:rtl w:val="true"/>
        </w:rPr>
        <w:footnoteReference w:id="2606"/>
      </w:r>
    </w:p>
    <w:p>
      <w:pPr>
        <w:pStyle w:val="BookText"/>
        <w:rPr/>
      </w:pPr>
      <w:r>
        <w:rPr>
          <w:rFonts w:ascii="Amiri" w:hAnsi="Amiri" w:eastAsia="Amiri" w:cs="Amiri"/>
          <w:color w:val="111111"/>
          <w:sz w:val="28"/>
          <w:sz w:val="28"/>
          <w:szCs w:val="28"/>
          <w:rtl w:val="true"/>
          <w:lang w:bidi="ar-SA"/>
        </w:rPr>
        <w:t xml:space="preserve">الحائرية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لأنه متكفل لبيان عوارض أدلة الفقه، وتكفي الملكة؛ لما أشرنا في العربيّة، ولا يكفي التقليد؛ للأصل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ومعرفة علم المنطق</w:t>
      </w:r>
      <w:r>
        <w:rPr>
          <w:rStyle w:val="FootnoteAnchor"/>
          <w:rtl w:val="true"/>
        </w:rPr>
        <w:footnoteReference w:id="2607"/>
      </w:r>
      <w:r>
        <w:rPr>
          <w:rFonts w:ascii="Amiri" w:hAnsi="Amiri" w:eastAsia="Amiri" w:cs="Amiri"/>
          <w:color w:val="111111"/>
          <w:sz w:val="28"/>
          <w:sz w:val="28"/>
          <w:szCs w:val="28"/>
          <w:rtl w:val="true"/>
          <w:lang w:bidi="ar-SA"/>
        </w:rPr>
        <w:t>اجتهاداً ولو لبَّاً؛ لأنه متكفل لتميز صحيح الدليل من سقيمه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ومعرفة مواقع </w:t>
      </w:r>
      <w:r>
        <w:rPr>
          <w:rStyle w:val="FootnoteAnchor"/>
          <w:rtl w:val="true"/>
        </w:rPr>
        <w:footnoteReference w:id="2608"/>
      </w:r>
      <w:r>
        <w:rPr>
          <w:rFonts w:ascii="IRNazanin" w:hAnsi="IRNazanin" w:eastAsia="IRNazanin"/>
          <w:color w:val="111111"/>
          <w:sz w:val="28"/>
          <w:sz w:val="28"/>
          <w:szCs w:val="28"/>
          <w:rtl w:val="true"/>
          <w:lang w:bidi="fa-IR"/>
        </w:rPr>
        <w:t>الإجماعات</w:t>
      </w:r>
      <w:r>
        <w:rPr>
          <w:rStyle w:val="FootnoteAnchor"/>
          <w:rtl w:val="true"/>
        </w:rPr>
        <w:footnoteReference w:id="2609"/>
      </w:r>
      <w:r>
        <w:rPr>
          <w:rFonts w:ascii="Amiri" w:hAnsi="Amiri" w:eastAsia="Amiri" w:cs="Amiri"/>
          <w:color w:val="111111"/>
          <w:sz w:val="28"/>
          <w:sz w:val="28"/>
          <w:szCs w:val="28"/>
          <w:rtl w:val="true"/>
          <w:lang w:bidi="ar-SA"/>
        </w:rPr>
        <w:t xml:space="preserve">ولو ملكة ؛ لئلا يخالفها، لكن هذا الشرط مستغنى عنه بعد ما سبق من الشرائط، كما يستغنى عن اشتراط قدرته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آيات</w:t>
      </w:r>
      <w:r>
        <w:rPr>
          <w:rFonts w:eastAsia="Amiri" w:cs="Amiri" w:ascii="Amiri" w:hAnsi="Amiri"/>
          <w:color w:val="111111"/>
          <w:sz w:val="28"/>
          <w:szCs w:val="28"/>
          <w:rtl w:val="true"/>
          <w:lang w:bidi="ar-SA"/>
        </w:rPr>
        <w:t>)</w:t>
      </w:r>
      <w:r>
        <w:rPr>
          <w:rStyle w:val="FootnoteAnchor"/>
          <w:rtl w:val="true"/>
        </w:rPr>
        <w:footnoteReference w:id="2610"/>
      </w:r>
      <w:r>
        <w:rPr>
          <w:rFonts w:ascii="Amiri" w:hAnsi="Amiri" w:eastAsia="Amiri" w:cs="Amiri"/>
          <w:color w:val="111111"/>
          <w:sz w:val="28"/>
          <w:sz w:val="28"/>
          <w:szCs w:val="28"/>
          <w:rtl w:val="true"/>
          <w:lang w:bidi="ar-SA"/>
        </w:rPr>
        <w:t>الأحكام</w:t>
      </w:r>
      <w:r>
        <w:rPr>
          <w:rStyle w:val="FootnoteAnchor"/>
          <w:rtl w:val="true"/>
        </w:rPr>
        <w:footnoteReference w:id="2611"/>
      </w:r>
      <w:r>
        <w:rPr>
          <w:rFonts w:ascii="Amiri" w:hAnsi="Amiri" w:eastAsia="Amiri" w:cs="Amiri"/>
          <w:color w:val="111111"/>
          <w:sz w:val="28"/>
          <w:sz w:val="28"/>
          <w:szCs w:val="28"/>
          <w:rtl w:val="true"/>
          <w:lang w:bidi="ar-SA"/>
        </w:rPr>
        <w:t xml:space="preserve">، وهي الآيات التي يمكن استخراج الأحكام منها مطابقة، أو تضمناً، أو التزاماً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Style w:val="FootnoteAnchor"/>
          <w:rtl w:val="true"/>
        </w:rPr>
        <w:footnoteReference w:id="2612"/>
      </w:r>
      <w:r>
        <w:rPr>
          <w:rFonts w:ascii="Amiri" w:hAnsi="Amiri" w:eastAsia="Amiri" w:cs="Amiri"/>
          <w:color w:val="111111"/>
          <w:sz w:val="28"/>
          <w:sz w:val="28"/>
          <w:szCs w:val="28"/>
          <w:rtl w:val="true"/>
          <w:lang w:bidi="ar-SA"/>
        </w:rPr>
        <w:t>، يشترط أن يكون له أنس بالأخبار</w:t>
      </w:r>
      <w:r>
        <w:rPr>
          <w:rStyle w:val="FootnoteAnchor"/>
          <w:rtl w:val="true"/>
        </w:rPr>
        <w:footnoteReference w:id="2613"/>
      </w:r>
      <w:r>
        <w:rPr>
          <w:rFonts w:ascii="IRNazanin" w:hAnsi="IRNazanin" w:eastAsia="IRNazanin"/>
          <w:color w:val="111111"/>
          <w:sz w:val="28"/>
          <w:sz w:val="28"/>
          <w:szCs w:val="28"/>
          <w:rtl w:val="true"/>
          <w:lang w:bidi="fa-IR"/>
        </w:rPr>
        <w:t>لارتباط الأبواب بعضها ببعض</w:t>
      </w:r>
      <w:r>
        <w:rPr>
          <w:rStyle w:val="FootnoteAnchor"/>
          <w:rtl w:val="true"/>
        </w:rPr>
        <w:footnoteReference w:id="2614"/>
      </w:r>
      <w:r>
        <w:rPr>
          <w:rFonts w:ascii="Amiri" w:hAnsi="Amiri" w:eastAsia="Amiri" w:cs="Amiri"/>
          <w:color w:val="111111"/>
          <w:sz w:val="28"/>
          <w:sz w:val="28"/>
          <w:szCs w:val="28"/>
          <w:rtl w:val="true"/>
          <w:lang w:bidi="ar-SA"/>
        </w:rPr>
        <w:t>، وأن يكون</w:t>
      </w:r>
      <w:r>
        <w:rPr>
          <w:rStyle w:val="FootnoteAnchor"/>
          <w:rtl w:val="true"/>
        </w:rPr>
        <w:footnoteReference w:id="2615"/>
      </w:r>
      <w:r>
        <w:rPr>
          <w:rFonts w:ascii="Amiri" w:hAnsi="Amiri" w:eastAsia="Amiri" w:cs="Amiri"/>
          <w:color w:val="111111"/>
          <w:sz w:val="28"/>
          <w:sz w:val="28"/>
          <w:szCs w:val="28"/>
          <w:rtl w:val="true"/>
          <w:lang w:bidi="ar-SA"/>
        </w:rPr>
        <w:t>له قوة رد الفرع إلى أصله</w:t>
      </w:r>
      <w:r>
        <w:rPr>
          <w:rStyle w:val="FootnoteAnchor"/>
          <w:rtl w:val="true"/>
        </w:rPr>
        <w:footnoteReference w:id="2616"/>
      </w:r>
      <w:r>
        <w:rPr>
          <w:rFonts w:ascii="Amiri" w:hAnsi="Amiri" w:eastAsia="Amiri" w:cs="Amiri"/>
          <w:color w:val="111111"/>
          <w:sz w:val="28"/>
          <w:sz w:val="28"/>
          <w:szCs w:val="28"/>
          <w:rtl w:val="true"/>
          <w:lang w:bidi="ar-SA"/>
        </w:rPr>
        <w:t xml:space="preserve">، وأن يعلم المعاني والبيان والبديع؛ </w:t>
      </w:r>
    </w:p>
    <w:p>
      <w:pPr>
        <w:pStyle w:val="BookText"/>
        <w:rPr/>
      </w:pPr>
      <w:r>
        <w:rPr>
          <w:rFonts w:ascii="Amiri" w:hAnsi="Amiri" w:eastAsia="Amiri" w:cs="Amiri"/>
          <w:color w:val="111111"/>
          <w:sz w:val="28"/>
          <w:sz w:val="28"/>
          <w:szCs w:val="28"/>
          <w:rtl w:val="true"/>
          <w:lang w:bidi="ar-SA"/>
        </w:rPr>
        <w:t>يرجّح الأفصح أو</w:t>
      </w:r>
      <w:r>
        <w:rPr>
          <w:rStyle w:val="FootnoteAnchor"/>
          <w:rtl w:val="true"/>
        </w:rPr>
        <w:footnoteReference w:id="2617"/>
      </w:r>
      <w:r>
        <w:rPr>
          <w:rFonts w:ascii="Amiri" w:hAnsi="Amiri" w:eastAsia="Amiri" w:cs="Amiri"/>
          <w:color w:val="111111"/>
          <w:sz w:val="28"/>
          <w:sz w:val="28"/>
          <w:szCs w:val="28"/>
          <w:rtl w:val="true"/>
          <w:lang w:bidi="ar-SA"/>
        </w:rPr>
        <w:t>الفصيح</w:t>
      </w:r>
      <w:r>
        <w:rPr>
          <w:rStyle w:val="FootnoteAnchor"/>
          <w:rtl w:val="true"/>
        </w:rPr>
        <w:footnoteReference w:id="2618"/>
      </w:r>
      <w:r>
        <w:rPr>
          <w:rFonts w:ascii="IRNazanin" w:hAnsi="IRNazanin" w:eastAsia="IRNazanin"/>
          <w:color w:val="111111"/>
          <w:sz w:val="28"/>
          <w:sz w:val="28"/>
          <w:szCs w:val="28"/>
          <w:rtl w:val="true"/>
          <w:lang w:bidi="fa-IR"/>
        </w:rPr>
        <w:t>عند التعارض</w:t>
      </w:r>
      <w:r>
        <w:rPr>
          <w:rStyle w:val="FootnoteAnchor"/>
          <w:rtl w:val="true"/>
        </w:rPr>
        <w:footnoteReference w:id="2619"/>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يكون له جربزة</w:t>
      </w:r>
      <w:r>
        <w:rPr>
          <w:rStyle w:val="FootnoteAnchor"/>
          <w:rtl w:val="true"/>
        </w:rPr>
        <w:footnoteReference w:id="2620"/>
      </w:r>
      <w:r>
        <w:rPr>
          <w:rFonts w:ascii="Amiri" w:hAnsi="Amiri" w:eastAsia="Amiri" w:cs="Amiri"/>
          <w:color w:val="111111"/>
          <w:sz w:val="28"/>
          <w:sz w:val="28"/>
          <w:szCs w:val="28"/>
          <w:rtl w:val="true"/>
          <w:lang w:bidi="ar-SA"/>
        </w:rPr>
        <w:t>لا يقف ذهنه على شيء، ولا بليداً يميل</w:t>
      </w:r>
      <w:r>
        <w:rPr>
          <w:rStyle w:val="FootnoteAnchor"/>
          <w:rtl w:val="true"/>
        </w:rPr>
        <w:footnoteReference w:id="2621"/>
      </w:r>
      <w:r>
        <w:rPr>
          <w:rFonts w:ascii="Amiri" w:hAnsi="Amiri" w:eastAsia="Amiri" w:cs="Amiri"/>
          <w:color w:val="111111"/>
          <w:sz w:val="28"/>
          <w:sz w:val="28"/>
          <w:szCs w:val="28"/>
          <w:rtl w:val="true"/>
          <w:lang w:bidi="ar-SA"/>
        </w:rPr>
        <w:t>إلى كل ناهق وناطق، ولا معوج السليقة، ولا</w:t>
      </w:r>
      <w:r>
        <w:rPr>
          <w:rStyle w:val="FootnoteAnchor"/>
          <w:rtl w:val="true"/>
        </w:rPr>
        <w:footnoteReference w:id="2622"/>
      </w:r>
      <w:r>
        <w:rPr>
          <w:rFonts w:ascii="Amiri" w:hAnsi="Amiri" w:eastAsia="Amiri" w:cs="Amiri"/>
          <w:color w:val="111111"/>
          <w:sz w:val="28"/>
          <w:sz w:val="28"/>
          <w:szCs w:val="28"/>
          <w:rtl w:val="true"/>
          <w:lang w:bidi="ar-SA"/>
        </w:rPr>
        <w:t>كثير التوجيه والتأويل، فربما يجعل الاحتمال البعيد من الظواهر؛ لأنسه بذلك</w:t>
      </w:r>
      <w:r>
        <w:rPr>
          <w:rFonts w:eastAsia="Amiri" w:cs="Amiri" w:ascii="Amiri" w:hAnsi="Amiri"/>
          <w:color w:val="111111"/>
          <w:sz w:val="28"/>
          <w:szCs w:val="28"/>
          <w:rtl w:val="true"/>
          <w:lang w:bidi="ar-SA"/>
        </w:rPr>
        <w:t>.</w:t>
      </w:r>
      <w:r>
        <w:rPr>
          <w:rStyle w:val="FootnoteAnchor"/>
          <w:rtl w:val="true"/>
        </w:rPr>
        <w:footnoteReference w:id="2623"/>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المذكورات ليست من الشروط الخارجة عن ملكة الاجتهاد، بل هي مقومات</w:t>
      </w:r>
      <w:r>
        <w:rPr>
          <w:rStyle w:val="FootnoteAnchor"/>
          <w:rtl w:val="true"/>
        </w:rPr>
        <w:footnoteReference w:id="2624"/>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بعض</w:t>
      </w:r>
      <w:r>
        <w:rPr>
          <w:rStyle w:val="FootnoteAnchor"/>
          <w:rtl w:val="true"/>
        </w:rPr>
        <w:footnoteReference w:id="2625"/>
      </w:r>
      <w:r>
        <w:rPr>
          <w:rFonts w:ascii="Amiri" w:hAnsi="Amiri" w:eastAsia="Amiri" w:cs="Amiri"/>
          <w:color w:val="111111"/>
          <w:sz w:val="28"/>
          <w:sz w:val="28"/>
          <w:szCs w:val="28"/>
          <w:rtl w:val="true"/>
          <w:lang w:bidi="ar-SA"/>
        </w:rPr>
        <w:t>ما ذكر ليس شرطاً لتحقق التجزي، وبعضه</w:t>
      </w:r>
      <w:r>
        <w:rPr>
          <w:rStyle w:val="FootnoteAnchor"/>
          <w:rtl w:val="true"/>
        </w:rPr>
        <w:footnoteReference w:id="2626"/>
      </w:r>
      <w:r>
        <w:rPr>
          <w:rFonts w:ascii="IRNazanin" w:hAnsi="IRNazanin" w:eastAsia="IRNazanin"/>
          <w:color w:val="111111"/>
          <w:sz w:val="28"/>
          <w:sz w:val="28"/>
          <w:szCs w:val="28"/>
          <w:rtl w:val="true"/>
          <w:lang w:bidi="fa-IR"/>
        </w:rPr>
        <w:t>شرط له</w:t>
      </w:r>
      <w:r>
        <w:rPr>
          <w:rFonts w:eastAsia="IRNazanin" w:cs="IRNazanin"/>
          <w:color w:val="111111"/>
          <w:sz w:val="28"/>
          <w:szCs w:val="28"/>
          <w:rtl w:val="true"/>
          <w:lang w:bidi="fa-IR"/>
        </w:rPr>
        <w:t>.</w:t>
      </w:r>
      <w:r>
        <w:rPr>
          <w:rStyle w:val="FootnoteAnchor"/>
          <w:rtl w:val="true"/>
        </w:rPr>
        <w:footnoteReference w:id="2627"/>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وللاجتهاد مكملات محسّنة</w:t>
      </w:r>
      <w:r>
        <w:rPr>
          <w:rStyle w:val="FootnoteAnchor"/>
          <w:rtl w:val="true"/>
        </w:rPr>
        <w:footnoteReference w:id="2628"/>
      </w:r>
      <w:r>
        <w:rPr>
          <w:rFonts w:ascii="Amiri" w:hAnsi="Amiri" w:eastAsia="Amiri" w:cs="Amiri"/>
          <w:color w:val="111111"/>
          <w:sz w:val="28"/>
          <w:sz w:val="28"/>
          <w:szCs w:val="28"/>
          <w:rtl w:val="true"/>
          <w:lang w:bidi="ar-SA"/>
        </w:rPr>
        <w:t>، كمعرفة بعض مسائل الهيئة والطب والهندسة والحساب</w:t>
      </w:r>
      <w:r>
        <w:rPr>
          <w:rFonts w:eastAsia="Amiri" w:cs="Amiri" w:ascii="Amiri" w:hAnsi="Amiri"/>
          <w:color w:val="111111"/>
          <w:sz w:val="28"/>
          <w:szCs w:val="28"/>
          <w:rtl w:val="true"/>
          <w:lang w:bidi="ar-SA"/>
        </w:rPr>
        <w:t>.</w:t>
      </w:r>
      <w:r>
        <w:rPr>
          <w:rStyle w:val="FootnoteAnchor"/>
          <w:rtl w:val="true"/>
        </w:rPr>
        <w:footnoteReference w:id="2629"/>
      </w:r>
      <w:bookmarkStart w:id="794" w:name="pg9015_97847"/>
    </w:p>
    <w:p>
      <w:pPr>
        <w:pStyle w:val="Heading2"/>
        <w:numPr>
          <w:ilvl w:val="1"/>
          <w:numId w:val="1"/>
        </w:numPr>
        <w:rPr/>
      </w:pPr>
      <w:bookmarkStart w:id="795" w:name="__RefHeading___Toc2001903_2870459653"/>
      <w:bookmarkStart w:id="796" w:name="_Toc301"/>
      <w:bookmarkEnd w:id="794"/>
      <w:bookmarkEnd w:id="795"/>
      <w:r>
        <w:rPr>
          <w:rtl w:val="true"/>
        </w:rPr>
        <w:t xml:space="preserve">أصل </w:t>
      </w:r>
      <w:r>
        <w:rPr>
          <w:rtl w:val="true"/>
        </w:rPr>
        <w:t>[</w:t>
      </w:r>
      <w:r>
        <w:rPr>
          <w:rtl w:val="true"/>
        </w:rPr>
        <w:t>في حكم الجاهل بالعبادة</w:t>
      </w:r>
      <w:r>
        <w:rPr>
          <w:rtl w:val="true"/>
        </w:rPr>
        <w:t>]</w:t>
      </w:r>
      <w:bookmarkEnd w:id="796"/>
    </w:p>
    <w:p>
      <w:pPr>
        <w:pStyle w:val="BookText"/>
        <w:rPr/>
      </w:pPr>
      <w:r>
        <w:rPr>
          <w:rFonts w:ascii="Amiri" w:hAnsi="Amiri" w:eastAsia="Amiri" w:cs="Amiri"/>
          <w:color w:val="111111"/>
          <w:sz w:val="28"/>
          <w:sz w:val="28"/>
          <w:szCs w:val="28"/>
          <w:rtl w:val="true"/>
          <w:lang w:bidi="ar-SA"/>
        </w:rPr>
        <w:t>في عدم معذورية الجاهل بالعبادة مطلقاً</w:t>
      </w:r>
      <w:r>
        <w:rPr>
          <w:rStyle w:val="FootnoteAnchor"/>
          <w:rtl w:val="true"/>
        </w:rPr>
        <w:footnoteReference w:id="2630"/>
      </w:r>
      <w:r>
        <w:rPr>
          <w:rFonts w:ascii="Amiri" w:hAnsi="Amiri" w:eastAsia="Amiri" w:cs="Amiri"/>
          <w:color w:val="111111"/>
          <w:sz w:val="28"/>
          <w:sz w:val="28"/>
          <w:szCs w:val="28"/>
          <w:rtl w:val="true"/>
          <w:lang w:bidi="ar-SA"/>
        </w:rPr>
        <w:t>، أو مع عدم المطابقة</w:t>
      </w:r>
      <w:r>
        <w:rPr>
          <w:rStyle w:val="FootnoteAnchor"/>
          <w:rtl w:val="true"/>
        </w:rPr>
        <w:footnoteReference w:id="2631"/>
      </w:r>
      <w:r>
        <w:rPr>
          <w:rFonts w:ascii="IRNazanin" w:hAnsi="IRNazanin" w:eastAsia="IRNazanin"/>
          <w:color w:val="111111"/>
          <w:sz w:val="28"/>
          <w:sz w:val="28"/>
          <w:szCs w:val="28"/>
          <w:rtl w:val="true"/>
          <w:lang w:bidi="fa-IR"/>
        </w:rPr>
        <w:t>، أو مع</w:t>
      </w:r>
      <w:r>
        <w:rPr>
          <w:rStyle w:val="FootnoteAnchor"/>
          <w:rtl w:val="true"/>
        </w:rPr>
        <w:footnoteReference w:id="2632"/>
      </w:r>
      <w:r>
        <w:rPr>
          <w:rFonts w:ascii="Amiri" w:hAnsi="Amiri" w:eastAsia="Amiri" w:cs="Amiri"/>
          <w:color w:val="111111"/>
          <w:sz w:val="28"/>
          <w:sz w:val="28"/>
          <w:szCs w:val="28"/>
          <w:rtl w:val="true"/>
          <w:lang w:bidi="ar-SA"/>
        </w:rPr>
        <w:t>التقصير</w:t>
      </w:r>
      <w:r>
        <w:rPr>
          <w:rStyle w:val="FootnoteAnchor"/>
          <w:rtl w:val="true"/>
        </w:rPr>
        <w:footnoteReference w:id="2633"/>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p>
    <w:p>
      <w:pPr>
        <w:pStyle w:val="Heading2"/>
        <w:numPr>
          <w:ilvl w:val="1"/>
          <w:numId w:val="1"/>
        </w:numPr>
        <w:rPr/>
      </w:pPr>
      <w:bookmarkStart w:id="797" w:name="__RefHeading___Toc2001905_2870459653"/>
      <w:bookmarkStart w:id="798" w:name="_Toc302"/>
      <w:bookmarkEnd w:id="797"/>
      <w:r>
        <w:rPr>
          <w:rtl w:val="true"/>
        </w:rPr>
        <w:t>[</w:t>
      </w:r>
      <w:r>
        <w:rPr>
          <w:rtl w:val="true"/>
        </w:rPr>
        <w:t>تحرير محل النزاع</w:t>
      </w:r>
      <w:r>
        <w:rPr>
          <w:rtl w:val="true"/>
        </w:rPr>
        <w:t>]</w:t>
      </w:r>
      <w:bookmarkEnd w:id="798"/>
    </w:p>
    <w:p>
      <w:pPr>
        <w:pStyle w:val="BookText"/>
        <w:rPr/>
      </w:pPr>
      <w:r>
        <w:rPr>
          <w:rFonts w:ascii="Amiri" w:hAnsi="Amiri" w:eastAsia="Amiri" w:cs="Amiri"/>
          <w:color w:val="111111"/>
          <w:sz w:val="28"/>
          <w:sz w:val="28"/>
          <w:szCs w:val="28"/>
          <w:rtl w:val="true"/>
          <w:lang w:bidi="ar-SA"/>
        </w:rPr>
        <w:t>ومحل النزاع الصحة</w:t>
      </w:r>
      <w:r>
        <w:rPr>
          <w:rStyle w:val="FootnoteAnchor"/>
          <w:rtl w:val="true"/>
        </w:rPr>
        <w:footnoteReference w:id="2634"/>
      </w:r>
      <w:r>
        <w:rPr>
          <w:rFonts w:ascii="IRNazanin" w:hAnsi="IRNazanin" w:eastAsia="IRNazanin"/>
          <w:color w:val="111111"/>
          <w:sz w:val="28"/>
          <w:sz w:val="28"/>
          <w:szCs w:val="28"/>
          <w:rtl w:val="true"/>
          <w:lang w:bidi="fa-IR"/>
        </w:rPr>
        <w:t>والفساد، قاصراً أم مقصراً، لا الإثم وعدمه</w:t>
      </w:r>
      <w:r>
        <w:rPr>
          <w:rStyle w:val="FootnoteAnchor"/>
          <w:rtl w:val="true"/>
        </w:rPr>
        <w:footnoteReference w:id="2635"/>
      </w:r>
      <w:r>
        <w:rPr>
          <w:rFonts w:ascii="Amiri" w:hAnsi="Amiri" w:eastAsia="Amiri" w:cs="Amiri"/>
          <w:color w:val="111111"/>
          <w:sz w:val="28"/>
          <w:sz w:val="28"/>
          <w:szCs w:val="28"/>
          <w:rtl w:val="true"/>
          <w:lang w:bidi="ar-SA"/>
        </w:rPr>
        <w:t>، وفي كونه أعمّ من الجهل بالوجه، أو اختصاصه بما عداه</w:t>
      </w:r>
      <w:r>
        <w:rPr>
          <w:rStyle w:val="FootnoteAnchor"/>
          <w:rtl w:val="true"/>
        </w:rPr>
        <w:footnoteReference w:id="2636"/>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ريب في وجوب تعلّم المسائل التي تعم بها البلوى كتاباً</w:t>
      </w:r>
      <w:r>
        <w:rPr>
          <w:rStyle w:val="FootnoteAnchor"/>
          <w:rtl w:val="true"/>
        </w:rPr>
        <w:footnoteReference w:id="2637"/>
      </w:r>
      <w:r>
        <w:rPr>
          <w:rFonts w:ascii="Amiri" w:hAnsi="Amiri" w:eastAsia="Amiri" w:cs="Amiri"/>
          <w:color w:val="111111"/>
          <w:sz w:val="28"/>
          <w:sz w:val="28"/>
          <w:szCs w:val="28"/>
          <w:rtl w:val="true"/>
          <w:lang w:bidi="ar-SA"/>
        </w:rPr>
        <w:t>وسنة</w:t>
      </w:r>
      <w:r>
        <w:rPr>
          <w:rStyle w:val="FootnoteAnchor"/>
          <w:rtl w:val="true"/>
        </w:rPr>
        <w:footnoteReference w:id="2638"/>
      </w:r>
      <w:r>
        <w:rPr>
          <w:rFonts w:ascii="Amiri" w:hAnsi="Amiri" w:eastAsia="Amiri" w:cs="Amiri"/>
          <w:color w:val="111111"/>
          <w:sz w:val="28"/>
          <w:sz w:val="28"/>
          <w:szCs w:val="28"/>
          <w:rtl w:val="true"/>
          <w:lang w:bidi="ar-SA"/>
        </w:rPr>
        <w:t xml:space="preserve">، ومقتضى أصل الشغل كونه شرطاً لصحة العبادة، وعدم كفاية الموافقة الاتفاقية، </w:t>
      </w:r>
    </w:p>
    <w:p>
      <w:pPr>
        <w:pStyle w:val="BookText"/>
        <w:rPr/>
      </w:pPr>
      <w:r>
        <w:rPr>
          <w:rFonts w:ascii="Amiri" w:hAnsi="Amiri" w:eastAsia="Amiri" w:cs="Amiri"/>
          <w:color w:val="111111"/>
          <w:sz w:val="28"/>
          <w:sz w:val="28"/>
          <w:szCs w:val="28"/>
          <w:rtl w:val="true"/>
          <w:lang w:bidi="ar-SA"/>
        </w:rPr>
        <w:t>إلّا أن يكون في المقام إطلاق ينفيه</w:t>
      </w:r>
      <w:r>
        <w:rPr>
          <w:rStyle w:val="FootnoteAnchor"/>
          <w:rtl w:val="true"/>
        </w:rPr>
        <w:footnoteReference w:id="2639"/>
      </w:r>
      <w:r>
        <w:rPr>
          <w:rFonts w:ascii="Amiri" w:hAnsi="Amiri" w:eastAsia="Amiri" w:cs="Amiri"/>
          <w:color w:val="111111"/>
          <w:sz w:val="28"/>
          <w:sz w:val="28"/>
          <w:szCs w:val="28"/>
          <w:rtl w:val="true"/>
          <w:lang w:bidi="ar-SA"/>
        </w:rPr>
        <w:t>، كما ينفيه بناء العقلاء، وقاعدة تبعية الأحكام للصفات الكامنة، من دون مدخلية العلم</w:t>
      </w:r>
      <w:r>
        <w:rPr>
          <w:rStyle w:val="FootnoteAnchor"/>
          <w:rtl w:val="true"/>
        </w:rPr>
        <w:footnoteReference w:id="2640"/>
      </w:r>
      <w:r>
        <w:rPr>
          <w:rFonts w:ascii="Amiri" w:hAnsi="Amiri" w:eastAsia="Amiri" w:cs="Amiri"/>
          <w:color w:val="111111"/>
          <w:sz w:val="28"/>
          <w:sz w:val="28"/>
          <w:szCs w:val="28"/>
          <w:rtl w:val="true"/>
          <w:lang w:bidi="ar-SA"/>
        </w:rPr>
        <w:t>والجهل المؤيدة بظاهر حديث عمار</w:t>
      </w:r>
      <w:r>
        <w:rPr>
          <w:rFonts w:eastAsia="Amiri" w:cs="Amiri" w:ascii="Amiri" w:hAnsi="Amiri"/>
          <w:color w:val="111111"/>
          <w:sz w:val="28"/>
          <w:szCs w:val="28"/>
          <w:rtl w:val="true"/>
          <w:lang w:bidi="ar-SA"/>
        </w:rPr>
        <w:t>.</w:t>
      </w:r>
      <w:r>
        <w:rPr>
          <w:rStyle w:val="FootnoteAnchor"/>
          <w:rtl w:val="true"/>
        </w:rPr>
        <w:footnoteReference w:id="2641"/>
      </w:r>
    </w:p>
    <w:p>
      <w:pPr>
        <w:pStyle w:val="BookText"/>
        <w:rPr/>
      </w:pPr>
      <w:r>
        <w:rPr>
          <w:rFonts w:ascii="IRNazanin" w:hAnsi="IRNazanin" w:eastAsia="IRNazanin"/>
          <w:color w:val="111111"/>
          <w:sz w:val="28"/>
          <w:sz w:val="28"/>
          <w:szCs w:val="28"/>
          <w:rtl w:val="true"/>
          <w:lang w:bidi="fa-IR"/>
        </w:rPr>
        <w:t>نعم ، لو علم بعدم</w:t>
      </w:r>
      <w:r>
        <w:rPr>
          <w:rStyle w:val="FootnoteAnchor"/>
          <w:rtl w:val="true"/>
        </w:rPr>
        <w:footnoteReference w:id="2642"/>
      </w:r>
      <w:r>
        <w:rPr>
          <w:rFonts w:ascii="Amiri" w:hAnsi="Amiri" w:eastAsia="Amiri" w:cs="Amiri"/>
          <w:color w:val="111111"/>
          <w:sz w:val="28"/>
          <w:sz w:val="28"/>
          <w:szCs w:val="28"/>
          <w:rtl w:val="true"/>
          <w:lang w:bidi="ar-SA"/>
        </w:rPr>
        <w:t>المطابقة، أو شك فيها والوقت</w:t>
      </w:r>
      <w:r>
        <w:rPr>
          <w:rStyle w:val="FootnoteAnchor"/>
          <w:rtl w:val="true"/>
        </w:rPr>
        <w:footnoteReference w:id="2643"/>
      </w:r>
      <w:r>
        <w:rPr>
          <w:rFonts w:ascii="Amiri" w:hAnsi="Amiri" w:eastAsia="Amiri" w:cs="Amiri"/>
          <w:color w:val="111111"/>
          <w:sz w:val="28"/>
          <w:sz w:val="28"/>
          <w:szCs w:val="28"/>
          <w:rtl w:val="true"/>
          <w:lang w:bidi="ar-SA"/>
        </w:rPr>
        <w:t>باق، وجب الإعادة، قاصراً ومقصراً؛ لاستصحاب بقاء الأمر، وبناء العقلاء، وعدم مدخلية العلم والجهل في الأحكام كما مرّ، ولظاهر حديث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w:t>
      </w:r>
      <w:r>
        <w:rPr>
          <w:rStyle w:val="FootnoteAnchor"/>
          <w:rtl w:val="true"/>
        </w:rPr>
        <w:footnoteReference w:id="2644"/>
      </w:r>
      <w:r>
        <w:rPr>
          <w:rFonts w:ascii="Amiri" w:hAnsi="Amiri" w:eastAsia="Amiri" w:cs="Amiri"/>
          <w:color w:val="111111"/>
          <w:sz w:val="28"/>
          <w:sz w:val="28"/>
          <w:szCs w:val="28"/>
          <w:rtl w:val="true"/>
          <w:lang w:bidi="ar-SA"/>
        </w:rPr>
        <w:t>مرَّ تقدر على استخراج حكم وجوب القضاء وعدمه، والإثم وعدمه، وحكم ما لو علم الجزئية وجهل الركنية، وما لو أخذ الحكم من المجتهد جاهلاً باجتهاده، أو بلزوم الأخذ منه ، وحكم المقصر بقسميه، والقاصر بأقسامه، وما لو كان شرط العبادة معاملة كستر العورة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المعاملات فاتفقوا فيها على أن</w:t>
      </w:r>
      <w:r>
        <w:rPr>
          <w:rStyle w:val="FootnoteAnchor"/>
          <w:rtl w:val="true"/>
        </w:rPr>
        <w:footnoteReference w:id="2645"/>
      </w:r>
      <w:r>
        <w:rPr>
          <w:rFonts w:ascii="Amiri" w:hAnsi="Amiri" w:eastAsia="Amiri" w:cs="Amiri"/>
          <w:color w:val="111111"/>
          <w:sz w:val="28"/>
          <w:sz w:val="28"/>
          <w:szCs w:val="28"/>
          <w:rtl w:val="true"/>
          <w:lang w:bidi="ar-SA"/>
        </w:rPr>
        <w:t>المناط مطابقة الواقع وعدمها</w:t>
      </w:r>
      <w:r>
        <w:rPr>
          <w:rFonts w:eastAsia="Amiri" w:cs="Amiri" w:ascii="Amiri" w:hAnsi="Amiri"/>
          <w:color w:val="111111"/>
          <w:sz w:val="28"/>
          <w:szCs w:val="28"/>
          <w:rtl w:val="true"/>
          <w:lang w:bidi="ar-SA"/>
        </w:rPr>
        <w:t>.</w:t>
      </w:r>
      <w:r>
        <w:rPr>
          <w:rStyle w:val="FootnoteAnchor"/>
          <w:rtl w:val="true"/>
        </w:rPr>
        <w:footnoteReference w:id="2646"/>
      </w:r>
      <w:bookmarkStart w:id="799" w:name="pg9015_97851"/>
    </w:p>
    <w:p>
      <w:pPr>
        <w:pStyle w:val="Heading2"/>
        <w:numPr>
          <w:ilvl w:val="1"/>
          <w:numId w:val="1"/>
        </w:numPr>
        <w:rPr/>
      </w:pPr>
      <w:bookmarkStart w:id="800" w:name="__RefHeading___Toc2001907_2870459653"/>
      <w:bookmarkStart w:id="801" w:name="_Toc303"/>
      <w:bookmarkEnd w:id="799"/>
      <w:bookmarkEnd w:id="800"/>
      <w:r>
        <w:rPr>
          <w:rtl w:val="true"/>
        </w:rPr>
        <w:t xml:space="preserve">أصل </w:t>
      </w:r>
      <w:r>
        <w:rPr>
          <w:rtl w:val="true"/>
        </w:rPr>
        <w:t>[</w:t>
      </w:r>
      <w:r>
        <w:rPr>
          <w:rtl w:val="true"/>
        </w:rPr>
        <w:t>في التخطئة والتصويب</w:t>
      </w:r>
      <w:r>
        <w:rPr>
          <w:rtl w:val="true"/>
        </w:rPr>
        <w:t>]</w:t>
      </w:r>
      <w:bookmarkEnd w:id="801"/>
    </w:p>
    <w:p>
      <w:pPr>
        <w:pStyle w:val="Heading3"/>
        <w:numPr>
          <w:ilvl w:val="2"/>
          <w:numId w:val="1"/>
        </w:numPr>
        <w:rPr/>
      </w:pPr>
      <w:bookmarkStart w:id="802" w:name="__RefHeading___Toc2001909_2870459653"/>
      <w:bookmarkStart w:id="803" w:name="_Toc304"/>
      <w:bookmarkEnd w:id="802"/>
      <w:r>
        <w:rPr>
          <w:rtl w:val="true"/>
        </w:rPr>
        <w:t>اشارة</w:t>
      </w:r>
      <w:bookmarkEnd w:id="803"/>
    </w:p>
    <w:p>
      <w:pPr>
        <w:pStyle w:val="BookText"/>
        <w:rPr/>
      </w:pPr>
      <w:r>
        <w:rPr>
          <w:rFonts w:ascii="Amiri" w:hAnsi="Amiri" w:eastAsia="Amiri" w:cs="Amiri"/>
          <w:color w:val="111111"/>
          <w:sz w:val="28"/>
          <w:sz w:val="28"/>
          <w:szCs w:val="28"/>
          <w:rtl w:val="true"/>
          <w:lang w:bidi="ar-SA"/>
        </w:rPr>
        <w:t>المصيب في العقائد واحد عند جمهور</w:t>
      </w:r>
      <w:r>
        <w:rPr>
          <w:rStyle w:val="FootnoteAnchor"/>
          <w:rtl w:val="true"/>
        </w:rPr>
        <w:footnoteReference w:id="2647"/>
      </w:r>
      <w:r>
        <w:rPr>
          <w:rFonts w:ascii="Amiri" w:hAnsi="Amiri" w:eastAsia="Amiri" w:cs="Amiri"/>
          <w:color w:val="111111"/>
          <w:sz w:val="28"/>
          <w:sz w:val="28"/>
          <w:szCs w:val="28"/>
          <w:rtl w:val="true"/>
          <w:lang w:bidi="ar-SA"/>
        </w:rPr>
        <w:t>المسلمين</w:t>
      </w:r>
      <w:r>
        <w:rPr>
          <w:rStyle w:val="FootnoteAnchor"/>
          <w:rtl w:val="true"/>
        </w:rPr>
        <w:footnoteReference w:id="2648"/>
      </w:r>
      <w:r>
        <w:rPr>
          <w:rFonts w:ascii="Amiri" w:hAnsi="Amiri" w:eastAsia="Amiri" w:cs="Amiri"/>
          <w:color w:val="111111"/>
          <w:sz w:val="28"/>
          <w:sz w:val="28"/>
          <w:szCs w:val="28"/>
          <w:rtl w:val="true"/>
          <w:lang w:bidi="ar-SA"/>
        </w:rPr>
        <w:t>، والباقي مخطئ</w:t>
      </w:r>
      <w:r>
        <w:rPr>
          <w:rStyle w:val="FootnoteAnchor"/>
          <w:rtl w:val="true"/>
        </w:rPr>
        <w:footnoteReference w:id="2649"/>
      </w:r>
      <w:r>
        <w:rPr>
          <w:rFonts w:ascii="Amiri" w:hAnsi="Amiri" w:eastAsia="Amiri" w:cs="Amiri"/>
          <w:color w:val="111111"/>
          <w:sz w:val="28"/>
          <w:sz w:val="28"/>
          <w:szCs w:val="28"/>
          <w:rtl w:val="true"/>
          <w:lang w:bidi="ar-SA"/>
        </w:rPr>
        <w:t>، والعنبري</w:t>
      </w:r>
      <w:r>
        <w:rPr>
          <w:rStyle w:val="FootnoteAnchor"/>
          <w:rtl w:val="true"/>
        </w:rPr>
        <w:footnoteReference w:id="2650"/>
      </w:r>
      <w:r>
        <w:rPr>
          <w:rFonts w:ascii="Amiri" w:hAnsi="Amiri" w:eastAsia="Amiri" w:cs="Amiri"/>
          <w:color w:val="111111"/>
          <w:sz w:val="28"/>
          <w:sz w:val="28"/>
          <w:szCs w:val="28"/>
          <w:rtl w:val="true"/>
          <w:lang w:bidi="ar-SA"/>
        </w:rPr>
        <w:t>على أن الكل مصيب</w:t>
      </w:r>
      <w:r>
        <w:rPr>
          <w:rStyle w:val="FootnoteAnchor"/>
          <w:rtl w:val="true"/>
        </w:rPr>
        <w:footnoteReference w:id="2651"/>
      </w:r>
      <w:r>
        <w:rPr>
          <w:rFonts w:ascii="Amiri" w:hAnsi="Amiri" w:eastAsia="Amiri" w:cs="Amiri"/>
          <w:color w:val="111111"/>
          <w:sz w:val="28"/>
          <w:sz w:val="28"/>
          <w:szCs w:val="28"/>
          <w:rtl w:val="true"/>
          <w:lang w:bidi="ar-SA"/>
        </w:rPr>
        <w:t>ويرده لزوم اجتماع النقيضين</w:t>
      </w:r>
      <w:r>
        <w:rPr>
          <w:rFonts w:eastAsia="Amiri" w:cs="Amiri" w:ascii="Amiri" w:hAnsi="Amiri"/>
          <w:color w:val="111111"/>
          <w:sz w:val="28"/>
          <w:szCs w:val="28"/>
          <w:rtl w:val="true"/>
          <w:lang w:bidi="ar-SA"/>
        </w:rPr>
        <w:t>.</w:t>
      </w:r>
      <w:r>
        <w:rPr>
          <w:rStyle w:val="FootnoteAnchor"/>
          <w:rtl w:val="true"/>
        </w:rPr>
        <w:footnoteReference w:id="2652"/>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آثم مع التقصير لا القصور؛ حذراً من تكليفه بما لا يطاق، إنما الكلام في تحقق القاصر هنا، ولا دليل على</w:t>
      </w:r>
      <w:r>
        <w:rPr>
          <w:rStyle w:val="FootnoteAnchor"/>
          <w:rtl w:val="true"/>
        </w:rPr>
        <w:footnoteReference w:id="2653"/>
      </w:r>
      <w:r>
        <w:rPr>
          <w:rFonts w:ascii="IRNazanin" w:hAnsi="IRNazanin" w:eastAsia="IRNazanin"/>
          <w:color w:val="111111"/>
          <w:sz w:val="28"/>
          <w:sz w:val="28"/>
          <w:szCs w:val="28"/>
          <w:rtl w:val="true"/>
          <w:lang w:bidi="fa-IR"/>
        </w:rPr>
        <w:t xml:space="preserve">عدم </w:t>
      </w:r>
      <w:r>
        <w:rPr>
          <w:rStyle w:val="FootnoteAnchor"/>
          <w:rtl w:val="true"/>
        </w:rPr>
        <w:footnoteReference w:id="2654"/>
      </w:r>
      <w:r>
        <w:rPr>
          <w:rFonts w:ascii="Amiri" w:hAnsi="Amiri" w:eastAsia="Amiri" w:cs="Amiri"/>
          <w:color w:val="111111"/>
          <w:sz w:val="28"/>
          <w:sz w:val="28"/>
          <w:szCs w:val="28"/>
          <w:rtl w:val="true"/>
          <w:lang w:bidi="ar-SA"/>
        </w:rPr>
        <w:t>إمكانه، إلا ان يتمسك بمنقول الإجماع</w:t>
      </w:r>
      <w:r>
        <w:rPr>
          <w:rStyle w:val="FootnoteAnchor"/>
          <w:rtl w:val="true"/>
        </w:rPr>
        <w:footnoteReference w:id="2655"/>
      </w:r>
      <w:r>
        <w:rPr>
          <w:rFonts w:ascii="Amiri" w:hAnsi="Amiri" w:eastAsia="Amiri" w:cs="Amiri"/>
          <w:color w:val="111111"/>
          <w:sz w:val="28"/>
          <w:sz w:val="28"/>
          <w:szCs w:val="28"/>
          <w:rtl w:val="true"/>
          <w:lang w:bidi="ar-SA"/>
        </w:rPr>
        <w:t>، وبالآية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2656"/>
      </w:r>
      <w:r>
        <w:rPr>
          <w:rFonts w:ascii="IRNazanin" w:hAnsi="IRNazanin" w:eastAsia="IRNazanin"/>
          <w:color w:val="111111"/>
          <w:sz w:val="28"/>
          <w:sz w:val="28"/>
          <w:szCs w:val="28"/>
          <w:rtl w:val="true"/>
          <w:lang w:bidi="fa-IR"/>
        </w:rPr>
        <w:t xml:space="preserve">، وبعموم ما دل على </w:t>
      </w:r>
    </w:p>
    <w:p>
      <w:pPr>
        <w:pStyle w:val="BookText"/>
        <w:rPr/>
      </w:pPr>
      <w:r>
        <w:rPr>
          <w:rFonts w:ascii="Amiri" w:hAnsi="Amiri" w:eastAsia="Amiri" w:cs="Amiri"/>
          <w:color w:val="111111"/>
          <w:sz w:val="28"/>
          <w:sz w:val="28"/>
          <w:szCs w:val="28"/>
          <w:rtl w:val="true"/>
          <w:lang w:bidi="ar-SA"/>
        </w:rPr>
        <w:t xml:space="preserve">تعذيب الكفار </w:t>
      </w:r>
      <w:r>
        <w:rPr>
          <w:rStyle w:val="FootnoteAnchor"/>
          <w:rtl w:val="true"/>
        </w:rPr>
        <w:footnoteReference w:id="2657"/>
      </w:r>
      <w:r>
        <w:rPr>
          <w:rFonts w:ascii="Amiri" w:hAnsi="Amiri" w:eastAsia="Amiri" w:cs="Amiri"/>
          <w:color w:val="111111"/>
          <w:sz w:val="28"/>
          <w:sz w:val="28"/>
          <w:szCs w:val="28"/>
          <w:rtl w:val="true"/>
          <w:lang w:bidi="ar-SA"/>
        </w:rPr>
        <w:t>، وفي الكل كلام</w:t>
      </w:r>
      <w:r>
        <w:rPr>
          <w:rFonts w:eastAsia="Amiri" w:cs="Amiri" w:ascii="Amiri" w:hAnsi="Amiri"/>
          <w:color w:val="111111"/>
          <w:sz w:val="28"/>
          <w:szCs w:val="28"/>
          <w:rtl w:val="true"/>
          <w:lang w:bidi="ar-SA"/>
        </w:rPr>
        <w:t>.</w:t>
      </w:r>
      <w:r>
        <w:rPr>
          <w:rStyle w:val="FootnoteAnchor"/>
          <w:rtl w:val="true"/>
        </w:rPr>
        <w:footnoteReference w:id="2658"/>
      </w:r>
    </w:p>
    <w:p>
      <w:pPr>
        <w:pStyle w:val="BookText"/>
        <w:rPr/>
      </w:pPr>
      <w:r>
        <w:rPr>
          <w:rFonts w:ascii="IRNazanin" w:hAnsi="IRNazanin" w:eastAsia="IRNazanin"/>
          <w:color w:val="111111"/>
          <w:sz w:val="28"/>
          <w:sz w:val="28"/>
          <w:szCs w:val="28"/>
          <w:rtl w:val="true"/>
          <w:lang w:bidi="fa-IR"/>
        </w:rPr>
        <w:t>ومن هنا بطل قول الجاحظ بعدم الإثم</w:t>
      </w:r>
      <w:r>
        <w:rPr>
          <w:rFonts w:eastAsia="IRNazanin" w:cs="IRNazanin"/>
          <w:color w:val="111111"/>
          <w:sz w:val="28"/>
          <w:szCs w:val="28"/>
          <w:rtl w:val="true"/>
          <w:lang w:bidi="fa-IR"/>
        </w:rPr>
        <w:t>.</w:t>
      </w:r>
      <w:r>
        <w:rPr>
          <w:rStyle w:val="FootnoteAnchor"/>
          <w:rtl w:val="true"/>
        </w:rPr>
        <w:footnoteReference w:id="2659"/>
      </w:r>
    </w:p>
    <w:p>
      <w:pPr>
        <w:pStyle w:val="BookText"/>
        <w:rPr/>
      </w:pPr>
      <w:r>
        <w:rPr>
          <w:rFonts w:ascii="Amiri" w:hAnsi="Amiri" w:eastAsia="Amiri" w:cs="Amiri"/>
          <w:color w:val="111111"/>
          <w:sz w:val="28"/>
          <w:sz w:val="28"/>
          <w:szCs w:val="28"/>
          <w:rtl w:val="true"/>
          <w:lang w:bidi="ar-SA"/>
        </w:rPr>
        <w:t>والعقليات التي يستقل بحكمها العقل من الفرعيات، كقبح الظلم، كالعقائد في الاصابة والإثم، وعدمها، وضروريات الفروع عبادة ومعاملة كذلك</w:t>
      </w:r>
      <w:r>
        <w:rPr>
          <w:rStyle w:val="FootnoteAnchor"/>
          <w:rtl w:val="true"/>
        </w:rPr>
        <w:footnoteReference w:id="2660"/>
      </w:r>
    </w:p>
    <w:p>
      <w:pPr>
        <w:pStyle w:val="BookText"/>
        <w:rPr/>
      </w:pPr>
      <w:r>
        <w:rPr>
          <w:rFonts w:ascii="Amiri" w:hAnsi="Amiri" w:eastAsia="Amiri" w:cs="Amiri"/>
          <w:color w:val="111111"/>
          <w:sz w:val="28"/>
          <w:sz w:val="28"/>
          <w:szCs w:val="28"/>
          <w:rtl w:val="true"/>
          <w:lang w:bidi="ar-SA"/>
        </w:rPr>
        <w:t xml:space="preserve">واختلفوا في غير الضروريات من الفرعيات فبيّن قائل بأنه لاحكم عند الله سبحانه في الواقع، بل حكمه تابع لظن المجتهد ، فكل مجتهد </w:t>
      </w:r>
      <w:r>
        <w:rPr>
          <w:rStyle w:val="FootnoteAnchor"/>
          <w:rtl w:val="true"/>
        </w:rPr>
        <w:footnoteReference w:id="2661"/>
      </w:r>
      <w:r>
        <w:rPr>
          <w:rFonts w:ascii="Amiri" w:hAnsi="Amiri" w:eastAsia="Amiri" w:cs="Amiri"/>
          <w:color w:val="111111"/>
          <w:sz w:val="28"/>
          <w:sz w:val="28"/>
          <w:szCs w:val="28"/>
          <w:rtl w:val="true"/>
          <w:lang w:bidi="ar-SA"/>
        </w:rPr>
        <w:t>مصيب</w:t>
      </w:r>
      <w:r>
        <w:rPr>
          <w:rStyle w:val="FootnoteAnchor"/>
          <w:rtl w:val="true"/>
        </w:rPr>
        <w:footnoteReference w:id="2662"/>
      </w:r>
      <w:r>
        <w:rPr>
          <w:rFonts w:ascii="Amiri" w:hAnsi="Amiri" w:eastAsia="Amiri" w:cs="Amiri"/>
          <w:color w:val="111111"/>
          <w:sz w:val="28"/>
          <w:sz w:val="28"/>
          <w:szCs w:val="28"/>
          <w:rtl w:val="true"/>
          <w:lang w:bidi="ar-SA"/>
        </w:rPr>
        <w:t>، ولعله لأن الحسن والقبح يختلفان بالاعتبارات، حتى العلم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تعالى جعل أحكاماً يطابقها آراء المجتهدين قهرا، أو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تعالى لما علم بأن رأي كل مجتهد يصير كذا، فجعل أحكاماً على طبقها</w:t>
      </w:r>
      <w:r>
        <w:rPr>
          <w:rFonts w:eastAsia="Amiri" w:cs="Amiri" w:ascii="Amiri" w:hAnsi="Amiri"/>
          <w:color w:val="111111"/>
          <w:sz w:val="28"/>
          <w:szCs w:val="28"/>
          <w:rtl w:val="true"/>
          <w:lang w:bidi="ar-SA"/>
        </w:rPr>
        <w:t>.</w:t>
      </w:r>
      <w:r>
        <w:rPr>
          <w:rStyle w:val="FootnoteAnchor"/>
          <w:rtl w:val="true"/>
        </w:rPr>
        <w:footnoteReference w:id="2663"/>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 تعالى</w:t>
      </w:r>
      <w:r>
        <w:rPr>
          <w:rStyle w:val="FootnoteAnchor"/>
          <w:rtl w:val="true"/>
        </w:rPr>
        <w:footnoteReference w:id="2664"/>
      </w:r>
      <w:r>
        <w:rPr>
          <w:rFonts w:ascii="Amiri" w:hAnsi="Amiri" w:eastAsia="Amiri" w:cs="Amiri"/>
          <w:color w:val="111111"/>
          <w:sz w:val="28"/>
          <w:sz w:val="28"/>
          <w:szCs w:val="28"/>
          <w:rtl w:val="true"/>
          <w:lang w:bidi="ar-SA"/>
        </w:rPr>
        <w:t xml:space="preserve">حكماً واحداً في كل واقعة، وأن المصيب واحد، والمخطئ </w:t>
      </w:r>
      <w:bookmarkStart w:id="804" w:name="pg9015_97855"/>
    </w:p>
    <w:p>
      <w:pPr>
        <w:pStyle w:val="BookText"/>
        <w:rPr/>
      </w:pPr>
      <w:bookmarkEnd w:id="804"/>
      <w:r>
        <w:rPr>
          <w:rFonts w:ascii="IRNazanin" w:hAnsi="IRNazanin" w:eastAsia="IRNazanin"/>
          <w:color w:val="111111"/>
          <w:sz w:val="28"/>
          <w:sz w:val="28"/>
          <w:szCs w:val="28"/>
          <w:rtl w:val="true"/>
          <w:lang w:bidi="fa-IR"/>
        </w:rPr>
        <w:t>معذور، وهذا مذهب أصحابنا</w:t>
      </w:r>
      <w:r>
        <w:rPr>
          <w:rStyle w:val="FootnoteAnchor"/>
          <w:rtl w:val="true"/>
        </w:rPr>
        <w:footnoteReference w:id="2665"/>
      </w:r>
      <w:r>
        <w:rPr>
          <w:rFonts w:ascii="Amiri" w:hAnsi="Amiri" w:eastAsia="Amiri" w:cs="Amiri"/>
          <w:color w:val="111111"/>
          <w:sz w:val="28"/>
          <w:sz w:val="28"/>
          <w:szCs w:val="28"/>
          <w:rtl w:val="true"/>
          <w:lang w:bidi="ar-SA"/>
        </w:rPr>
        <w:t>، الا الشيخ في العدة فجعل المخطئ فاسقاً</w:t>
      </w:r>
      <w:r>
        <w:rPr>
          <w:rStyle w:val="FootnoteAnchor"/>
          <w:rtl w:val="true"/>
        </w:rPr>
        <w:footnoteReference w:id="2666"/>
      </w:r>
      <w:r>
        <w:rPr>
          <w:rFonts w:ascii="Amiri" w:hAnsi="Amiri" w:eastAsia="Amiri" w:cs="Amiri"/>
          <w:color w:val="111111"/>
          <w:sz w:val="28"/>
          <w:sz w:val="28"/>
          <w:szCs w:val="28"/>
          <w:rtl w:val="true"/>
          <w:lang w:bidi="ar-SA"/>
        </w:rPr>
        <w:t xml:space="preserve">، ولعله محمول على صورة </w:t>
      </w:r>
      <w:r>
        <w:rPr>
          <w:rStyle w:val="FootnoteAnchor"/>
          <w:rtl w:val="true"/>
        </w:rPr>
        <w:footnoteReference w:id="2667"/>
      </w:r>
      <w:r>
        <w:rPr>
          <w:rFonts w:ascii="Amiri" w:hAnsi="Amiri" w:eastAsia="Amiri" w:cs="Amiri"/>
          <w:color w:val="111111"/>
          <w:sz w:val="28"/>
          <w:sz w:val="28"/>
          <w:szCs w:val="28"/>
          <w:rtl w:val="true"/>
          <w:lang w:bidi="ar-SA"/>
        </w:rPr>
        <w:t>التقصير في الاجتهاد، أو العمل بمثل القياس، وفيه ان المجتهد في الصورتين معاقب اصاب أم أخطأ</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2001911_2870459653"/>
      <w:bookmarkStart w:id="806" w:name="_Toc305"/>
      <w:bookmarkEnd w:id="805"/>
      <w:r>
        <w:rPr>
          <w:rtl w:val="true"/>
        </w:rPr>
        <w:t>[</w:t>
      </w:r>
      <w:r>
        <w:rPr>
          <w:rtl w:val="true"/>
        </w:rPr>
        <w:t>تحرير محل النزاع</w:t>
      </w:r>
      <w:r>
        <w:rPr>
          <w:rtl w:val="true"/>
        </w:rPr>
        <w:t>]</w:t>
      </w:r>
      <w:bookmarkEnd w:id="806"/>
    </w:p>
    <w:p>
      <w:pPr>
        <w:pStyle w:val="BookText"/>
        <w:rPr/>
      </w:pPr>
      <w:r>
        <w:rPr>
          <w:rFonts w:ascii="Amiri" w:hAnsi="Amiri" w:eastAsia="Amiri" w:cs="Amiri"/>
          <w:color w:val="111111"/>
          <w:sz w:val="28"/>
          <w:sz w:val="28"/>
          <w:szCs w:val="28"/>
          <w:rtl w:val="true"/>
          <w:lang w:bidi="ar-SA"/>
        </w:rPr>
        <w:t>ثم النزاع ليس في تعدد مدلولات خطابات</w:t>
      </w:r>
      <w:r>
        <w:rPr>
          <w:rStyle w:val="FootnoteAnchor"/>
          <w:rtl w:val="true"/>
        </w:rPr>
        <w:footnoteReference w:id="2668"/>
      </w:r>
      <w:r>
        <w:rPr>
          <w:rFonts w:ascii="IRNazanin" w:hAnsi="IRNazanin" w:eastAsia="IRNazanin"/>
          <w:color w:val="111111"/>
          <w:sz w:val="28"/>
          <w:sz w:val="28"/>
          <w:szCs w:val="28"/>
          <w:rtl w:val="true"/>
          <w:lang w:bidi="fa-IR"/>
        </w:rPr>
        <w:t xml:space="preserve">الشارع ووحدتها؛ لاتفاقهم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الخطاب معنى واحد</w:t>
      </w:r>
      <w:r>
        <w:rPr>
          <w:rStyle w:val="FootnoteAnchor"/>
          <w:rtl w:val="true"/>
        </w:rPr>
        <w:footnoteReference w:id="2669"/>
      </w:r>
      <w:r>
        <w:rPr>
          <w:rFonts w:ascii="Amiri" w:hAnsi="Amiri" w:eastAsia="Amiri" w:cs="Amiri"/>
          <w:color w:val="111111"/>
          <w:sz w:val="28"/>
          <w:sz w:val="28"/>
          <w:szCs w:val="28"/>
          <w:rtl w:val="true"/>
          <w:lang w:bidi="ar-SA"/>
        </w:rPr>
        <w:t>، ولا في تعدّد الأحكام الظاهرية ووحدتها؛ لاتفاقهم على</w:t>
      </w:r>
      <w:r>
        <w:rPr>
          <w:rFonts w:eastAsia="Amiri" w:cs="Amiri" w:ascii="Amiri" w:hAnsi="Amiri"/>
          <w:color w:val="111111"/>
          <w:sz w:val="28"/>
          <w:szCs w:val="28"/>
          <w:rtl w:val="true"/>
          <w:lang w:bidi="ar-SA"/>
        </w:rPr>
        <w:t>)</w:t>
      </w:r>
      <w:r>
        <w:rPr>
          <w:rStyle w:val="FootnoteAnchor"/>
          <w:rtl w:val="true"/>
        </w:rPr>
        <w:footnoteReference w:id="2670"/>
      </w:r>
      <w:r>
        <w:rPr>
          <w:rFonts w:ascii="Amiri" w:hAnsi="Amiri" w:eastAsia="Amiri" w:cs="Amiri"/>
          <w:color w:val="111111"/>
          <w:sz w:val="28"/>
          <w:sz w:val="28"/>
          <w:szCs w:val="28"/>
          <w:rtl w:val="true"/>
          <w:lang w:bidi="ar-SA"/>
        </w:rPr>
        <w:t>تعددها بتعدد الآراء وإصابة الكل في ذلك</w:t>
      </w:r>
      <w:r>
        <w:rPr>
          <w:rFonts w:eastAsia="Amiri" w:cs="Amiri" w:ascii="Amiri" w:hAnsi="Amiri"/>
          <w:color w:val="111111"/>
          <w:sz w:val="28"/>
          <w:szCs w:val="28"/>
          <w:rtl w:val="true"/>
          <w:lang w:bidi="ar-SA"/>
        </w:rPr>
        <w:t>.</w:t>
      </w:r>
      <w:r>
        <w:rPr>
          <w:rStyle w:val="FootnoteAnchor"/>
          <w:rtl w:val="true"/>
        </w:rPr>
        <w:footnoteReference w:id="2671"/>
      </w:r>
    </w:p>
    <w:p>
      <w:pPr>
        <w:pStyle w:val="BookText"/>
        <w:rPr/>
      </w:pPr>
      <w:r>
        <w:rPr>
          <w:rFonts w:ascii="Amiri" w:hAnsi="Amiri" w:eastAsia="Amiri" w:cs="Amiri"/>
          <w:color w:val="111111"/>
          <w:sz w:val="28"/>
          <w:sz w:val="28"/>
          <w:szCs w:val="28"/>
          <w:rtl w:val="true"/>
          <w:lang w:bidi="ar-SA"/>
        </w:rPr>
        <w:t>بل النزاع في تعدد الحكم الأصلي المقصود بالذات في الواقعة الواحدة ووحدته</w:t>
      </w:r>
      <w:r>
        <w:rPr>
          <w:rFonts w:eastAsia="Amiri" w:cs="Amiri" w:ascii="Amiri" w:hAnsi="Amiri"/>
          <w:color w:val="111111"/>
          <w:sz w:val="28"/>
          <w:szCs w:val="28"/>
          <w:rtl w:val="true"/>
          <w:lang w:bidi="ar-SA"/>
        </w:rPr>
        <w:t>.</w:t>
      </w:r>
      <w:r>
        <w:rPr>
          <w:rStyle w:val="FootnoteAnchor"/>
          <w:rtl w:val="true"/>
        </w:rPr>
        <w:footnoteReference w:id="2672"/>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والموضوعات الصرفة ليست </w:t>
      </w:r>
      <w:r>
        <w:rPr>
          <w:rStyle w:val="FootnoteAnchor"/>
          <w:rtl w:val="true"/>
        </w:rPr>
        <w:footnoteReference w:id="2673"/>
      </w:r>
      <w:r>
        <w:rPr>
          <w:rFonts w:ascii="Amiri" w:hAnsi="Amiri" w:eastAsia="Amiri" w:cs="Amiri"/>
          <w:color w:val="111111"/>
          <w:sz w:val="28"/>
          <w:sz w:val="28"/>
          <w:szCs w:val="28"/>
          <w:rtl w:val="true"/>
          <w:lang w:bidi="ar-SA"/>
        </w:rPr>
        <w:t>من محل النزاع، وإن كان قد يظهر دخولها ممن فرض ثمرة النزاع في القبلة</w:t>
      </w:r>
      <w:r>
        <w:rPr>
          <w:rStyle w:val="FootnoteAnchor"/>
          <w:rtl w:val="true"/>
        </w:rPr>
        <w:footnoteReference w:id="2674"/>
      </w:r>
      <w:r>
        <w:rPr>
          <w:rFonts w:ascii="Amiri" w:hAnsi="Amiri" w:eastAsia="Amiri" w:cs="Amiri"/>
          <w:color w:val="111111"/>
          <w:sz w:val="28"/>
          <w:sz w:val="28"/>
          <w:szCs w:val="28"/>
          <w:rtl w:val="true"/>
          <w:lang w:bidi="ar-SA"/>
        </w:rPr>
        <w:t xml:space="preserve">؛ وذلك لأن العنوان في الأحكام الفرعية </w:t>
      </w:r>
      <w:r>
        <w:rPr>
          <w:rStyle w:val="FootnoteAnchor"/>
          <w:rtl w:val="true"/>
        </w:rPr>
        <w:footnoteReference w:id="2675"/>
      </w:r>
      <w:r>
        <w:rPr>
          <w:rFonts w:ascii="IRNazanin" w:hAnsi="IRNazanin" w:eastAsia="IRNazanin"/>
          <w:color w:val="111111"/>
          <w:sz w:val="28"/>
          <w:sz w:val="28"/>
          <w:szCs w:val="28"/>
          <w:rtl w:val="true"/>
          <w:lang w:bidi="fa-IR"/>
        </w:rPr>
        <w:t xml:space="preserve">، ولأنه </w:t>
      </w:r>
      <w:bookmarkStart w:id="807" w:name="pg9015_97857"/>
    </w:p>
    <w:p>
      <w:pPr>
        <w:pStyle w:val="BookText"/>
        <w:rPr/>
      </w:pPr>
      <w:bookmarkEnd w:id="807"/>
      <w:r>
        <w:rPr>
          <w:rFonts w:ascii="Amiri" w:hAnsi="Amiri" w:eastAsia="Amiri" w:cs="Amiri"/>
          <w:color w:val="111111"/>
          <w:sz w:val="28"/>
          <w:sz w:val="28"/>
          <w:szCs w:val="28"/>
          <w:rtl w:val="true"/>
          <w:lang w:bidi="ar-SA"/>
        </w:rPr>
        <w:t>لا يعقل التصويب فيها</w:t>
      </w:r>
      <w:r>
        <w:rPr>
          <w:rStyle w:val="FootnoteAnchor"/>
          <w:rtl w:val="true"/>
        </w:rPr>
        <w:footnoteReference w:id="2676"/>
      </w:r>
      <w:r>
        <w:rPr>
          <w:rFonts w:ascii="IRNazanin" w:hAnsi="IRNazanin" w:eastAsia="IRNazanin"/>
          <w:color w:val="111111"/>
          <w:sz w:val="28"/>
          <w:sz w:val="28"/>
          <w:szCs w:val="28"/>
          <w:rtl w:val="true"/>
          <w:lang w:bidi="fa-IR"/>
        </w:rPr>
        <w:t xml:space="preserve">، ولأنه </w:t>
      </w:r>
      <w:r>
        <w:rPr>
          <w:rStyle w:val="FootnoteAnchor"/>
          <w:rtl w:val="true"/>
        </w:rPr>
        <w:footnoteReference w:id="2677"/>
      </w:r>
      <w:r>
        <w:rPr>
          <w:rFonts w:ascii="Amiri" w:hAnsi="Amiri" w:eastAsia="Amiri" w:cs="Amiri"/>
          <w:color w:val="111111"/>
          <w:sz w:val="28"/>
          <w:sz w:val="28"/>
          <w:szCs w:val="28"/>
          <w:rtl w:val="true"/>
          <w:lang w:bidi="ar-SA"/>
        </w:rPr>
        <w:t>يلزم التناقض بين قول الإمامية هنا بالتخطئة، وبين</w:t>
      </w:r>
      <w:r>
        <w:rPr>
          <w:rStyle w:val="FootnoteAnchor"/>
          <w:rtl w:val="true"/>
        </w:rPr>
        <w:footnoteReference w:id="2678"/>
      </w:r>
      <w:r>
        <w:rPr>
          <w:rFonts w:ascii="Amiri" w:hAnsi="Amiri" w:eastAsia="Amiri" w:cs="Amiri"/>
          <w:color w:val="111111"/>
          <w:sz w:val="28"/>
          <w:sz w:val="28"/>
          <w:szCs w:val="28"/>
          <w:rtl w:val="true"/>
          <w:lang w:bidi="ar-SA"/>
        </w:rPr>
        <w:t>نزاعهم في وضع الألفاظ للأمر النفس الأمري، أو الذهني، أو الخارجي</w:t>
      </w:r>
      <w:r>
        <w:rPr>
          <w:rFonts w:eastAsia="Amiri" w:cs="Amiri" w:ascii="Amiri" w:hAnsi="Amiri"/>
          <w:color w:val="111111"/>
          <w:sz w:val="28"/>
          <w:szCs w:val="28"/>
          <w:rtl w:val="true"/>
          <w:lang w:bidi="ar-SA"/>
        </w:rPr>
        <w:t>.</w:t>
      </w:r>
      <w:r>
        <w:rPr>
          <w:rStyle w:val="FootnoteAnchor"/>
          <w:rtl w:val="true"/>
        </w:rPr>
        <w:footnoteReference w:id="2679"/>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مع المخطئة؛ لأصالة عدم التعدد المخطئة؛ لأصالة عدم التعدد</w:t>
      </w:r>
      <w:r>
        <w:rPr>
          <w:rStyle w:val="FootnoteAnchor"/>
          <w:rtl w:val="true"/>
        </w:rPr>
        <w:footnoteReference w:id="2680"/>
      </w:r>
      <w:r>
        <w:rPr>
          <w:rFonts w:ascii="Amiri" w:hAnsi="Amiri" w:eastAsia="Amiri" w:cs="Amiri"/>
          <w:color w:val="111111"/>
          <w:sz w:val="28"/>
          <w:sz w:val="28"/>
          <w:szCs w:val="28"/>
          <w:rtl w:val="true"/>
          <w:lang w:bidi="ar-SA"/>
        </w:rPr>
        <w:t>، وعدم الإصابة</w:t>
      </w:r>
      <w:r>
        <w:rPr>
          <w:rStyle w:val="FootnoteAnchor"/>
          <w:rtl w:val="true"/>
        </w:rPr>
        <w:footnoteReference w:id="2681"/>
      </w:r>
      <w:r>
        <w:rPr>
          <w:rFonts w:ascii="Amiri" w:hAnsi="Amiri" w:eastAsia="Amiri" w:cs="Amiri"/>
          <w:color w:val="111111"/>
          <w:sz w:val="28"/>
          <w:sz w:val="28"/>
          <w:szCs w:val="28"/>
          <w:rtl w:val="true"/>
          <w:lang w:bidi="ar-SA"/>
        </w:rPr>
        <w:t>، وفيهما</w:t>
      </w:r>
      <w:r>
        <w:rPr>
          <w:rStyle w:val="FootnoteAnchor"/>
          <w:rtl w:val="true"/>
        </w:rPr>
        <w:footnoteReference w:id="2682"/>
      </w:r>
      <w:r>
        <w:rPr>
          <w:rFonts w:ascii="Amiri" w:hAnsi="Amiri" w:eastAsia="Amiri" w:cs="Amiri"/>
          <w:color w:val="111111"/>
          <w:sz w:val="28"/>
          <w:sz w:val="28"/>
          <w:szCs w:val="28"/>
          <w:rtl w:val="true"/>
          <w:lang w:bidi="ar-SA"/>
        </w:rPr>
        <w:t>نظر ، وإن كان المدعى حقاً، وأمكن تتميمه بتقرير آخر</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2001913_2870459653"/>
      <w:bookmarkStart w:id="809" w:name="_Toc306"/>
      <w:bookmarkEnd w:id="808"/>
      <w:r>
        <w:rPr>
          <w:rtl w:val="true"/>
        </w:rPr>
        <w:t>[</w:t>
      </w:r>
      <w:r>
        <w:rPr>
          <w:rtl w:val="true"/>
        </w:rPr>
        <w:t>المختار في المسألة</w:t>
      </w:r>
      <w:r>
        <w:rPr>
          <w:rtl w:val="true"/>
        </w:rPr>
        <w:t>]</w:t>
      </w:r>
      <w:bookmarkEnd w:id="80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الصواب بطلان التصويب؛ لتبعية الأحكام للصفات، من غير مدخلية العلم والجهل وللزوم الترجيح بلا مرجح في إرادة واحد من الأحكام الأصلية من الخطابات دون غيره، وفي الأمر بالفحص عنه دون غيره، ولبناء العقلاء، والإجماع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محققاً ومنقولاً</w:t>
      </w:r>
      <w:r>
        <w:rPr>
          <w:rStyle w:val="FootnoteAnchor"/>
          <w:rtl w:val="true"/>
        </w:rPr>
        <w:footnoteReference w:id="2683"/>
      </w:r>
      <w:r>
        <w:rPr>
          <w:rFonts w:ascii="Amiri" w:hAnsi="Amiri" w:eastAsia="Amiri" w:cs="Amiri"/>
          <w:color w:val="111111"/>
          <w:sz w:val="28"/>
          <w:sz w:val="28"/>
          <w:szCs w:val="28"/>
          <w:rtl w:val="true"/>
          <w:lang w:bidi="ar-SA"/>
        </w:rPr>
        <w:t>، ولظاهر الآيات 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w:t>
      </w:r>
      <w:r>
        <w:rPr>
          <w:rFonts w:eastAsia="Amiri" w:cs="Amiri" w:ascii="Amiri" w:hAnsi="Amiri"/>
          <w:color w:val="111111"/>
          <w:sz w:val="28"/>
          <w:szCs w:val="28"/>
          <w:rtl w:val="true"/>
          <w:lang w:bidi="ar-SA"/>
        </w:rPr>
        <w:t>»</w:t>
      </w:r>
      <w:r>
        <w:rPr>
          <w:rStyle w:val="FootnoteAnchor"/>
          <w:rtl w:val="true"/>
        </w:rPr>
        <w:footnoteReference w:id="2684"/>
      </w:r>
      <w:r>
        <w:rPr>
          <w:rFonts w:ascii="Amiri" w:hAnsi="Amiri" w:eastAsia="Amiri" w:cs="Amiri"/>
          <w:color w:val="111111"/>
          <w:sz w:val="28"/>
          <w:sz w:val="28"/>
          <w:szCs w:val="28"/>
          <w:rtl w:val="true"/>
          <w:lang w:bidi="ar-SA"/>
        </w:rPr>
        <w:t>، والنص النبوي المشهور الذي جعل للمصيب أجرين</w:t>
      </w:r>
      <w:r>
        <w:rPr>
          <w:rStyle w:val="FootnoteAnchor"/>
          <w:rtl w:val="true"/>
        </w:rPr>
        <w:footnoteReference w:id="2685"/>
      </w:r>
      <w:r>
        <w:rPr>
          <w:rFonts w:ascii="IRNazanin" w:hAnsi="IRNazanin" w:eastAsia="IRNazanin"/>
          <w:color w:val="111111"/>
          <w:sz w:val="28"/>
          <w:sz w:val="28"/>
          <w:szCs w:val="28"/>
          <w:rtl w:val="true"/>
          <w:lang w:bidi="fa-IR"/>
        </w:rPr>
        <w:t>وللمخطئ أجراً</w:t>
      </w:r>
      <w:r>
        <w:rPr>
          <w:rStyle w:val="FootnoteAnchor"/>
          <w:rtl w:val="true"/>
        </w:rPr>
        <w:footnoteReference w:id="2686"/>
      </w:r>
      <w:r>
        <w:rPr>
          <w:rStyle w:val="FootnoteAnchor"/>
          <w:rtl w:val="true"/>
        </w:rPr>
        <w:footnoteReference w:id="2687"/>
      </w:r>
      <w:r>
        <w:rPr>
          <w:rFonts w:ascii="Amiri" w:hAnsi="Amiri" w:eastAsia="Amiri" w:cs="Amiri"/>
          <w:color w:val="111111"/>
          <w:sz w:val="28"/>
          <w:sz w:val="28"/>
          <w:szCs w:val="28"/>
          <w:rtl w:val="true"/>
          <w:lang w:bidi="ar-SA"/>
        </w:rPr>
        <w:t>، وينبغي تنزيله على</w:t>
      </w:r>
      <w:r>
        <w:rPr>
          <w:rStyle w:val="FootnoteAnchor"/>
          <w:rtl w:val="true"/>
        </w:rPr>
        <w:footnoteReference w:id="2688"/>
      </w:r>
      <w:r>
        <w:rPr>
          <w:rFonts w:ascii="Amiri" w:hAnsi="Amiri" w:eastAsia="Amiri" w:cs="Amiri"/>
          <w:color w:val="111111"/>
          <w:sz w:val="28"/>
          <w:sz w:val="28"/>
          <w:szCs w:val="28"/>
          <w:rtl w:val="true"/>
          <w:lang w:bidi="ar-SA"/>
        </w:rPr>
        <w:t>الفحص الزائد المستحب ، لا على القدر الواجب؛ حتى لا ينافي قواعد العدل</w:t>
      </w:r>
      <w:r>
        <w:rPr>
          <w:rStyle w:val="FootnoteAnchor"/>
          <w:rtl w:val="true"/>
        </w:rPr>
        <w:footnoteReference w:id="2689"/>
      </w:r>
      <w:r>
        <w:rPr>
          <w:rFonts w:ascii="Amiri" w:hAnsi="Amiri" w:eastAsia="Amiri" w:cs="Amiri"/>
          <w:color w:val="111111"/>
          <w:sz w:val="28"/>
          <w:sz w:val="28"/>
          <w:szCs w:val="28"/>
          <w:rtl w:val="true"/>
          <w:lang w:bidi="ar-SA"/>
        </w:rPr>
        <w:t>،وللنصوص الدالة على أن له تعالى في كل واقعة حكماً</w:t>
      </w:r>
      <w:r>
        <w:rPr>
          <w:rStyle w:val="FootnoteAnchor"/>
          <w:rtl w:val="true"/>
        </w:rPr>
        <w:footnoteReference w:id="2690"/>
      </w:r>
      <w:r>
        <w:rPr>
          <w:rFonts w:ascii="Amiri" w:hAnsi="Amiri" w:eastAsia="Amiri" w:cs="Amiri"/>
          <w:color w:val="111111"/>
          <w:sz w:val="28"/>
          <w:sz w:val="28"/>
          <w:szCs w:val="28"/>
          <w:rtl w:val="true"/>
          <w:lang w:bidi="ar-SA"/>
        </w:rPr>
        <w:t>، والحديث نهج البلاغة</w:t>
      </w:r>
      <w:r>
        <w:rPr>
          <w:rFonts w:eastAsia="Amiri" w:cs="Amiri" w:ascii="Amiri" w:hAnsi="Amiri"/>
          <w:color w:val="111111"/>
          <w:sz w:val="28"/>
          <w:szCs w:val="28"/>
          <w:rtl w:val="true"/>
          <w:lang w:bidi="ar-SA"/>
        </w:rPr>
        <w:t>.</w:t>
      </w:r>
      <w:r>
        <w:rPr>
          <w:rStyle w:val="FootnoteAnchor"/>
          <w:rtl w:val="true"/>
        </w:rPr>
        <w:footnoteReference w:id="2691"/>
      </w:r>
      <w:bookmarkStart w:id="810" w:name="pg9015_97861"/>
    </w:p>
    <w:p>
      <w:pPr>
        <w:pStyle w:val="Heading3"/>
        <w:numPr>
          <w:ilvl w:val="2"/>
          <w:numId w:val="1"/>
        </w:numPr>
        <w:rPr/>
      </w:pPr>
      <w:bookmarkStart w:id="811" w:name="__RefHeading___Toc2001915_2870459653"/>
      <w:bookmarkStart w:id="812" w:name="_Toc307"/>
      <w:bookmarkEnd w:id="810"/>
      <w:bookmarkEnd w:id="811"/>
      <w:r>
        <w:rPr>
          <w:rtl w:val="true"/>
        </w:rPr>
        <w:t>[</w:t>
      </w:r>
      <w:r>
        <w:rPr>
          <w:rtl w:val="true"/>
        </w:rPr>
        <w:t>ثمرة المسألة</w:t>
      </w:r>
      <w:r>
        <w:rPr>
          <w:rtl w:val="true"/>
        </w:rPr>
        <w:t>]</w:t>
      </w:r>
      <w:bookmarkEnd w:id="81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وتظهر ثمرة القول بالتخطئة في أن الأمر لا يقتضي الاجزاء فيما كان البدل عقلياً، إلّا أن يقوم دليل على الإجزاء</w:t>
      </w:r>
      <w:r>
        <w:rPr>
          <w:rStyle w:val="FootnoteAnchor"/>
          <w:rtl w:val="true"/>
        </w:rPr>
        <w:footnoteReference w:id="2692"/>
      </w:r>
      <w:r>
        <w:rPr>
          <w:rFonts w:ascii="Amiri" w:hAnsi="Amiri" w:eastAsia="Amiri" w:cs="Amiri"/>
          <w:color w:val="111111"/>
          <w:sz w:val="28"/>
          <w:sz w:val="28"/>
          <w:szCs w:val="28"/>
          <w:rtl w:val="true"/>
          <w:lang w:bidi="ar-SA"/>
        </w:rPr>
        <w:t>، وقد تفرض ثمرة النزاع أيضاً</w:t>
      </w:r>
      <w:r>
        <w:rPr>
          <w:rStyle w:val="FootnoteAnchor"/>
          <w:rtl w:val="true"/>
        </w:rPr>
        <w:footnoteReference w:id="2693"/>
      </w:r>
      <w:r>
        <w:rPr>
          <w:rFonts w:ascii="Amiri" w:hAnsi="Amiri" w:eastAsia="Amiri" w:cs="Amiri"/>
          <w:color w:val="111111"/>
          <w:sz w:val="28"/>
          <w:sz w:val="28"/>
          <w:szCs w:val="28"/>
          <w:rtl w:val="true"/>
          <w:lang w:bidi="ar-SA"/>
        </w:rPr>
        <w:t xml:space="preserve">في جواز القدوة </w:t>
      </w:r>
      <w:r>
        <w:rPr>
          <w:rStyle w:val="FootnoteAnchor"/>
          <w:rtl w:val="true"/>
        </w:rPr>
        <w:footnoteReference w:id="2694"/>
      </w:r>
      <w:r>
        <w:rPr>
          <w:rFonts w:ascii="Amiri" w:hAnsi="Amiri" w:eastAsia="Amiri" w:cs="Amiri"/>
          <w:color w:val="111111"/>
          <w:sz w:val="28"/>
          <w:sz w:val="28"/>
          <w:szCs w:val="28"/>
          <w:rtl w:val="true"/>
          <w:lang w:bidi="ar-SA"/>
        </w:rPr>
        <w:t xml:space="preserve">بمن ينافي رأيه رأي الماموم وعدمه، وفي انفاذ حكم حاكم آخر </w:t>
      </w:r>
      <w:r>
        <w:rPr>
          <w:rStyle w:val="FootnoteAnchor"/>
          <w:rtl w:val="true"/>
        </w:rPr>
        <w:footnoteReference w:id="2695"/>
      </w:r>
      <w:r>
        <w:rPr>
          <w:rFonts w:ascii="IRNazanin" w:hAnsi="IRNazanin" w:eastAsia="IRNazanin"/>
          <w:color w:val="111111"/>
          <w:sz w:val="28"/>
          <w:sz w:val="28"/>
          <w:szCs w:val="28"/>
          <w:rtl w:val="true"/>
          <w:lang w:bidi="fa-IR"/>
        </w:rPr>
        <w:t>وعدمه</w:t>
      </w:r>
      <w:r>
        <w:rPr>
          <w:rStyle w:val="FootnoteAnchor"/>
          <w:rtl w:val="true"/>
        </w:rPr>
        <w:footnoteReference w:id="2696"/>
      </w:r>
      <w:r>
        <w:rPr>
          <w:rFonts w:ascii="Amiri" w:hAnsi="Amiri" w:eastAsia="Amiri" w:cs="Amiri"/>
          <w:color w:val="111111"/>
          <w:sz w:val="28"/>
          <w:sz w:val="28"/>
          <w:szCs w:val="28"/>
          <w:rtl w:val="true"/>
          <w:lang w:bidi="ar-SA"/>
        </w:rPr>
        <w:t>، وفيهما</w:t>
      </w:r>
      <w:r>
        <w:rPr>
          <w:rStyle w:val="FootnoteAnchor"/>
          <w:rtl w:val="true"/>
        </w:rPr>
        <w:footnoteReference w:id="2697"/>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bookmarkStart w:id="813" w:name="pg9015_97863"/>
    </w:p>
    <w:p>
      <w:pPr>
        <w:pStyle w:val="Heading2"/>
        <w:numPr>
          <w:ilvl w:val="1"/>
          <w:numId w:val="1"/>
        </w:numPr>
        <w:rPr/>
      </w:pPr>
      <w:bookmarkStart w:id="814" w:name="__RefHeading___Toc2001917_2870459653"/>
      <w:bookmarkStart w:id="815" w:name="_Toc308"/>
      <w:bookmarkEnd w:id="813"/>
      <w:bookmarkEnd w:id="814"/>
      <w:r>
        <w:rPr>
          <w:rtl w:val="true"/>
        </w:rPr>
        <w:t xml:space="preserve">أصل </w:t>
      </w:r>
      <w:r>
        <w:rPr>
          <w:rtl w:val="true"/>
        </w:rPr>
        <w:t>[</w:t>
      </w:r>
      <w:r>
        <w:rPr>
          <w:rtl w:val="true"/>
        </w:rPr>
        <w:t>في رجوع المقلد برجوع مجتهده</w:t>
      </w:r>
      <w:r>
        <w:rPr>
          <w:rtl w:val="true"/>
        </w:rPr>
        <w:t>]</w:t>
      </w:r>
      <w:bookmarkEnd w:id="815"/>
    </w:p>
    <w:p>
      <w:pPr>
        <w:pStyle w:val="BookText"/>
        <w:rPr/>
      </w:pPr>
      <w:r>
        <w:rPr>
          <w:rFonts w:ascii="IRNazanin" w:hAnsi="IRNazanin" w:eastAsia="IRNazanin"/>
          <w:color w:val="111111"/>
          <w:sz w:val="28"/>
          <w:sz w:val="28"/>
          <w:szCs w:val="28"/>
          <w:rtl w:val="true"/>
          <w:lang w:bidi="fa-IR"/>
        </w:rPr>
        <w:t>اذا علم المقلد برجوع مجتهده</w:t>
      </w:r>
      <w:r>
        <w:rPr>
          <w:rStyle w:val="FootnoteAnchor"/>
          <w:rtl w:val="true"/>
        </w:rPr>
        <w:footnoteReference w:id="2698"/>
      </w:r>
      <w:r>
        <w:rPr>
          <w:rFonts w:ascii="Amiri" w:hAnsi="Amiri" w:eastAsia="Amiri" w:cs="Amiri"/>
          <w:color w:val="111111"/>
          <w:sz w:val="28"/>
          <w:sz w:val="28"/>
          <w:szCs w:val="28"/>
          <w:rtl w:val="true"/>
          <w:lang w:bidi="ar-SA"/>
        </w:rPr>
        <w:t>عن رأيه رجع عنه؛ للإجماع</w:t>
      </w:r>
      <w:r>
        <w:rPr>
          <w:rStyle w:val="FootnoteAnchor"/>
          <w:rtl w:val="true"/>
        </w:rPr>
        <w:footnoteReference w:id="2699"/>
      </w:r>
      <w:r>
        <w:rPr>
          <w:rFonts w:ascii="Amiri" w:hAnsi="Amiri" w:eastAsia="Amiri" w:cs="Amiri"/>
          <w:color w:val="111111"/>
          <w:sz w:val="28"/>
          <w:sz w:val="28"/>
          <w:szCs w:val="28"/>
          <w:rtl w:val="true"/>
          <w:lang w:bidi="ar-SA"/>
        </w:rPr>
        <w:t>، وبناء العقلاء، والأولوية الدافعة للاستصحاب</w:t>
      </w:r>
      <w:r>
        <w:rPr>
          <w:rStyle w:val="FootnoteAnchor"/>
          <w:rtl w:val="true"/>
        </w:rPr>
        <w:footnoteReference w:id="27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والأحوط تقليده </w:t>
      </w:r>
      <w:r>
        <w:rPr>
          <w:rStyle w:val="FootnoteAnchor"/>
          <w:rtl w:val="true"/>
        </w:rPr>
        <w:footnoteReference w:id="2701"/>
      </w:r>
      <w:r>
        <w:rPr>
          <w:rFonts w:ascii="Amiri" w:hAnsi="Amiri" w:eastAsia="Amiri" w:cs="Amiri"/>
          <w:color w:val="111111"/>
          <w:sz w:val="28"/>
          <w:sz w:val="28"/>
          <w:szCs w:val="28"/>
          <w:rtl w:val="true"/>
          <w:lang w:bidi="ar-SA"/>
        </w:rPr>
        <w:t>في رأيه الثاني لا تقليد غيره، وإن اقتضى جوازه استصحاب</w:t>
      </w:r>
      <w:r>
        <w:rPr>
          <w:rFonts w:eastAsia="Amiri" w:cs="Amiri" w:ascii="Amiri" w:hAnsi="Amiri"/>
          <w:color w:val="111111"/>
          <w:sz w:val="28"/>
          <w:szCs w:val="28"/>
          <w:rtl w:val="true"/>
          <w:lang w:bidi="ar-SA"/>
        </w:rPr>
        <w:t>)</w:t>
      </w:r>
      <w:r>
        <w:rPr>
          <w:rStyle w:val="FootnoteAnchor"/>
          <w:rtl w:val="true"/>
        </w:rPr>
        <w:footnoteReference w:id="2702"/>
      </w:r>
      <w:r>
        <w:rPr>
          <w:rFonts w:ascii="Amiri" w:hAnsi="Amiri" w:eastAsia="Amiri" w:cs="Amiri"/>
          <w:color w:val="111111"/>
          <w:sz w:val="28"/>
          <w:sz w:val="28"/>
          <w:szCs w:val="28"/>
          <w:rtl w:val="true"/>
          <w:lang w:bidi="ar-SA"/>
        </w:rPr>
        <w:t xml:space="preserve">التخيير الأصلي المقدم على أصل الشغل </w:t>
      </w:r>
      <w:r>
        <w:rPr>
          <w:rStyle w:val="FootnoteAnchor"/>
          <w:rtl w:val="true"/>
        </w:rPr>
        <w:footnoteReference w:id="2703"/>
      </w:r>
      <w:r>
        <w:rPr>
          <w:rFonts w:ascii="Amiri" w:hAnsi="Amiri" w:eastAsia="Amiri" w:cs="Amiri"/>
          <w:color w:val="111111"/>
          <w:sz w:val="28"/>
          <w:sz w:val="28"/>
          <w:szCs w:val="28"/>
          <w:rtl w:val="true"/>
          <w:lang w:bidi="ar-SA"/>
        </w:rPr>
        <w:t>، وعلى استصحاب حرمة العمل برأي</w:t>
      </w:r>
      <w:r>
        <w:rPr>
          <w:rStyle w:val="FootnoteAnchor"/>
          <w:rtl w:val="true"/>
        </w:rPr>
        <w:footnoteReference w:id="2704"/>
      </w:r>
      <w:r>
        <w:rPr>
          <w:rFonts w:ascii="IRNazanin" w:hAnsi="IRNazanin" w:eastAsia="IRNazanin"/>
          <w:color w:val="111111"/>
          <w:sz w:val="28"/>
          <w:sz w:val="28"/>
          <w:szCs w:val="28"/>
          <w:rtl w:val="true"/>
          <w:lang w:bidi="fa-IR"/>
        </w:rPr>
        <w:t>غيره التي كانت حين اختیاره تقلیده قبل رجوعه</w:t>
      </w:r>
      <w:r>
        <w:rPr>
          <w:rFonts w:eastAsia="IRNazanin" w:cs="IRNazanin"/>
          <w:color w:val="111111"/>
          <w:sz w:val="28"/>
          <w:szCs w:val="28"/>
          <w:rtl w:val="true"/>
          <w:lang w:bidi="fa-IR"/>
        </w:rPr>
        <w:t>.</w:t>
      </w:r>
      <w:r>
        <w:rPr>
          <w:rStyle w:val="FootnoteAnchor"/>
          <w:rtl w:val="true"/>
        </w:rPr>
        <w:footnoteReference w:id="2705"/>
      </w:r>
    </w:p>
    <w:p>
      <w:pPr>
        <w:pStyle w:val="BookText"/>
        <w:rPr/>
      </w:pPr>
      <w:r>
        <w:rPr>
          <w:rFonts w:ascii="Amiri" w:hAnsi="Amiri" w:eastAsia="Amiri" w:cs="Amiri"/>
          <w:color w:val="111111"/>
          <w:sz w:val="28"/>
          <w:sz w:val="28"/>
          <w:szCs w:val="28"/>
          <w:rtl w:val="true"/>
          <w:lang w:bidi="ar-SA"/>
        </w:rPr>
        <w:t>وليس عليه إعلام الناس بتجدد رأيه؛ للأصل</w:t>
      </w:r>
      <w:r>
        <w:rPr>
          <w:rFonts w:eastAsia="Amiri" w:cs="Amiri" w:ascii="Amiri" w:hAnsi="Amiri"/>
          <w:color w:val="111111"/>
          <w:sz w:val="28"/>
          <w:szCs w:val="28"/>
          <w:rtl w:val="true"/>
          <w:lang w:bidi="ar-SA"/>
        </w:rPr>
        <w:t>.</w:t>
      </w:r>
      <w:r>
        <w:rPr>
          <w:rStyle w:val="FootnoteAnchor"/>
          <w:rtl w:val="true"/>
        </w:rPr>
        <w:footnoteReference w:id="270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علم المقلد إجمالاً برجوع مجتهده عن</w:t>
      </w:r>
      <w:r>
        <w:rPr>
          <w:rStyle w:val="FootnoteAnchor"/>
          <w:rtl w:val="true"/>
        </w:rPr>
        <w:footnoteReference w:id="2707"/>
      </w:r>
      <w:r>
        <w:rPr>
          <w:rFonts w:ascii="Amiri" w:hAnsi="Amiri" w:eastAsia="Amiri" w:cs="Amiri"/>
          <w:color w:val="111111"/>
          <w:sz w:val="28"/>
          <w:sz w:val="28"/>
          <w:szCs w:val="28"/>
          <w:rtl w:val="true"/>
          <w:lang w:bidi="ar-SA"/>
        </w:rPr>
        <w:t>بعض فتاويه، ففي اعتبار هذا العلم الإجمالي وجهان، بل وجوه</w:t>
      </w:r>
      <w:r>
        <w:rPr>
          <w:rFonts w:eastAsia="Amiri" w:cs="Amiri" w:ascii="Amiri" w:hAnsi="Amiri"/>
          <w:color w:val="111111"/>
          <w:sz w:val="28"/>
          <w:szCs w:val="28"/>
          <w:rtl w:val="true"/>
          <w:lang w:bidi="ar-SA"/>
        </w:rPr>
        <w:t>.</w:t>
      </w:r>
      <w:r>
        <w:rPr>
          <w:rStyle w:val="FootnoteAnchor"/>
          <w:rtl w:val="true"/>
        </w:rPr>
        <w:footnoteReference w:id="2708"/>
      </w:r>
      <w:bookmarkStart w:id="816" w:name="pg9015_97865"/>
    </w:p>
    <w:p>
      <w:pPr>
        <w:pStyle w:val="Heading2"/>
        <w:numPr>
          <w:ilvl w:val="1"/>
          <w:numId w:val="1"/>
        </w:numPr>
        <w:rPr/>
      </w:pPr>
      <w:bookmarkStart w:id="817" w:name="__RefHeading___Toc2001919_2870459653"/>
      <w:bookmarkStart w:id="818" w:name="_Toc309"/>
      <w:bookmarkEnd w:id="816"/>
      <w:bookmarkEnd w:id="817"/>
      <w:r>
        <w:rPr>
          <w:rtl w:val="true"/>
        </w:rPr>
        <w:t xml:space="preserve">أصل </w:t>
      </w:r>
      <w:r>
        <w:rPr>
          <w:rtl w:val="true"/>
        </w:rPr>
        <w:t>[</w:t>
      </w:r>
      <w:r>
        <w:rPr>
          <w:rtl w:val="true"/>
        </w:rPr>
        <w:t>في بيان معنى الحكم والفتوى</w:t>
      </w:r>
      <w:r>
        <w:rPr>
          <w:rtl w:val="true"/>
        </w:rPr>
        <w:t>]</w:t>
      </w:r>
      <w:bookmarkEnd w:id="818"/>
    </w:p>
    <w:p>
      <w:pPr>
        <w:pStyle w:val="Heading3"/>
        <w:numPr>
          <w:ilvl w:val="2"/>
          <w:numId w:val="1"/>
        </w:numPr>
        <w:rPr/>
      </w:pPr>
      <w:bookmarkStart w:id="819" w:name="__RefHeading___Toc2001921_2870459653"/>
      <w:bookmarkStart w:id="820" w:name="_Toc310"/>
      <w:bookmarkEnd w:id="819"/>
      <w:r>
        <w:rPr>
          <w:rtl w:val="true"/>
        </w:rPr>
        <w:t>اشارة</w:t>
      </w:r>
      <w:bookmarkEnd w:id="820"/>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المجتهد</w:t>
      </w:r>
      <w:r>
        <w:rPr>
          <w:rStyle w:val="FootnoteAnchor"/>
          <w:rtl w:val="true"/>
        </w:rPr>
        <w:footnoteReference w:id="2709"/>
      </w:r>
      <w:r>
        <w:rPr>
          <w:rFonts w:ascii="Amiri" w:hAnsi="Amiri" w:eastAsia="Amiri" w:cs="Amiri"/>
          <w:color w:val="111111"/>
          <w:sz w:val="28"/>
          <w:sz w:val="28"/>
          <w:szCs w:val="28"/>
          <w:rtl w:val="true"/>
          <w:lang w:bidi="ar-SA"/>
        </w:rPr>
        <w:t>بمقتضى رأيه الخصومة بين الناس ولو قوة، فيما يتعلق بامر ،معاشهم بصيغة إخبار أم إنشاء</w:t>
      </w:r>
      <w:r>
        <w:rPr>
          <w:rFonts w:eastAsia="Amiri" w:cs="Amiri" w:ascii="Amiri" w:hAnsi="Amiri"/>
          <w:color w:val="111111"/>
          <w:sz w:val="28"/>
          <w:szCs w:val="28"/>
          <w:rtl w:val="true"/>
          <w:lang w:bidi="ar-SA"/>
        </w:rPr>
        <w:t>.</w:t>
      </w:r>
      <w:r>
        <w:rPr>
          <w:rStyle w:val="FootnoteAnchor"/>
          <w:rtl w:val="true"/>
        </w:rPr>
        <w:footnoteReference w:id="2710"/>
      </w:r>
    </w:p>
    <w:p>
      <w:pPr>
        <w:pStyle w:val="BookText"/>
        <w:rPr/>
      </w:pPr>
      <w:r>
        <w:rPr>
          <w:rFonts w:ascii="Amiri" w:hAnsi="Amiri" w:eastAsia="Amiri" w:cs="Amiri"/>
          <w:color w:val="111111"/>
          <w:sz w:val="28"/>
          <w:sz w:val="28"/>
          <w:szCs w:val="28"/>
          <w:rtl w:val="true"/>
          <w:lang w:bidi="ar-SA"/>
        </w:rPr>
        <w:t>وربما ينتقض عكساً بالشهادة على شرب</w:t>
      </w:r>
      <w:r>
        <w:rPr>
          <w:rStyle w:val="FootnoteAnchor"/>
          <w:rtl w:val="true"/>
        </w:rPr>
        <w:footnoteReference w:id="2711"/>
      </w:r>
      <w:r>
        <w:rPr>
          <w:rFonts w:ascii="IRNazanin" w:hAnsi="IRNazanin" w:eastAsia="IRNazanin"/>
          <w:color w:val="111111"/>
          <w:sz w:val="28"/>
          <w:sz w:val="28"/>
          <w:szCs w:val="28"/>
          <w:rtl w:val="true"/>
          <w:lang w:bidi="fa-IR"/>
        </w:rPr>
        <w:t>الخمر والهلال ونحوهما</w:t>
      </w:r>
      <w:r>
        <w:rPr>
          <w:rStyle w:val="FootnoteAnchor"/>
          <w:rtl w:val="true"/>
        </w:rPr>
        <w:footnoteReference w:id="2712"/>
      </w:r>
      <w:r>
        <w:rPr>
          <w:rFonts w:ascii="Amiri" w:hAnsi="Amiri" w:eastAsia="Amiri" w:cs="Amiri"/>
          <w:color w:val="111111"/>
          <w:sz w:val="28"/>
          <w:sz w:val="28"/>
          <w:szCs w:val="28"/>
          <w:rtl w:val="true"/>
          <w:lang w:bidi="ar-SA"/>
        </w:rPr>
        <w:t>، وقد يتكلف في إدراجهما في الخصومة</w:t>
      </w:r>
      <w:r>
        <w:rPr>
          <w:rFonts w:eastAsia="Amiri" w:cs="Amiri" w:ascii="Amiri" w:hAnsi="Amiri"/>
          <w:color w:val="111111"/>
          <w:sz w:val="28"/>
          <w:szCs w:val="28"/>
          <w:rtl w:val="true"/>
          <w:lang w:bidi="ar-SA"/>
        </w:rPr>
        <w:t>.</w:t>
      </w:r>
      <w:r>
        <w:rPr>
          <w:rStyle w:val="FootnoteAnchor"/>
          <w:rtl w:val="true"/>
        </w:rPr>
        <w:footnoteReference w:id="2713"/>
      </w:r>
    </w:p>
    <w:p>
      <w:pPr>
        <w:pStyle w:val="BookText"/>
        <w:rPr/>
      </w:pPr>
      <w:r>
        <w:rPr>
          <w:rFonts w:ascii="Amiri" w:hAnsi="Amiri" w:eastAsia="Amiri" w:cs="Amiri"/>
          <w:color w:val="111111"/>
          <w:sz w:val="28"/>
          <w:sz w:val="28"/>
          <w:szCs w:val="28"/>
          <w:rtl w:val="true"/>
          <w:lang w:bidi="ar-SA"/>
        </w:rPr>
        <w:t>ويقال في 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ذلك إلى الخصومة في تصديق الشارب، وتكذيب الشهود فعلاً إذا كان الشاهد موجوداً، أو قوة إذا حكم الحاكم بعلمه</w:t>
      </w:r>
    </w:p>
    <w:p>
      <w:pPr>
        <w:pStyle w:val="BookText"/>
        <w:rPr/>
      </w:pPr>
      <w:r>
        <w:rPr>
          <w:rFonts w:ascii="Amiri" w:hAnsi="Amiri" w:eastAsia="Amiri" w:cs="Amiri"/>
          <w:color w:val="111111"/>
          <w:sz w:val="28"/>
          <w:sz w:val="28"/>
          <w:szCs w:val="28"/>
          <w:rtl w:val="true"/>
          <w:lang w:bidi="ar-SA"/>
        </w:rPr>
        <w:t>ولو عرّف بأنه ما يطلق عليه لفظ ،الحكم من غير تنافر وصحة سلب، لكان اولى</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إخبار عن حكم الله سبحانه، ولو بلفظ الإنشاء</w:t>
      </w:r>
      <w:r>
        <w:rPr>
          <w:rFonts w:eastAsia="Amiri" w:cs="Amiri" w:ascii="Amiri" w:hAnsi="Amiri"/>
          <w:color w:val="111111"/>
          <w:sz w:val="28"/>
          <w:szCs w:val="28"/>
          <w:rtl w:val="true"/>
          <w:lang w:bidi="ar-SA"/>
        </w:rPr>
        <w:t>.</w:t>
      </w:r>
      <w:r>
        <w:rPr>
          <w:rStyle w:val="FootnoteAnchor"/>
          <w:rtl w:val="true"/>
        </w:rPr>
        <w:footnoteReference w:id="2714"/>
      </w:r>
      <w:bookmarkStart w:id="821" w:name="pg9015_97867"/>
    </w:p>
    <w:p>
      <w:pPr>
        <w:pStyle w:val="BookText"/>
        <w:rPr/>
      </w:pPr>
      <w:bookmarkEnd w:id="821"/>
      <w:r>
        <w:rPr>
          <w:rFonts w:ascii="Amiri" w:hAnsi="Amiri" w:eastAsia="Amiri" w:cs="Amiri"/>
          <w:color w:val="111111"/>
          <w:sz w:val="28"/>
          <w:sz w:val="28"/>
          <w:szCs w:val="28"/>
          <w:rtl w:val="true"/>
          <w:lang w:bidi="ar-SA"/>
        </w:rPr>
        <w:t>وقد يشتبه الحكم والفتوى</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6"/>
      </w:r>
      <w:r>
        <w:rPr>
          <w:rFonts w:ascii="Amiri" w:hAnsi="Amiri" w:eastAsia="Amiri" w:cs="Amiri"/>
          <w:color w:val="111111"/>
          <w:sz w:val="28"/>
          <w:sz w:val="28"/>
          <w:szCs w:val="28"/>
          <w:rtl w:val="true"/>
          <w:lang w:bidi="ar-SA"/>
        </w:rPr>
        <w:t>، كما في قضية زوجة أبي سفيان</w:t>
      </w:r>
      <w:r>
        <w:rPr>
          <w:rStyle w:val="FootnoteAnchor"/>
          <w:rtl w:val="true"/>
        </w:rPr>
        <w:footnoteReference w:id="2717"/>
      </w:r>
      <w:r>
        <w:rPr>
          <w:rFonts w:ascii="Amiri" w:hAnsi="Amiri" w:eastAsia="Amiri" w:cs="Amiri"/>
          <w:color w:val="111111"/>
          <w:sz w:val="28"/>
          <w:sz w:val="28"/>
          <w:szCs w:val="28"/>
          <w:rtl w:val="true"/>
          <w:lang w:bidi="ar-SA"/>
        </w:rPr>
        <w:t>، والمدار على قصد الحاكم</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2001923_2870459653"/>
      <w:bookmarkStart w:id="823" w:name="_Toc311"/>
      <w:bookmarkEnd w:id="822"/>
      <w:r>
        <w:rPr>
          <w:rtl w:val="true"/>
        </w:rPr>
        <w:t>[</w:t>
      </w:r>
      <w:r>
        <w:rPr>
          <w:rtl w:val="true"/>
        </w:rPr>
        <w:t>ثمرة المسألة</w:t>
      </w:r>
      <w:r>
        <w:rPr>
          <w:rtl w:val="true"/>
        </w:rPr>
        <w:t>]</w:t>
      </w:r>
      <w:bookmarkEnd w:id="823"/>
    </w:p>
    <w:p>
      <w:pPr>
        <w:pStyle w:val="BookText"/>
        <w:rPr/>
      </w:pPr>
      <w:r>
        <w:rPr>
          <w:rFonts w:ascii="Amiri" w:hAnsi="Amiri" w:eastAsia="Amiri" w:cs="Amiri"/>
          <w:color w:val="111111"/>
          <w:sz w:val="28"/>
          <w:sz w:val="28"/>
          <w:szCs w:val="28"/>
          <w:rtl w:val="true"/>
          <w:lang w:bidi="ar-SA"/>
        </w:rPr>
        <w:t>وتظهر الثمرة في التعدي عن مورد النص وعدمه</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2001925_2870459653"/>
      <w:bookmarkStart w:id="825" w:name="_Toc312"/>
      <w:bookmarkEnd w:id="824"/>
      <w:r>
        <w:rPr>
          <w:rtl w:val="true"/>
        </w:rPr>
        <w:t>[</w:t>
      </w:r>
      <w:r>
        <w:rPr>
          <w:rtl w:val="true"/>
        </w:rPr>
        <w:t>تأسيس الأصل</w:t>
      </w:r>
      <w:r>
        <w:rPr>
          <w:rtl w:val="true"/>
        </w:rPr>
        <w:t>]</w:t>
      </w:r>
      <w:bookmarkEnd w:id="82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2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فالأصل جعله من باب الحكومة</w:t>
      </w:r>
      <w:r>
        <w:rPr>
          <w:rFonts w:eastAsia="Amiri" w:cs="Amiri" w:ascii="Amiri" w:hAnsi="Amiri"/>
          <w:color w:val="111111"/>
          <w:sz w:val="28"/>
          <w:szCs w:val="28"/>
          <w:rtl w:val="true"/>
          <w:lang w:bidi="ar-SA"/>
        </w:rPr>
        <w:t xml:space="preserve">. </w:t>
      </w:r>
      <w:bookmarkStart w:id="826" w:name="pg9015_97869"/>
    </w:p>
    <w:p>
      <w:pPr>
        <w:pStyle w:val="Heading2"/>
        <w:numPr>
          <w:ilvl w:val="1"/>
          <w:numId w:val="1"/>
        </w:numPr>
        <w:rPr/>
      </w:pPr>
      <w:bookmarkStart w:id="827" w:name="__RefHeading___Toc2001927_2870459653"/>
      <w:bookmarkStart w:id="828" w:name="_Toc313"/>
      <w:bookmarkEnd w:id="826"/>
      <w:bookmarkEnd w:id="827"/>
      <w:r>
        <w:rPr>
          <w:rtl w:val="true"/>
        </w:rPr>
        <w:t xml:space="preserve">أصل </w:t>
      </w:r>
      <w:r>
        <w:rPr>
          <w:rtl w:val="true"/>
        </w:rPr>
        <w:t>[</w:t>
      </w:r>
      <w:r>
        <w:rPr>
          <w:rtl w:val="true"/>
        </w:rPr>
        <w:t>في نقض حكم الحاكم</w:t>
      </w:r>
      <w:r>
        <w:rPr>
          <w:rtl w:val="true"/>
        </w:rPr>
        <w:t>]</w:t>
      </w:r>
      <w:bookmarkEnd w:id="828"/>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حكم الحاكم في واقعة خاصة، فمقتضى قاعدة التخطئة، وأصالة الفساد، وإطلاق أدلة المسألة الفرعية، جواز نقض حاكم آخر إياه، وجواز نقضه حكم نفسه إذا تجدد رأيه ظاناً ببطلان رأيه الأول، أو قاطعاً، إلا أن الإجماع محققاً ومنقولا</w:t>
      </w:r>
      <w:r>
        <w:rPr>
          <w:rStyle w:val="FootnoteAnchor"/>
          <w:rtl w:val="true"/>
        </w:rPr>
        <w:footnoteReference w:id="2719"/>
      </w:r>
      <w:r>
        <w:rPr>
          <w:rStyle w:val="FootnoteAnchor"/>
          <w:rtl w:val="true"/>
        </w:rPr>
        <w:footnoteReference w:id="2720"/>
      </w:r>
      <w:r>
        <w:rPr>
          <w:rFonts w:ascii="IRNazanin" w:hAnsi="IRNazanin" w:eastAsia="IRNazanin"/>
          <w:color w:val="111111"/>
          <w:sz w:val="28"/>
          <w:sz w:val="28"/>
          <w:szCs w:val="28"/>
          <w:rtl w:val="true"/>
          <w:lang w:bidi="fa-IR"/>
        </w:rPr>
        <w:t>، ولزوم الهرج</w:t>
      </w:r>
      <w:r>
        <w:rPr>
          <w:rStyle w:val="FootnoteAnchor"/>
          <w:rtl w:val="true"/>
        </w:rPr>
        <w:footnoteReference w:id="2721"/>
      </w:r>
      <w:r>
        <w:rPr>
          <w:rFonts w:ascii="IRNazanin" w:hAnsi="IRNazanin" w:eastAsia="IRNazanin"/>
          <w:color w:val="111111"/>
          <w:sz w:val="28"/>
          <w:sz w:val="28"/>
          <w:szCs w:val="28"/>
          <w:rtl w:val="true"/>
          <w:lang w:bidi="fa-IR"/>
        </w:rPr>
        <w:t>والمرج</w:t>
      </w:r>
      <w:r>
        <w:rPr>
          <w:rStyle w:val="FootnoteAnchor"/>
          <w:rtl w:val="true"/>
        </w:rPr>
        <w:footnoteReference w:id="2722"/>
      </w:r>
      <w:r>
        <w:rPr>
          <w:rFonts w:ascii="IRNazanin" w:hAnsi="IRNazanin" w:eastAsia="IRNazanin"/>
          <w:color w:val="111111"/>
          <w:sz w:val="28"/>
          <w:sz w:val="28"/>
          <w:szCs w:val="28"/>
          <w:rtl w:val="true"/>
          <w:lang w:bidi="fa-IR"/>
        </w:rPr>
        <w:t>، أوجب عدم</w:t>
      </w:r>
      <w:r>
        <w:rPr>
          <w:rStyle w:val="FootnoteAnchor"/>
          <w:rtl w:val="true"/>
        </w:rPr>
        <w:footnoteReference w:id="2723"/>
      </w:r>
      <w:r>
        <w:rPr>
          <w:rFonts w:ascii="Amiri" w:hAnsi="Amiri" w:eastAsia="Amiri" w:cs="Amiri"/>
          <w:color w:val="111111"/>
          <w:sz w:val="28"/>
          <w:sz w:val="28"/>
          <w:szCs w:val="28"/>
          <w:rtl w:val="true"/>
          <w:lang w:bidi="ar-SA"/>
        </w:rPr>
        <w:t>نقض الحاكم الآخر</w:t>
      </w:r>
      <w:r>
        <w:rPr>
          <w:rStyle w:val="FootnoteAnchor"/>
          <w:rtl w:val="true"/>
        </w:rPr>
        <w:footnoteReference w:id="2724"/>
      </w:r>
      <w:r>
        <w:rPr>
          <w:rStyle w:val="FootnoteAnchor"/>
          <w:rtl w:val="true"/>
        </w:rPr>
        <w:footnoteReference w:id="2725"/>
      </w:r>
      <w:r>
        <w:rPr>
          <w:rFonts w:ascii="Amiri" w:hAnsi="Amiri" w:eastAsia="Amiri" w:cs="Amiri"/>
          <w:color w:val="111111"/>
          <w:sz w:val="28"/>
          <w:sz w:val="28"/>
          <w:szCs w:val="28"/>
          <w:rtl w:val="true"/>
          <w:lang w:bidi="ar-SA"/>
        </w:rPr>
        <w:t xml:space="preserve">، وكذا عدم نقضه حكمه السابق إذا ظن بطلانه </w:t>
      </w:r>
      <w:r>
        <w:rPr>
          <w:rStyle w:val="FootnoteAnchor"/>
          <w:rtl w:val="true"/>
        </w:rPr>
        <w:footnoteReference w:id="2726"/>
      </w:r>
      <w:r>
        <w:rPr>
          <w:rFonts w:ascii="Amiri" w:hAnsi="Amiri" w:eastAsia="Amiri" w:cs="Amiri"/>
          <w:color w:val="111111"/>
          <w:sz w:val="28"/>
          <w:sz w:val="28"/>
          <w:szCs w:val="28"/>
          <w:rtl w:val="true"/>
          <w:lang w:bidi="ar-SA"/>
        </w:rPr>
        <w:t>بتجدد رأيه؛ لإطلاق منقول الإجماع، و</w:t>
      </w:r>
      <w:r>
        <w:rPr>
          <w:rStyle w:val="FootnoteAnchor"/>
          <w:rtl w:val="true"/>
        </w:rPr>
        <w:footnoteReference w:id="2727"/>
      </w:r>
      <w:r>
        <w:rPr>
          <w:rFonts w:ascii="IRNazanin" w:hAnsi="IRNazanin" w:eastAsia="IRNazanin"/>
          <w:color w:val="111111"/>
          <w:sz w:val="28"/>
          <w:sz w:val="28"/>
          <w:szCs w:val="28"/>
          <w:rtl w:val="true"/>
          <w:lang w:bidi="fa-IR"/>
        </w:rPr>
        <w:t>بناء العقلاء، ولزوم الهرج</w:t>
      </w:r>
      <w:r>
        <w:rPr>
          <w:rStyle w:val="FootnoteAnchor"/>
          <w:rtl w:val="true"/>
        </w:rPr>
        <w:footnoteReference w:id="2728"/>
      </w:r>
      <w:r>
        <w:rPr>
          <w:rFonts w:ascii="Amiri" w:hAnsi="Amiri" w:eastAsia="Amiri" w:cs="Amiri"/>
          <w:color w:val="111111"/>
          <w:sz w:val="28"/>
          <w:sz w:val="28"/>
          <w:szCs w:val="28"/>
          <w:rtl w:val="true"/>
          <w:lang w:bidi="ar-SA"/>
        </w:rPr>
        <w:t>، وظهور الإجماع المركب بينه وبين ،سابقه، ولا دليل على عدم جواز النقض في القسم الثالث</w:t>
      </w:r>
      <w:r>
        <w:rPr>
          <w:rStyle w:val="FootnoteAnchor"/>
          <w:rtl w:val="true"/>
        </w:rPr>
        <w:footnoteReference w:id="2729"/>
      </w:r>
      <w:r>
        <w:rPr>
          <w:rFonts w:ascii="Amiri" w:hAnsi="Amiri" w:eastAsia="Amiri" w:cs="Amiri"/>
          <w:color w:val="111111"/>
          <w:sz w:val="28"/>
          <w:sz w:val="28"/>
          <w:szCs w:val="28"/>
          <w:rtl w:val="true"/>
          <w:lang w:bidi="ar-SA"/>
        </w:rPr>
        <w:t>، فالأدلة الأولة</w:t>
      </w:r>
      <w:r>
        <w:rPr>
          <w:rStyle w:val="FootnoteAnchor"/>
          <w:rtl w:val="true"/>
        </w:rPr>
        <w:footnoteReference w:id="2730"/>
      </w:r>
      <w:r>
        <w:rPr>
          <w:rFonts w:ascii="Amiri" w:hAnsi="Amiri" w:eastAsia="Amiri" w:cs="Amiri"/>
          <w:color w:val="111111"/>
          <w:sz w:val="28"/>
          <w:sz w:val="28"/>
          <w:szCs w:val="28"/>
          <w:rtl w:val="true"/>
          <w:lang w:bidi="ar-SA"/>
        </w:rPr>
        <w:t xml:space="preserve">سليمة عن المعارض، والتفصيل بين العبادة والمعاملة </w:t>
      </w:r>
      <w:r>
        <w:rPr>
          <w:rStyle w:val="FootnoteAnchor"/>
          <w:rtl w:val="true"/>
        </w:rPr>
        <w:footnoteReference w:id="2731"/>
      </w:r>
      <w:r>
        <w:rPr>
          <w:rFonts w:ascii="Amiri" w:hAnsi="Amiri" w:eastAsia="Amiri" w:cs="Amiri"/>
          <w:color w:val="111111"/>
          <w:sz w:val="28"/>
          <w:sz w:val="28"/>
          <w:szCs w:val="28"/>
          <w:rtl w:val="true"/>
          <w:lang w:bidi="ar-SA"/>
        </w:rPr>
        <w:t>فاسد، بل الحكم لا يكون إلا في المعاملات</w:t>
      </w:r>
      <w:r>
        <w:rPr>
          <w:rFonts w:eastAsia="Amiri" w:cs="Amiri" w:ascii="Amiri" w:hAnsi="Amiri"/>
          <w:color w:val="111111"/>
          <w:sz w:val="28"/>
          <w:szCs w:val="28"/>
          <w:rtl w:val="true"/>
          <w:lang w:bidi="ar-SA"/>
        </w:rPr>
        <w:t xml:space="preserve">. </w:t>
      </w:r>
      <w:bookmarkStart w:id="829" w:name="pg9015_97871"/>
    </w:p>
    <w:p>
      <w:pPr>
        <w:pStyle w:val="Heading2"/>
        <w:numPr>
          <w:ilvl w:val="1"/>
          <w:numId w:val="1"/>
        </w:numPr>
        <w:rPr/>
      </w:pPr>
      <w:bookmarkStart w:id="830" w:name="__RefHeading___Toc2001929_2870459653"/>
      <w:bookmarkStart w:id="831" w:name="_Toc314"/>
      <w:bookmarkEnd w:id="829"/>
      <w:bookmarkEnd w:id="830"/>
      <w:r>
        <w:rPr>
          <w:rtl w:val="true"/>
        </w:rPr>
        <w:t xml:space="preserve">أصل </w:t>
      </w:r>
      <w:r>
        <w:rPr>
          <w:rtl w:val="true"/>
        </w:rPr>
        <w:t>[</w:t>
      </w:r>
      <w:r>
        <w:rPr>
          <w:rtl w:val="true"/>
        </w:rPr>
        <w:t>في حال الأعمال الصادرة قبل تجدّد الرأي</w:t>
      </w:r>
      <w:r>
        <w:rPr>
          <w:rtl w:val="true"/>
        </w:rPr>
        <w:t>]</w:t>
      </w:r>
      <w:bookmarkEnd w:id="831"/>
    </w:p>
    <w:p>
      <w:pPr>
        <w:pStyle w:val="BookText"/>
        <w:rPr/>
      </w:pPr>
      <w:r>
        <w:rPr>
          <w:rFonts w:ascii="Amiri" w:hAnsi="Amiri" w:eastAsia="Amiri" w:cs="Amiri"/>
          <w:color w:val="111111"/>
          <w:sz w:val="28"/>
          <w:sz w:val="28"/>
          <w:szCs w:val="28"/>
          <w:rtl w:val="true"/>
          <w:lang w:bidi="ar-SA"/>
        </w:rPr>
        <w:t>اذا اجتهد المجتهد في العبادة كطهارة القليل الملاقي للنجاسة، وعدم وجوب السورة في الصلاة، وعمل هو ومقلدوه برهة من الزمان ثم تبدل رأيه، فالأعمال الصادرة قبل تجدّد الرأي إن كان أثرها باقياً، كما لو كان باقياً على وضوئه السابق الذي توضّأ</w:t>
      </w:r>
      <w:r>
        <w:rPr>
          <w:rStyle w:val="FootnoteAnchor"/>
          <w:rtl w:val="true"/>
        </w:rPr>
        <w:footnoteReference w:id="2732"/>
      </w:r>
      <w:r>
        <w:rPr>
          <w:rFonts w:ascii="Amiri" w:hAnsi="Amiri" w:eastAsia="Amiri" w:cs="Amiri"/>
          <w:color w:val="111111"/>
          <w:sz w:val="28"/>
          <w:sz w:val="28"/>
          <w:szCs w:val="28"/>
          <w:rtl w:val="true"/>
          <w:lang w:bidi="ar-SA"/>
        </w:rPr>
        <w:t>بالقليل الملاقي للنجاسة لم يجز له البناء في الأعمال الآتية على العمل السابق، فلا يصلي بعد تجدد الرأي بذلك الوضوء، بل يطهر ما لاقاه ويجدد الوضوء وهكذا، وذلك للإجماع</w:t>
      </w:r>
      <w:r>
        <w:rPr>
          <w:rStyle w:val="FootnoteAnchor"/>
          <w:rtl w:val="true"/>
        </w:rPr>
        <w:footnoteReference w:id="2733"/>
      </w:r>
      <w:r>
        <w:rPr>
          <w:rFonts w:ascii="Amiri" w:hAnsi="Amiri" w:eastAsia="Amiri" w:cs="Amiri"/>
          <w:color w:val="111111"/>
          <w:sz w:val="28"/>
          <w:sz w:val="28"/>
          <w:szCs w:val="28"/>
          <w:rtl w:val="true"/>
          <w:lang w:bidi="ar-SA"/>
        </w:rPr>
        <w:t>، وقاعدة التخطئة، وأصالة الفساد وبناء العقلاء، وإطلاق أدلة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عليه وعلى مقلديه فيما مضى من الصلوات والأعمال المتقدمة إعادة ولا قضاء؛ حذراً من هتك الشريعة </w:t>
      </w:r>
      <w:r>
        <w:rPr>
          <w:rStyle w:val="FootnoteAnchor"/>
          <w:rtl w:val="true"/>
        </w:rPr>
        <w:footnoteReference w:id="2734"/>
      </w:r>
      <w:r>
        <w:rPr>
          <w:rFonts w:ascii="Amiri" w:hAnsi="Amiri" w:eastAsia="Amiri" w:cs="Amiri"/>
          <w:color w:val="111111"/>
          <w:sz w:val="28"/>
          <w:sz w:val="28"/>
          <w:szCs w:val="28"/>
          <w:rtl w:val="true"/>
          <w:lang w:bidi="ar-SA"/>
        </w:rPr>
        <w:t>، وللسيرة، وقاعدة الإجزاء في الأدلة الشرعية</w:t>
      </w:r>
      <w:r>
        <w:rPr>
          <w:rStyle w:val="FootnoteAnchor"/>
          <w:rtl w:val="true"/>
        </w:rPr>
        <w:footnoteReference w:id="2735"/>
      </w:r>
      <w:r>
        <w:rPr>
          <w:rFonts w:ascii="Amiri" w:hAnsi="Amiri" w:eastAsia="Amiri" w:cs="Amiri"/>
          <w:color w:val="111111"/>
          <w:sz w:val="28"/>
          <w:sz w:val="28"/>
          <w:szCs w:val="28"/>
          <w:rtl w:val="true"/>
          <w:lang w:bidi="ar-SA"/>
        </w:rPr>
        <w:t>، وأدلة العسر، إلا إذا قطع بفساد رأيه السابق، فيعيد ويقضي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المعاملات، فإذا عامل هو أو</w:t>
      </w:r>
      <w:r>
        <w:rPr>
          <w:rStyle w:val="FootnoteAnchor"/>
          <w:rtl w:val="true"/>
        </w:rPr>
        <w:footnoteReference w:id="2736"/>
      </w:r>
      <w:r>
        <w:rPr>
          <w:rFonts w:ascii="IRNazanin" w:hAnsi="IRNazanin" w:eastAsia="IRNazanin"/>
          <w:color w:val="111111"/>
          <w:sz w:val="28"/>
          <w:sz w:val="28"/>
          <w:szCs w:val="28"/>
          <w:rtl w:val="true"/>
          <w:lang w:bidi="fa-IR"/>
        </w:rPr>
        <w:t xml:space="preserve">مقلده </w:t>
      </w:r>
      <w:r>
        <w:rPr>
          <w:rStyle w:val="FootnoteAnchor"/>
          <w:rtl w:val="true"/>
        </w:rPr>
        <w:footnoteReference w:id="2737"/>
      </w:r>
      <w:r>
        <w:rPr>
          <w:rFonts w:ascii="Amiri" w:hAnsi="Amiri" w:eastAsia="Amiri" w:cs="Amiri"/>
          <w:color w:val="111111"/>
          <w:sz w:val="28"/>
          <w:sz w:val="28"/>
          <w:szCs w:val="28"/>
          <w:rtl w:val="true"/>
          <w:lang w:bidi="ar-SA"/>
        </w:rPr>
        <w:t xml:space="preserve">، كأن تزوج بالمرتضعة معه عشر </w:t>
      </w:r>
    </w:p>
    <w:p>
      <w:pPr>
        <w:pStyle w:val="BookText"/>
        <w:rPr/>
      </w:pPr>
      <w:r>
        <w:rPr>
          <w:rFonts w:ascii="Amiri" w:hAnsi="Amiri" w:eastAsia="Amiri" w:cs="Amiri"/>
          <w:color w:val="111111"/>
          <w:sz w:val="28"/>
          <w:sz w:val="28"/>
          <w:szCs w:val="28"/>
          <w:rtl w:val="true"/>
          <w:lang w:bidi="ar-SA"/>
        </w:rPr>
        <w:t>رضعات، ثم تبدل رأيه، فمقتضى الإجماع المنقول</w:t>
      </w:r>
      <w:r>
        <w:rPr>
          <w:rStyle w:val="FootnoteAnchor"/>
          <w:rtl w:val="true"/>
        </w:rPr>
        <w:footnoteReference w:id="2738"/>
      </w:r>
      <w:r>
        <w:rPr>
          <w:rFonts w:ascii="Amiri" w:hAnsi="Amiri" w:eastAsia="Amiri" w:cs="Amiri"/>
          <w:color w:val="111111"/>
          <w:sz w:val="28"/>
          <w:sz w:val="28"/>
          <w:szCs w:val="28"/>
          <w:rtl w:val="true"/>
          <w:lang w:bidi="ar-SA"/>
        </w:rPr>
        <w:t>، والتخطئة، وأصل الفساد، وبناء العقلاء، وإطلاق الأدلة، وظاهر الشهرة</w:t>
      </w:r>
      <w:r>
        <w:rPr>
          <w:rStyle w:val="FootnoteAnchor"/>
          <w:rtl w:val="true"/>
        </w:rPr>
        <w:footnoteReference w:id="2739"/>
      </w:r>
      <w:r>
        <w:rPr>
          <w:rFonts w:ascii="IRNazanin" w:hAnsi="IRNazanin" w:eastAsia="IRNazanin"/>
          <w:color w:val="111111"/>
          <w:sz w:val="28"/>
          <w:sz w:val="28"/>
          <w:szCs w:val="28"/>
          <w:rtl w:val="true"/>
          <w:lang w:bidi="fa-IR"/>
        </w:rPr>
        <w:t>، نقض المجتهد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الحق عدمه في حقه وحق مقلديه؛ حذراً من الهتك والهرج، مؤيداً بأن فائدة الحكومة</w:t>
      </w:r>
      <w:r>
        <w:rPr>
          <w:rStyle w:val="FootnoteAnchor"/>
          <w:rtl w:val="true"/>
        </w:rPr>
        <w:footnoteReference w:id="2740"/>
      </w:r>
      <w:r>
        <w:rPr>
          <w:rFonts w:ascii="Amiri" w:hAnsi="Amiri" w:eastAsia="Amiri" w:cs="Amiri"/>
          <w:color w:val="111111"/>
          <w:sz w:val="28"/>
          <w:sz w:val="28"/>
          <w:szCs w:val="28"/>
          <w:rtl w:val="true"/>
          <w:lang w:bidi="ar-SA"/>
        </w:rPr>
        <w:t>هي ذلك</w:t>
      </w:r>
      <w:r>
        <w:rPr>
          <w:rStyle w:val="FootnoteAnchor"/>
          <w:rtl w:val="true"/>
        </w:rPr>
        <w:footnoteReference w:id="2741"/>
      </w:r>
      <w:r>
        <w:rPr>
          <w:rFonts w:ascii="IRNazanin" w:hAnsi="IRNazanin" w:eastAsia="IRNazanin"/>
          <w:color w:val="111111"/>
          <w:sz w:val="28"/>
          <w:sz w:val="28"/>
          <w:szCs w:val="28"/>
          <w:rtl w:val="true"/>
          <w:lang w:bidi="fa-IR"/>
        </w:rPr>
        <w:t>، وعدم الاختلال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لمجتهد نقض معاملة مجتهد آخر أو مقلد له عند مخالفة الرأي لرأيه،</w:t>
      </w:r>
    </w:p>
    <w:p>
      <w:pPr>
        <w:pStyle w:val="BookText"/>
        <w:rPr/>
      </w:pPr>
      <w:r>
        <w:rPr>
          <w:rFonts w:ascii="Amiri" w:hAnsi="Amiri" w:eastAsia="Amiri" w:cs="Amiri"/>
          <w:color w:val="111111"/>
          <w:sz w:val="28"/>
          <w:sz w:val="28"/>
          <w:szCs w:val="28"/>
          <w:rtl w:val="true"/>
          <w:lang w:bidi="ar-SA"/>
        </w:rPr>
        <w:t xml:space="preserve">حصول المرافعة عنده أم لا؟ أم لا؟ وجهان أوجههما عدمه إذا لم يكن قاطعاً ببطلان رأي الآخر؛ للوجهين المتقدمين في سابقه، وللإجماع المركب، والأولوية </w:t>
      </w:r>
      <w:r>
        <w:rPr>
          <w:rFonts w:eastAsia="Amiri" w:cs="Amiri" w:ascii="Amiri" w:hAnsi="Amiri"/>
          <w:color w:val="111111"/>
          <w:sz w:val="28"/>
          <w:szCs w:val="28"/>
          <w:rtl w:val="true"/>
          <w:lang w:bidi="ar-SA"/>
        </w:rPr>
        <w:t>.</w:t>
      </w:r>
      <w:r>
        <w:rPr>
          <w:rStyle w:val="FootnoteAnchor"/>
          <w:rtl w:val="true"/>
        </w:rPr>
        <w:footnoteReference w:id="2742"/>
      </w:r>
    </w:p>
    <w:p>
      <w:pPr>
        <w:pStyle w:val="BookText"/>
        <w:rPr/>
      </w:pPr>
      <w:r>
        <w:rPr>
          <w:rFonts w:ascii="Amiri" w:hAnsi="Amiri" w:eastAsia="Amiri" w:cs="Amiri"/>
          <w:color w:val="111111"/>
          <w:sz w:val="28"/>
          <w:sz w:val="28"/>
          <w:szCs w:val="28"/>
          <w:rtl w:val="true"/>
          <w:lang w:bidi="ar-SA"/>
        </w:rPr>
        <w:t>هذا في معاملات</w:t>
      </w:r>
      <w:r>
        <w:rPr>
          <w:rStyle w:val="FootnoteAnchor"/>
          <w:rtl w:val="true"/>
        </w:rPr>
        <w:footnoteReference w:id="2743"/>
      </w:r>
      <w:r>
        <w:rPr>
          <w:rFonts w:ascii="Amiri" w:hAnsi="Amiri" w:eastAsia="Amiri" w:cs="Amiri"/>
          <w:color w:val="111111"/>
          <w:sz w:val="28"/>
          <w:sz w:val="28"/>
          <w:szCs w:val="28"/>
          <w:rtl w:val="true"/>
          <w:lang w:bidi="ar-SA"/>
        </w:rPr>
        <w:t>العالم، وفي معاملات</w:t>
      </w:r>
      <w:r>
        <w:rPr>
          <w:rStyle w:val="FootnoteAnchor"/>
          <w:rtl w:val="true"/>
        </w:rPr>
        <w:footnoteReference w:id="2744"/>
      </w:r>
      <w:r>
        <w:rPr>
          <w:rFonts w:ascii="Amiri" w:hAnsi="Amiri" w:eastAsia="Amiri" w:cs="Amiri"/>
          <w:color w:val="111111"/>
          <w:sz w:val="28"/>
          <w:sz w:val="28"/>
          <w:szCs w:val="28"/>
          <w:rtl w:val="true"/>
          <w:lang w:bidi="ar-SA"/>
        </w:rPr>
        <w:t>الجاهل من الطرفين يحكم بصحة المطابق لرأي من قلده بعد ذلك؛ لتبعية الأحكام للصفات، وبناء العقلاء، وإطلاق الأدلة النافية لاشتراط العلم ، وبفساد غير المطابق للدليلين الأولين، مع إطلاق أدلة</w:t>
      </w:r>
      <w:r>
        <w:rPr>
          <w:rStyle w:val="FootnoteAnchor"/>
          <w:rtl w:val="true"/>
        </w:rPr>
        <w:footnoteReference w:id="2745"/>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من طرف واحد كما لو تزوج المجتهد العالم البالغة الرشيدة بلا إذن وليها، وهي جاهلة بالجهل الساذج، ثم قلدت من يقول بالفساد، ففي الصحة لهما، أو الفساد </w:t>
      </w:r>
      <w:bookmarkStart w:id="832" w:name="pg9015_97875"/>
    </w:p>
    <w:p>
      <w:pPr>
        <w:pStyle w:val="BookText"/>
        <w:rPr/>
      </w:pPr>
      <w:bookmarkEnd w:id="832"/>
      <w:r>
        <w:rPr>
          <w:rFonts w:ascii="Amiri" w:hAnsi="Amiri" w:eastAsia="Amiri" w:cs="Amiri"/>
          <w:color w:val="111111"/>
          <w:sz w:val="28"/>
          <w:sz w:val="28"/>
          <w:szCs w:val="28"/>
          <w:rtl w:val="true"/>
          <w:lang w:bidi="ar-SA"/>
        </w:rPr>
        <w:t>لهما، أو للزوجة خاصة، وجوه</w:t>
      </w:r>
      <w:r>
        <w:rPr>
          <w:rStyle w:val="FootnoteAnchor"/>
          <w:rtl w:val="true"/>
        </w:rPr>
        <w:footnoteReference w:id="2746"/>
      </w:r>
      <w:r>
        <w:rPr>
          <w:rFonts w:ascii="Amiri" w:hAnsi="Amiri" w:eastAsia="Amiri" w:cs="Amiri"/>
          <w:color w:val="111111"/>
          <w:sz w:val="28"/>
          <w:sz w:val="28"/>
          <w:szCs w:val="28"/>
          <w:rtl w:val="true"/>
          <w:lang w:bidi="ar-SA"/>
        </w:rPr>
        <w:t>أخيرها خلاف الإجماع، وموجب للتشاجر، وأدلة الصحة للزوج أقوى من أدلة الفساد للزوجة بفهم العرف الورود</w:t>
      </w:r>
      <w:r>
        <w:rPr>
          <w:rStyle w:val="FootnoteAnchor"/>
          <w:rtl w:val="true"/>
        </w:rPr>
        <w:footnoteReference w:id="2747"/>
      </w:r>
      <w:r>
        <w:rPr>
          <w:rFonts w:ascii="Amiri" w:hAnsi="Amiri" w:eastAsia="Amiri" w:cs="Amiri"/>
          <w:color w:val="111111"/>
          <w:sz w:val="28"/>
          <w:sz w:val="28"/>
          <w:szCs w:val="28"/>
          <w:rtl w:val="true"/>
          <w:lang w:bidi="ar-SA"/>
        </w:rPr>
        <w:t>، فيحكم بالصحة لهما</w:t>
      </w:r>
      <w:r>
        <w:rPr>
          <w:rStyle w:val="FootnoteAnchor"/>
          <w:rtl w:val="true"/>
        </w:rPr>
        <w:footnoteReference w:id="2748"/>
      </w:r>
      <w:r>
        <w:rPr>
          <w:rFonts w:ascii="Amiri" w:hAnsi="Amiri" w:eastAsia="Amiri" w:cs="Amiri"/>
          <w:color w:val="111111"/>
          <w:sz w:val="28"/>
          <w:sz w:val="28"/>
          <w:szCs w:val="28"/>
          <w:rtl w:val="true"/>
          <w:lang w:bidi="ar-SA"/>
        </w:rPr>
        <w:t>للإجماع المركب،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المتعاملان ،عالمين، متخالفين في الرأي، ففيه الوجوه السابقة</w:t>
      </w:r>
      <w:r>
        <w:rPr>
          <w:rFonts w:eastAsia="Amiri" w:cs="Amiri" w:ascii="Amiri" w:hAnsi="Amiri"/>
          <w:color w:val="111111"/>
          <w:sz w:val="28"/>
          <w:szCs w:val="28"/>
          <w:rtl w:val="true"/>
          <w:lang w:bidi="ar-SA"/>
        </w:rPr>
        <w:t>.</w:t>
      </w:r>
    </w:p>
    <w:p>
      <w:pPr>
        <w:pStyle w:val="Heading2"/>
        <w:numPr>
          <w:ilvl w:val="1"/>
          <w:numId w:val="1"/>
        </w:numPr>
        <w:rPr/>
      </w:pPr>
      <w:bookmarkStart w:id="833" w:name="__RefHeading___Toc2001931_2870459653"/>
      <w:bookmarkStart w:id="834" w:name="_Toc315"/>
      <w:bookmarkEnd w:id="833"/>
      <w:r>
        <w:rPr>
          <w:rtl w:val="true"/>
        </w:rPr>
        <w:t xml:space="preserve">أصل </w:t>
      </w:r>
      <w:r>
        <w:rPr>
          <w:rtl w:val="true"/>
        </w:rPr>
        <w:t>[</w:t>
      </w:r>
      <w:r>
        <w:rPr>
          <w:rtl w:val="true"/>
        </w:rPr>
        <w:t>في التقليد</w:t>
      </w:r>
      <w:r>
        <w:rPr>
          <w:rtl w:val="true"/>
        </w:rPr>
        <w:t>]</w:t>
      </w:r>
      <w:bookmarkEnd w:id="83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أن التقليد اصطلاحاً هو الأخذ بقول الغير من غير دليل على القول</w:t>
      </w:r>
      <w:r>
        <w:rPr>
          <w:rStyle w:val="FootnoteAnchor"/>
          <w:rtl w:val="true"/>
        </w:rPr>
        <w:footnoteReference w:id="2749"/>
      </w:r>
      <w:r>
        <w:rPr>
          <w:rFonts w:ascii="Amiri" w:hAnsi="Amiri" w:eastAsia="Amiri" w:cs="Amiri"/>
          <w:color w:val="111111"/>
          <w:sz w:val="28"/>
          <w:sz w:val="28"/>
          <w:szCs w:val="28"/>
          <w:rtl w:val="true"/>
          <w:lang w:bidi="ar-SA"/>
        </w:rPr>
        <w:t>، سواء كان دليل على الأخذ أم لا، وذلك لقاعدة الاستعمال، والتبادر، وعدم صحة السّلب ، بعد ضمّ أصالة عدم الاشتراك اللفظي</w:t>
      </w:r>
      <w:r>
        <w:rPr>
          <w:rFonts w:eastAsia="Amiri" w:cs="Amiri" w:ascii="Amiri" w:hAnsi="Amiri"/>
          <w:color w:val="111111"/>
          <w:sz w:val="28"/>
          <w:szCs w:val="28"/>
          <w:rtl w:val="true"/>
          <w:lang w:bidi="ar-SA"/>
        </w:rPr>
        <w:t>.</w:t>
      </w:r>
      <w:r>
        <w:rPr>
          <w:rStyle w:val="FootnoteAnchor"/>
          <w:rtl w:val="true"/>
        </w:rPr>
        <w:footnoteReference w:id="2750"/>
      </w:r>
      <w:bookmarkStart w:id="835" w:name="pg9015_97877"/>
    </w:p>
    <w:p>
      <w:pPr>
        <w:pStyle w:val="Heading2"/>
        <w:numPr>
          <w:ilvl w:val="1"/>
          <w:numId w:val="1"/>
        </w:numPr>
        <w:rPr/>
      </w:pPr>
      <w:bookmarkStart w:id="836" w:name="__RefHeading___Toc2001933_2870459653"/>
      <w:bookmarkStart w:id="837" w:name="_Toc316"/>
      <w:bookmarkEnd w:id="835"/>
      <w:bookmarkEnd w:id="836"/>
      <w:r>
        <w:rPr>
          <w:rtl w:val="true"/>
        </w:rPr>
        <w:t xml:space="preserve">أصل </w:t>
      </w:r>
      <w:r>
        <w:rPr>
          <w:rtl w:val="true"/>
        </w:rPr>
        <w:t>[</w:t>
      </w:r>
      <w:r>
        <w:rPr>
          <w:rtl w:val="true"/>
        </w:rPr>
        <w:t>في التقليد في أصول الدين</w:t>
      </w:r>
      <w:r>
        <w:rPr>
          <w:rtl w:val="true"/>
        </w:rPr>
        <w:t>]</w:t>
      </w:r>
      <w:bookmarkEnd w:id="837"/>
    </w:p>
    <w:p>
      <w:pPr>
        <w:pStyle w:val="BookText"/>
        <w:rPr/>
      </w:pPr>
      <w:r>
        <w:rPr>
          <w:rFonts w:ascii="Amiri" w:hAnsi="Amiri" w:eastAsia="Amiri" w:cs="Amiri"/>
          <w:color w:val="111111"/>
          <w:sz w:val="28"/>
          <w:sz w:val="28"/>
          <w:szCs w:val="28"/>
          <w:rtl w:val="true"/>
          <w:lang w:bidi="ar-SA"/>
        </w:rPr>
        <w:t>الحق عدم جواز التقليد في أصول الدين بأن يسأل المجتهد عن اعتقاداته ويرسمها في قلبه، ويجعلها</w:t>
      </w:r>
      <w:r>
        <w:rPr>
          <w:rStyle w:val="FootnoteAnchor"/>
          <w:rtl w:val="true"/>
        </w:rPr>
        <w:footnoteReference w:id="2751"/>
      </w:r>
      <w:r>
        <w:rPr>
          <w:rFonts w:ascii="Amiri" w:hAnsi="Amiri" w:eastAsia="Amiri" w:cs="Amiri"/>
          <w:color w:val="111111"/>
          <w:sz w:val="28"/>
          <w:sz w:val="28"/>
          <w:szCs w:val="28"/>
          <w:rtl w:val="true"/>
          <w:lang w:bidi="ar-SA"/>
        </w:rPr>
        <w:t>نصب عينيه، ويعترف بها لساناً، ويعمل بمقتضاها وإن لم يعتقد بتلك الاعتقادات، وذلك لاستصحاب الأمر، والإجماع</w:t>
      </w:r>
      <w:r>
        <w:rPr>
          <w:rStyle w:val="FootnoteAnchor"/>
          <w:rtl w:val="true"/>
        </w:rPr>
        <w:footnoteReference w:id="2752"/>
      </w:r>
      <w:r>
        <w:rPr>
          <w:rFonts w:ascii="Amiri" w:hAnsi="Amiri" w:eastAsia="Amiri" w:cs="Amiri"/>
          <w:color w:val="111111"/>
          <w:sz w:val="28"/>
          <w:sz w:val="28"/>
          <w:szCs w:val="28"/>
          <w:rtl w:val="true"/>
          <w:lang w:bidi="ar-SA"/>
        </w:rPr>
        <w:t>، وآيات النهي عن التقليد</w:t>
      </w:r>
      <w:r>
        <w:rPr>
          <w:rStyle w:val="FootnoteAnchor"/>
          <w:rtl w:val="true"/>
        </w:rPr>
        <w:footnoteReference w:id="2753"/>
      </w:r>
      <w:r>
        <w:rPr>
          <w:rFonts w:ascii="Amiri" w:hAnsi="Amiri" w:eastAsia="Amiri" w:cs="Amiri"/>
          <w:color w:val="111111"/>
          <w:sz w:val="28"/>
          <w:sz w:val="28"/>
          <w:szCs w:val="28"/>
          <w:rtl w:val="true"/>
          <w:lang w:bidi="ar-SA"/>
        </w:rPr>
        <w:t>، وآيات النهي عن الظن</w:t>
      </w:r>
      <w:r>
        <w:rPr>
          <w:rStyle w:val="FootnoteAnchor"/>
          <w:rtl w:val="true"/>
        </w:rPr>
        <w:footnoteReference w:id="2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أو</w:t>
      </w:r>
      <w:r>
        <w:rPr>
          <w:rStyle w:val="FootnoteAnchor"/>
          <w:rtl w:val="true"/>
        </w:rPr>
        <w:footnoteReference w:id="2755"/>
      </w:r>
      <w:r>
        <w:rPr>
          <w:rFonts w:ascii="Amiri" w:hAnsi="Amiri" w:eastAsia="Amiri" w:cs="Amiri"/>
          <w:color w:val="111111"/>
          <w:sz w:val="28"/>
          <w:sz w:val="28"/>
          <w:szCs w:val="28"/>
          <w:rtl w:val="true"/>
          <w:lang w:bidi="ar-SA"/>
        </w:rPr>
        <w:t>التزاماً؛للاولوية، ولأصل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أحد لا يتمكن الا من التقليد</w:t>
      </w:r>
      <w:r>
        <w:rPr>
          <w:rFonts w:eastAsia="Amiri" w:cs="Amiri" w:ascii="Amiri" w:hAnsi="Amiri"/>
          <w:color w:val="111111"/>
          <w:sz w:val="28"/>
          <w:szCs w:val="28"/>
          <w:rtl w:val="true"/>
          <w:lang w:bidi="ar-SA"/>
        </w:rPr>
        <w:t>)</w:t>
      </w:r>
      <w:r>
        <w:rPr>
          <w:rStyle w:val="FootnoteAnchor"/>
          <w:rtl w:val="true"/>
        </w:rPr>
        <w:footnoteReference w:id="2756"/>
      </w:r>
      <w:r>
        <w:rPr>
          <w:rFonts w:ascii="Amiri" w:hAnsi="Amiri" w:eastAsia="Amiri" w:cs="Amiri"/>
          <w:color w:val="111111"/>
          <w:sz w:val="28"/>
          <w:sz w:val="28"/>
          <w:szCs w:val="28"/>
          <w:rtl w:val="true"/>
          <w:lang w:bidi="ar-SA"/>
        </w:rPr>
        <w:t>، فإن كان له دين سابق</w:t>
      </w:r>
      <w:r>
        <w:rPr>
          <w:rStyle w:val="FootnoteAnchor"/>
          <w:rtl w:val="true"/>
        </w:rPr>
        <w:footnoteReference w:id="2757"/>
      </w:r>
      <w:r>
        <w:rPr>
          <w:rFonts w:ascii="Amiri" w:hAnsi="Amiri" w:eastAsia="Amiri" w:cs="Amiri"/>
          <w:color w:val="111111"/>
          <w:sz w:val="28"/>
          <w:sz w:val="28"/>
          <w:szCs w:val="28"/>
          <w:rtl w:val="true"/>
          <w:lang w:bidi="ar-SA"/>
        </w:rPr>
        <w:t>وتردد بقي على ما كان؛ لبناء العقلاء، والا سقط عنه التكليف</w:t>
      </w:r>
      <w:r>
        <w:rPr>
          <w:rStyle w:val="FootnoteAnchor"/>
          <w:rtl w:val="true"/>
        </w:rPr>
        <w:footnoteReference w:id="2758"/>
      </w:r>
      <w:r>
        <w:rPr>
          <w:rFonts w:ascii="Amiri" w:hAnsi="Amiri" w:eastAsia="Amiri" w:cs="Amiri"/>
          <w:color w:val="111111"/>
          <w:sz w:val="28"/>
          <w:sz w:val="28"/>
          <w:szCs w:val="28"/>
          <w:rtl w:val="true"/>
          <w:lang w:bidi="ar-SA"/>
        </w:rPr>
        <w:t>لأصل البراءة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فالتقليد بالنحو المذكور لا محل له واذا علمت وجوب الاجتهاد في العقائد</w:t>
      </w:r>
      <w:r>
        <w:rPr>
          <w:rStyle w:val="FootnoteAnchor"/>
          <w:rtl w:val="true"/>
        </w:rPr>
        <w:footnoteReference w:id="2759"/>
      </w:r>
      <w:r>
        <w:rPr>
          <w:rFonts w:ascii="Amiri" w:hAnsi="Amiri" w:eastAsia="Amiri" w:cs="Amiri"/>
          <w:color w:val="111111"/>
          <w:sz w:val="28"/>
          <w:sz w:val="28"/>
          <w:szCs w:val="28"/>
          <w:rtl w:val="true"/>
          <w:lang w:bidi="ar-SA"/>
        </w:rPr>
        <w:t xml:space="preserve">، فإن تمكن من تحصيل القطع وجب؛ لأصلي الاشتغال والاستصحاب، والإجماع، والا كفاه الظن؛ إذ الأمر حينئذ دائر بين نفي التكليف، فهو خلاف الإجماع ظاهراً، </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2760"/>
      </w:r>
      <w:r>
        <w:rPr>
          <w:rFonts w:ascii="Amiri" w:hAnsi="Amiri" w:eastAsia="Amiri" w:cs="Amiri"/>
          <w:color w:val="111111"/>
          <w:sz w:val="28"/>
          <w:sz w:val="28"/>
          <w:szCs w:val="28"/>
          <w:rtl w:val="true"/>
          <w:lang w:bidi="ar-SA"/>
        </w:rPr>
        <w:t>تكليفه بالعلم فهو تكليف بالمحال ، و</w:t>
      </w:r>
      <w:r>
        <w:rPr>
          <w:rStyle w:val="FootnoteAnchor"/>
          <w:rtl w:val="true"/>
        </w:rPr>
        <w:footnoteReference w:id="2761"/>
      </w:r>
      <w:r>
        <w:rPr>
          <w:rFonts w:ascii="Amiri" w:hAnsi="Amiri" w:eastAsia="Amiri" w:cs="Amiri"/>
          <w:color w:val="111111"/>
          <w:sz w:val="28"/>
          <w:sz w:val="28"/>
          <w:szCs w:val="28"/>
          <w:rtl w:val="true"/>
          <w:lang w:bidi="ar-SA"/>
        </w:rPr>
        <w:t>تكليفه بالظن،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الحق كفاية حصول العلم وإن لم يكن من الدليل التفصيلي</w:t>
      </w:r>
      <w:r>
        <w:rPr>
          <w:rStyle w:val="FootnoteAnchor"/>
          <w:rtl w:val="true"/>
        </w:rPr>
        <w:footnoteReference w:id="2762"/>
      </w:r>
      <w:r>
        <w:rPr>
          <w:rFonts w:ascii="Amiri" w:hAnsi="Amiri" w:eastAsia="Amiri" w:cs="Amiri"/>
          <w:color w:val="111111"/>
          <w:sz w:val="28"/>
          <w:sz w:val="28"/>
          <w:szCs w:val="28"/>
          <w:rtl w:val="true"/>
          <w:lang w:bidi="ar-SA"/>
        </w:rPr>
        <w:t>المصطلح عند أرباب الجدل؛ حذراً من التكليف بما لا يطاق، واختلال النظم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لا بعد</w:t>
      </w:r>
      <w:r>
        <w:rPr>
          <w:rStyle w:val="FootnoteAnchor"/>
          <w:rtl w:val="true"/>
        </w:rPr>
        <w:footnoteReference w:id="2763"/>
      </w:r>
      <w:r>
        <w:rPr>
          <w:rFonts w:ascii="Amiri" w:hAnsi="Amiri" w:eastAsia="Amiri" w:cs="Amiri"/>
          <w:color w:val="111111"/>
          <w:sz w:val="28"/>
          <w:sz w:val="28"/>
          <w:szCs w:val="28"/>
          <w:rtl w:val="true"/>
          <w:lang w:bidi="ar-SA"/>
        </w:rPr>
        <w:t>في وجوب ذلك كفاية؛ حفظاً للإسلام عن الشبهات</w:t>
      </w:r>
      <w:r>
        <w:rPr>
          <w:rFonts w:eastAsia="Amiri" w:cs="Amiri" w:ascii="Amiri" w:hAnsi="Amiri"/>
          <w:color w:val="111111"/>
          <w:sz w:val="28"/>
          <w:szCs w:val="28"/>
          <w:rtl w:val="true"/>
          <w:lang w:bidi="ar-SA"/>
        </w:rPr>
        <w:t>.</w:t>
      </w:r>
      <w:r>
        <w:rPr>
          <w:rStyle w:val="FootnoteAnchor"/>
          <w:rtl w:val="true"/>
        </w:rPr>
        <w:footnoteReference w:id="2764"/>
      </w:r>
      <w:bookmarkStart w:id="838" w:name="pg9015_97881"/>
    </w:p>
    <w:p>
      <w:pPr>
        <w:pStyle w:val="Heading2"/>
        <w:numPr>
          <w:ilvl w:val="1"/>
          <w:numId w:val="1"/>
        </w:numPr>
        <w:rPr/>
      </w:pPr>
      <w:bookmarkStart w:id="839" w:name="__RefHeading___Toc2001935_2870459653"/>
      <w:bookmarkStart w:id="840" w:name="_Toc317"/>
      <w:bookmarkEnd w:id="838"/>
      <w:bookmarkEnd w:id="839"/>
      <w:r>
        <w:rPr>
          <w:rtl w:val="true"/>
        </w:rPr>
        <w:t xml:space="preserve">أصل </w:t>
      </w:r>
      <w:r>
        <w:rPr>
          <w:rtl w:val="true"/>
        </w:rPr>
        <w:t>[</w:t>
      </w:r>
      <w:r>
        <w:rPr>
          <w:rtl w:val="true"/>
        </w:rPr>
        <w:t>في تقليد من بلغ رتبة الاجتهاد</w:t>
      </w:r>
      <w:r>
        <w:rPr>
          <w:rtl w:val="true"/>
        </w:rPr>
        <w:t>]</w:t>
      </w:r>
      <w:bookmarkEnd w:id="840"/>
    </w:p>
    <w:p>
      <w:pPr>
        <w:pStyle w:val="BookText"/>
        <w:rPr/>
      </w:pPr>
      <w:r>
        <w:rPr>
          <w:rFonts w:ascii="Amiri" w:hAnsi="Amiri" w:eastAsia="Amiri" w:cs="Amiri"/>
          <w:color w:val="111111"/>
          <w:sz w:val="28"/>
          <w:sz w:val="28"/>
          <w:szCs w:val="28"/>
          <w:rtl w:val="true"/>
          <w:lang w:bidi="ar-SA"/>
        </w:rPr>
        <w:t>إذا بلغ رتبة الاجتهاد المطلق، واجتهد</w:t>
      </w:r>
      <w:r>
        <w:rPr>
          <w:rStyle w:val="FootnoteAnchor"/>
          <w:rtl w:val="true"/>
        </w:rPr>
        <w:footnoteReference w:id="2765"/>
      </w:r>
      <w:r>
        <w:rPr>
          <w:rFonts w:ascii="Amiri" w:hAnsi="Amiri" w:eastAsia="Amiri" w:cs="Amiri"/>
          <w:color w:val="111111"/>
          <w:sz w:val="28"/>
          <w:sz w:val="28"/>
          <w:szCs w:val="28"/>
          <w:rtl w:val="true"/>
          <w:lang w:bidi="ar-SA"/>
        </w:rPr>
        <w:t>في بعض المسائل أو كلها فعلاً، حي عليه التقليد فيها إجماعاً</w:t>
      </w:r>
      <w:r>
        <w:rPr>
          <w:rStyle w:val="FootnoteAnchor"/>
          <w:rtl w:val="true"/>
        </w:rPr>
        <w:footnoteReference w:id="2766"/>
      </w:r>
      <w:r>
        <w:rPr>
          <w:rFonts w:ascii="Amiri" w:hAnsi="Amiri" w:eastAsia="Amiri" w:cs="Amiri"/>
          <w:color w:val="111111"/>
          <w:sz w:val="28"/>
          <w:sz w:val="28"/>
          <w:szCs w:val="28"/>
          <w:rtl w:val="true"/>
          <w:lang w:bidi="ar-SA"/>
        </w:rPr>
        <w:t>، وإن لم يكن اجتهد فعلاً ، ففي جواز تقليده فيما لم يجتهد فيه مطلقاً</w:t>
      </w:r>
      <w:r>
        <w:rPr>
          <w:rStyle w:val="FootnoteAnchor"/>
          <w:rtl w:val="true"/>
        </w:rPr>
        <w:footnoteReference w:id="2767"/>
      </w:r>
      <w:r>
        <w:rPr>
          <w:rFonts w:ascii="IRNazanin" w:hAnsi="IRNazanin" w:eastAsia="IRNazanin"/>
          <w:color w:val="111111"/>
          <w:sz w:val="28"/>
          <w:sz w:val="28"/>
          <w:szCs w:val="28"/>
          <w:rtl w:val="true"/>
          <w:lang w:bidi="fa-IR"/>
        </w:rPr>
        <w:t>، أو إذا ضاق الوقت عن الاجتهاد</w:t>
      </w:r>
      <w:r>
        <w:rPr>
          <w:rStyle w:val="FootnoteAnchor"/>
          <w:rtl w:val="true"/>
        </w:rPr>
        <w:footnoteReference w:id="2768"/>
      </w:r>
      <w:r>
        <w:rPr>
          <w:rFonts w:ascii="IRNazanin" w:hAnsi="IRNazanin" w:eastAsia="IRNazanin"/>
          <w:color w:val="111111"/>
          <w:sz w:val="28"/>
          <w:sz w:val="28"/>
          <w:szCs w:val="28"/>
          <w:rtl w:val="true"/>
          <w:lang w:bidi="fa-IR"/>
        </w:rPr>
        <w:t>، أو إذا قلد الأعلم</w:t>
      </w:r>
      <w:r>
        <w:rPr>
          <w:rStyle w:val="FootnoteAnchor"/>
          <w:rtl w:val="true"/>
        </w:rPr>
        <w:footnoteReference w:id="2769"/>
      </w:r>
      <w:r>
        <w:rPr>
          <w:rFonts w:ascii="IRNazanin" w:hAnsi="IRNazanin" w:eastAsia="IRNazanin"/>
          <w:color w:val="111111"/>
          <w:sz w:val="28"/>
          <w:sz w:val="28"/>
          <w:szCs w:val="28"/>
          <w:rtl w:val="true"/>
          <w:lang w:bidi="fa-IR"/>
        </w:rPr>
        <w:t>، أو</w:t>
      </w:r>
      <w:r>
        <w:rPr>
          <w:rStyle w:val="FootnoteAnchor"/>
          <w:rtl w:val="true"/>
        </w:rPr>
        <w:footnoteReference w:id="2770"/>
      </w:r>
      <w:r>
        <w:rPr>
          <w:rFonts w:ascii="Amiri" w:hAnsi="Amiri" w:eastAsia="Amiri" w:cs="Amiri"/>
          <w:color w:val="111111"/>
          <w:sz w:val="28"/>
          <w:sz w:val="28"/>
          <w:szCs w:val="28"/>
          <w:rtl w:val="true"/>
          <w:lang w:bidi="ar-SA"/>
        </w:rPr>
        <w:t>إذا كان لعمل نفسه لا مقلده</w:t>
      </w:r>
      <w:r>
        <w:rPr>
          <w:rStyle w:val="FootnoteAnchor"/>
          <w:rtl w:val="true"/>
        </w:rPr>
        <w:footnoteReference w:id="2771"/>
      </w:r>
      <w:r>
        <w:rPr>
          <w:rFonts w:ascii="Amiri" w:hAnsi="Amiri" w:eastAsia="Amiri" w:cs="Amiri"/>
          <w:color w:val="111111"/>
          <w:sz w:val="28"/>
          <w:sz w:val="28"/>
          <w:szCs w:val="28"/>
          <w:rtl w:val="true"/>
          <w:lang w:bidi="ar-SA"/>
        </w:rPr>
        <w:t>، أو لا يجوز مطلقاً</w:t>
      </w:r>
      <w:r>
        <w:rPr>
          <w:rStyle w:val="FootnoteAnchor"/>
          <w:rtl w:val="true"/>
        </w:rPr>
        <w:footnoteReference w:id="2772"/>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r>
        <w:rPr>
          <w:rStyle w:val="FootnoteAnchor"/>
          <w:rtl w:val="true"/>
        </w:rPr>
        <w:footnoteReference w:id="2773"/>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 عدم الجواز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تمكنه</w:t>
      </w:r>
      <w:r>
        <w:rPr>
          <w:rFonts w:eastAsia="Amiri" w:cs="Amiri" w:ascii="Amiri" w:hAnsi="Amiri"/>
          <w:color w:val="111111"/>
          <w:sz w:val="28"/>
          <w:szCs w:val="28"/>
          <w:rtl w:val="true"/>
          <w:lang w:bidi="ar-SA"/>
        </w:rPr>
        <w:t>)</w:t>
      </w:r>
      <w:r>
        <w:rPr>
          <w:rStyle w:val="FootnoteAnchor"/>
          <w:rtl w:val="true"/>
        </w:rPr>
        <w:footnoteReference w:id="2774"/>
      </w:r>
      <w:r>
        <w:rPr>
          <w:rFonts w:ascii="Amiri" w:hAnsi="Amiri" w:eastAsia="Amiri" w:cs="Amiri"/>
          <w:color w:val="111111"/>
          <w:sz w:val="28"/>
          <w:sz w:val="28"/>
          <w:szCs w:val="28"/>
          <w:rtl w:val="true"/>
          <w:lang w:bidi="ar-SA"/>
        </w:rPr>
        <w:t>من الاجتهاد لضيق الوقت أو لعذر آخر، وذلك لأصل الشغل، وآيات النهي</w:t>
      </w:r>
      <w:r>
        <w:rPr>
          <w:rStyle w:val="FootnoteAnchor"/>
          <w:rtl w:val="true"/>
        </w:rPr>
        <w:footnoteReference w:id="2775"/>
      </w:r>
      <w:r>
        <w:rPr>
          <w:rFonts w:ascii="Amiri" w:hAnsi="Amiri" w:eastAsia="Amiri" w:cs="Amiri"/>
          <w:color w:val="111111"/>
          <w:sz w:val="28"/>
          <w:sz w:val="28"/>
          <w:szCs w:val="28"/>
          <w:rtl w:val="true"/>
          <w:lang w:bidi="ar-SA"/>
        </w:rPr>
        <w:t>، وبناء العقلاء، والإجماع، ولا يضر به مخالفة البعض</w:t>
      </w:r>
      <w:r>
        <w:rPr>
          <w:rStyle w:val="FootnoteAnchor"/>
          <w:rtl w:val="true"/>
        </w:rPr>
        <w:footnoteReference w:id="2776"/>
      </w:r>
      <w:r>
        <w:rPr>
          <w:rFonts w:ascii="Amiri" w:hAnsi="Amiri" w:eastAsia="Amiri" w:cs="Amiri"/>
          <w:color w:val="111111"/>
          <w:sz w:val="28"/>
          <w:sz w:val="28"/>
          <w:szCs w:val="28"/>
          <w:rtl w:val="true"/>
          <w:lang w:bidi="ar-SA"/>
        </w:rPr>
        <w:t xml:space="preserve">، ولقبح ترجيح المرجوح على الراجح، </w:t>
      </w:r>
    </w:p>
    <w:p>
      <w:pPr>
        <w:pStyle w:val="BookText"/>
        <w:rPr/>
      </w:pPr>
      <w:r>
        <w:rPr>
          <w:rFonts w:ascii="IRNazanin" w:hAnsi="IRNazanin" w:eastAsia="IRNazanin"/>
          <w:color w:val="111111"/>
          <w:sz w:val="28"/>
          <w:sz w:val="28"/>
          <w:szCs w:val="28"/>
          <w:rtl w:val="true"/>
          <w:lang w:bidi="fa-IR"/>
        </w:rPr>
        <w:t>أو</w:t>
      </w:r>
      <w:r>
        <w:rPr>
          <w:rStyle w:val="FootnoteAnchor"/>
          <w:rtl w:val="true"/>
        </w:rPr>
        <w:footnoteReference w:id="2777"/>
      </w:r>
      <w:r>
        <w:rPr>
          <w:rFonts w:ascii="Amiri" w:hAnsi="Amiri" w:eastAsia="Amiri" w:cs="Amiri"/>
          <w:color w:val="111111"/>
          <w:sz w:val="28"/>
          <w:sz w:val="28"/>
          <w:szCs w:val="28"/>
          <w:rtl w:val="true"/>
          <w:lang w:bidi="ar-SA"/>
        </w:rPr>
        <w:t>التسوية بينهما</w:t>
      </w:r>
      <w:r>
        <w:rPr>
          <w:rFonts w:eastAsia="Amiri" w:cs="Amiri" w:ascii="Amiri" w:hAnsi="Amiri"/>
          <w:color w:val="111111"/>
          <w:sz w:val="28"/>
          <w:szCs w:val="28"/>
          <w:rtl w:val="true"/>
          <w:lang w:bidi="ar-SA"/>
        </w:rPr>
        <w:t>.</w:t>
      </w:r>
      <w:r>
        <w:rPr>
          <w:rStyle w:val="FootnoteAnchor"/>
          <w:rtl w:val="true"/>
        </w:rPr>
        <w:footnoteReference w:id="2778"/>
      </w:r>
    </w:p>
    <w:p>
      <w:pPr>
        <w:pStyle w:val="BookText"/>
        <w:rPr/>
      </w:pPr>
      <w:r>
        <w:rPr>
          <w:rFonts w:ascii="Amiri" w:hAnsi="Amiri" w:eastAsia="Amiri" w:cs="Amiri"/>
          <w:color w:val="111111"/>
          <w:sz w:val="28"/>
          <w:sz w:val="28"/>
          <w:szCs w:val="28"/>
          <w:rtl w:val="true"/>
          <w:lang w:bidi="ar-SA"/>
        </w:rPr>
        <w:t>وأما استصحاب جواز التقليد الذي كان قبل حصول الملكة، واستصحاب الحكم الفرعي</w:t>
      </w:r>
      <w:r>
        <w:rPr>
          <w:rStyle w:val="FootnoteAnchor"/>
          <w:rtl w:val="true"/>
        </w:rPr>
        <w:footnoteReference w:id="2779"/>
      </w:r>
      <w:r>
        <w:rPr>
          <w:rFonts w:ascii="Amiri" w:hAnsi="Amiri" w:eastAsia="Amiri" w:cs="Amiri"/>
          <w:color w:val="111111"/>
          <w:sz w:val="28"/>
          <w:sz w:val="28"/>
          <w:szCs w:val="28"/>
          <w:rtl w:val="true"/>
          <w:lang w:bidi="ar-SA"/>
        </w:rPr>
        <w:t>، واستصحاب الصحة، فلا تعارض الأدلة المذكورة، مع عدم جريان الاستصحابين الأولين؛ لارتفاع فصل الوجوب</w:t>
      </w:r>
      <w:r>
        <w:rPr>
          <w:rStyle w:val="FootnoteAnchor"/>
          <w:rtl w:val="true"/>
        </w:rPr>
        <w:footnoteReference w:id="2780"/>
      </w:r>
      <w:r>
        <w:rPr>
          <w:rFonts w:ascii="Amiri" w:hAnsi="Amiri" w:eastAsia="Amiri" w:cs="Amiri"/>
          <w:color w:val="111111"/>
          <w:sz w:val="28"/>
          <w:sz w:val="28"/>
          <w:szCs w:val="28"/>
          <w:rtl w:val="true"/>
          <w:lang w:bidi="ar-SA"/>
        </w:rPr>
        <w:t>بعد حصول الملكة</w:t>
      </w:r>
      <w:r>
        <w:rPr>
          <w:rFonts w:eastAsia="Amiri" w:cs="Amiri" w:ascii="Amiri" w:hAnsi="Amiri"/>
          <w:color w:val="111111"/>
          <w:sz w:val="28"/>
          <w:szCs w:val="28"/>
          <w:rtl w:val="true"/>
          <w:lang w:bidi="ar-SA"/>
        </w:rPr>
        <w:t>.</w:t>
      </w:r>
      <w:r>
        <w:rPr>
          <w:rStyle w:val="FootnoteAnchor"/>
          <w:rtl w:val="true"/>
        </w:rPr>
        <w:footnoteReference w:id="2781"/>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الجواز مع عدم التمكن فللزوم التكليف بما لا يطاق لولاه</w:t>
      </w:r>
      <w:r>
        <w:rPr>
          <w:rFonts w:eastAsia="Amiri" w:cs="Amiri" w:ascii="Amiri" w:hAnsi="Amiri"/>
          <w:color w:val="111111"/>
          <w:sz w:val="28"/>
          <w:szCs w:val="28"/>
          <w:rtl w:val="true"/>
          <w:lang w:bidi="ar-SA"/>
        </w:rPr>
        <w:t xml:space="preserve">. </w:t>
      </w:r>
      <w:bookmarkStart w:id="841" w:name="pg9015_97885"/>
    </w:p>
    <w:p>
      <w:pPr>
        <w:pStyle w:val="Heading2"/>
        <w:numPr>
          <w:ilvl w:val="1"/>
          <w:numId w:val="1"/>
        </w:numPr>
        <w:rPr/>
      </w:pPr>
      <w:bookmarkStart w:id="842" w:name="__RefHeading___Toc2001937_2870459653"/>
      <w:bookmarkStart w:id="843" w:name="_Toc318"/>
      <w:bookmarkEnd w:id="841"/>
      <w:bookmarkEnd w:id="842"/>
      <w:r>
        <w:rPr>
          <w:rtl w:val="true"/>
        </w:rPr>
        <w:t xml:space="preserve">أصل </w:t>
      </w:r>
      <w:r>
        <w:rPr>
          <w:rtl w:val="true"/>
        </w:rPr>
        <w:t>[</w:t>
      </w:r>
      <w:r>
        <w:rPr>
          <w:rtl w:val="true"/>
        </w:rPr>
        <w:t>في جواز عمل المقلد من دون الاستناد إلى واحد بخصوصه إن كان هناك مجتهدان متوافقان</w:t>
      </w:r>
      <w:r>
        <w:rPr>
          <w:rtl w:val="true"/>
        </w:rPr>
        <w:t>]</w:t>
      </w:r>
      <w:bookmarkEnd w:id="843"/>
    </w:p>
    <w:p>
      <w:pPr>
        <w:pStyle w:val="BookText"/>
        <w:rPr/>
      </w:pPr>
      <w:r>
        <w:rPr>
          <w:rFonts w:ascii="Amiri" w:hAnsi="Amiri" w:eastAsia="Amiri" w:cs="Amiri"/>
          <w:color w:val="111111"/>
          <w:sz w:val="28"/>
          <w:sz w:val="28"/>
          <w:szCs w:val="28"/>
          <w:rtl w:val="true"/>
          <w:lang w:bidi="ar-SA"/>
        </w:rPr>
        <w:t>إذا كان مجتهدان متوافقان</w:t>
      </w:r>
      <w:r>
        <w:rPr>
          <w:rStyle w:val="FootnoteAnchor"/>
          <w:rtl w:val="true"/>
        </w:rPr>
        <w:footnoteReference w:id="2782"/>
      </w:r>
      <w:r>
        <w:rPr>
          <w:rFonts w:ascii="Amiri" w:hAnsi="Amiri" w:eastAsia="Amiri" w:cs="Amiri"/>
          <w:color w:val="111111"/>
          <w:sz w:val="28"/>
          <w:sz w:val="28"/>
          <w:szCs w:val="28"/>
          <w:rtl w:val="true"/>
          <w:lang w:bidi="ar-SA"/>
        </w:rPr>
        <w:t>في الرأي في مسألة</w:t>
      </w:r>
      <w:r>
        <w:rPr>
          <w:rStyle w:val="FootnoteAnchor"/>
          <w:rtl w:val="true"/>
        </w:rPr>
        <w:footnoteReference w:id="2783"/>
      </w:r>
      <w:r>
        <w:rPr>
          <w:rFonts w:ascii="Amiri" w:hAnsi="Amiri" w:eastAsia="Amiri" w:cs="Amiri"/>
          <w:color w:val="111111"/>
          <w:sz w:val="28"/>
          <w:sz w:val="28"/>
          <w:szCs w:val="28"/>
          <w:rtl w:val="true"/>
          <w:lang w:bidi="ar-SA"/>
        </w:rPr>
        <w:t>مثلاً، وأحدهما أعلم من الآخر، فهل للمقلّد العمل بهذه الفتوى من دون تعيين استناد عمله إلى فتوى أحدهما المعين، فيكون أقوال المجتهدين المتوافقين في الرأي بمنزلة النصوص المتوافقة للمجتهد، مع كون بعضها أقوى من بعض أم لابد من التعيين؟ وجهان</w:t>
      </w:r>
      <w:r>
        <w:rPr>
          <w:rFonts w:eastAsia="Amiri" w:cs="Amiri" w:ascii="Amiri" w:hAnsi="Amiri"/>
          <w:color w:val="111111"/>
          <w:sz w:val="28"/>
          <w:szCs w:val="28"/>
          <w:rtl w:val="true"/>
          <w:lang w:bidi="ar-SA"/>
        </w:rPr>
        <w:t>.</w:t>
      </w:r>
      <w:r>
        <w:rPr>
          <w:rStyle w:val="FootnoteAnchor"/>
          <w:rtl w:val="true"/>
        </w:rPr>
        <w:footnoteReference w:id="2784"/>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أصالة الشغل الاشتراط، إلّا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عند الشك في الاشتراط البراءة</w:t>
      </w:r>
      <w:r>
        <w:rPr>
          <w:rFonts w:eastAsia="Amiri" w:cs="Amiri" w:ascii="Amiri" w:hAnsi="Amiri"/>
          <w:color w:val="111111"/>
          <w:sz w:val="28"/>
          <w:szCs w:val="28"/>
          <w:rtl w:val="true"/>
          <w:lang w:bidi="ar-SA"/>
        </w:rPr>
        <w:t>.</w:t>
      </w:r>
      <w:r>
        <w:rPr>
          <w:rStyle w:val="FootnoteAnchor"/>
          <w:rtl w:val="true"/>
        </w:rPr>
        <w:footnoteReference w:id="2785"/>
      </w:r>
      <w:bookmarkStart w:id="844" w:name="pg9015_97887"/>
    </w:p>
    <w:p>
      <w:pPr>
        <w:pStyle w:val="Heading2"/>
        <w:numPr>
          <w:ilvl w:val="1"/>
          <w:numId w:val="1"/>
        </w:numPr>
        <w:rPr/>
      </w:pPr>
      <w:bookmarkStart w:id="845" w:name="__RefHeading___Toc2001939_2870459653"/>
      <w:bookmarkStart w:id="846" w:name="_Toc319"/>
      <w:bookmarkEnd w:id="844"/>
      <w:bookmarkEnd w:id="845"/>
      <w:r>
        <w:rPr>
          <w:rtl w:val="true"/>
        </w:rPr>
        <w:t xml:space="preserve">أصل </w:t>
      </w:r>
      <w:r>
        <w:rPr>
          <w:rtl w:val="true"/>
        </w:rPr>
        <w:t>[</w:t>
      </w:r>
      <w:r>
        <w:rPr>
          <w:rtl w:val="true"/>
        </w:rPr>
        <w:t>في أن التقليد من باب الظن أم لا</w:t>
      </w:r>
      <w:r>
        <w:rPr>
          <w:rtl w:val="true"/>
        </w:rPr>
        <w:t>]</w:t>
      </w:r>
      <w:bookmarkEnd w:id="846"/>
    </w:p>
    <w:p>
      <w:pPr>
        <w:pStyle w:val="BookText"/>
        <w:rPr/>
      </w:pPr>
      <w:r>
        <w:rPr>
          <w:rFonts w:ascii="Amiri" w:hAnsi="Amiri" w:eastAsia="Amiri" w:cs="Amiri"/>
          <w:color w:val="111111"/>
          <w:sz w:val="28"/>
          <w:sz w:val="28"/>
          <w:szCs w:val="28"/>
          <w:rtl w:val="true"/>
          <w:lang w:bidi="ar-SA"/>
        </w:rPr>
        <w:t>في كون التقليد من باب الظن</w:t>
      </w:r>
      <w:r>
        <w:rPr>
          <w:rStyle w:val="FootnoteAnchor"/>
          <w:rtl w:val="true"/>
        </w:rPr>
        <w:footnoteReference w:id="2786"/>
      </w:r>
      <w:r>
        <w:rPr>
          <w:rFonts w:ascii="IRNazanin" w:hAnsi="IRNazanin" w:eastAsia="IRNazanin"/>
          <w:color w:val="111111"/>
          <w:sz w:val="28"/>
          <w:sz w:val="28"/>
          <w:szCs w:val="28"/>
          <w:rtl w:val="true"/>
          <w:lang w:bidi="fa-IR"/>
        </w:rPr>
        <w:t>، أو</w:t>
      </w:r>
      <w:r>
        <w:rPr>
          <w:rStyle w:val="FootnoteAnchor"/>
          <w:rtl w:val="true"/>
        </w:rPr>
        <w:footnoteReference w:id="2787"/>
      </w:r>
      <w:r>
        <w:rPr>
          <w:rFonts w:ascii="Amiri" w:hAnsi="Amiri" w:eastAsia="Amiri" w:cs="Amiri"/>
          <w:color w:val="111111"/>
          <w:sz w:val="28"/>
          <w:sz w:val="28"/>
          <w:szCs w:val="28"/>
          <w:rtl w:val="true"/>
          <w:lang w:bidi="ar-SA"/>
        </w:rPr>
        <w:t>السببية المطلقة</w:t>
      </w:r>
      <w:r>
        <w:rPr>
          <w:rStyle w:val="FootnoteAnchor"/>
          <w:rtl w:val="true"/>
        </w:rPr>
        <w:footnoteReference w:id="2788"/>
      </w:r>
      <w:r>
        <w:rPr>
          <w:rFonts w:ascii="Amiri" w:hAnsi="Amiri" w:eastAsia="Amiri" w:cs="Amiri"/>
          <w:color w:val="111111"/>
          <w:sz w:val="28"/>
          <w:sz w:val="28"/>
          <w:szCs w:val="28"/>
          <w:rtl w:val="true"/>
          <w:lang w:bidi="ar-SA"/>
        </w:rPr>
        <w:t xml:space="preserve">، أو المقيدة </w:t>
      </w:r>
      <w:r>
        <w:rPr>
          <w:rStyle w:val="FootnoteAnchor"/>
          <w:rtl w:val="true"/>
        </w:rPr>
        <w:footnoteReference w:id="2789"/>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w:t>
      </w:r>
      <w:r>
        <w:rPr>
          <w:rStyle w:val="FootnoteAnchor"/>
          <w:rtl w:val="true"/>
        </w:rPr>
        <w:footnoteReference w:id="2790"/>
      </w:r>
      <w:r>
        <w:rPr>
          <w:rFonts w:ascii="IRNazanin" w:hAnsi="IRNazanin" w:eastAsia="IRNazanin"/>
          <w:color w:val="111111"/>
          <w:sz w:val="28"/>
          <w:sz w:val="28"/>
          <w:szCs w:val="28"/>
          <w:rtl w:val="true"/>
          <w:lang w:bidi="fa-IR"/>
        </w:rPr>
        <w:t>أنه إن</w:t>
      </w:r>
      <w:r>
        <w:rPr>
          <w:rStyle w:val="FootnoteAnchor"/>
          <w:rtl w:val="true"/>
        </w:rPr>
        <w:footnoteReference w:id="2791"/>
      </w:r>
      <w:r>
        <w:rPr>
          <w:rFonts w:ascii="Amiri" w:hAnsi="Amiri" w:eastAsia="Amiri" w:cs="Amiri"/>
          <w:color w:val="111111"/>
          <w:sz w:val="28"/>
          <w:sz w:val="28"/>
          <w:szCs w:val="28"/>
          <w:rtl w:val="true"/>
          <w:lang w:bidi="ar-SA"/>
        </w:rPr>
        <w:t xml:space="preserve">كان مقلداً لأحد ثم ظن بقول غيره، لم يعتبر هذا الظن، وبقي على </w:t>
      </w:r>
      <w:r>
        <w:rPr>
          <w:rStyle w:val="FootnoteAnchor"/>
          <w:rtl w:val="true"/>
        </w:rPr>
        <w:footnoteReference w:id="2792"/>
      </w:r>
      <w:r>
        <w:rPr>
          <w:rFonts w:ascii="Amiri" w:hAnsi="Amiri" w:eastAsia="Amiri" w:cs="Amiri"/>
          <w:color w:val="111111"/>
          <w:sz w:val="28"/>
          <w:sz w:val="28"/>
          <w:szCs w:val="28"/>
          <w:rtl w:val="true"/>
          <w:lang w:bidi="ar-SA"/>
        </w:rPr>
        <w:t>تقليده؛ للاستصحاب وكذا إن كان قدر متيقن في البين أخذ به وإن كان</w:t>
      </w:r>
      <w:r>
        <w:rPr>
          <w:rStyle w:val="FootnoteAnchor"/>
          <w:rtl w:val="true"/>
        </w:rPr>
        <w:footnoteReference w:id="2793"/>
      </w:r>
      <w:r>
        <w:rPr>
          <w:rFonts w:ascii="Amiri" w:hAnsi="Amiri" w:eastAsia="Amiri" w:cs="Amiri"/>
          <w:color w:val="111111"/>
          <w:sz w:val="28"/>
          <w:sz w:val="28"/>
          <w:szCs w:val="28"/>
          <w:rtl w:val="true"/>
          <w:lang w:bidi="ar-SA"/>
        </w:rPr>
        <w:t>الظن على خلافه؛ للاشتغال، كما لو علم من إجماع ونحوه أن تقليد الأعلم مبرئ وإن كان الظن مع غير الاعلم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w:t>
      </w:r>
      <w:r>
        <w:rPr>
          <w:rStyle w:val="FootnoteAnchor"/>
          <w:rtl w:val="true"/>
        </w:rPr>
        <w:footnoteReference w:id="2794"/>
      </w:r>
      <w:r>
        <w:rPr>
          <w:rFonts w:ascii="Amiri" w:hAnsi="Amiri" w:eastAsia="Amiri" w:cs="Amiri"/>
          <w:color w:val="111111"/>
          <w:sz w:val="28"/>
          <w:sz w:val="28"/>
          <w:szCs w:val="28"/>
          <w:rtl w:val="true"/>
          <w:lang w:bidi="ar-SA"/>
        </w:rPr>
        <w:t>لم يكن دليل شرعي على عدم العمل بالظن، أخذ بالمظنون؛ حذراً من ترجيح ،المرجوح، كما في المجتهدين المتساويين في بدو تقليده وهو ظان بأحدهما</w:t>
      </w:r>
      <w:r>
        <w:rPr>
          <w:rFonts w:eastAsia="Amiri" w:cs="Amiri" w:ascii="Amiri" w:hAnsi="Amiri"/>
          <w:color w:val="111111"/>
          <w:sz w:val="28"/>
          <w:szCs w:val="28"/>
          <w:rtl w:val="true"/>
          <w:lang w:bidi="ar-SA"/>
        </w:rPr>
        <w:t xml:space="preserve">. </w:t>
      </w:r>
      <w:bookmarkStart w:id="847" w:name="pg9015_97889"/>
    </w:p>
    <w:p>
      <w:pPr>
        <w:pStyle w:val="Heading2"/>
        <w:numPr>
          <w:ilvl w:val="1"/>
          <w:numId w:val="1"/>
        </w:numPr>
        <w:rPr/>
      </w:pPr>
      <w:bookmarkStart w:id="848" w:name="__RefHeading___Toc2001941_2870459653"/>
      <w:bookmarkStart w:id="849" w:name="_Toc320"/>
      <w:bookmarkEnd w:id="847"/>
      <w:bookmarkEnd w:id="848"/>
      <w:r>
        <w:rPr>
          <w:rtl w:val="true"/>
        </w:rPr>
        <w:t xml:space="preserve">أصل </w:t>
      </w:r>
      <w:r>
        <w:rPr>
          <w:rtl w:val="true"/>
        </w:rPr>
        <w:t>[</w:t>
      </w:r>
      <w:r>
        <w:rPr>
          <w:rtl w:val="true"/>
        </w:rPr>
        <w:t>في جواز الرجوع عن التقليد</w:t>
      </w:r>
      <w:r>
        <w:rPr>
          <w:rtl w:val="true"/>
        </w:rPr>
        <w:t>]</w:t>
      </w:r>
      <w:bookmarkEnd w:id="849"/>
    </w:p>
    <w:p>
      <w:pPr>
        <w:pStyle w:val="BookText"/>
        <w:rPr/>
      </w:pPr>
      <w:r>
        <w:rPr>
          <w:rFonts w:ascii="IRNazanin" w:hAnsi="IRNazanin" w:eastAsia="IRNazanin"/>
          <w:color w:val="111111"/>
          <w:sz w:val="28"/>
          <w:sz w:val="28"/>
          <w:szCs w:val="28"/>
          <w:rtl w:val="true"/>
          <w:lang w:bidi="fa-IR"/>
        </w:rPr>
        <w:t>اذا قلد أحد</w:t>
      </w:r>
      <w:r>
        <w:rPr>
          <w:rStyle w:val="FootnoteAnchor"/>
          <w:rtl w:val="true"/>
        </w:rPr>
        <w:footnoteReference w:id="2795"/>
      </w:r>
      <w:r>
        <w:rPr>
          <w:rFonts w:ascii="Amiri" w:hAnsi="Amiri" w:eastAsia="Amiri" w:cs="Amiri"/>
          <w:color w:val="111111"/>
          <w:sz w:val="28"/>
          <w:sz w:val="28"/>
          <w:szCs w:val="28"/>
          <w:rtl w:val="true"/>
          <w:lang w:bidi="ar-SA"/>
        </w:rPr>
        <w:t>المجتهدين المتساويين أو المختلفين بناء على عدم وجوب تقليد</w:t>
      </w:r>
      <w:r>
        <w:rPr>
          <w:rStyle w:val="FootnoteAnchor"/>
          <w:rtl w:val="true"/>
        </w:rPr>
        <w:footnoteReference w:id="2796"/>
      </w:r>
      <w:r>
        <w:rPr>
          <w:rFonts w:ascii="Amiri" w:hAnsi="Amiri" w:eastAsia="Amiri" w:cs="Amiri"/>
          <w:color w:val="111111"/>
          <w:sz w:val="28"/>
          <w:sz w:val="28"/>
          <w:szCs w:val="28"/>
          <w:rtl w:val="true"/>
          <w:lang w:bidi="ar-SA"/>
        </w:rPr>
        <w:t xml:space="preserve">الأعلم، احتمل جواز الرجوع عنه؛ لأصالة بقاء الخيار، وصحة أعماله كما كانا قبل اختيار أحدهما، الا أن يدفع الأصلان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جريانهما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بأصل الشغل</w:t>
      </w:r>
      <w:r>
        <w:rPr>
          <w:rStyle w:val="FootnoteAnchor"/>
          <w:rtl w:val="true"/>
        </w:rPr>
        <w:footnoteReference w:id="2797"/>
      </w:r>
      <w:r>
        <w:rPr>
          <w:rFonts w:ascii="Amiri" w:hAnsi="Amiri" w:eastAsia="Amiri" w:cs="Amiri"/>
          <w:color w:val="111111"/>
          <w:sz w:val="28"/>
          <w:sz w:val="28"/>
          <w:szCs w:val="28"/>
          <w:rtl w:val="true"/>
          <w:lang w:bidi="ar-SA"/>
        </w:rPr>
        <w:t>، واستصحاب التكليف، ولزوم التقليد والحكم الفرعي، وظهور الوفاق، وإطلاق منقول</w:t>
      </w:r>
      <w:r>
        <w:rPr>
          <w:rStyle w:val="FootnoteAnchor"/>
          <w:rtl w:val="true"/>
        </w:rPr>
        <w:footnoteReference w:id="2798"/>
      </w:r>
      <w:r>
        <w:rPr>
          <w:rFonts w:ascii="IRNazanin" w:hAnsi="IRNazanin" w:eastAsia="IRNazanin"/>
          <w:color w:val="111111"/>
          <w:sz w:val="28"/>
          <w:sz w:val="28"/>
          <w:szCs w:val="28"/>
          <w:rtl w:val="true"/>
          <w:lang w:bidi="fa-IR"/>
        </w:rPr>
        <w:t xml:space="preserve">الإجماع </w:t>
      </w:r>
      <w:r>
        <w:rPr>
          <w:rStyle w:val="FootnoteAnchor"/>
          <w:rtl w:val="true"/>
        </w:rPr>
        <w:footnoteReference w:id="2799"/>
      </w:r>
      <w:r>
        <w:rPr>
          <w:rFonts w:ascii="Amiri" w:hAnsi="Amiri" w:eastAsia="Amiri" w:cs="Amiri"/>
          <w:color w:val="111111"/>
          <w:sz w:val="28"/>
          <w:sz w:val="28"/>
          <w:szCs w:val="28"/>
          <w:rtl w:val="true"/>
          <w:lang w:bidi="ar-SA"/>
        </w:rPr>
        <w:t>، وآيات النهي عن التقليد الا ما خرج، ولزوم المخالفة القطعية</w:t>
      </w:r>
      <w:r>
        <w:rPr>
          <w:rFonts w:eastAsia="Amiri" w:cs="Amiri" w:ascii="Amiri" w:hAnsi="Amiri"/>
          <w:color w:val="111111"/>
          <w:sz w:val="28"/>
          <w:szCs w:val="28"/>
          <w:rtl w:val="true"/>
          <w:lang w:bidi="ar-SA"/>
        </w:rPr>
        <w:t>.</w:t>
      </w:r>
      <w:r>
        <w:rPr>
          <w:rStyle w:val="FootnoteAnchor"/>
          <w:rtl w:val="true"/>
        </w:rPr>
        <w:footnoteReference w:id="2800"/>
      </w:r>
    </w:p>
    <w:p>
      <w:pPr>
        <w:pStyle w:val="BookText"/>
        <w:rPr/>
      </w:pPr>
      <w:r>
        <w:rPr>
          <w:rFonts w:ascii="IRNazanin" w:hAnsi="IRNazanin" w:eastAsia="IRNazanin"/>
          <w:color w:val="111111"/>
          <w:sz w:val="28"/>
          <w:sz w:val="28"/>
          <w:szCs w:val="28"/>
          <w:rtl w:val="true"/>
          <w:lang w:bidi="fa-IR"/>
        </w:rPr>
        <w:t>فالأصح عدم الجواز وإن رجع إلى الأعلم على الأظهر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التقليد الملزم</w:t>
      </w:r>
      <w:r>
        <w:rPr>
          <w:rStyle w:val="FootnoteAnchor"/>
          <w:rtl w:val="true"/>
        </w:rPr>
        <w:footnoteReference w:id="2801"/>
      </w:r>
      <w:r>
        <w:rPr>
          <w:rFonts w:ascii="Amiri" w:hAnsi="Amiri" w:eastAsia="Amiri" w:cs="Amiri"/>
          <w:color w:val="111111"/>
          <w:sz w:val="28"/>
          <w:sz w:val="28"/>
          <w:szCs w:val="28"/>
          <w:rtl w:val="true"/>
          <w:lang w:bidi="ar-SA"/>
        </w:rPr>
        <w:t>للبقاء لا يتوقف على العمل؛ حذراً من التسلسل</w:t>
      </w:r>
      <w:r>
        <w:rPr>
          <w:rStyle w:val="FootnoteAnchor"/>
          <w:rtl w:val="true"/>
        </w:rPr>
        <w:footnoteReference w:id="280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لكن هل يحصل اللزوم بمجرد الاختيار</w:t>
      </w:r>
      <w:r>
        <w:rPr>
          <w:rStyle w:val="FootnoteAnchor"/>
          <w:rtl w:val="true"/>
        </w:rPr>
        <w:footnoteReference w:id="2803"/>
      </w:r>
    </w:p>
    <w:p>
      <w:pPr>
        <w:pStyle w:val="BookText"/>
        <w:rPr/>
      </w:pPr>
      <w:r>
        <w:rPr>
          <w:rFonts w:ascii="Amiri" w:hAnsi="Amiri" w:eastAsia="Amiri" w:cs="Amiri"/>
          <w:color w:val="111111"/>
          <w:sz w:val="28"/>
          <w:sz w:val="28"/>
          <w:szCs w:val="28"/>
          <w:rtl w:val="true"/>
          <w:lang w:bidi="ar-SA"/>
        </w:rPr>
        <w:t>ويحتمل أن يكون المراد به هو الإلزام التفصيلي؛ كأن يطلع على فتاويه ثمّ يبني على الأخذ بقوله فيها</w:t>
      </w:r>
    </w:p>
    <w:p>
      <w:pPr>
        <w:pStyle w:val="BookText"/>
        <w:rPr/>
      </w:pPr>
      <w:r>
        <w:rPr>
          <w:rFonts w:ascii="IRNazanin" w:hAnsi="IRNazanin" w:eastAsia="IRNazanin"/>
          <w:color w:val="111111"/>
          <w:sz w:val="28"/>
          <w:sz w:val="28"/>
          <w:szCs w:val="28"/>
          <w:rtl w:val="true"/>
          <w:lang w:bidi="fa-IR"/>
        </w:rPr>
        <w:t>، أم بوصول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 الواجب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أم بضيق وقته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أم بالشروع، وجوه أقواها الأول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اشتراط العلم التفصيلي برأي المجتهد حين اختيار تقليده، أم</w:t>
      </w:r>
      <w:r>
        <w:rPr>
          <w:rStyle w:val="FootnoteAnchor"/>
          <w:rtl w:val="true"/>
        </w:rPr>
        <w:footnoteReference w:id="2804"/>
      </w:r>
      <w:r>
        <w:rPr>
          <w:rFonts w:ascii="Amiri" w:hAnsi="Amiri" w:eastAsia="Amiri" w:cs="Amiri"/>
          <w:color w:val="111111"/>
          <w:sz w:val="28"/>
          <w:sz w:val="28"/>
          <w:szCs w:val="28"/>
          <w:rtl w:val="true"/>
          <w:lang w:bidi="ar-SA"/>
        </w:rPr>
        <w:t>كفاية</w:t>
      </w:r>
      <w:r>
        <w:rPr>
          <w:rStyle w:val="FootnoteAnchor"/>
          <w:rtl w:val="true"/>
        </w:rPr>
        <w:footnoteReference w:id="2805"/>
      </w:r>
      <w:r>
        <w:rPr>
          <w:rFonts w:ascii="Amiri" w:hAnsi="Amiri" w:eastAsia="Amiri" w:cs="Amiri"/>
          <w:color w:val="111111"/>
          <w:sz w:val="28"/>
          <w:sz w:val="28"/>
          <w:szCs w:val="28"/>
          <w:rtl w:val="true"/>
          <w:lang w:bidi="ar-SA"/>
        </w:rPr>
        <w:t>البناء الإجمالي مطلقاً، أو بشرط تحقق آرائه يوم اختياره</w:t>
      </w:r>
      <w:r>
        <w:rPr>
          <w:rStyle w:val="FootnoteAnchor"/>
          <w:rtl w:val="true"/>
        </w:rPr>
        <w:footnoteReference w:id="2806"/>
      </w:r>
      <w:r>
        <w:rPr>
          <w:rFonts w:ascii="IRNazanin" w:hAnsi="IRNazanin" w:eastAsia="IRNazanin"/>
          <w:color w:val="111111"/>
          <w:sz w:val="28"/>
          <w:sz w:val="28"/>
          <w:szCs w:val="28"/>
          <w:rtl w:val="true"/>
          <w:lang w:bidi="fa-IR"/>
        </w:rPr>
        <w:t>، احتمالات، مقتضی الاستصحاب الأول، ومقتضى الاشتغال الثاني</w:t>
      </w:r>
      <w:r>
        <w:rPr>
          <w:rFonts w:eastAsia="IRNazanin" w:cs="IRNazanin"/>
          <w:color w:val="111111"/>
          <w:sz w:val="28"/>
          <w:szCs w:val="28"/>
          <w:rtl w:val="true"/>
          <w:lang w:bidi="fa-IR"/>
        </w:rPr>
        <w:t>.</w:t>
      </w:r>
      <w:r>
        <w:rPr>
          <w:rStyle w:val="FootnoteAnchor"/>
          <w:rtl w:val="true"/>
        </w:rPr>
        <w:footnoteReference w:id="2807"/>
      </w:r>
      <w:bookmarkStart w:id="850" w:name="pg9015_97893"/>
    </w:p>
    <w:p>
      <w:pPr>
        <w:pStyle w:val="Heading2"/>
        <w:numPr>
          <w:ilvl w:val="1"/>
          <w:numId w:val="1"/>
        </w:numPr>
        <w:rPr/>
      </w:pPr>
      <w:bookmarkStart w:id="851" w:name="__RefHeading___Toc2001943_2870459653"/>
      <w:bookmarkStart w:id="852" w:name="_Toc321"/>
      <w:bookmarkEnd w:id="850"/>
      <w:bookmarkEnd w:id="851"/>
      <w:r>
        <w:rPr>
          <w:rtl w:val="true"/>
        </w:rPr>
        <w:t xml:space="preserve">أصل </w:t>
      </w:r>
      <w:r>
        <w:rPr>
          <w:rtl w:val="true"/>
        </w:rPr>
        <w:t>[</w:t>
      </w:r>
      <w:r>
        <w:rPr>
          <w:rtl w:val="true"/>
        </w:rPr>
        <w:t>في عدم وجوب تقليد الأعلم</w:t>
      </w:r>
      <w:r>
        <w:rPr>
          <w:rtl w:val="true"/>
        </w:rPr>
        <w:t>]</w:t>
      </w:r>
      <w:bookmarkEnd w:id="852"/>
    </w:p>
    <w:p>
      <w:pPr>
        <w:pStyle w:val="BookText"/>
        <w:rPr/>
      </w:pPr>
      <w:r>
        <w:rPr>
          <w:rFonts w:ascii="Amiri" w:hAnsi="Amiri" w:eastAsia="Amiri" w:cs="Amiri"/>
          <w:color w:val="111111"/>
          <w:sz w:val="28"/>
          <w:sz w:val="28"/>
          <w:szCs w:val="28"/>
          <w:rtl w:val="true"/>
          <w:lang w:bidi="ar-SA"/>
        </w:rPr>
        <w:t>المشهور وجوب تقليد أعلم المجتهدين المتخالفين في الرأي</w:t>
      </w:r>
      <w:r>
        <w:rPr>
          <w:rStyle w:val="FootnoteAnchor"/>
          <w:rtl w:val="true"/>
        </w:rPr>
        <w:footnoteReference w:id="2808"/>
      </w:r>
      <w:r>
        <w:rPr>
          <w:rFonts w:ascii="Amiri" w:hAnsi="Amiri" w:eastAsia="Amiri" w:cs="Amiri"/>
          <w:color w:val="111111"/>
          <w:sz w:val="28"/>
          <w:sz w:val="28"/>
          <w:szCs w:val="28"/>
          <w:rtl w:val="true"/>
          <w:lang w:bidi="ar-SA"/>
        </w:rPr>
        <w:t>، ونفي عنه الخلاف</w:t>
      </w:r>
      <w:r>
        <w:rPr>
          <w:rStyle w:val="FootnoteAnchor"/>
          <w:rtl w:val="true"/>
        </w:rPr>
        <w:footnoteReference w:id="2809"/>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w:t>
      </w:r>
      <w:r>
        <w:rPr>
          <w:rStyle w:val="FootnoteAnchor"/>
          <w:rtl w:val="true"/>
        </w:rPr>
        <w:footnoteReference w:id="2810"/>
      </w:r>
      <w:r>
        <w:rPr>
          <w:rFonts w:ascii="Amiri" w:hAnsi="Amiri" w:eastAsia="Amiri" w:cs="Amiri"/>
          <w:color w:val="111111"/>
          <w:sz w:val="28"/>
          <w:sz w:val="28"/>
          <w:szCs w:val="28"/>
          <w:rtl w:val="true"/>
          <w:lang w:bidi="ar-SA"/>
        </w:rPr>
        <w:t>، ولا قول بتعين تقليد</w:t>
      </w:r>
      <w:r>
        <w:rPr>
          <w:rStyle w:val="FootnoteAnchor"/>
          <w:rtl w:val="true"/>
        </w:rPr>
        <w:footnoteReference w:id="2811"/>
      </w:r>
      <w:r>
        <w:rPr>
          <w:rFonts w:ascii="Amiri" w:hAnsi="Amiri" w:eastAsia="Amiri" w:cs="Amiri"/>
          <w:color w:val="111111"/>
          <w:sz w:val="28"/>
          <w:sz w:val="28"/>
          <w:szCs w:val="28"/>
          <w:rtl w:val="true"/>
          <w:lang w:bidi="ar-SA"/>
        </w:rPr>
        <w:t>غير الأعلم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وجد مجتهدين أحدهما أعلم، فمقتضى الاشتغال أخذ الأعلم وإذا كانا في الأول متساويين، ثم صار أحدهما أعلم قبل تقلیده، فمقتضی استصحاب التخيير الخيار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وجد مجتهداً واحداً لا غير، ثم حصل آخر أدون منه قبل التقليد، فمقتضى الاستصحاب وجوب أخذ الأعلم؛ لأنه كان واجباً عينياً حين الانحصار، فيستصحب،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الاستصحاب عرضي</w:t>
      </w:r>
      <w:r>
        <w:rPr>
          <w:rFonts w:eastAsia="Amiri" w:cs="Amiri" w:ascii="Amiri" w:hAnsi="Amiri"/>
          <w:color w:val="111111"/>
          <w:sz w:val="28"/>
          <w:szCs w:val="28"/>
          <w:rtl w:val="true"/>
          <w:lang w:bidi="ar-SA"/>
        </w:rPr>
        <w:t>.</w:t>
      </w:r>
      <w:r>
        <w:rPr>
          <w:rStyle w:val="FootnoteAnchor"/>
          <w:rtl w:val="true"/>
        </w:rPr>
        <w:footnoteReference w:id="2812"/>
      </w:r>
    </w:p>
    <w:p>
      <w:pPr>
        <w:pStyle w:val="BookText"/>
        <w:rPr/>
      </w:pPr>
      <w:r>
        <w:rPr>
          <w:rFonts w:ascii="Amiri" w:hAnsi="Amiri" w:eastAsia="Amiri" w:cs="Amiri"/>
          <w:color w:val="111111"/>
          <w:sz w:val="28"/>
          <w:sz w:val="28"/>
          <w:szCs w:val="28"/>
          <w:rtl w:val="true"/>
          <w:lang w:bidi="ar-SA"/>
        </w:rPr>
        <w:t>ولو صار الآخر أعلم في الفرض</w:t>
      </w:r>
      <w:r>
        <w:rPr>
          <w:rStyle w:val="FootnoteAnchor"/>
          <w:rtl w:val="true"/>
        </w:rPr>
        <w:footnoteReference w:id="2813"/>
      </w:r>
      <w:r>
        <w:rPr>
          <w:rFonts w:ascii="Amiri" w:hAnsi="Amiri" w:eastAsia="Amiri" w:cs="Amiri"/>
          <w:color w:val="111111"/>
          <w:sz w:val="28"/>
          <w:sz w:val="28"/>
          <w:szCs w:val="28"/>
          <w:rtl w:val="true"/>
          <w:lang w:bidi="ar-SA"/>
        </w:rPr>
        <w:t>قبل تقليده، فمقتضى الاستصحاب لزوم تقليد الأدون، لكن الوجوب ارتفع يقينا، فلا ينفع الاستصحاب</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فالاستصحاب لا يجري إلا في القسم الثاني، ومقتضاه الخيار، ويتم الأمر فيما </w:t>
      </w:r>
    </w:p>
    <w:p>
      <w:pPr>
        <w:pStyle w:val="BookText"/>
        <w:rPr/>
      </w:pPr>
      <w:r>
        <w:rPr>
          <w:rFonts w:ascii="Amiri" w:hAnsi="Amiri" w:eastAsia="Amiri" w:cs="Amiri"/>
          <w:color w:val="111111"/>
          <w:sz w:val="28"/>
          <w:sz w:val="28"/>
          <w:szCs w:val="28"/>
          <w:rtl w:val="true"/>
          <w:lang w:bidi="ar-SA"/>
        </w:rPr>
        <w:t>عداه بالإجماع المركب، ولا يعارضه الشغل</w:t>
      </w:r>
      <w:r>
        <w:rPr>
          <w:rStyle w:val="FootnoteAnchor"/>
          <w:rtl w:val="true"/>
        </w:rPr>
        <w:footnoteReference w:id="2814"/>
      </w:r>
      <w:r>
        <w:rPr>
          <w:rFonts w:ascii="Amiri" w:hAnsi="Amiri" w:eastAsia="Amiri" w:cs="Amiri"/>
          <w:color w:val="111111"/>
          <w:sz w:val="28"/>
          <w:sz w:val="28"/>
          <w:szCs w:val="28"/>
          <w:rtl w:val="true"/>
          <w:lang w:bidi="ar-SA"/>
        </w:rPr>
        <w:t xml:space="preserve">، ويؤيده آية السؤال </w:t>
      </w:r>
      <w:r>
        <w:rPr>
          <w:rStyle w:val="FootnoteAnchor"/>
          <w:rtl w:val="true"/>
        </w:rPr>
        <w:footnoteReference w:id="2815"/>
      </w:r>
      <w:r>
        <w:rPr>
          <w:rFonts w:ascii="Amiri" w:hAnsi="Amiri" w:eastAsia="Amiri" w:cs="Amiri"/>
          <w:color w:val="111111"/>
          <w:sz w:val="28"/>
          <w:sz w:val="28"/>
          <w:szCs w:val="28"/>
          <w:rtl w:val="true"/>
          <w:lang w:bidi="ar-SA"/>
        </w:rPr>
        <w:t>إن كان المراد من أهل الذكر مطلق أهل العلم</w:t>
      </w:r>
      <w:r>
        <w:rPr>
          <w:rStyle w:val="FootnoteAnchor"/>
          <w:rtl w:val="true"/>
        </w:rPr>
        <w:footnoteReference w:id="2816"/>
      </w:r>
      <w:r>
        <w:rPr>
          <w:rFonts w:ascii="Amiri" w:hAnsi="Amiri" w:eastAsia="Amiri" w:cs="Amiri"/>
          <w:color w:val="111111"/>
          <w:sz w:val="28"/>
          <w:sz w:val="28"/>
          <w:szCs w:val="28"/>
          <w:rtl w:val="true"/>
          <w:lang w:bidi="ar-SA"/>
        </w:rPr>
        <w:t>، وكذا روايتا أبي خديجة</w:t>
      </w:r>
      <w:r>
        <w:rPr>
          <w:rStyle w:val="FootnoteAnchor"/>
          <w:rtl w:val="true"/>
        </w:rPr>
        <w:footnoteReference w:id="2817"/>
      </w:r>
      <w:r>
        <w:rPr>
          <w:rFonts w:ascii="Amiri" w:hAnsi="Amiri" w:eastAsia="Amiri" w:cs="Amiri"/>
          <w:color w:val="111111"/>
          <w:sz w:val="28"/>
          <w:sz w:val="28"/>
          <w:szCs w:val="28"/>
          <w:rtl w:val="true"/>
          <w:lang w:bidi="ar-SA"/>
        </w:rPr>
        <w:t xml:space="preserve">وابن حنظلة </w:t>
      </w:r>
      <w:r>
        <w:rPr>
          <w:rStyle w:val="FootnoteAnchor"/>
          <w:rtl w:val="true"/>
        </w:rPr>
        <w:footnoteReference w:id="2818"/>
      </w:r>
      <w:r>
        <w:rPr>
          <w:rFonts w:ascii="Amiri" w:hAnsi="Amiri" w:eastAsia="Amiri" w:cs="Amiri"/>
          <w:color w:val="111111"/>
          <w:sz w:val="28"/>
          <w:sz w:val="28"/>
          <w:szCs w:val="28"/>
          <w:rtl w:val="true"/>
          <w:lang w:bidi="ar-SA"/>
        </w:rPr>
        <w:t xml:space="preserve">، وآية النبأ </w:t>
      </w:r>
      <w:r>
        <w:rPr>
          <w:rStyle w:val="FootnoteAnchor"/>
          <w:rtl w:val="true"/>
        </w:rPr>
        <w:footnoteReference w:id="2819"/>
      </w:r>
      <w:r>
        <w:rPr>
          <w:rFonts w:ascii="Amiri" w:hAnsi="Amiri" w:eastAsia="Amiri" w:cs="Amiri"/>
          <w:color w:val="111111"/>
          <w:sz w:val="28"/>
          <w:sz w:val="28"/>
          <w:szCs w:val="28"/>
          <w:rtl w:val="true"/>
          <w:lang w:bidi="ar-SA"/>
        </w:rPr>
        <w:t>، ويعضده آية النفر</w:t>
      </w:r>
      <w:r>
        <w:rPr>
          <w:rStyle w:val="FootnoteAnchor"/>
          <w:rtl w:val="true"/>
        </w:rPr>
        <w:footnoteReference w:id="2820"/>
      </w:r>
      <w:r>
        <w:rPr>
          <w:rFonts w:ascii="Amiri" w:hAnsi="Amiri" w:eastAsia="Amiri" w:cs="Amiri"/>
          <w:color w:val="111111"/>
          <w:sz w:val="28"/>
          <w:sz w:val="28"/>
          <w:szCs w:val="28"/>
          <w:rtl w:val="true"/>
          <w:lang w:bidi="ar-SA"/>
        </w:rPr>
        <w:t>؛ لاختلاف المنذرين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الأعلم وغيره متوافقين في الرأي، فالخيار بطريق أولى، وبالإجماع المركب، واتحاد الدليل مع دعوى بعض عدم الإشكال فيه</w:t>
      </w:r>
      <w:r>
        <w:rPr>
          <w:rFonts w:eastAsia="Amiri" w:cs="Amiri" w:ascii="Amiri" w:hAnsi="Amiri"/>
          <w:color w:val="111111"/>
          <w:sz w:val="28"/>
          <w:szCs w:val="28"/>
          <w:rtl w:val="true"/>
          <w:lang w:bidi="ar-SA"/>
        </w:rPr>
        <w:t>.</w:t>
      </w:r>
      <w:r>
        <w:rPr>
          <w:rStyle w:val="FootnoteAnchor"/>
          <w:rtl w:val="true"/>
        </w:rPr>
        <w:footnoteReference w:id="2821"/>
      </w:r>
    </w:p>
    <w:p>
      <w:pPr>
        <w:pStyle w:val="BookText"/>
        <w:rPr/>
      </w:pPr>
      <w:r>
        <w:rPr>
          <w:rFonts w:ascii="Amiri" w:hAnsi="Amiri" w:eastAsia="Amiri" w:cs="Amiri"/>
          <w:color w:val="111111"/>
          <w:sz w:val="28"/>
          <w:sz w:val="28"/>
          <w:szCs w:val="28"/>
          <w:rtl w:val="true"/>
          <w:lang w:bidi="ar-SA"/>
        </w:rPr>
        <w:t>ويتفرع على القول بوجوب تقليد الأعلم فروع جيدة، لا حاجة لنا إليها</w:t>
      </w:r>
      <w:r>
        <w:rPr>
          <w:rFonts w:eastAsia="Amiri" w:cs="Amiri" w:ascii="Amiri" w:hAnsi="Amiri"/>
          <w:color w:val="111111"/>
          <w:sz w:val="28"/>
          <w:szCs w:val="28"/>
          <w:rtl w:val="true"/>
          <w:lang w:bidi="ar-SA"/>
        </w:rPr>
        <w:t>.</w:t>
      </w:r>
      <w:r>
        <w:rPr>
          <w:rStyle w:val="FootnoteAnchor"/>
          <w:rtl w:val="true"/>
        </w:rPr>
        <w:footnoteReference w:id="2822"/>
      </w:r>
    </w:p>
    <w:p>
      <w:pPr>
        <w:pStyle w:val="BookText"/>
        <w:rPr/>
      </w:pPr>
      <w:r>
        <w:rPr>
          <w:rFonts w:ascii="Amiri" w:hAnsi="Amiri" w:eastAsia="Amiri" w:cs="Amiri"/>
          <w:color w:val="111111"/>
          <w:sz w:val="28"/>
          <w:sz w:val="28"/>
          <w:szCs w:val="28"/>
          <w:rtl w:val="true"/>
          <w:lang w:bidi="ar-SA"/>
        </w:rPr>
        <w:t>ومما مرَّ ظهر عدم وجوب تقليد الأورع</w:t>
      </w:r>
      <w:r>
        <w:rPr>
          <w:rFonts w:eastAsia="Amiri" w:cs="Amiri" w:ascii="Amiri" w:hAnsi="Amiri"/>
          <w:color w:val="111111"/>
          <w:sz w:val="28"/>
          <w:szCs w:val="28"/>
          <w:rtl w:val="true"/>
          <w:lang w:bidi="ar-SA"/>
        </w:rPr>
        <w:t>.</w:t>
      </w:r>
      <w:r>
        <w:rPr>
          <w:rStyle w:val="FootnoteAnchor"/>
          <w:rtl w:val="true"/>
        </w:rPr>
        <w:footnoteReference w:id="2823"/>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المراد بالأعلم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 ملكة؛ للتبادر ، لا أكثر ضبطاً، ولا استنباطاً</w:t>
      </w:r>
      <w:r>
        <w:rPr>
          <w:rFonts w:eastAsia="Amiri" w:cs="Amiri" w:ascii="Amiri" w:hAnsi="Amiri"/>
          <w:color w:val="111111"/>
          <w:sz w:val="28"/>
          <w:szCs w:val="28"/>
          <w:rtl w:val="true"/>
          <w:lang w:bidi="ar-SA"/>
        </w:rPr>
        <w:t>.</w:t>
      </w:r>
      <w:r>
        <w:rPr>
          <w:rStyle w:val="FootnoteAnchor"/>
          <w:rtl w:val="true"/>
        </w:rPr>
        <w:footnoteReference w:id="2824"/>
      </w:r>
      <w:bookmarkStart w:id="853" w:name="pg9015_97897"/>
    </w:p>
    <w:p>
      <w:pPr>
        <w:pStyle w:val="Heading2"/>
        <w:numPr>
          <w:ilvl w:val="1"/>
          <w:numId w:val="1"/>
        </w:numPr>
        <w:rPr/>
      </w:pPr>
      <w:bookmarkStart w:id="854" w:name="__RefHeading___Toc2001945_2870459653"/>
      <w:bookmarkStart w:id="855" w:name="_Toc322"/>
      <w:bookmarkEnd w:id="853"/>
      <w:bookmarkEnd w:id="854"/>
      <w:r>
        <w:rPr>
          <w:rtl w:val="true"/>
        </w:rPr>
        <w:t xml:space="preserve">أصل </w:t>
      </w:r>
      <w:r>
        <w:rPr>
          <w:rtl w:val="true"/>
        </w:rPr>
        <w:t>[</w:t>
      </w:r>
      <w:r>
        <w:rPr>
          <w:rtl w:val="true"/>
        </w:rPr>
        <w:t>في جواز التبعيض في التقليد</w:t>
      </w:r>
      <w:r>
        <w:rPr>
          <w:rtl w:val="true"/>
        </w:rPr>
        <w:t>]</w:t>
      </w:r>
      <w:bookmarkEnd w:id="855"/>
    </w:p>
    <w:p>
      <w:pPr>
        <w:pStyle w:val="BookText"/>
        <w:rPr/>
      </w:pPr>
      <w:r>
        <w:rPr>
          <w:rFonts w:ascii="Amiri" w:hAnsi="Amiri" w:eastAsia="Amiri" w:cs="Amiri"/>
          <w:color w:val="111111"/>
          <w:sz w:val="28"/>
          <w:sz w:val="28"/>
          <w:szCs w:val="28"/>
          <w:rtl w:val="true"/>
          <w:lang w:bidi="ar-SA"/>
        </w:rPr>
        <w:t>يجوز التبعيض في التقليد؛ للإجماع</w:t>
      </w:r>
      <w:r>
        <w:rPr>
          <w:rStyle w:val="FootnoteAnchor"/>
          <w:rtl w:val="true"/>
        </w:rPr>
        <w:footnoteReference w:id="2825"/>
      </w:r>
      <w:r>
        <w:rPr>
          <w:rFonts w:ascii="Amiri" w:hAnsi="Amiri" w:eastAsia="Amiri" w:cs="Amiri"/>
          <w:color w:val="111111"/>
          <w:sz w:val="28"/>
          <w:sz w:val="28"/>
          <w:szCs w:val="28"/>
          <w:rtl w:val="true"/>
          <w:lang w:bidi="ar-SA"/>
        </w:rPr>
        <w:t xml:space="preserve">، وبناء العقلاء، وإطلاق آية السؤال </w:t>
      </w:r>
      <w:r>
        <w:rPr>
          <w:rStyle w:val="FootnoteAnchor"/>
          <w:rtl w:val="true"/>
        </w:rPr>
        <w:footnoteReference w:id="2826"/>
      </w:r>
      <w:r>
        <w:rPr>
          <w:rFonts w:ascii="IRNazanin" w:hAnsi="IRNazanin" w:eastAsia="IRNazanin"/>
          <w:color w:val="111111"/>
          <w:sz w:val="28"/>
          <w:sz w:val="28"/>
          <w:szCs w:val="28"/>
          <w:rtl w:val="true"/>
          <w:lang w:bidi="fa-IR"/>
        </w:rPr>
        <w:t xml:space="preserve">والنفر </w:t>
      </w:r>
      <w:r>
        <w:rPr>
          <w:rStyle w:val="FootnoteAnchor"/>
          <w:rtl w:val="true"/>
        </w:rPr>
        <w:footnoteReference w:id="2827"/>
      </w:r>
      <w:r>
        <w:rPr>
          <w:rFonts w:ascii="Amiri" w:hAnsi="Amiri" w:eastAsia="Amiri" w:cs="Amiri"/>
          <w:color w:val="111111"/>
          <w:sz w:val="28"/>
          <w:sz w:val="28"/>
          <w:szCs w:val="28"/>
          <w:rtl w:val="true"/>
          <w:lang w:bidi="ar-SA"/>
        </w:rPr>
        <w:t>وغيرهما، وانما يجوز ما لم يلزم من التركيب مخالفة قطعية</w:t>
      </w:r>
      <w:r>
        <w:rPr>
          <w:rStyle w:val="FootnoteAnchor"/>
          <w:rtl w:val="true"/>
        </w:rPr>
        <w:footnoteReference w:id="2828"/>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Style w:val="FootnoteAnchor"/>
          <w:rtl w:val="true"/>
        </w:rPr>
        <w:footnoteReference w:id="2829"/>
      </w:r>
    </w:p>
    <w:p>
      <w:pPr>
        <w:pStyle w:val="BookText"/>
        <w:rPr/>
      </w:pPr>
      <w:r>
        <w:rPr>
          <w:rFonts w:ascii="IRNazanin" w:hAnsi="IRNazanin" w:eastAsia="IRNazanin"/>
          <w:color w:val="111111"/>
          <w:sz w:val="28"/>
          <w:sz w:val="28"/>
          <w:szCs w:val="28"/>
          <w:rtl w:val="true"/>
          <w:lang w:bidi="fa-IR"/>
        </w:rPr>
        <w:t>أصل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شرائط مشافهة المفتى في أخذ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وإن اقتضى اشتراط مشافهة المفتي في أخذ فتاويه لكنها ليست شرطاً، ويكفي النقل عنه في الجملة إجماعاً معلوماً ومنقولاً</w:t>
      </w:r>
      <w:r>
        <w:rPr>
          <w:rStyle w:val="FootnoteAnchor"/>
          <w:rtl w:val="true"/>
        </w:rPr>
        <w:footnoteReference w:id="2830"/>
      </w:r>
      <w:r>
        <w:rPr>
          <w:rFonts w:ascii="Amiri" w:hAnsi="Amiri" w:eastAsia="Amiri" w:cs="Amiri"/>
          <w:color w:val="111111"/>
          <w:sz w:val="28"/>
          <w:sz w:val="28"/>
          <w:szCs w:val="28"/>
          <w:rtl w:val="true"/>
          <w:lang w:bidi="ar-SA"/>
        </w:rPr>
        <w:t>، مع لزوم الحرج لولاه، وبناء العقلاء، والقوة العاقلة فيما إذا حصل العلم بالنقل، فإن السؤال بعده سفه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حصل العلم من النقل ولو بلفظه كفى، وإن ظن بمراده؛ إذ قلما يحصل العلم بالمراد فيلزم العسر لولاه ، مع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Style w:val="FootnoteAnchor"/>
          <w:rtl w:val="true"/>
        </w:rPr>
        <w:footnoteReference w:id="2831"/>
      </w:r>
      <w:r>
        <w:rPr>
          <w:rFonts w:ascii="Amiri" w:hAnsi="Amiri" w:eastAsia="Amiri" w:cs="Amiri"/>
          <w:color w:val="111111"/>
          <w:sz w:val="28"/>
          <w:sz w:val="28"/>
          <w:szCs w:val="28"/>
          <w:rtl w:val="true"/>
          <w:lang w:bidi="ar-SA"/>
        </w:rPr>
        <w:t xml:space="preserve">، وكذا خبر العدل وإن لم يفد </w:t>
      </w:r>
    </w:p>
    <w:p>
      <w:pPr>
        <w:pStyle w:val="BookText"/>
        <w:rPr/>
      </w:pPr>
      <w:r>
        <w:rPr>
          <w:rFonts w:ascii="IRNazanin" w:hAnsi="IRNazanin" w:eastAsia="IRNazanin"/>
          <w:color w:val="111111"/>
          <w:sz w:val="28"/>
          <w:sz w:val="28"/>
          <w:szCs w:val="28"/>
          <w:rtl w:val="true"/>
          <w:lang w:bidi="fa-IR"/>
        </w:rPr>
        <w:t>قطعاً بلفظ أو معنى ؛ للإجماع</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33"/>
      </w:r>
      <w:r>
        <w:rPr>
          <w:rFonts w:ascii="Amiri" w:hAnsi="Amiri" w:eastAsia="Amiri" w:cs="Amiri"/>
          <w:color w:val="111111"/>
          <w:sz w:val="28"/>
          <w:sz w:val="28"/>
          <w:szCs w:val="28"/>
          <w:rtl w:val="true"/>
          <w:lang w:bidi="ar-SA"/>
        </w:rPr>
        <w:t>، وبناء العقلاء، وعسر تحصيل العلم، والاحتياط، بل لو كان حاضراً عنده جاز أخذه من العدل أيضاً؛ للإجماع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أفاد خبره الظن شخصاً وطبعاً أو شخصاً فلا كلام، أو طبعاً لا شخصاً لمعارض لا يعتبر، كخبر فاسق ونوم، عمل به أيضاً وإن ظن بخلافه، أو لا طبعاً ولا شخصاً ، فلا عمل عليه؛ للأصل</w:t>
      </w:r>
      <w:r>
        <w:rPr>
          <w:rFonts w:eastAsia="Amiri" w:cs="Amiri" w:ascii="Amiri" w:hAnsi="Amiri"/>
          <w:color w:val="111111"/>
          <w:sz w:val="28"/>
          <w:szCs w:val="28"/>
          <w:rtl w:val="true"/>
          <w:lang w:bidi="ar-SA"/>
        </w:rPr>
        <w:t>.</w:t>
      </w:r>
      <w:r>
        <w:rPr>
          <w:rStyle w:val="FootnoteAnchor"/>
          <w:rtl w:val="true"/>
        </w:rPr>
        <w:footnoteReference w:id="2834"/>
      </w:r>
    </w:p>
    <w:p>
      <w:pPr>
        <w:pStyle w:val="BookText"/>
        <w:rPr/>
      </w:pPr>
      <w:r>
        <w:rPr>
          <w:rFonts w:ascii="Amiri" w:hAnsi="Amiri" w:eastAsia="Amiri" w:cs="Amiri"/>
          <w:color w:val="111111"/>
          <w:sz w:val="28"/>
          <w:sz w:val="28"/>
          <w:szCs w:val="28"/>
          <w:rtl w:val="true"/>
          <w:lang w:bidi="ar-SA"/>
        </w:rPr>
        <w:t>وان عارض خبر عدل مع آخر أخذ بأقوى الظنين، وإن فقد الظن من الجانبين سقطا من البين ورجع إلى عدل آخر، أو مجتهد آخر، فإن لم يمكن احتاط في العمل، فإن لم يمكن تخير بين تقليد الميت والأخذ بأحد العدلين، فإن لم يمكن أخذ بأحد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مسبوقاً بتقليد ذلك المجتهد فنسي فتواه، وتعارض فيه عدلان، ولم يمكنه غيرهما، لم يرجع إلى مجتهد آخر ، ولا وجب</w:t>
      </w:r>
      <w:r>
        <w:rPr>
          <w:rStyle w:val="FootnoteAnchor"/>
          <w:rtl w:val="true"/>
        </w:rPr>
        <w:footnoteReference w:id="2835"/>
      </w:r>
      <w:r>
        <w:rPr>
          <w:rFonts w:ascii="Amiri" w:hAnsi="Amiri" w:eastAsia="Amiri" w:cs="Amiri"/>
          <w:color w:val="111111"/>
          <w:sz w:val="28"/>
          <w:sz w:val="28"/>
          <w:szCs w:val="28"/>
          <w:rtl w:val="true"/>
          <w:lang w:bidi="ar-SA"/>
        </w:rPr>
        <w:t xml:space="preserve">عليه </w:t>
      </w:r>
      <w:r>
        <w:rPr>
          <w:rStyle w:val="FootnoteAnchor"/>
          <w:rtl w:val="true"/>
        </w:rPr>
        <w:footnoteReference w:id="2836"/>
      </w:r>
      <w:r>
        <w:rPr>
          <w:rFonts w:ascii="Amiri" w:hAnsi="Amiri" w:eastAsia="Amiri" w:cs="Amiri"/>
          <w:color w:val="111111"/>
          <w:sz w:val="28"/>
          <w:sz w:val="28"/>
          <w:szCs w:val="28"/>
          <w:rtl w:val="true"/>
          <w:lang w:bidi="ar-SA"/>
        </w:rPr>
        <w:t>الاحتياط</w:t>
      </w:r>
      <w:r>
        <w:rPr>
          <w:rStyle w:val="FootnoteAnchor"/>
          <w:rtl w:val="true"/>
        </w:rPr>
        <w:footnoteReference w:id="2837"/>
      </w:r>
      <w:r>
        <w:rPr>
          <w:rFonts w:ascii="Amiri" w:hAnsi="Amiri" w:eastAsia="Amiri" w:cs="Amiri"/>
          <w:color w:val="111111"/>
          <w:sz w:val="28"/>
          <w:sz w:val="28"/>
          <w:szCs w:val="28"/>
          <w:rtl w:val="true"/>
          <w:lang w:bidi="ar-SA"/>
        </w:rPr>
        <w:t>، بل يأخذ بأحد العدلين تخييراً، وخبر معلوم الفسق لا عمل عليه، وإن ظن به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2838"/>
      </w:r>
      <w:r>
        <w:rPr>
          <w:rFonts w:ascii="Amiri" w:hAnsi="Amiri" w:eastAsia="Amiri" w:cs="Amiri"/>
          <w:color w:val="111111"/>
          <w:sz w:val="28"/>
          <w:sz w:val="28"/>
          <w:szCs w:val="28"/>
          <w:rtl w:val="true"/>
          <w:lang w:bidi="ar-SA"/>
        </w:rPr>
        <w:t>لو لم يتمكن من غيره، أو كان فيه عسر ، ففي العمل بقوله وقول المستور وجه قوي، سيما في رجوع الزوّجات إلى أزواجهنّ في نقل الفتاوى للزوم الفساد في إرخاء عنانهن</w:t>
      </w:r>
      <w:r>
        <w:rPr>
          <w:rFonts w:eastAsia="Amiri" w:cs="Amiri" w:ascii="Amiri" w:hAnsi="Amiri"/>
          <w:color w:val="111111"/>
          <w:sz w:val="28"/>
          <w:szCs w:val="28"/>
          <w:rtl w:val="true"/>
          <w:lang w:bidi="ar-SA"/>
        </w:rPr>
        <w:t xml:space="preserve">. </w:t>
      </w:r>
      <w:bookmarkStart w:id="856" w:name="pg9015_97902"/>
    </w:p>
    <w:p>
      <w:pPr>
        <w:pStyle w:val="Heading2"/>
        <w:numPr>
          <w:ilvl w:val="1"/>
          <w:numId w:val="1"/>
        </w:numPr>
        <w:rPr/>
      </w:pPr>
      <w:bookmarkStart w:id="857" w:name="__RefHeading___Toc2001947_2870459653"/>
      <w:bookmarkStart w:id="858" w:name="_Toc323"/>
      <w:bookmarkEnd w:id="856"/>
      <w:bookmarkEnd w:id="857"/>
      <w:r>
        <w:rPr>
          <w:rtl w:val="true"/>
        </w:rPr>
        <w:t xml:space="preserve">أصل </w:t>
      </w:r>
      <w:r>
        <w:rPr>
          <w:rtl w:val="true"/>
        </w:rPr>
        <w:t>[</w:t>
      </w:r>
      <w:r>
        <w:rPr>
          <w:rtl w:val="true"/>
        </w:rPr>
        <w:t>في تقليد الميت</w:t>
      </w:r>
      <w:r>
        <w:rPr>
          <w:rtl w:val="true"/>
        </w:rPr>
        <w:t>]</w:t>
      </w:r>
      <w:bookmarkEnd w:id="858"/>
    </w:p>
    <w:p>
      <w:pPr>
        <w:pStyle w:val="BookText"/>
        <w:rPr/>
      </w:pPr>
      <w:r>
        <w:rPr>
          <w:rFonts w:ascii="Amiri" w:hAnsi="Amiri" w:eastAsia="Amiri" w:cs="Amiri"/>
          <w:color w:val="111111"/>
          <w:sz w:val="28"/>
          <w:sz w:val="28"/>
          <w:szCs w:val="28"/>
          <w:rtl w:val="true"/>
          <w:lang w:bidi="ar-SA"/>
        </w:rPr>
        <w:t>إذا وجد قبل تقليده مجتهدين حياً وميتاً، وكان ظنه مع الحي، لم يجز له</w:t>
      </w:r>
      <w:r>
        <w:rPr>
          <w:rStyle w:val="FootnoteAnchor"/>
          <w:rtl w:val="true"/>
        </w:rPr>
        <w:footnoteReference w:id="2839"/>
      </w:r>
      <w:r>
        <w:rPr>
          <w:rFonts w:ascii="Amiri" w:hAnsi="Amiri" w:eastAsia="Amiri" w:cs="Amiri"/>
          <w:color w:val="111111"/>
          <w:sz w:val="28"/>
          <w:sz w:val="28"/>
          <w:szCs w:val="28"/>
          <w:rtl w:val="true"/>
          <w:lang w:bidi="ar-SA"/>
        </w:rPr>
        <w:t>تقليد الميت للاشتغال، ولأن التخيير مستلزم للتسوية بين الراجح والمرجوح ؛ إذ الشهرة</w:t>
      </w:r>
      <w:r>
        <w:rPr>
          <w:rStyle w:val="FootnoteAnchor"/>
          <w:rtl w:val="true"/>
        </w:rPr>
        <w:footnoteReference w:id="2840"/>
      </w:r>
      <w:r>
        <w:rPr>
          <w:rFonts w:ascii="IRNazanin" w:hAnsi="IRNazanin" w:eastAsia="IRNazanin"/>
          <w:color w:val="111111"/>
          <w:sz w:val="28"/>
          <w:sz w:val="28"/>
          <w:szCs w:val="28"/>
          <w:rtl w:val="true"/>
          <w:lang w:bidi="fa-IR"/>
        </w:rPr>
        <w:t>ومنقول الإجماع</w:t>
      </w:r>
      <w:r>
        <w:rPr>
          <w:rStyle w:val="FootnoteAnchor"/>
          <w:rtl w:val="true"/>
        </w:rPr>
        <w:footnoteReference w:id="2841"/>
      </w:r>
      <w:r>
        <w:rPr>
          <w:rFonts w:ascii="Amiri" w:hAnsi="Amiri" w:eastAsia="Amiri" w:cs="Amiri"/>
          <w:color w:val="111111"/>
          <w:sz w:val="28"/>
          <w:sz w:val="28"/>
          <w:szCs w:val="28"/>
          <w:rtl w:val="true"/>
          <w:lang w:bidi="ar-SA"/>
        </w:rPr>
        <w:t>مع الحيّ</w:t>
      </w:r>
      <w:r>
        <w:rPr>
          <w:rStyle w:val="FootnoteAnchor"/>
          <w:rtl w:val="true"/>
        </w:rPr>
        <w:footnoteReference w:id="2842"/>
      </w:r>
      <w:r>
        <w:rPr>
          <w:rFonts w:ascii="Amiri" w:hAnsi="Amiri" w:eastAsia="Amiri" w:cs="Amiri"/>
          <w:color w:val="111111"/>
          <w:sz w:val="28"/>
          <w:sz w:val="28"/>
          <w:szCs w:val="28"/>
          <w:rtl w:val="true"/>
          <w:lang w:bidi="ar-SA"/>
        </w:rPr>
        <w:t>، فالظن في جانبه نوعاً</w:t>
      </w:r>
      <w:r>
        <w:rPr>
          <w:rStyle w:val="FootnoteAnchor"/>
          <w:rtl w:val="true"/>
        </w:rPr>
        <w:footnoteReference w:id="2843"/>
      </w:r>
      <w:r>
        <w:rPr>
          <w:rFonts w:ascii="Amiri" w:hAnsi="Amiri" w:eastAsia="Amiri" w:cs="Amiri"/>
          <w:color w:val="111111"/>
          <w:sz w:val="28"/>
          <w:sz w:val="28"/>
          <w:szCs w:val="28"/>
          <w:rtl w:val="true"/>
          <w:lang w:bidi="ar-SA"/>
        </w:rPr>
        <w:t>وشخصاً بالفرض، فهو راجح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w:t>
      </w:r>
      <w:r>
        <w:rPr>
          <w:rStyle w:val="FootnoteAnchor"/>
          <w:rtl w:val="true"/>
        </w:rPr>
        <w:footnoteReference w:id="2844"/>
      </w:r>
      <w:r>
        <w:rPr>
          <w:rFonts w:ascii="Amiri" w:hAnsi="Amiri" w:eastAsia="Amiri" w:cs="Amiri"/>
          <w:color w:val="111111"/>
          <w:sz w:val="28"/>
          <w:sz w:val="28"/>
          <w:szCs w:val="28"/>
          <w:rtl w:val="true"/>
          <w:lang w:bidi="ar-SA"/>
        </w:rPr>
        <w:t>إذا فقد الظن في الطرفين؛ للاشتغال، ورجحان النوع</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الظن مع قول الميت تعارض الظن</w:t>
      </w:r>
      <w:r>
        <w:rPr>
          <w:rStyle w:val="FootnoteAnchor"/>
          <w:rtl w:val="true"/>
        </w:rPr>
        <w:footnoteReference w:id="2845"/>
      </w:r>
      <w:r>
        <w:rPr>
          <w:rFonts w:ascii="Amiri" w:hAnsi="Amiri" w:eastAsia="Amiri" w:cs="Amiri"/>
          <w:color w:val="111111"/>
          <w:sz w:val="28"/>
          <w:sz w:val="28"/>
          <w:szCs w:val="28"/>
          <w:rtl w:val="true"/>
          <w:lang w:bidi="ar-SA"/>
        </w:rPr>
        <w:t>الشخصي والنوعي، ودار الأمر بين المحذورين لفقد القدر المتيقن في البين، سيما إذا جعلنا مناط التقليد هو الوصف</w:t>
      </w:r>
      <w:r>
        <w:rPr>
          <w:rStyle w:val="FootnoteAnchor"/>
          <w:rtl w:val="true"/>
        </w:rPr>
        <w:footnoteReference w:id="2846"/>
      </w:r>
      <w:r>
        <w:rPr>
          <w:rFonts w:ascii="IRNazanin" w:hAnsi="IRNazanin" w:eastAsia="IRNazanin"/>
          <w:color w:val="111111"/>
          <w:sz w:val="28"/>
          <w:sz w:val="28"/>
          <w:szCs w:val="28"/>
          <w:rtl w:val="true"/>
          <w:lang w:bidi="fa-IR"/>
        </w:rPr>
        <w:t>، ونحن لما رجحنا الظن</w:t>
      </w:r>
      <w:r>
        <w:rPr>
          <w:rStyle w:val="FootnoteAnchor"/>
          <w:rtl w:val="true"/>
        </w:rPr>
        <w:footnoteReference w:id="2847"/>
      </w:r>
      <w:r>
        <w:rPr>
          <w:rFonts w:ascii="Amiri" w:hAnsi="Amiri" w:eastAsia="Amiri" w:cs="Amiri"/>
          <w:color w:val="111111"/>
          <w:sz w:val="28"/>
          <w:sz w:val="28"/>
          <w:szCs w:val="28"/>
          <w:rtl w:val="true"/>
          <w:lang w:bidi="ar-SA"/>
        </w:rPr>
        <w:t xml:space="preserve">الشخصي </w:t>
      </w:r>
      <w:r>
        <w:rPr>
          <w:rStyle w:val="FootnoteAnchor"/>
          <w:rtl w:val="true"/>
        </w:rPr>
        <w:footnoteReference w:id="2848"/>
      </w:r>
      <w:r>
        <w:rPr>
          <w:rFonts w:ascii="Amiri" w:hAnsi="Amiri" w:eastAsia="Amiri" w:cs="Amiri"/>
          <w:color w:val="111111"/>
          <w:sz w:val="28"/>
          <w:sz w:val="28"/>
          <w:szCs w:val="28"/>
          <w:rtl w:val="true"/>
          <w:lang w:bidi="ar-SA"/>
        </w:rPr>
        <w:t xml:space="preserve">في بابه، فلازمه تعين تقليد الميت في الفرض المذكور، مضافاً إلى استصحاب جواز تقليده وصحته فيما إذا كان حيا قبل تقليده فمات بعد إرادة المقلد تقليده، ولازمه جواز تقليده في جميع الأقسام المفروضة، ويتم الأمر فيما عدا هذه الصورة بالإجماع المركب ولا يعارضه الإجماع المقلوب بضمّ </w:t>
      </w:r>
    </w:p>
    <w:p>
      <w:pPr>
        <w:pStyle w:val="BookText"/>
        <w:rPr/>
      </w:pPr>
      <w:r>
        <w:rPr>
          <w:rFonts w:ascii="Amiri" w:hAnsi="Amiri" w:eastAsia="Amiri" w:cs="Amiri"/>
          <w:color w:val="111111"/>
          <w:sz w:val="28"/>
          <w:sz w:val="28"/>
          <w:szCs w:val="28"/>
          <w:rtl w:val="true"/>
          <w:lang w:bidi="ar-SA"/>
        </w:rPr>
        <w:t>الاشتغال، وإلى بناء العقلاء، حيث لا يفرقون في أهل الخبرة بين الحي والميت، كما تراهم يراجعون كتب الأطباء السّلف، وأمّا الشهرة والإجماعات فلا تورثان الوصف هنا بعد ملاحظة أدلتهم الواهية، والاعتبار العقلي الحاكم بعدم</w:t>
      </w:r>
      <w:r>
        <w:rPr>
          <w:rStyle w:val="FootnoteAnchor"/>
          <w:rtl w:val="true"/>
        </w:rPr>
        <w:footnoteReference w:id="2849"/>
      </w:r>
      <w:r>
        <w:rPr>
          <w:rFonts w:ascii="Amiri" w:hAnsi="Amiri" w:eastAsia="Amiri" w:cs="Amiri"/>
          <w:color w:val="111111"/>
          <w:sz w:val="28"/>
          <w:sz w:val="28"/>
          <w:szCs w:val="28"/>
          <w:rtl w:val="true"/>
          <w:lang w:bidi="ar-SA"/>
        </w:rPr>
        <w:t>مدخلية الحياة والممات هنا</w:t>
      </w:r>
      <w:r>
        <w:rPr>
          <w:rStyle w:val="FootnoteAnchor"/>
          <w:rtl w:val="true"/>
        </w:rPr>
        <w:footnoteReference w:id="2850"/>
      </w:r>
      <w:r>
        <w:rPr>
          <w:rFonts w:ascii="Amiri" w:hAnsi="Amiri" w:eastAsia="Amiri" w:cs="Amiri"/>
          <w:color w:val="111111"/>
          <w:sz w:val="28"/>
          <w:sz w:val="28"/>
          <w:szCs w:val="28"/>
          <w:rtl w:val="true"/>
          <w:lang w:bidi="ar-SA"/>
        </w:rPr>
        <w:t>، سيما إذا كان الميت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 أن الاستصحاب لا يجري؛ لأنه بعد موت المجتهد ينتشر ذهنه الذي هو محل اعتقاداته ويصير تراباً، فتذهب اعتقاداته</w:t>
      </w:r>
      <w:r>
        <w:rPr>
          <w:rStyle w:val="FootnoteAnchor"/>
          <w:rtl w:val="true"/>
        </w:rPr>
        <w:footnoteReference w:id="2851"/>
      </w:r>
      <w:r>
        <w:rPr>
          <w:rFonts w:ascii="Amiri" w:hAnsi="Amiri" w:eastAsia="Amiri" w:cs="Amiri"/>
          <w:color w:val="111111"/>
          <w:sz w:val="28"/>
          <w:sz w:val="28"/>
          <w:szCs w:val="28"/>
          <w:rtl w:val="true"/>
          <w:lang w:bidi="ar-SA"/>
        </w:rPr>
        <w:t>، أو انه يرتفع ظنه وينكشف له الأشياء فلا يبقى له ظن حتى يقلد ، بل ربما يعتقد بعد موته بخلاف ما أفتى به، فيصير كما لو علم في حياته بتبدل رأيه</w:t>
      </w:r>
      <w:r>
        <w:rPr>
          <w:rStyle w:val="FootnoteAnchor"/>
          <w:rtl w:val="true"/>
        </w:rPr>
        <w:footnoteReference w:id="2852"/>
      </w:r>
      <w:r>
        <w:rPr>
          <w:rFonts w:ascii="Amiri" w:hAnsi="Amiri" w:eastAsia="Amiri" w:cs="Amiri"/>
          <w:color w:val="111111"/>
          <w:sz w:val="28"/>
          <w:sz w:val="28"/>
          <w:szCs w:val="28"/>
          <w:rtl w:val="true"/>
          <w:lang w:bidi="ar-SA"/>
        </w:rPr>
        <w:t>، أو أن الاستصحاب معارض بأصل الشغل، المعتضد بالشهرة، ومنقول الإجماع، وبآية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ففاسد، كما يظهر بتأمل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الجواز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البقاء على تقليد الميت، فالأصح جوازه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لزومه؛ للاستصحاب</w:t>
      </w:r>
      <w:r>
        <w:rPr>
          <w:rFonts w:eastAsia="Amiri" w:cs="Amiri" w:ascii="Amiri" w:hAnsi="Amiri"/>
          <w:color w:val="111111"/>
          <w:sz w:val="28"/>
          <w:szCs w:val="28"/>
          <w:rtl w:val="true"/>
          <w:lang w:bidi="ar-SA"/>
        </w:rPr>
        <w:t>)</w:t>
      </w:r>
      <w:r>
        <w:rPr>
          <w:rStyle w:val="FootnoteAnchor"/>
          <w:rtl w:val="true"/>
        </w:rPr>
        <w:footnoteReference w:id="2853"/>
      </w:r>
      <w:r>
        <w:rPr>
          <w:rFonts w:ascii="Amiri" w:hAnsi="Amiri" w:eastAsia="Amiri" w:cs="Amiri"/>
          <w:color w:val="111111"/>
          <w:sz w:val="28"/>
          <w:sz w:val="28"/>
          <w:szCs w:val="28"/>
          <w:rtl w:val="true"/>
          <w:lang w:bidi="ar-SA"/>
        </w:rPr>
        <w:t>في هذه المسألة، وفي المسألة الفرعية، وفي شمول الشهرة، والإجماع المحكي على عدم</w:t>
      </w:r>
      <w:r>
        <w:rPr>
          <w:rStyle w:val="FootnoteAnchor"/>
          <w:rtl w:val="true"/>
        </w:rPr>
        <w:footnoteReference w:id="2854"/>
      </w:r>
      <w:r>
        <w:rPr>
          <w:rFonts w:ascii="Amiri" w:hAnsi="Amiri" w:eastAsia="Amiri" w:cs="Amiri"/>
          <w:color w:val="111111"/>
          <w:sz w:val="28"/>
          <w:sz w:val="28"/>
          <w:szCs w:val="28"/>
          <w:rtl w:val="true"/>
          <w:lang w:bidi="ar-SA"/>
        </w:rPr>
        <w:t>جواز تقليد الميت لصورة الاستمرار، وجهان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فرضه، ففيهما ما مرَّ في الابتداء، فبطل من ذلك لزوم الرجوع</w:t>
      </w:r>
      <w:r>
        <w:rPr>
          <w:rStyle w:val="FootnoteAnchor"/>
          <w:rtl w:val="true"/>
        </w:rPr>
        <w:footnoteReference w:id="2855"/>
      </w:r>
      <w:r>
        <w:rPr>
          <w:rFonts w:ascii="Amiri" w:hAnsi="Amiri" w:eastAsia="Amiri" w:cs="Amiri"/>
          <w:color w:val="111111"/>
          <w:sz w:val="28"/>
          <w:sz w:val="28"/>
          <w:szCs w:val="28"/>
          <w:rtl w:val="true"/>
          <w:lang w:bidi="ar-SA"/>
        </w:rPr>
        <w:t xml:space="preserve">، إلّا إذا </w:t>
      </w:r>
      <w:bookmarkStart w:id="859" w:name="pg9015_97906"/>
    </w:p>
    <w:p>
      <w:pPr>
        <w:pStyle w:val="BookText"/>
        <w:rPr/>
      </w:pPr>
      <w:bookmarkEnd w:id="859"/>
      <w:r>
        <w:rPr>
          <w:rFonts w:ascii="Amiri" w:hAnsi="Amiri" w:eastAsia="Amiri" w:cs="Amiri"/>
          <w:color w:val="111111"/>
          <w:sz w:val="28"/>
          <w:sz w:val="28"/>
          <w:szCs w:val="28"/>
          <w:rtl w:val="true"/>
          <w:lang w:bidi="ar-SA"/>
        </w:rPr>
        <w:t>كان الميت أعلم فيجب البقاء، أو يتخير، ولزوم البقاء إن كان الميت أعلم، وإن كان الحي أعلم لزم الرجوع، وإن تساويا فالخيار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فسق المجتهد لم يجز تقليده بدواً ولا استمراراً إجماعاً</w:t>
      </w:r>
      <w:r>
        <w:rPr>
          <w:rStyle w:val="FootnoteAnchor"/>
          <w:rtl w:val="true"/>
        </w:rPr>
        <w:footnoteReference w:id="2856"/>
      </w:r>
      <w:r>
        <w:rPr>
          <w:rFonts w:ascii="Amiri" w:hAnsi="Amiri" w:eastAsia="Amiri" w:cs="Amiri"/>
          <w:color w:val="111111"/>
          <w:sz w:val="28"/>
          <w:sz w:val="28"/>
          <w:szCs w:val="28"/>
          <w:rtl w:val="true"/>
          <w:lang w:bidi="ar-SA"/>
        </w:rPr>
        <w:t>، وكذا لو صار لبعد عهده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عرضه الجنون مع بقاء الملكة بحيث متى زال جنونه فهو واجد للملكة، ففيه إشكال</w:t>
      </w:r>
      <w:r>
        <w:rPr>
          <w:rFonts w:eastAsia="Amiri" w:cs="Amiri" w:ascii="Amiri" w:hAnsi="Amiri"/>
          <w:color w:val="111111"/>
          <w:sz w:val="28"/>
          <w:szCs w:val="28"/>
          <w:rtl w:val="true"/>
          <w:lang w:bidi="ar-SA"/>
        </w:rPr>
        <w:t>.</w:t>
      </w:r>
      <w:r>
        <w:rPr>
          <w:rStyle w:val="FootnoteAnchor"/>
          <w:rtl w:val="true"/>
        </w:rPr>
        <w:footnoteReference w:id="2857"/>
      </w:r>
    </w:p>
    <w:p>
      <w:pPr>
        <w:pStyle w:val="BookText"/>
        <w:rPr/>
      </w:pPr>
      <w:r>
        <w:rPr>
          <w:rFonts w:ascii="Amiri" w:hAnsi="Amiri" w:eastAsia="Amiri" w:cs="Amiri"/>
          <w:color w:val="111111"/>
          <w:sz w:val="28"/>
          <w:sz w:val="28"/>
          <w:szCs w:val="28"/>
          <w:rtl w:val="true"/>
          <w:lang w:bidi="ar-SA"/>
        </w:rPr>
        <w:t>ولو نصب قيماً ثم مات بقيت القيمومة؛ للاستصحاب، وكذا لو تصرف تصرفاً استمر أثره إلى ما</w:t>
      </w:r>
      <w:r>
        <w:rPr>
          <w:rStyle w:val="FootnoteAnchor"/>
          <w:rtl w:val="true"/>
        </w:rPr>
        <w:footnoteReference w:id="2858"/>
      </w:r>
      <w:r>
        <w:rPr>
          <w:rFonts w:ascii="Amiri" w:hAnsi="Amiri" w:eastAsia="Amiri" w:cs="Amiri"/>
          <w:color w:val="111111"/>
          <w:sz w:val="28"/>
          <w:sz w:val="28"/>
          <w:szCs w:val="28"/>
          <w:rtl w:val="true"/>
          <w:lang w:bidi="ar-SA"/>
        </w:rPr>
        <w:t>بعد موته ، كما لو آجر وقفاً ونحوه ثم مات</w:t>
      </w:r>
      <w:r>
        <w:rPr>
          <w:rFonts w:eastAsia="Amiri" w:cs="Amiri" w:ascii="Amiri" w:hAnsi="Amiri"/>
          <w:color w:val="111111"/>
          <w:sz w:val="28"/>
          <w:szCs w:val="28"/>
          <w:rtl w:val="true"/>
          <w:lang w:bidi="ar-SA"/>
        </w:rPr>
        <w:t>.</w:t>
      </w:r>
    </w:p>
    <w:p>
      <w:pPr>
        <w:pStyle w:val="Heading2"/>
        <w:numPr>
          <w:ilvl w:val="1"/>
          <w:numId w:val="1"/>
        </w:numPr>
        <w:rPr/>
      </w:pPr>
      <w:bookmarkStart w:id="860" w:name="__RefHeading___Toc2001949_2870459653"/>
      <w:bookmarkStart w:id="861" w:name="_Toc324"/>
      <w:bookmarkEnd w:id="860"/>
      <w:r>
        <w:rPr>
          <w:rtl w:val="true"/>
        </w:rPr>
        <w:t xml:space="preserve">أصل </w:t>
      </w:r>
      <w:r>
        <w:rPr>
          <w:rtl w:val="true"/>
        </w:rPr>
        <w:t>[</w:t>
      </w:r>
      <w:r>
        <w:rPr>
          <w:rtl w:val="true"/>
        </w:rPr>
        <w:t xml:space="preserve">في تحصيل العلم باجتهاد مجتهده </w:t>
      </w:r>
      <w:r>
        <w:rPr>
          <w:rtl w:val="true"/>
        </w:rPr>
        <w:t>]</w:t>
      </w:r>
      <w:bookmarkEnd w:id="861"/>
    </w:p>
    <w:p>
      <w:pPr>
        <w:pStyle w:val="BookText"/>
        <w:rPr/>
      </w:pPr>
      <w:r>
        <w:rPr>
          <w:rFonts w:ascii="Amiri" w:hAnsi="Amiri" w:eastAsia="Amiri" w:cs="Amiri"/>
          <w:color w:val="111111"/>
          <w:sz w:val="28"/>
          <w:sz w:val="28"/>
          <w:szCs w:val="28"/>
          <w:rtl w:val="true"/>
          <w:lang w:bidi="ar-SA"/>
        </w:rPr>
        <w:t>على المقلّد تحصيل العلم بالمجتهد، فلا يكفي الظن باجتهاده</w:t>
      </w:r>
      <w:r>
        <w:rPr>
          <w:rStyle w:val="FootnoteAnchor"/>
          <w:rtl w:val="true"/>
        </w:rPr>
        <w:footnoteReference w:id="2859"/>
      </w:r>
      <w:r>
        <w:rPr>
          <w:rFonts w:ascii="IRNazanin" w:hAnsi="IRNazanin" w:eastAsia="IRNazanin"/>
          <w:color w:val="111111"/>
          <w:sz w:val="28"/>
          <w:sz w:val="28"/>
          <w:szCs w:val="28"/>
          <w:rtl w:val="true"/>
          <w:lang w:bidi="fa-IR"/>
        </w:rPr>
        <w:t>للشغل، والاستصحاب</w:t>
      </w:r>
      <w:r>
        <w:rPr>
          <w:rStyle w:val="FootnoteAnchor"/>
          <w:rtl w:val="true"/>
        </w:rPr>
        <w:footnoteReference w:id="2860"/>
      </w:r>
      <w:r>
        <w:rPr>
          <w:rFonts w:ascii="Amiri" w:hAnsi="Amiri" w:eastAsia="Amiri" w:cs="Amiri"/>
          <w:color w:val="111111"/>
          <w:sz w:val="28"/>
          <w:sz w:val="28"/>
          <w:szCs w:val="28"/>
          <w:rtl w:val="true"/>
          <w:lang w:bidi="ar-SA"/>
        </w:rPr>
        <w:t>وآيات النهي عن الظن إلّا أن يدعى أن تحصيل العلم غير ممكن غالباً لأغلب الناس وأهل البلدان؛ لندور تكاثر أخبار أهل الخبرة بحيث يحصل العلم لكل الناس، فلا بد من كفاية الظن ؛ إذ وجوب الاحتياط خلاف الإجماع</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جوزنا تقليد الميت ابتداء فوجود المجتهد الذي اجتهاده معلوم ضرورة حاصل، فلا عسر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جريانه في المرافعات والمسائل المستحدثة، وسائر تصرفات الحاكم، ولم نجد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فرض كفاية </w:t>
      </w:r>
      <w:r>
        <w:rPr>
          <w:rStyle w:val="FootnoteAnchor"/>
          <w:rtl w:val="true"/>
        </w:rPr>
        <w:footnoteReference w:id="2861"/>
      </w:r>
      <w:r>
        <w:rPr>
          <w:rFonts w:ascii="Amiri" w:hAnsi="Amiri" w:eastAsia="Amiri" w:cs="Amiri"/>
          <w:color w:val="111111"/>
          <w:sz w:val="28"/>
          <w:sz w:val="28"/>
          <w:szCs w:val="28"/>
          <w:rtl w:val="true"/>
          <w:lang w:bidi="ar-SA"/>
        </w:rPr>
        <w:t>الظن، ففي جواز الاكتفاء بكل ظن، أم له ظن مخصوص، وجهان</w:t>
      </w:r>
      <w:r>
        <w:rPr>
          <w:rFonts w:eastAsia="Amiri" w:cs="Amiri" w:ascii="Amiri" w:hAnsi="Amiri"/>
          <w:color w:val="111111"/>
          <w:sz w:val="28"/>
          <w:szCs w:val="28"/>
          <w:rtl w:val="true"/>
          <w:lang w:bidi="ar-SA"/>
        </w:rPr>
        <w:t>.</w:t>
      </w:r>
      <w:r>
        <w:rPr>
          <w:rStyle w:val="FootnoteAnchor"/>
          <w:rtl w:val="true"/>
        </w:rPr>
        <w:footnoteReference w:id="2862"/>
      </w:r>
    </w:p>
    <w:p>
      <w:pPr>
        <w:pStyle w:val="BookText"/>
        <w:rPr/>
      </w:pPr>
      <w:r>
        <w:rPr>
          <w:rFonts w:ascii="Amiri" w:hAnsi="Amiri" w:eastAsia="Amiri" w:cs="Amiri"/>
          <w:color w:val="111111"/>
          <w:sz w:val="28"/>
          <w:sz w:val="28"/>
          <w:szCs w:val="28"/>
          <w:rtl w:val="true"/>
          <w:lang w:bidi="ar-SA"/>
        </w:rPr>
        <w:t>وإذا تمكن من الحي المعلوم اجتهاده، لم يقلد مظنونه؛ لعدم الدليل، وشهادة العدلين في ثبوت الاجتهاد حجة إما مطلقاً</w:t>
      </w:r>
      <w:r>
        <w:rPr>
          <w:rStyle w:val="FootnoteAnchor"/>
          <w:rtl w:val="true"/>
        </w:rPr>
        <w:footnoteReference w:id="2863"/>
      </w:r>
      <w:r>
        <w:rPr>
          <w:rFonts w:ascii="IRNazanin" w:hAnsi="IRNazanin" w:eastAsia="IRNazanin"/>
          <w:color w:val="111111"/>
          <w:sz w:val="28"/>
          <w:sz w:val="28"/>
          <w:szCs w:val="28"/>
          <w:rtl w:val="true"/>
          <w:lang w:bidi="fa-IR"/>
        </w:rPr>
        <w:t xml:space="preserve">، أو </w:t>
      </w:r>
      <w:r>
        <w:rPr>
          <w:rStyle w:val="FootnoteAnchor"/>
          <w:rtl w:val="true"/>
        </w:rPr>
        <w:footnoteReference w:id="2864"/>
      </w:r>
      <w:r>
        <w:rPr>
          <w:rFonts w:ascii="IRNazanin" w:hAnsi="IRNazanin" w:eastAsia="IRNazanin"/>
          <w:color w:val="111111"/>
          <w:sz w:val="28"/>
          <w:sz w:val="28"/>
          <w:szCs w:val="28"/>
          <w:rtl w:val="true"/>
          <w:lang w:bidi="fa-IR"/>
        </w:rPr>
        <w:t>إذا حصل الظن</w:t>
      </w:r>
      <w:r>
        <w:rPr>
          <w:rFonts w:eastAsia="IRNazanin" w:cs="IRNazanin"/>
          <w:color w:val="111111"/>
          <w:sz w:val="28"/>
          <w:szCs w:val="28"/>
          <w:rtl w:val="true"/>
          <w:lang w:bidi="fa-IR"/>
        </w:rPr>
        <w:t>.</w:t>
      </w:r>
      <w:r>
        <w:rPr>
          <w:rStyle w:val="FootnoteAnchor"/>
          <w:rtl w:val="true"/>
        </w:rPr>
        <w:footnoteReference w:id="2865"/>
      </w:r>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في كون مسائل التقليد تقليدية أم اجتهادية لكل أحد</w:t>
      </w:r>
      <w:r>
        <w:rPr>
          <w:rStyle w:val="FootnoteAnchor"/>
          <w:rtl w:val="true"/>
        </w:rPr>
        <w:footnoteReference w:id="2866"/>
      </w:r>
      <w:r>
        <w:rPr>
          <w:rFonts w:ascii="Amiri" w:hAnsi="Amiri" w:eastAsia="Amiri" w:cs="Amiri"/>
          <w:color w:val="111111"/>
          <w:sz w:val="28"/>
          <w:sz w:val="28"/>
          <w:szCs w:val="28"/>
          <w:rtl w:val="true"/>
          <w:lang w:bidi="ar-SA"/>
        </w:rPr>
        <w:t>عيناً، وجهان</w:t>
      </w:r>
      <w:r>
        <w:rPr>
          <w:rFonts w:eastAsia="Amiri" w:cs="Amiri" w:ascii="Amiri" w:hAnsi="Amiri"/>
          <w:color w:val="111111"/>
          <w:sz w:val="28"/>
          <w:szCs w:val="28"/>
          <w:rtl w:val="true"/>
          <w:lang w:bidi="ar-SA"/>
        </w:rPr>
        <w:t>.</w:t>
      </w:r>
      <w:r>
        <w:rPr>
          <w:rStyle w:val="FootnoteAnchor"/>
          <w:rtl w:val="true"/>
        </w:rPr>
        <w:footnoteReference w:id="2867"/>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والأوجه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المقلد إما قادر على الاجتهاد فيها، كبعض</w:t>
      </w:r>
      <w:r>
        <w:rPr>
          <w:rStyle w:val="FootnoteAnchor"/>
          <w:rtl w:val="true"/>
        </w:rPr>
        <w:footnoteReference w:id="2868"/>
      </w:r>
      <w:r>
        <w:rPr>
          <w:rFonts w:ascii="Amiri" w:hAnsi="Amiri" w:eastAsia="Amiri" w:cs="Amiri"/>
          <w:color w:val="111111"/>
          <w:sz w:val="28"/>
          <w:sz w:val="28"/>
          <w:szCs w:val="28"/>
          <w:rtl w:val="true"/>
          <w:lang w:bidi="ar-SA"/>
        </w:rPr>
        <w:t>الطلبة</w:t>
      </w:r>
      <w:r>
        <w:rPr>
          <w:rStyle w:val="FootnoteAnchor"/>
          <w:rtl w:val="true"/>
        </w:rPr>
        <w:footnoteReference w:id="2869"/>
      </w:r>
      <w:r>
        <w:rPr>
          <w:rFonts w:ascii="Amiri" w:hAnsi="Amiri" w:eastAsia="Amiri" w:cs="Amiri"/>
          <w:color w:val="111111"/>
          <w:sz w:val="28"/>
          <w:sz w:val="28"/>
          <w:szCs w:val="28"/>
          <w:rtl w:val="true"/>
          <w:lang w:bidi="ar-SA"/>
        </w:rPr>
        <w:t>المستعدين، أو أدون من ذلك بمرتبة، لكنه بحيث</w:t>
      </w:r>
      <w:r>
        <w:rPr>
          <w:rStyle w:val="FootnoteAnchor"/>
          <w:rtl w:val="true"/>
        </w:rPr>
        <w:footnoteReference w:id="2870"/>
      </w:r>
      <w:r>
        <w:rPr>
          <w:rFonts w:ascii="IRNazanin" w:hAnsi="IRNazanin" w:eastAsia="IRNazanin"/>
          <w:color w:val="111111"/>
          <w:sz w:val="28"/>
          <w:sz w:val="28"/>
          <w:szCs w:val="28"/>
          <w:rtl w:val="true"/>
          <w:lang w:bidi="fa-IR"/>
        </w:rPr>
        <w:t>لو</w:t>
      </w:r>
      <w:r>
        <w:rPr>
          <w:rStyle w:val="FootnoteAnchor"/>
          <w:rtl w:val="true"/>
        </w:rPr>
        <w:footnoteReference w:id="2871"/>
      </w:r>
      <w:r>
        <w:rPr>
          <w:rFonts w:ascii="Amiri" w:hAnsi="Amiri" w:eastAsia="Amiri" w:cs="Amiri"/>
          <w:color w:val="111111"/>
          <w:sz w:val="28"/>
          <w:sz w:val="28"/>
          <w:szCs w:val="28"/>
          <w:rtl w:val="true"/>
          <w:lang w:bidi="ar-SA"/>
        </w:rPr>
        <w:t xml:space="preserve">ألقي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الطرفين ميز بين الحق والباطل بحسب قوته أو أدون من ذلك بمرتبة، لكنه لو ألقي عليه</w:t>
      </w:r>
      <w:r>
        <w:rPr>
          <w:rFonts w:eastAsia="Amiri" w:cs="Amiri" w:ascii="Amiri" w:hAnsi="Amiri"/>
          <w:color w:val="111111"/>
          <w:sz w:val="28"/>
          <w:szCs w:val="28"/>
          <w:rtl w:val="true"/>
          <w:lang w:bidi="ar-SA"/>
        </w:rPr>
        <w:t>)</w:t>
      </w:r>
      <w:r>
        <w:rPr>
          <w:rStyle w:val="FootnoteAnchor"/>
          <w:rtl w:val="true"/>
        </w:rPr>
        <w:footnoteReference w:id="2872"/>
      </w:r>
    </w:p>
    <w:p>
      <w:pPr>
        <w:pStyle w:val="BookText"/>
        <w:rPr/>
      </w:pPr>
      <w:r>
        <w:rPr>
          <w:rFonts w:ascii="Amiri" w:hAnsi="Amiri" w:eastAsia="Amiri" w:cs="Amiri"/>
          <w:color w:val="111111"/>
          <w:sz w:val="28"/>
          <w:sz w:val="28"/>
          <w:szCs w:val="28"/>
          <w:rtl w:val="true"/>
          <w:lang w:bidi="ar-SA"/>
        </w:rPr>
        <w:t>الأقوال والمجمع عليه، والمختلف فيه، والمشهور ، لقدر بعد التأمل على الأخذ بفهمه بالقدر المتيقن أو المشهور لكونه أقرب في نظره، أو أدون من ذلك أيضاً، بحيث لا يقدر إلا على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صنف مأمور بمقتضى طاقته من الدرجات المذكورة؛ لأنا إن أوجبنا الاجتهاد على جميع الأصناف، أو أوجبنا ترقي كل صنف إلى ما فوقه من المرتبة، فهو حرج واختلال، أو عيناً المرتبة الثانية، أو الثالثة للكل، فهو عسر على السافلين</w:t>
      </w:r>
      <w:r>
        <w:rPr>
          <w:rStyle w:val="FootnoteAnchor"/>
          <w:rtl w:val="true"/>
        </w:rPr>
        <w:footnoteReference w:id="2873"/>
      </w:r>
      <w:r>
        <w:rPr>
          <w:rFonts w:ascii="Amiri" w:hAnsi="Amiri" w:eastAsia="Amiri" w:cs="Amiri"/>
          <w:color w:val="111111"/>
          <w:sz w:val="28"/>
          <w:sz w:val="28"/>
          <w:szCs w:val="28"/>
          <w:rtl w:val="true"/>
          <w:lang w:bidi="ar-SA"/>
        </w:rPr>
        <w:t>، وترجيح للمرجوح بالنسبة إلى العالين، وإن جوزنا تقليد الكل فهو خلاف الإجماع، فتأمل</w:t>
      </w:r>
      <w:r>
        <w:rPr>
          <w:rFonts w:eastAsia="Amiri" w:cs="Amiri" w:ascii="Amiri" w:hAnsi="Amiri"/>
          <w:color w:val="111111"/>
          <w:sz w:val="28"/>
          <w:szCs w:val="28"/>
          <w:rtl w:val="true"/>
          <w:lang w:bidi="ar-SA"/>
        </w:rPr>
        <w:t>.</w:t>
      </w:r>
      <w:r>
        <w:rPr>
          <w:rStyle w:val="FootnoteAnchor"/>
          <w:rtl w:val="true"/>
        </w:rPr>
        <w:footnoteReference w:id="2874"/>
      </w:r>
    </w:p>
    <w:p>
      <w:pPr>
        <w:pStyle w:val="BookText"/>
        <w:rPr/>
      </w:pPr>
      <w:r>
        <w:rPr>
          <w:rFonts w:ascii="Amiri" w:hAnsi="Amiri" w:eastAsia="Amiri" w:cs="Amiri"/>
          <w:color w:val="111111"/>
          <w:sz w:val="28"/>
          <w:sz w:val="28"/>
          <w:szCs w:val="28"/>
          <w:rtl w:val="true"/>
          <w:lang w:bidi="ar-SA"/>
        </w:rPr>
        <w:t xml:space="preserve">وترجيح للمرجوح بالنسبة إلى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الصنف الأخير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والأصحّ عندي جواز تقليد</w:t>
      </w:r>
      <w:r>
        <w:rPr>
          <w:rStyle w:val="FootnoteAnchor"/>
          <w:rtl w:val="true"/>
        </w:rPr>
        <w:footnoteReference w:id="2875"/>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2876"/>
      </w:r>
      <w:r>
        <w:rPr>
          <w:rFonts w:ascii="IRNazanin" w:hAnsi="IRNazanin" w:eastAsia="IRNazanin"/>
          <w:color w:val="111111"/>
          <w:sz w:val="28"/>
          <w:sz w:val="28"/>
          <w:szCs w:val="28"/>
          <w:rtl w:val="true"/>
          <w:lang w:bidi="fa-IR"/>
        </w:rPr>
        <w:t>عدا الصنف الأول، أو</w:t>
      </w:r>
      <w:r>
        <w:rPr>
          <w:rStyle w:val="FootnoteAnchor"/>
          <w:rtl w:val="true"/>
        </w:rPr>
        <w:footnoteReference w:id="2877"/>
      </w:r>
      <w:r>
        <w:rPr>
          <w:rFonts w:ascii="Amiri" w:hAnsi="Amiri" w:eastAsia="Amiri" w:cs="Amiri"/>
          <w:color w:val="111111"/>
          <w:sz w:val="28"/>
          <w:sz w:val="28"/>
          <w:szCs w:val="28"/>
          <w:rtl w:val="true"/>
          <w:lang w:bidi="ar-SA"/>
        </w:rPr>
        <w:t>الكل</w:t>
      </w:r>
      <w:r>
        <w:rPr>
          <w:rStyle w:val="FootnoteAnchor"/>
          <w:rtl w:val="true"/>
        </w:rPr>
        <w:footnoteReference w:id="2878"/>
      </w:r>
      <w:bookmarkStart w:id="862" w:name="pg9015_97911"/>
    </w:p>
    <w:p>
      <w:pPr>
        <w:pStyle w:val="Heading2"/>
        <w:numPr>
          <w:ilvl w:val="1"/>
          <w:numId w:val="1"/>
        </w:numPr>
        <w:rPr/>
      </w:pPr>
      <w:bookmarkStart w:id="863" w:name="__RefHeading___Toc2001951_2870459653"/>
      <w:bookmarkStart w:id="864" w:name="_Toc325"/>
      <w:bookmarkEnd w:id="862"/>
      <w:bookmarkEnd w:id="863"/>
      <w:r>
        <w:rPr>
          <w:rtl w:val="true"/>
        </w:rPr>
        <w:t xml:space="preserve">أصل خاتمة </w:t>
      </w:r>
      <w:r>
        <w:rPr>
          <w:rtl w:val="true"/>
        </w:rPr>
        <w:t>[</w:t>
      </w:r>
      <w:r>
        <w:rPr>
          <w:rtl w:val="true"/>
        </w:rPr>
        <w:t>في تعارض الدليلين</w:t>
      </w:r>
      <w:r>
        <w:rPr>
          <w:rtl w:val="true"/>
        </w:rPr>
        <w:t>]</w:t>
      </w:r>
      <w:bookmarkEnd w:id="864"/>
    </w:p>
    <w:p>
      <w:pPr>
        <w:pStyle w:val="BookText"/>
        <w:rPr/>
      </w:pPr>
      <w:r>
        <w:rPr>
          <w:rFonts w:ascii="Amiri" w:hAnsi="Amiri" w:eastAsia="Amiri" w:cs="Amiri"/>
          <w:color w:val="111111"/>
          <w:sz w:val="28"/>
          <w:sz w:val="28"/>
          <w:szCs w:val="28"/>
          <w:rtl w:val="true"/>
          <w:lang w:bidi="ar-SA"/>
        </w:rPr>
        <w:t>تعارض الدليلين تنافيها</w:t>
      </w:r>
      <w:r>
        <w:rPr>
          <w:rStyle w:val="FootnoteAnchor"/>
          <w:rtl w:val="true"/>
        </w:rPr>
        <w:footnoteReference w:id="2879"/>
      </w:r>
      <w:r>
        <w:rPr>
          <w:rFonts w:ascii="Amiri" w:hAnsi="Amiri" w:eastAsia="Amiri" w:cs="Amiri"/>
          <w:color w:val="111111"/>
          <w:sz w:val="28"/>
          <w:sz w:val="28"/>
          <w:szCs w:val="28"/>
          <w:rtl w:val="true"/>
          <w:lang w:bidi="ar-SA"/>
        </w:rPr>
        <w:t xml:space="preserve">مدلولاً </w:t>
      </w:r>
      <w:r>
        <w:rPr>
          <w:rStyle w:val="FootnoteAnchor"/>
          <w:rtl w:val="true"/>
        </w:rPr>
        <w:footnoteReference w:id="2880"/>
      </w:r>
      <w:r>
        <w:rPr>
          <w:rFonts w:ascii="Amiri" w:hAnsi="Amiri" w:eastAsia="Amiri" w:cs="Amiri"/>
          <w:color w:val="111111"/>
          <w:sz w:val="28"/>
          <w:sz w:val="28"/>
          <w:szCs w:val="28"/>
          <w:rtl w:val="true"/>
          <w:lang w:bidi="ar-SA"/>
        </w:rPr>
        <w:t>، وهو يتحقق في المتضادين، والمتناقضين، والعامين من وجه والمطلقين</w:t>
      </w:r>
      <w:r>
        <w:rPr>
          <w:rFonts w:eastAsia="Amiri" w:cs="Amiri" w:ascii="Amiri" w:hAnsi="Amiri"/>
          <w:color w:val="111111"/>
          <w:sz w:val="28"/>
          <w:szCs w:val="28"/>
          <w:rtl w:val="true"/>
          <w:lang w:bidi="ar-SA"/>
        </w:rPr>
        <w:t>.</w:t>
      </w:r>
      <w:r>
        <w:rPr>
          <w:rStyle w:val="FootnoteAnchor"/>
          <w:rtl w:val="true"/>
        </w:rPr>
        <w:footnoteReference w:id="2881"/>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2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التعارض الا في الظنيين</w:t>
      </w:r>
      <w:r>
        <w:rPr>
          <w:rStyle w:val="FootnoteAnchor"/>
          <w:rtl w:val="true"/>
        </w:rPr>
        <w:footnoteReference w:id="2883"/>
      </w:r>
      <w:r>
        <w:rPr>
          <w:rFonts w:ascii="IRNazanin" w:hAnsi="IRNazanin" w:eastAsia="IRNazanin"/>
          <w:color w:val="111111"/>
          <w:sz w:val="28"/>
          <w:sz w:val="28"/>
          <w:szCs w:val="28"/>
          <w:rtl w:val="true"/>
          <w:lang w:bidi="fa-IR"/>
        </w:rPr>
        <w:t xml:space="preserve">، لا </w:t>
      </w:r>
      <w:r>
        <w:rPr>
          <w:rStyle w:val="FootnoteAnchor"/>
          <w:rtl w:val="true"/>
        </w:rPr>
        <w:footnoteReference w:id="2884"/>
      </w:r>
      <w:r>
        <w:rPr>
          <w:rFonts w:ascii="Amiri" w:hAnsi="Amiri" w:eastAsia="Amiri" w:cs="Amiri"/>
          <w:color w:val="111111"/>
          <w:sz w:val="28"/>
          <w:sz w:val="28"/>
          <w:szCs w:val="28"/>
          <w:rtl w:val="true"/>
          <w:lang w:bidi="ar-SA"/>
        </w:rPr>
        <w:t>في القطعيين، ولا في المختلفين</w:t>
      </w:r>
      <w:r>
        <w:rPr>
          <w:rStyle w:val="FootnoteAnchor"/>
          <w:rtl w:val="true"/>
        </w:rPr>
        <w:footnoteReference w:id="2885"/>
      </w:r>
      <w:r>
        <w:rPr>
          <w:rFonts w:ascii="Amiri" w:hAnsi="Amiri" w:eastAsia="Amiri" w:cs="Amiri"/>
          <w:color w:val="111111"/>
          <w:sz w:val="28"/>
          <w:sz w:val="28"/>
          <w:szCs w:val="28"/>
          <w:rtl w:val="true"/>
          <w:lang w:bidi="ar-SA"/>
        </w:rPr>
        <w:t>، فإن أرادوا القطع بالصدور فهو ممكن في كل الأقسام، أو بالمضمون لكن نوعاً بحيث لولا أحد المتعارضين لأفاد الآخر القطع، أو الظن فكذلك، أو فعلاً فهو محال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في القطعيين والمختلفين الفعلي، وفي الظنتين النوعي، فهو صحيح، لكنه تفكيك</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التعارض له فردان التعادل والترجيح، والثاني منهما ممكن في المختلفين أيضاً، فما وجه التخصيص بالظنيين</w:t>
      </w:r>
      <w:r>
        <w:rPr>
          <w:rStyle w:val="FootnoteAnchor"/>
          <w:rtl w:val="true"/>
        </w:rPr>
        <w:footnoteReference w:id="2886"/>
      </w:r>
      <w:r>
        <w:rPr>
          <w:rFonts w:ascii="IRNazanin" w:hAnsi="IRNazanin" w:eastAsia="IRNazanin"/>
          <w:color w:val="111111"/>
          <w:sz w:val="28"/>
          <w:sz w:val="28"/>
          <w:szCs w:val="28"/>
          <w:rtl w:val="true"/>
          <w:lang w:bidi="fa-IR"/>
        </w:rPr>
        <w:t xml:space="preserve">؟ </w:t>
      </w:r>
      <w:bookmarkStart w:id="865" w:name="pg9015_97913"/>
    </w:p>
    <w:p>
      <w:pPr>
        <w:pStyle w:val="BookText"/>
        <w:rPr/>
      </w:pPr>
      <w:bookmarkEnd w:id="865"/>
      <w:r>
        <w:rPr>
          <w:rFonts w:ascii="Amiri" w:hAnsi="Amiri" w:eastAsia="Amiri" w:cs="Amiri"/>
          <w:color w:val="111111"/>
          <w:sz w:val="28"/>
          <w:sz w:val="28"/>
          <w:szCs w:val="28"/>
          <w:rtl w:val="true"/>
          <w:lang w:bidi="ar-SA"/>
        </w:rPr>
        <w:t>ثم المراد بالدليلين</w:t>
      </w:r>
      <w:r>
        <w:rPr>
          <w:rStyle w:val="FootnoteAnchor"/>
          <w:rtl w:val="true"/>
        </w:rPr>
        <w:footnoteReference w:id="2887"/>
      </w:r>
      <w:r>
        <w:rPr>
          <w:rFonts w:ascii="IRNazanin" w:hAnsi="IRNazanin" w:eastAsia="IRNazanin"/>
          <w:color w:val="111111"/>
          <w:sz w:val="28"/>
          <w:sz w:val="28"/>
          <w:szCs w:val="28"/>
          <w:rtl w:val="true"/>
          <w:lang w:bidi="fa-IR"/>
        </w:rPr>
        <w:t>أعم</w:t>
      </w:r>
      <w:r>
        <w:rPr>
          <w:rStyle w:val="FootnoteAnchor"/>
          <w:rtl w:val="true"/>
        </w:rPr>
        <w:footnoteReference w:id="2888"/>
      </w:r>
      <w:r>
        <w:rPr>
          <w:rFonts w:ascii="Amiri" w:hAnsi="Amiri" w:eastAsia="Amiri" w:cs="Amiri"/>
          <w:color w:val="111111"/>
          <w:sz w:val="28"/>
          <w:sz w:val="28"/>
          <w:szCs w:val="28"/>
          <w:rtl w:val="true"/>
          <w:lang w:bidi="ar-SA"/>
        </w:rPr>
        <w:t>منهما ومما زاد عليهما ، وأعمّ من الأمارتين، فيشمل تعارض الدليل والأمارة</w:t>
      </w:r>
      <w:r>
        <w:rPr>
          <w:rFonts w:eastAsia="Amiri" w:cs="Amiri" w:ascii="Amiri" w:hAnsi="Amiri"/>
          <w:color w:val="111111"/>
          <w:sz w:val="28"/>
          <w:szCs w:val="28"/>
          <w:rtl w:val="true"/>
          <w:lang w:bidi="ar-SA"/>
        </w:rPr>
        <w:t>.</w:t>
      </w:r>
      <w:r>
        <w:rPr>
          <w:rStyle w:val="FootnoteAnchor"/>
          <w:rtl w:val="true"/>
        </w:rPr>
        <w:footnoteReference w:id="2889"/>
      </w:r>
    </w:p>
    <w:p>
      <w:pPr>
        <w:pStyle w:val="Heading2"/>
        <w:numPr>
          <w:ilvl w:val="1"/>
          <w:numId w:val="1"/>
        </w:numPr>
        <w:rPr/>
      </w:pPr>
      <w:bookmarkStart w:id="866" w:name="__RefHeading___Toc2001953_2870459653"/>
      <w:bookmarkStart w:id="867" w:name="_Toc326"/>
      <w:bookmarkEnd w:id="866"/>
      <w:r>
        <w:rPr>
          <w:rtl w:val="true"/>
        </w:rPr>
        <w:t xml:space="preserve">أصل </w:t>
      </w:r>
      <w:r>
        <w:rPr>
          <w:rtl w:val="true"/>
        </w:rPr>
        <w:t>[</w:t>
      </w:r>
      <w:r>
        <w:rPr>
          <w:rtl w:val="true"/>
        </w:rPr>
        <w:t>في تعادل الدليلين</w:t>
      </w:r>
      <w:r>
        <w:rPr>
          <w:rtl w:val="true"/>
        </w:rPr>
        <w:t>]</w:t>
      </w:r>
      <w:bookmarkEnd w:id="867"/>
    </w:p>
    <w:p>
      <w:pPr>
        <w:pStyle w:val="BookText"/>
        <w:rPr/>
      </w:pPr>
      <w:r>
        <w:rPr>
          <w:rFonts w:ascii="Amiri" w:hAnsi="Amiri" w:eastAsia="Amiri" w:cs="Amiri"/>
          <w:color w:val="111111"/>
          <w:sz w:val="28"/>
          <w:sz w:val="28"/>
          <w:szCs w:val="28"/>
          <w:rtl w:val="true"/>
          <w:lang w:bidi="ar-SA"/>
        </w:rPr>
        <w:t>تعادل الدليلين هل هو تساويهما، أو تساوي اعتقاد المجتهد بمدلوليهما؟ وجهان، أقواهما الأول، وهو أخص مطلقاً من الثاني</w:t>
      </w:r>
      <w:r>
        <w:rPr>
          <w:rStyle w:val="FootnoteAnchor"/>
          <w:rtl w:val="true"/>
        </w:rPr>
        <w:footnoteReference w:id="2890"/>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جوازه عقلاً وشرعاً </w:t>
      </w:r>
      <w:r>
        <w:rPr>
          <w:rStyle w:val="FootnoteAnchor"/>
          <w:rtl w:val="true"/>
        </w:rPr>
        <w:footnoteReference w:id="2891"/>
      </w:r>
      <w:r>
        <w:rPr>
          <w:rFonts w:ascii="Amiri" w:hAnsi="Amiri" w:eastAsia="Amiri" w:cs="Amiri"/>
          <w:color w:val="111111"/>
          <w:sz w:val="28"/>
          <w:sz w:val="28"/>
          <w:szCs w:val="28"/>
          <w:rtl w:val="true"/>
          <w:lang w:bidi="ar-SA"/>
        </w:rPr>
        <w:t>، بل نظيره واقع في مثل المجتهدين المتساويين المختلفين في الرأي بالنسبة إلى المقلد</w:t>
      </w:r>
      <w:r>
        <w:rPr>
          <w:rStyle w:val="FootnoteAnchor"/>
          <w:rtl w:val="true"/>
        </w:rPr>
        <w:footnoteReference w:id="2892"/>
      </w:r>
      <w:r>
        <w:rPr>
          <w:rFonts w:ascii="Amiri" w:hAnsi="Amiri" w:eastAsia="Amiri" w:cs="Amiri"/>
          <w:color w:val="111111"/>
          <w:sz w:val="28"/>
          <w:sz w:val="28"/>
          <w:szCs w:val="28"/>
          <w:rtl w:val="true"/>
          <w:lang w:bidi="ar-SA"/>
        </w:rPr>
        <w:t>، ودليل عدم الجواز شرعا عليل من وجوه</w:t>
      </w:r>
      <w:r>
        <w:rPr>
          <w:rFonts w:eastAsia="Amiri" w:cs="Amiri" w:ascii="Amiri" w:hAnsi="Amiri"/>
          <w:color w:val="111111"/>
          <w:sz w:val="28"/>
          <w:szCs w:val="28"/>
          <w:rtl w:val="true"/>
          <w:lang w:bidi="ar-SA"/>
        </w:rPr>
        <w:t>.</w:t>
      </w:r>
      <w:r>
        <w:rPr>
          <w:rStyle w:val="FootnoteAnchor"/>
          <w:rtl w:val="true"/>
        </w:rPr>
        <w:footnoteReference w:id="2893"/>
      </w:r>
      <w:bookmarkStart w:id="868" w:name="pg9015_97915"/>
    </w:p>
    <w:p>
      <w:pPr>
        <w:pStyle w:val="Heading2"/>
        <w:numPr>
          <w:ilvl w:val="1"/>
          <w:numId w:val="1"/>
        </w:numPr>
        <w:rPr/>
      </w:pPr>
      <w:bookmarkStart w:id="869" w:name="__RefHeading___Toc2001955_2870459653"/>
      <w:bookmarkStart w:id="870" w:name="_Toc327"/>
      <w:bookmarkEnd w:id="868"/>
      <w:bookmarkEnd w:id="869"/>
      <w:r>
        <w:rPr>
          <w:rtl w:val="true"/>
        </w:rPr>
        <w:t xml:space="preserve">أصل </w:t>
      </w:r>
      <w:r>
        <w:rPr>
          <w:rtl w:val="true"/>
        </w:rPr>
        <w:t>[</w:t>
      </w:r>
      <w:r>
        <w:rPr>
          <w:rtl w:val="true"/>
        </w:rPr>
        <w:t>في حكم التعادل</w:t>
      </w:r>
      <w:r>
        <w:rPr>
          <w:rtl w:val="true"/>
        </w:rPr>
        <w:t>]</w:t>
      </w:r>
      <w:bookmarkEnd w:id="870"/>
    </w:p>
    <w:p>
      <w:pPr>
        <w:pStyle w:val="BookText"/>
        <w:rPr/>
      </w:pPr>
      <w:r>
        <w:rPr>
          <w:rFonts w:ascii="Amiri" w:hAnsi="Amiri" w:eastAsia="Amiri" w:cs="Amiri"/>
          <w:color w:val="111111"/>
          <w:sz w:val="28"/>
          <w:sz w:val="28"/>
          <w:szCs w:val="28"/>
          <w:rtl w:val="true"/>
          <w:lang w:bidi="ar-SA"/>
        </w:rPr>
        <w:t>إذا حصل التعادل بين الدليلين، ففي التخيير بينهما</w:t>
      </w:r>
      <w:r>
        <w:rPr>
          <w:rStyle w:val="FootnoteAnchor"/>
          <w:rtl w:val="true"/>
        </w:rPr>
        <w:footnoteReference w:id="2894"/>
      </w:r>
      <w:r>
        <w:rPr>
          <w:rFonts w:ascii="IRNazanin" w:hAnsi="IRNazanin" w:eastAsia="IRNazanin"/>
          <w:color w:val="111111"/>
          <w:sz w:val="28"/>
          <w:sz w:val="28"/>
          <w:szCs w:val="28"/>
          <w:rtl w:val="true"/>
          <w:lang w:bidi="fa-IR"/>
        </w:rPr>
        <w:t>، أو الرجوع إلى الأصل</w:t>
      </w:r>
      <w:r>
        <w:rPr>
          <w:rStyle w:val="FootnoteAnchor"/>
          <w:rtl w:val="true"/>
        </w:rPr>
        <w:footnoteReference w:id="2895"/>
      </w:r>
      <w:r>
        <w:rPr>
          <w:rFonts w:ascii="IRNazanin" w:hAnsi="IRNazanin" w:eastAsia="IRNazanin"/>
          <w:color w:val="111111"/>
          <w:sz w:val="28"/>
          <w:sz w:val="28"/>
          <w:szCs w:val="28"/>
          <w:rtl w:val="true"/>
          <w:lang w:bidi="fa-IR"/>
        </w:rPr>
        <w:t>،أو الوقف</w:t>
      </w:r>
      <w:r>
        <w:rPr>
          <w:rStyle w:val="FootnoteAnchor"/>
          <w:rtl w:val="true"/>
        </w:rPr>
        <w:footnoteReference w:id="2896"/>
      </w:r>
      <w:r>
        <w:rPr>
          <w:rFonts w:ascii="Amiri" w:hAnsi="Amiri" w:eastAsia="Amiri" w:cs="Amiri"/>
          <w:color w:val="111111"/>
          <w:sz w:val="28"/>
          <w:sz w:val="28"/>
          <w:szCs w:val="28"/>
          <w:rtl w:val="true"/>
          <w:lang w:bidi="ar-SA"/>
        </w:rPr>
        <w:t>، وجوه، والأخير لا يتصور في مثل دوران الأمر بين الوجوب والحرمة</w:t>
      </w:r>
      <w:r>
        <w:rPr>
          <w:rStyle w:val="FootnoteAnchor"/>
          <w:rtl w:val="true"/>
        </w:rPr>
        <w:footnoteReference w:id="2897"/>
      </w:r>
      <w:r>
        <w:rPr>
          <w:rFonts w:ascii="Amiri" w:hAnsi="Amiri" w:eastAsia="Amiri" w:cs="Amiri"/>
          <w:color w:val="111111"/>
          <w:sz w:val="28"/>
          <w:sz w:val="28"/>
          <w:szCs w:val="28"/>
          <w:rtl w:val="true"/>
          <w:lang w:bidi="ar-SA"/>
        </w:rPr>
        <w:t>، وفي المعاملات النفسيّة</w:t>
      </w:r>
      <w:r>
        <w:rPr>
          <w:rFonts w:eastAsia="Amiri" w:cs="Amiri" w:ascii="Amiri" w:hAnsi="Amiri"/>
          <w:color w:val="111111"/>
          <w:sz w:val="28"/>
          <w:szCs w:val="28"/>
          <w:rtl w:val="true"/>
          <w:lang w:bidi="ar-SA"/>
        </w:rPr>
        <w:t>.</w:t>
      </w:r>
      <w:r>
        <w:rPr>
          <w:rStyle w:val="FootnoteAnchor"/>
          <w:rtl w:val="true"/>
        </w:rPr>
        <w:footnoteReference w:id="2898"/>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المتعادلين إن كانا خبرين،وظن بعدم خروج الحكم </w:t>
      </w:r>
      <w:r>
        <w:rPr>
          <w:rStyle w:val="FootnoteAnchor"/>
          <w:rtl w:val="true"/>
        </w:rPr>
        <w:footnoteReference w:id="2899"/>
      </w:r>
      <w:r>
        <w:rPr>
          <w:rFonts w:ascii="IRNazanin" w:hAnsi="IRNazanin" w:eastAsia="IRNazanin"/>
          <w:color w:val="111111"/>
          <w:sz w:val="28"/>
          <w:sz w:val="28"/>
          <w:szCs w:val="28"/>
          <w:rtl w:val="true"/>
          <w:lang w:bidi="fa-IR"/>
        </w:rPr>
        <w:t>الواقعي عن أحدهما في الواقع، واتحد موضوع الحکمين المختلفين،كالوجوب والحرمة، أو</w:t>
      </w:r>
      <w:r>
        <w:rPr>
          <w:rStyle w:val="FootnoteAnchor"/>
          <w:rtl w:val="true"/>
        </w:rPr>
        <w:footnoteReference w:id="2900"/>
      </w:r>
      <w:r>
        <w:rPr>
          <w:rFonts w:ascii="Amiri" w:hAnsi="Amiri" w:eastAsia="Amiri" w:cs="Amiri"/>
          <w:color w:val="111111"/>
          <w:sz w:val="28"/>
          <w:sz w:val="28"/>
          <w:szCs w:val="28"/>
          <w:rtl w:val="true"/>
          <w:lang w:bidi="ar-SA"/>
        </w:rPr>
        <w:t>الندب والكراهة، فالحق التخيير الابتدائي؛ لنفي الثالث بالظن الإجمالي المستفاد من الدليلين</w:t>
      </w:r>
      <w:r>
        <w:rPr>
          <w:rStyle w:val="FootnoteAnchor"/>
          <w:rtl w:val="true"/>
        </w:rPr>
        <w:footnoteReference w:id="2901"/>
      </w:r>
      <w:r>
        <w:rPr>
          <w:rFonts w:ascii="Amiri" w:hAnsi="Amiri" w:eastAsia="Amiri" w:cs="Amiri"/>
          <w:color w:val="111111"/>
          <w:sz w:val="28"/>
          <w:sz w:val="28"/>
          <w:szCs w:val="28"/>
          <w:rtl w:val="true"/>
          <w:lang w:bidi="ar-SA"/>
        </w:rPr>
        <w:t>، المشمول لعموم ما دلّ على حجية الظن ، نعم لو دار الأمر بين المتباينين في المعاملات، كأن يكون</w:t>
      </w:r>
      <w:r>
        <w:rPr>
          <w:rStyle w:val="FootnoteAnchor"/>
          <w:rtl w:val="true"/>
        </w:rPr>
        <w:footnoteReference w:id="2902"/>
      </w:r>
      <w:r>
        <w:rPr>
          <w:rFonts w:ascii="Amiri" w:hAnsi="Amiri" w:eastAsia="Amiri" w:cs="Amiri"/>
          <w:color w:val="111111"/>
          <w:sz w:val="28"/>
          <w:sz w:val="28"/>
          <w:szCs w:val="28"/>
          <w:rtl w:val="true"/>
          <w:lang w:bidi="ar-SA"/>
        </w:rPr>
        <w:t>المال لزيد أو عمرو، وجب الوقف عن الإفتاء؛ للأصل، ولا ينافيه الظن الإجمالي بنفي الثالث ، فتأمل</w:t>
      </w:r>
      <w:r>
        <w:rPr>
          <w:rFonts w:eastAsia="Amiri" w:cs="Amiri" w:ascii="Amiri" w:hAnsi="Amiri"/>
          <w:color w:val="111111"/>
          <w:sz w:val="28"/>
          <w:szCs w:val="28"/>
          <w:rtl w:val="true"/>
          <w:lang w:bidi="ar-SA"/>
        </w:rPr>
        <w:t>.</w:t>
      </w:r>
      <w:r>
        <w:rPr>
          <w:rStyle w:val="FootnoteAnchor"/>
          <w:rtl w:val="true"/>
        </w:rPr>
        <w:footnoteReference w:id="2903"/>
      </w:r>
    </w:p>
    <w:p>
      <w:pPr>
        <w:pStyle w:val="BookText"/>
        <w:rPr/>
      </w:pPr>
      <w:r>
        <w:rPr>
          <w:rFonts w:ascii="Amiri" w:hAnsi="Amiri" w:eastAsia="Amiri" w:cs="Amiri"/>
          <w:color w:val="111111"/>
          <w:sz w:val="28"/>
          <w:sz w:val="28"/>
          <w:szCs w:val="28"/>
          <w:rtl w:val="true"/>
          <w:lang w:bidi="ar-SA"/>
        </w:rPr>
        <w:t xml:space="preserve">أو بين الوجوب والندب، أو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والكراهة، أخذ بالندب والكراهة؛ لأنهما الأصل حينئذ</w:t>
      </w:r>
      <w:r>
        <w:rPr>
          <w:rFonts w:eastAsia="Amiri" w:cs="Amiri" w:ascii="Amiri" w:hAnsi="Amiri"/>
          <w:color w:val="111111"/>
          <w:sz w:val="28"/>
          <w:szCs w:val="28"/>
          <w:rtl w:val="true"/>
          <w:lang w:bidi="ar-SA"/>
        </w:rPr>
        <w:t>.</w:t>
      </w:r>
      <w:r>
        <w:rPr>
          <w:rStyle w:val="FootnoteAnchor"/>
          <w:rtl w:val="true"/>
        </w:rPr>
        <w:footnoteReference w:id="2904"/>
      </w:r>
    </w:p>
    <w:p>
      <w:pPr>
        <w:pStyle w:val="BookText"/>
        <w:rPr/>
      </w:pPr>
      <w:r>
        <w:rPr>
          <w:rFonts w:ascii="Amiri" w:hAnsi="Amiri" w:eastAsia="Amiri" w:cs="Amiri"/>
          <w:color w:val="111111"/>
          <w:sz w:val="28"/>
          <w:sz w:val="28"/>
          <w:szCs w:val="28"/>
          <w:rtl w:val="true"/>
          <w:lang w:bidi="ar-SA"/>
        </w:rPr>
        <w:t>أو بين الوجوب والكراهة، أو الندب والحرمة</w:t>
      </w:r>
      <w:r>
        <w:rPr>
          <w:rFonts w:eastAsia="Amiri" w:cs="Amiri" w:ascii="Amiri" w:hAnsi="Amiri"/>
          <w:color w:val="111111"/>
          <w:sz w:val="28"/>
          <w:szCs w:val="28"/>
          <w:rtl w:val="true"/>
          <w:lang w:bidi="ar-SA"/>
        </w:rPr>
        <w:t>)</w:t>
      </w:r>
      <w:r>
        <w:rPr>
          <w:rStyle w:val="FootnoteAnchor"/>
          <w:rtl w:val="true"/>
        </w:rPr>
        <w:footnoteReference w:id="2905"/>
      </w:r>
      <w:r>
        <w:rPr>
          <w:rFonts w:ascii="Amiri" w:hAnsi="Amiri" w:eastAsia="Amiri" w:cs="Amiri"/>
          <w:color w:val="111111"/>
          <w:sz w:val="28"/>
          <w:sz w:val="28"/>
          <w:szCs w:val="28"/>
          <w:rtl w:val="true"/>
          <w:lang w:bidi="ar-SA"/>
        </w:rPr>
        <w:t>، فالندب في الأول، والكراهة في الثاني عرضاً؛ للاحتياط</w:t>
      </w:r>
      <w:r>
        <w:rPr>
          <w:rStyle w:val="FootnoteAnchor"/>
          <w:rtl w:val="true"/>
        </w:rPr>
        <w:footnoteReference w:id="2906"/>
      </w:r>
      <w:r>
        <w:rPr>
          <w:rFonts w:ascii="Amiri" w:hAnsi="Amiri" w:eastAsia="Amiri" w:cs="Amiri"/>
          <w:color w:val="111111"/>
          <w:sz w:val="28"/>
          <w:sz w:val="28"/>
          <w:szCs w:val="28"/>
          <w:rtl w:val="true"/>
          <w:lang w:bidi="ar-SA"/>
        </w:rPr>
        <w:t>، لا أصلاً</w:t>
      </w:r>
      <w:r>
        <w:rPr>
          <w:rFonts w:eastAsia="Amiri" w:cs="Amiri" w:ascii="Amiri" w:hAnsi="Amiri"/>
          <w:color w:val="111111"/>
          <w:sz w:val="28"/>
          <w:szCs w:val="28"/>
          <w:rtl w:val="true"/>
          <w:lang w:bidi="ar-SA"/>
        </w:rPr>
        <w:t>.</w:t>
      </w:r>
      <w:r>
        <w:rPr>
          <w:rStyle w:val="FootnoteAnchor"/>
          <w:rtl w:val="true"/>
        </w:rPr>
        <w:footnoteReference w:id="2907"/>
      </w:r>
    </w:p>
    <w:p>
      <w:pPr>
        <w:pStyle w:val="BookText"/>
        <w:rPr/>
      </w:pPr>
      <w:r>
        <w:rPr>
          <w:rFonts w:ascii="Amiri" w:hAnsi="Amiri" w:eastAsia="Amiri" w:cs="Amiri"/>
          <w:color w:val="111111"/>
          <w:sz w:val="28"/>
          <w:sz w:val="28"/>
          <w:szCs w:val="28"/>
          <w:rtl w:val="true"/>
          <w:lang w:bidi="ar-SA"/>
        </w:rPr>
        <w:t>أو بين الوجوب والإباحة ، أو</w:t>
      </w:r>
      <w:r>
        <w:rPr>
          <w:rStyle w:val="FootnoteAnchor"/>
          <w:rtl w:val="true"/>
        </w:rPr>
        <w:footnoteReference w:id="2908"/>
      </w:r>
      <w:r>
        <w:rPr>
          <w:rFonts w:ascii="Amiri" w:hAnsi="Amiri" w:eastAsia="Amiri" w:cs="Amiri"/>
          <w:color w:val="111111"/>
          <w:sz w:val="28"/>
          <w:sz w:val="28"/>
          <w:szCs w:val="28"/>
          <w:rtl w:val="true"/>
          <w:lang w:bidi="ar-SA"/>
        </w:rPr>
        <w:t>الحظر والبراءة، فالبراءة؛ لما مرَّ في بحثها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بين المتباينين، كالظهر والجمعة، فالجمع ؛ لأنه الأصل </w:t>
      </w:r>
      <w:r>
        <w:rPr>
          <w:rStyle w:val="FootnoteAnchor"/>
          <w:rtl w:val="true"/>
        </w:rPr>
        <w:footnoteReference w:id="2909"/>
      </w:r>
      <w:r>
        <w:rPr>
          <w:rFonts w:ascii="Amiri" w:hAnsi="Amiri" w:eastAsia="Amiri" w:cs="Amiri"/>
          <w:color w:val="111111"/>
          <w:sz w:val="28"/>
          <w:sz w:val="28"/>
          <w:szCs w:val="28"/>
          <w:rtl w:val="true"/>
          <w:lang w:bidi="ar-SA"/>
        </w:rPr>
        <w:t xml:space="preserve">حينئذ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بنفي الثالث إجمالاً، فالحكم الحكم والدليل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تعارض خبر وغيره وتعادلا ، أو تعارض دليلان غير خبرين وتعادلا، فحكمهما يظهر بأدنى تأمل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حصل هذا</w:t>
      </w:r>
      <w:r>
        <w:rPr>
          <w:rStyle w:val="FootnoteAnchor"/>
          <w:rtl w:val="true"/>
        </w:rPr>
        <w:footnoteReference w:id="2910"/>
      </w:r>
      <w:r>
        <w:rPr>
          <w:rFonts w:ascii="Amiri" w:hAnsi="Amiri" w:eastAsia="Amiri" w:cs="Amiri"/>
          <w:color w:val="111111"/>
          <w:sz w:val="28"/>
          <w:sz w:val="28"/>
          <w:szCs w:val="28"/>
          <w:rtl w:val="true"/>
          <w:lang w:bidi="ar-SA"/>
        </w:rPr>
        <w:t>التعادل في الموضوع الصرف</w:t>
      </w:r>
      <w:r>
        <w:rPr>
          <w:rStyle w:val="FootnoteAnchor"/>
          <w:rtl w:val="true"/>
        </w:rPr>
        <w:footnoteReference w:id="2911"/>
      </w:r>
      <w:r>
        <w:rPr>
          <w:rFonts w:ascii="Amiri" w:hAnsi="Amiri" w:eastAsia="Amiri" w:cs="Amiri"/>
          <w:color w:val="111111"/>
          <w:sz w:val="28"/>
          <w:sz w:val="28"/>
          <w:szCs w:val="28"/>
          <w:rtl w:val="true"/>
          <w:lang w:bidi="ar-SA"/>
        </w:rPr>
        <w:t xml:space="preserve">، لم يكن الظن بنفي الثالث </w:t>
      </w:r>
      <w:bookmarkStart w:id="871" w:name="pg9015_97919"/>
    </w:p>
    <w:p>
      <w:pPr>
        <w:pStyle w:val="BookText"/>
        <w:rPr/>
      </w:pPr>
      <w:bookmarkEnd w:id="871"/>
      <w:r>
        <w:rPr>
          <w:rFonts w:ascii="Amiri" w:hAnsi="Amiri" w:eastAsia="Amiri" w:cs="Amiri"/>
          <w:color w:val="111111"/>
          <w:sz w:val="28"/>
          <w:sz w:val="28"/>
          <w:szCs w:val="28"/>
          <w:rtl w:val="true"/>
          <w:lang w:bidi="ar-SA"/>
        </w:rPr>
        <w:t>حجة</w:t>
      </w:r>
      <w:r>
        <w:rPr>
          <w:rStyle w:val="FootnoteAnchor"/>
          <w:rtl w:val="true"/>
        </w:rPr>
        <w:footnoteReference w:id="2912"/>
      </w:r>
      <w:r>
        <w:rPr>
          <w:rFonts w:ascii="Amiri" w:hAnsi="Amiri" w:eastAsia="Amiri" w:cs="Amiri"/>
          <w:color w:val="111111"/>
          <w:sz w:val="28"/>
          <w:sz w:val="28"/>
          <w:szCs w:val="28"/>
          <w:rtl w:val="true"/>
          <w:lang w:bidi="ar-SA"/>
        </w:rPr>
        <w:t>لما مرَّ، أو في الموضوع المستنبط</w:t>
      </w:r>
      <w:r>
        <w:rPr>
          <w:rStyle w:val="FootnoteAnchor"/>
          <w:rtl w:val="true"/>
        </w:rPr>
        <w:footnoteReference w:id="2913"/>
      </w:r>
      <w:r>
        <w:rPr>
          <w:rFonts w:ascii="Amiri" w:hAnsi="Amiri" w:eastAsia="Amiri" w:cs="Amiri"/>
          <w:color w:val="111111"/>
          <w:sz w:val="28"/>
          <w:sz w:val="28"/>
          <w:szCs w:val="28"/>
          <w:rtl w:val="true"/>
          <w:lang w:bidi="ar-SA"/>
        </w:rPr>
        <w:t xml:space="preserve">وحصل الظن بنفي الثالث </w:t>
      </w:r>
      <w:r>
        <w:rPr>
          <w:rStyle w:val="FootnoteAnchor"/>
          <w:rtl w:val="true"/>
        </w:rPr>
        <w:footnoteReference w:id="2914"/>
      </w:r>
      <w:r>
        <w:rPr>
          <w:rFonts w:ascii="Amiri" w:hAnsi="Amiri" w:eastAsia="Amiri" w:cs="Amiri"/>
          <w:color w:val="111111"/>
          <w:sz w:val="28"/>
          <w:sz w:val="28"/>
          <w:szCs w:val="28"/>
          <w:rtl w:val="true"/>
          <w:lang w:bidi="ar-SA"/>
        </w:rPr>
        <w:t>، فهو حجة كما تقدم، فيتوقف في الترجيح؛ لأنه الأصل في اللغات</w:t>
      </w:r>
      <w:r>
        <w:rPr>
          <w:rFonts w:eastAsia="Amiri" w:cs="Amiri" w:ascii="Amiri" w:hAnsi="Amiri"/>
          <w:color w:val="111111"/>
          <w:sz w:val="28"/>
          <w:szCs w:val="28"/>
          <w:rtl w:val="true"/>
          <w:lang w:bidi="ar-SA"/>
        </w:rPr>
        <w:t>.</w:t>
      </w:r>
    </w:p>
    <w:p>
      <w:pPr>
        <w:pStyle w:val="Heading2"/>
        <w:numPr>
          <w:ilvl w:val="1"/>
          <w:numId w:val="1"/>
        </w:numPr>
        <w:rPr/>
      </w:pPr>
      <w:bookmarkStart w:id="872" w:name="__RefHeading___Toc2001957_2870459653"/>
      <w:bookmarkStart w:id="873" w:name="_Toc328"/>
      <w:bookmarkEnd w:id="872"/>
      <w:r>
        <w:rPr>
          <w:rtl w:val="true"/>
        </w:rPr>
        <w:t xml:space="preserve">أصل </w:t>
      </w:r>
      <w:r>
        <w:rPr>
          <w:rtl w:val="true"/>
        </w:rPr>
        <w:t>[</w:t>
      </w:r>
      <w:r>
        <w:rPr>
          <w:rtl w:val="true"/>
        </w:rPr>
        <w:t>في كيفية الافتاء بعدما بني على التخيير</w:t>
      </w:r>
      <w:r>
        <w:rPr>
          <w:rtl w:val="true"/>
        </w:rPr>
        <w:t>]</w:t>
      </w:r>
      <w:bookmarkEnd w:id="873"/>
    </w:p>
    <w:p>
      <w:pPr>
        <w:pStyle w:val="BookText"/>
        <w:rPr/>
      </w:pPr>
      <w:r>
        <w:rPr>
          <w:rFonts w:ascii="IRNazanin" w:hAnsi="IRNazanin" w:eastAsia="IRNazanin"/>
          <w:color w:val="111111"/>
          <w:sz w:val="28"/>
          <w:sz w:val="28"/>
          <w:szCs w:val="28"/>
          <w:rtl w:val="true"/>
          <w:lang w:bidi="fa-IR"/>
        </w:rPr>
        <w:t>أصل</w:t>
      </w:r>
      <w:r>
        <w:rPr>
          <w:rStyle w:val="FootnoteAnchor"/>
          <w:rtl w:val="true"/>
        </w:rPr>
        <w:footnoteReference w:id="2915"/>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تعادل الأمارتان عند المجتهد، وبنى على التخيير، فإن كان ذلك في الموضوع الصرف، أفتى بالتخيير؛ إذ المجتهد ليس دائماً مع المقلد حتى يختار أحدهما ويفتي بالمختار؛ أو في المعاملات كتعارض البينات، ونحو مسألة إرث ابن البنت وبنت الإبن، أفتى بالمختار؛ إذ الحكم بالخيار لا يرفع الخصومات؛ أو في الأحكام العملية</w:t>
      </w:r>
      <w:r>
        <w:rPr>
          <w:rStyle w:val="FootnoteAnchor"/>
          <w:rtl w:val="true"/>
        </w:rPr>
        <w:footnoteReference w:id="2916"/>
      </w:r>
      <w:r>
        <w:rPr>
          <w:rFonts w:ascii="Amiri" w:hAnsi="Amiri" w:eastAsia="Amiri" w:cs="Amiri"/>
          <w:color w:val="111111"/>
          <w:sz w:val="28"/>
          <w:sz w:val="28"/>
          <w:szCs w:val="28"/>
          <w:rtl w:val="true"/>
          <w:lang w:bidi="ar-SA"/>
        </w:rPr>
        <w:t>أفتى بالخيار</w:t>
      </w:r>
      <w:r>
        <w:rPr>
          <w:rFonts w:eastAsia="Amiri" w:cs="Amiri" w:ascii="Amiri" w:hAnsi="Amiri"/>
          <w:color w:val="111111"/>
          <w:sz w:val="28"/>
          <w:szCs w:val="28"/>
          <w:rtl w:val="true"/>
          <w:lang w:bidi="ar-SA"/>
        </w:rPr>
        <w:t xml:space="preserve">. </w:t>
      </w:r>
      <w:bookmarkStart w:id="874" w:name="pg9015_97921"/>
    </w:p>
    <w:p>
      <w:pPr>
        <w:pStyle w:val="Heading2"/>
        <w:numPr>
          <w:ilvl w:val="1"/>
          <w:numId w:val="1"/>
        </w:numPr>
        <w:rPr/>
      </w:pPr>
      <w:bookmarkStart w:id="875" w:name="__RefHeading___Toc2001959_2870459653"/>
      <w:bookmarkStart w:id="876" w:name="_Toc329"/>
      <w:bookmarkEnd w:id="874"/>
      <w:bookmarkEnd w:id="875"/>
      <w:r>
        <w:rPr>
          <w:rtl w:val="true"/>
        </w:rPr>
        <w:t xml:space="preserve">أصل </w:t>
      </w:r>
      <w:r>
        <w:rPr>
          <w:rtl w:val="true"/>
        </w:rPr>
        <w:t>[</w:t>
      </w:r>
      <w:r>
        <w:rPr>
          <w:rtl w:val="true"/>
        </w:rPr>
        <w:t>في أخذ الأرجح عند التعارض</w:t>
      </w:r>
      <w:r>
        <w:rPr>
          <w:rtl w:val="true"/>
        </w:rPr>
        <w:t>]</w:t>
      </w:r>
      <w:bookmarkEnd w:id="87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ترجح أحد المتعارضين على الآخر بمرجح داخلي</w:t>
      </w:r>
      <w:r>
        <w:rPr>
          <w:rStyle w:val="FootnoteAnchor"/>
          <w:rtl w:val="true"/>
        </w:rPr>
        <w:footnoteReference w:id="2917"/>
      </w:r>
      <w:r>
        <w:rPr>
          <w:rFonts w:ascii="Amiri" w:hAnsi="Amiri" w:eastAsia="Amiri" w:cs="Amiri"/>
          <w:color w:val="111111"/>
          <w:sz w:val="28"/>
          <w:sz w:val="28"/>
          <w:szCs w:val="28"/>
          <w:rtl w:val="true"/>
          <w:lang w:bidi="ar-SA"/>
        </w:rPr>
        <w:t>أو خارجي</w:t>
      </w:r>
      <w:r>
        <w:rPr>
          <w:rStyle w:val="FootnoteAnchor"/>
          <w:rtl w:val="true"/>
        </w:rPr>
        <w:footnoteReference w:id="2918"/>
      </w:r>
      <w:r>
        <w:rPr>
          <w:rFonts w:ascii="Amiri" w:hAnsi="Amiri" w:eastAsia="Amiri" w:cs="Amiri"/>
          <w:color w:val="111111"/>
          <w:sz w:val="28"/>
          <w:sz w:val="28"/>
          <w:szCs w:val="28"/>
          <w:rtl w:val="true"/>
          <w:lang w:bidi="ar-SA"/>
        </w:rPr>
        <w:t>، في سند أو دلالة، أو معاضد، أخذ بالأرجح ؛ لإجماع العلماء</w:t>
      </w:r>
      <w:r>
        <w:rPr>
          <w:rStyle w:val="FootnoteAnchor"/>
          <w:rtl w:val="true"/>
        </w:rPr>
        <w:footnoteReference w:id="2919"/>
      </w:r>
      <w:r>
        <w:rPr>
          <w:rFonts w:ascii="IRNazanin" w:hAnsi="IRNazanin" w:eastAsia="IRNazanin"/>
          <w:color w:val="111111"/>
          <w:sz w:val="28"/>
          <w:sz w:val="28"/>
          <w:szCs w:val="28"/>
          <w:rtl w:val="true"/>
          <w:lang w:bidi="fa-IR"/>
        </w:rPr>
        <w:t>، وبناء العقلاء</w:t>
      </w:r>
      <w:r>
        <w:rPr>
          <w:rStyle w:val="FootnoteAnchor"/>
          <w:rtl w:val="true"/>
        </w:rPr>
        <w:footnoteReference w:id="2920"/>
      </w:r>
      <w:r>
        <w:rPr>
          <w:rFonts w:ascii="Amiri" w:hAnsi="Amiri" w:eastAsia="Amiri" w:cs="Amiri"/>
          <w:color w:val="111111"/>
          <w:sz w:val="28"/>
          <w:sz w:val="28"/>
          <w:szCs w:val="28"/>
          <w:rtl w:val="true"/>
          <w:lang w:bidi="ar-SA"/>
        </w:rPr>
        <w:t>، وندرة دليل لا معارض له</w:t>
      </w:r>
      <w:r>
        <w:rPr>
          <w:rStyle w:val="FootnoteAnchor"/>
          <w:rtl w:val="true"/>
        </w:rPr>
        <w:footnoteReference w:id="2921"/>
      </w:r>
      <w:r>
        <w:rPr>
          <w:rFonts w:ascii="IRNazanin" w:hAnsi="IRNazanin" w:eastAsia="IRNazanin"/>
          <w:color w:val="111111"/>
          <w:sz w:val="28"/>
          <w:sz w:val="28"/>
          <w:szCs w:val="28"/>
          <w:rtl w:val="true"/>
          <w:lang w:bidi="fa-IR"/>
        </w:rPr>
        <w:t>عموماً وخصوصاً، مضافاً إلى نصوص العلاج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يشترط في المرجح كونه بنفسه حجة، فالشهرة ترجح وإن لم نقل بحجيتها</w:t>
      </w:r>
      <w:r>
        <w:rPr>
          <w:rStyle w:val="FootnoteAnchor"/>
          <w:rtl w:val="true"/>
        </w:rPr>
        <w:footnoteReference w:id="2922"/>
      </w:r>
      <w:r>
        <w:rPr>
          <w:rFonts w:ascii="Amiri" w:hAnsi="Amiri" w:eastAsia="Amiri" w:cs="Amiri"/>
          <w:color w:val="111111"/>
          <w:sz w:val="28"/>
          <w:sz w:val="28"/>
          <w:szCs w:val="28"/>
          <w:rtl w:val="true"/>
          <w:lang w:bidi="ar-SA"/>
        </w:rPr>
        <w:t>، بل وظن القياس ونحوه</w:t>
      </w:r>
      <w:r>
        <w:rPr>
          <w:rFonts w:eastAsia="Amiri" w:cs="Amiri" w:ascii="Amiri" w:hAnsi="Amiri"/>
          <w:color w:val="111111"/>
          <w:sz w:val="28"/>
          <w:szCs w:val="28"/>
          <w:rtl w:val="true"/>
          <w:lang w:bidi="ar-SA"/>
        </w:rPr>
        <w:t>.</w:t>
      </w:r>
      <w:r>
        <w:rPr>
          <w:rStyle w:val="FootnoteAnchor"/>
          <w:rtl w:val="true"/>
        </w:rPr>
        <w:footnoteReference w:id="2923"/>
      </w:r>
    </w:p>
    <w:p>
      <w:pPr>
        <w:pStyle w:val="BookText"/>
        <w:rPr/>
      </w:pPr>
      <w:r>
        <w:rPr>
          <w:rFonts w:ascii="Amiri" w:hAnsi="Amiri" w:eastAsia="Amiri" w:cs="Amiri"/>
          <w:color w:val="111111"/>
          <w:sz w:val="28"/>
          <w:sz w:val="28"/>
          <w:szCs w:val="28"/>
          <w:rtl w:val="true"/>
          <w:lang w:bidi="ar-SA"/>
        </w:rPr>
        <w:t>وهل المدار على المرجحات الخاصة</w:t>
      </w:r>
      <w:r>
        <w:rPr>
          <w:rStyle w:val="FootnoteAnchor"/>
          <w:rtl w:val="true"/>
        </w:rPr>
        <w:footnoteReference w:id="2924"/>
      </w:r>
      <w:r>
        <w:rPr>
          <w:rFonts w:ascii="Amiri" w:hAnsi="Amiri" w:eastAsia="Amiri" w:cs="Amiri"/>
          <w:color w:val="111111"/>
          <w:sz w:val="28"/>
          <w:sz w:val="28"/>
          <w:szCs w:val="28"/>
          <w:rtl w:val="true"/>
          <w:lang w:bidi="ar-SA"/>
        </w:rPr>
        <w:t>، أم على ظن الفقيه</w:t>
      </w:r>
      <w:r>
        <w:rPr>
          <w:rStyle w:val="FootnoteAnchor"/>
          <w:rtl w:val="true"/>
        </w:rPr>
        <w:footnoteReference w:id="2925"/>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المختار من الظن المطلق فالدائرة واسعة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المرجحات قد تتركب من اثنين فصاعداً، وقد تتعارض فيلاحظ فيها التعادل والترجيح ، فرجح الأقوى فالأقوى</w:t>
      </w:r>
      <w:r>
        <w:rPr>
          <w:rFonts w:eastAsia="Amiri" w:cs="Amiri" w:ascii="Amiri" w:hAnsi="Amiri"/>
          <w:color w:val="111111"/>
          <w:sz w:val="28"/>
          <w:szCs w:val="28"/>
          <w:rtl w:val="true"/>
          <w:lang w:bidi="ar-SA"/>
        </w:rPr>
        <w:t>.</w:t>
      </w:r>
      <w:r>
        <w:rPr>
          <w:rStyle w:val="FootnoteAnchor"/>
          <w:rtl w:val="true"/>
        </w:rPr>
        <w:footnoteReference w:id="2926"/>
      </w:r>
    </w:p>
    <w:p>
      <w:pPr>
        <w:pStyle w:val="BookText"/>
        <w:rPr/>
      </w:pPr>
      <w:r>
        <w:rPr>
          <w:rFonts w:ascii="Amiri" w:hAnsi="Amiri" w:eastAsia="Amiri" w:cs="Amiri"/>
          <w:color w:val="111111"/>
          <w:sz w:val="28"/>
          <w:sz w:val="28"/>
          <w:szCs w:val="28"/>
          <w:rtl w:val="true"/>
          <w:lang w:bidi="ar-SA"/>
        </w:rPr>
        <w:t>رجّح الله حسناتنا على سيئاتنا، ورفع في</w:t>
      </w:r>
      <w:r>
        <w:rPr>
          <w:rStyle w:val="FootnoteAnchor"/>
          <w:rtl w:val="true"/>
        </w:rPr>
        <w:footnoteReference w:id="2927"/>
      </w:r>
      <w:r>
        <w:rPr>
          <w:rFonts w:ascii="Amiri" w:hAnsi="Amiri" w:eastAsia="Amiri" w:cs="Amiri"/>
          <w:color w:val="111111"/>
          <w:sz w:val="28"/>
          <w:sz w:val="28"/>
          <w:szCs w:val="28"/>
          <w:rtl w:val="true"/>
          <w:lang w:bidi="ar-SA"/>
        </w:rPr>
        <w:t>الآخرة درجاتنا، بمحمد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فرغ من تأليفه مؤلفه الفقير في آخر العشر الثالث من الشهر السابع، من السنة الثالثة من العشر السّادس من المئة الثالثة الألف الثاني حامداً، مصلّياً، مسلماً، كثيراً كثيراً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فرغ من تحريره أقل تلاميذ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السميع بن محمد علي بن أحمد اليزدي موطناً، الحائري مسكناً، في بندر معمور بمبئي، في أواخر شهر صفر المظفّر من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7" w:name="pg9015_97928"/>
      <w:bookmarkStart w:id="878" w:name="pg9015_97928"/>
      <w:bookmarkEnd w:id="878"/>
    </w:p>
    <w:p>
      <w:pPr>
        <w:pStyle w:val="Heading2"/>
        <w:numPr>
          <w:ilvl w:val="1"/>
          <w:numId w:val="1"/>
        </w:numPr>
        <w:rPr/>
      </w:pPr>
      <w:bookmarkStart w:id="879" w:name="pg9015_97928"/>
      <w:bookmarkStart w:id="880" w:name="__RefHeading___Toc2001961_2870459653"/>
      <w:bookmarkStart w:id="881" w:name="_Toc330"/>
      <w:bookmarkEnd w:id="879"/>
      <w:bookmarkEnd w:id="880"/>
      <w:r>
        <w:rPr>
          <w:rtl w:val="true"/>
        </w:rPr>
        <w:t>المصادر</w:t>
      </w:r>
      <w:bookmarkEnd w:id="8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لأبي منصور أحمد بن علي بن أبي طالب الطبرسي، من أعلام القرن السادس تعليقات وملاحظات السيد محمد باقر الموسوي الخرسان، منشورات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الإحكام في أصول الأحكام، لسيف الدين أبي الحسن علي بن أبي علي بن محمد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ضبطه وكتب حواشيه الشيخ إبراهيم العجوز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الفحول إلى تحقيق الحق من علم الأصول، للعلامة محمد بن علي 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علق عليه أحمد محمد سعدية،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إشارات الأصول، للفاضل العلّامة محمد إبراهيم بن محمد حسن الكرباسي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الإشارات والتنبيهات للشيخ الرئيس أبي علي حسين بن عبد الله 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النشر البلاغة قم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اصطلاحات الأصول ومعظم أبحاثها، للميرزا علي المشكيني، دفتر نشر الهادي، قم،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أعيان الشيعة للمتتبع 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حققه وأخرجه السيد حسن الأمين، دار التعارف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الاقتصاد فيما يتعلق بالاعتقاد، 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الألفية في الصلاة اليومية، محمد بن مكي العاملي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الشيخ محمد عسيران، دار الأضواء،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كذرخان،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الناشر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الملكوت في شرح فص الياقوت، للعلّامة جمال الدين 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وعلق عليه علي أكبر ضيائي، مؤسسة الهدى للنشر والتوزيع،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أنيس المجتهدين، للعلّامة المولى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مركز العلوم والثقافة الإسلامية مؤسسة بوستان کتاب، قم،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الفوائد في شرح إشكالات القواعد لفخر المحققين أبي طالب محمد بن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 وإشراف السيد حسين الموسوي الكرماني، والشيخ علي بناه الاشتهاردي، والشيخ عبد الرحيم البروجردي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 للعلّامة المولى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 الشيخ علي النمازي الشاهرودي، منشورات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البحر المحيط في أصول الفقه للإمام بدر الدين أبي عبد الله محمد بن بهادر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قام بتحريره الشيخ عبد القادر عبد الله العاني، الناشر وزارة </w:t>
      </w:r>
    </w:p>
    <w:p>
      <w:pPr>
        <w:pStyle w:val="BookText"/>
        <w:rPr/>
      </w:pPr>
      <w:r>
        <w:rPr>
          <w:rFonts w:ascii="Amiri" w:hAnsi="Amiri" w:eastAsia="Amiri" w:cs="Amiri"/>
          <w:color w:val="111111"/>
          <w:sz w:val="28"/>
          <w:sz w:val="28"/>
          <w:szCs w:val="28"/>
          <w:rtl w:val="true"/>
          <w:lang w:bidi="ar-SA"/>
        </w:rPr>
        <w:t xml:space="preserve">الأوقاف والشؤون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بدائع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الميرزا حبيب الله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التبصير في الدين لأبي المظفر الاسفراييني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زاهد بن الحسن الكوثري،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 أحمد حبيب قصير العاملي،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تحرير القواعد المنطقية في شرح الرسالة الشمسية لقطب الدين محمد بن محمد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محسن ،بیدارفر منشورات بيدار قم، ط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بأصول الفقه للشيخ المفيد أبي عبد 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رضا الحسيني الجلالي، المؤتمر العالمي بمناسبة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ذكرى ألفية الشيخ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تراث كربلاء للاستاذ سلمان هادي آل طعمة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تشنيف المسامع بجمع الجوامع ، للإمام بدر الدين أبي عبد الله محمد بن بهادر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سيد عبد العزيز والدكتور عبد الله ربيع، مكتبة قرطبة للبحث العلمي وإحياء التراث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على معالم الأصول للمحقق الأصولي السيد علي الموسوي القزويني ت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علي العلوي القزويني مؤسسة النشر الإسلامي قم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الإمام العسكري المنسوب للإمام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علي عاشور، مؤسسة قائد الغر المحجلين،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للمحدث الجليل أبي النصر محمد بن مسعود بن عياش السلمي السمر قندي من أعلام القرن الثالث، تصحيح وتعليق السيد هاشم الرسولي المحلاتي منشورات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أبي الحسن علي بن إبراهيم القمي من أعلام القرن الثالث، تحقيق ونشر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والإرشاد للقاضي أبي بكر محمد بن الطيب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الحميد بن علي، 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تقريرات آية الله المجدّد الشيرازي للمولى علي الروزدري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ونشر مؤسسة آل البيت علیهم السلام لإحياء التراث قم،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تكملة أمل الآمل، للحجة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الكريم الدباغ، دار المؤرخ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المفتاح للإمام جلال الدين محمد بن عبد الرحمن القزويني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الاستاذ عبد الرحمن البرقوقي، الناشر دار الفكر العربي،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تمهيد الأصول 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وتصحيح المركز التخصصي لعلم الكلام الإسلامي، انتشارات رائد، قم،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تمهيد القواعد للفقيه زين الدين بن علي العاملي المعروف بالشهيد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مكتب الإعلام الإسلامي فرع خراسان الرضوي، مؤسسة بوستان کتاب، 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التنقيح الرائع لمختصر الشرائع، للفقيه 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عبد الطيف الحسيني الكوهكمري، منشورات مكتبة آية الله المرعشي النجفي قم،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لشيخ الطائفة أبي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ضبطه وصححه محمد جعفر شمس الدين دار التعارف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الوصول إلى علم الأصول للعلّامة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باقر الناصري، الناشر ذوي القربي،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لرئيس المحدثين أبي جعفر الصدوق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صححه وعلق عليه هاشم الحسيني الطهراني، مؤسسة النشر الإسلامي قم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المقال في علم الرجال للعلّامة الملا علي 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حسين ،مولوي، دار الحديث قم،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المقاصد في شرح القواعد للمحقق الثاني علي بن الحسين الكركي 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آل البيت لإحياء التراث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لأبي عبد 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سالم مصطفى البدري،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الجوامع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الأصول، للعلّامة المولى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السيد المرتضى قم،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جامعة الأصول للعلّامة المولى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رضا الاستادي، مؤتمر المولى مهدي النراقي قم،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الكلام في شرح شرائع الإسلام للفقيه المحقق محمد حسن النجفي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حيدر الدباغ مؤسسة النشر الإسلامي قم،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 النضيد في شرح منطق التجريد، للعلّامة الحسن بن يوسف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 محسن بیدار فر منشورات بیدار قم،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الملا عبد الله على التهذيب لنجم الدين عبد الله بن الحسين اليزدي البهابادي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 السيد مصطفى الحسيني الدشتي، ديوان الوقف الشيعي،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في أحكام العترة الطاهرة للفقيه المحدّث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النشر الإسلامي قم،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الحركة الأدبية المعاصرة في كربلاء، للأستاذ صادق آل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اصدار شعبة إحياء التراث الثقافي والديني التابع للعتبة الحسينية المقدسة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الإيمان للفقيه زين الدين بن علي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منشورات مكتبة المرعشي النجفي قم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خزائن الأحكام للعلّامة الفاضل الملا آغا بن عابد بن رمضان بن زاهد الشيرواني الحائري المعروف بالفاضل الدربندي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لرئيس المحدثين أبي جعفر الصدوق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ذخيرة المعاد في شرح الإرشاد للشيخ محمّد باقر بن محمد مؤمن السبزواري </w:t>
      </w:r>
    </w:p>
    <w:p>
      <w:pPr>
        <w:pStyle w:val="BookText"/>
        <w:rPr/>
      </w:pPr>
      <w:r>
        <w:rPr>
          <w:rFonts w:ascii="IRNazanin" w:hAnsi="IRNazanin" w:eastAsia="IRNazanin"/>
          <w:color w:val="111111"/>
          <w:sz w:val="28"/>
          <w:sz w:val="28"/>
          <w:szCs w:val="28"/>
          <w:rtl w:val="true"/>
          <w:lang w:bidi="fa-IR"/>
        </w:rPr>
        <w:t xml:space="preserve">المعروف بالمحقق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الناشر مؤسسة آل البيت علیهم السلام لإحياء التراث، طبعة حجرية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الذخيرة في علم الكلام للسيد علم الهدى أبي القاسم علي بن الحسين الموسوي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مؤسسة النشر الإسلامي قم،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أصول الشريعة للسيد علم الهدى أبي القاسم علي بن الحسين الموسوي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 مؤسسة الإمام الصادق ،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تصانيف الشيعة البحاثة المتتبع محمد محسن الشهير بالشيخ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مراجعة وتصحيح السيد رضا بن جعفر مرتضى العاملي،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ذكرى الشيعة في أحكام الشريعة للفقيه محمد بن جمال الدين مكي العاملي الجزيني المعروف بالشهيد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 مؤسسة آل البيت لإحياء التراث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التحسين والتقبيح العقليين للعلّامة الشيخ جعفر السبحاني، مؤسسة الإمام الصادق الله ، قم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الأصولية، للأستاذ الأكبر الشيخ محمد باقر بن محمد أكمل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 مؤسسة العلّامة المجدد الوحيد البهبهاني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رسائل الشريف المرتضى للسيد علم الهدى أبي القاسم علي بن الحسين الموسوي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مهدي رجائي، نشر دار القرآن الكريم قم،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الفقهية، للأستاذ الأكبر الشيخ محمد باقر بن محمد أكمل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 مؤسسة العلّامة المجدّد الوحيد البهبهاني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المحقق الكركي للمحقق الثاني علي بن الحسين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محمد الحسون مؤسسة النشر الإسلامي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الرعاية لحال البداية في علم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رسائل في دراية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للفقيه زين الدين بن علي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غلام حسين قيصريه 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الرواشح السماوية، للمير داماد محمد باقر الحسيني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نعمة الله الجليلي، وغلام حسين قيصيرية ها، دار الحديث للطباعة والنشر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في شرح إرشاد الأذهان للفقيه زين الدين بن علي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 مركز الأبحاث والدراسات الإسلامية ،قم، دار الكتب العلمية بيروت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روضات الجنات في أحوال العلماء والسادات للعلّامة الميرزا محمد باقر الموسوي الخوانساري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للفقيه زين الدين بن علي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بإشراف وتصحيح الشيخ حسن القاروبي التبريزي، منشورات دار التفسير ، قم ،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رياض العلماء وحياض الفضلاء، للعلّامة المتتبع الميرزا عبد الله بن عيسى الأصبهاني التبريزي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منشورات </w:t>
      </w:r>
    </w:p>
    <w:p>
      <w:pPr>
        <w:pStyle w:val="BookText"/>
        <w:rPr/>
      </w:pPr>
      <w:r>
        <w:rPr>
          <w:rFonts w:ascii="Amiri" w:hAnsi="Amiri" w:eastAsia="Amiri" w:cs="Amiri"/>
          <w:color w:val="111111"/>
          <w:sz w:val="28"/>
          <w:sz w:val="28"/>
          <w:szCs w:val="28"/>
          <w:rtl w:val="true"/>
          <w:lang w:bidi="ar-SA"/>
        </w:rPr>
        <w:t xml:space="preserve">مكتبة آيه الله المرعشي النجفي قم،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المسائل في بيان الأحكام بالدلائل، للمحقق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دار الهادي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الأصول، للعلّامة بهاء الدين محمد بن الحسين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فارس حسون كريم لمدرسة و ولي العصر قم،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الأصول مع حواشي المصنف عليها، للعلّامة بهاء الدين محمد بن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علي جبار الكلباغي الماسولة، انتشارات دار البشير، قم،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 الربيع، للمحدث العلّامة السيد نعمة الله بن محمد بن عبد الله الموسوي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الارومية،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السبع الشداد للمير داماد محمد باقر الحسيني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سبيكة اللجين في الفرق بين الفريقين للعلّامة المحدث السيد ميرزا محمد جمال الدين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السيد ضرغام الموسوي، منشورات دار الحسين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الحاوي لتحرير الفتاوي للشيخ الفقيه أبي جعفر محمد بن منصور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 مؤسسة النشر الإسلامي قم،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للحافظ أبي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ضبطه محمد عبد العزيز الخالدي،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الترمذي، للحافظ أبي عيسى محمد بن عيسى بن سورة الترمذي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ضبطه وصححه خالد عبد الغني محفوظ ، دار الكتب العلمية، بيروت 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الدارقطني، للحافظ علي بن عمر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للحافظ أبي محمد عبد الله بن بهرام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الغني مستو، المكتبة العصرية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ابن عقيل على ألفية ابن مالك لقاضي القضاة بهاء الدين عبد الله ابن عقيل العقيلي الهمداني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ديوان الوقف الشيعي،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العضد على مختصر المنتهى الأصولي، للقاضي عضد الدين عبد الرحمن بن أحمد الآيجي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ضبطه ووضع حواشيه فادي نصيف وطارق يحيی،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العقائد العضدية، للإمام جلال الدين الدواني الشافعي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المختصر، للعلّامة سعد الدين مسعود بن عمر سعد الدين 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عبد الحميد هنداوي، دار المجتبى،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المقاصد، للعلّامة سعد الدين 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الرحمن عميرة، منشورات الشريف الرضي،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المواقف، للمحقق السيد الشريف علي بن محمد بن علي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عنى بتصحيحه السيد محمد بدر الدين النعساني، منشورات الشريف الرضي، قم ،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الوافية، للفاضل صدر الدين محمد بن محمد باقر الرضوي القمي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حدود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مخطوطة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كافية ابن الحاجب، رضي الدين محمد بن الحسن الاسترآبادي ت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هوامشه الدكتور اميل يعقوب منشورات ذوي القربى قم،</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شوارق الإلهام في شرح تجريد الكلام للحكيم عبد الرزاق اللاهيج ت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أكبر أسد علي زاده، مؤسسة الإمام الصادق ، قم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تاج اللغة وصحاح العربية،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عبد الغفور عطار،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للإمام أبي عبد الله محمد بن اسماعيل بن إبراهيم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ضبط النص محمود محمد نصار،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ضوابط الأصول، للمحقق السيد إبراهيم بن محمد باقر القزويني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اصدار شعبة إحياء التراث الثقافي والديني التابع للعتبة الحسينية المقدسة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للشيخ العارف جمال الدين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شركة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في أصول الفقه، 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رضا الأنصاري القمي،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العناوين، للفقيه المحقق السيد مير عبد الفتاح الحسيني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 ونشر مؤسسة النشر الإسلامي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اللآلئ العزيزية في الأحاديث الدينية، للشيخ محمد بن أبي جمهور الإحسائي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مجتبى العراقي،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للخليل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مهدي المخزومي، والدكتور إبراهيم السامرائي، الناشر انتشارات اسوة قم،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المأمول في شرح زبدة الأصول للفاضل الشيخ أبي عبد الله محمد الجواد شمس الدين الكاظمي المشتهر بالفاضل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أواسط القرن الحادي عشر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مخطوطة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الوصول وإيضاح السبل في شرح مختصر منتهى السؤل والأمل، للعلّامة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 الشيخ 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مرداني بور منشورات مؤسسة الإمام الصادق ع الله قم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غنية النزوع إلى علمي الأصول والفروع للفقيه الاقدم حمزة بن علي بن زهرة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 البهادري، الناشر مؤسسة الإمام الصادق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الغيث الهامع شرح جمع الجوامع لولي الدين أبي زرعة أحمد بن عبد الرحيم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تامر حجازي،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الأصول، للشيخ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 نشر مؤسسة ذوي القربى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 المهموم في تاريخ علماء النجوم للعالم الزاهد رضي الدين أبي القاسم علي </w:t>
      </w:r>
    </w:p>
    <w:p>
      <w:pPr>
        <w:pStyle w:val="BookText"/>
        <w:rPr/>
      </w:pPr>
      <w:r>
        <w:rPr>
          <w:rFonts w:ascii="Amiri" w:hAnsi="Amiri" w:eastAsia="Amiri" w:cs="Amiri"/>
          <w:color w:val="111111"/>
          <w:sz w:val="28"/>
          <w:sz w:val="28"/>
          <w:szCs w:val="28"/>
          <w:rtl w:val="true"/>
          <w:lang w:bidi="ar-SA"/>
        </w:rPr>
        <w:t xml:space="preserve">بن موسى بن جعفر بن محمد بن طاووس الحسني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الرضي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الغروية في الأصول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محمد حسن الأصفهاني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إحياء العلوم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كتب الشيعة وأصولهم وأسماء المصنفين وأصحاب الأصول لشيخ الطائفة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العلّامة المدقق عبد العزيز الطباطبائي، مكتبة المحقق الطباطبائي قم،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فواتح الرحموت بشرح مسلم الثبوت في أصول الفقه للعلامة عبد العلي محمد بن نظام الدين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الاميرية ببولاق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الأصولية، لسيد الطائفة السيد محمد مهدي بحر العلوم ت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هادي قبيسي العاملي مركز تراث السيد بحر العلوم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الأصولية، للشيخ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حسن المراغي ، الناشر مؤسسة شمس تبريزي طهران،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الحائرية، للأستاذ الأكبر الشيخ محمد باقر بن محمد أكمل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مجمع الفكر الإسلامي، قم،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الطوسية، للمحدث الكبير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نمقه وعلق عليه السيد مهدي اللاجوردي الحسيني والشيخ محمد درودي، مكتبة المحلاتي،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المدنية للمحدث المولى محمد الأمين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النشر الإسلامي، قم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للعلّامة اللغوي مجد الدين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اعداد وتقديم محمد عبد الرحمن المرعشلي،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العلماء للعالم الفاضل الميرزا محمد بن سليمان التنكابني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 الشيخ مالك وهبي، منشورات ذوي القربى،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الشريفة، للعلّامة محمد شفيع بن علي الأكبر الجابلقي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والفوائد في الفقه والأصول والعربية للفقيه محمد بن جمال الدين مكي العاملي الجزيني المعروف بالشهيد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الهادي الحكيم الناشر مؤسسة البلاغ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القوانين المحكمة في الأصول المتقنة للميرزا المحقق أبي القاسم القمي ت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وتعليق رضا حسین ،صبح دار زين العابدين قم، ط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لثقة الإسلام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ضبطه وصححه محمد جعفر شمس الدين دار التعارف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للشيخ الاقدم أبي القاسم جعفر بن محمد بن قولويه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الرضا،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الأربعين للعلّامة المولى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العلمية،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الكشاف عن حقائق التنزيل وعيون الأقاويل في وجوه التأويل، لأبي القاسم محمود بن عمر الزمخشري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الرزاق المهدي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الغطاء عن مبهمات الشريعة الغراء للعلّامة الكبير الشيخ جعفر بن الشيخ خضر المالكي الجناجي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مركتب الاعلام الإسلامي، مؤسسة بوستان کتاب،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المراد في شرح تجريد الاعتقاد، للعلّامة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ديوان الوقف الشيعي،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الكليات، لأبي البقاء أيوب بن موسى الحسيني القريمي الكفوي ت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عدنان درويش ومحمد المصري، منشورات ذوي</w:t>
      </w:r>
    </w:p>
    <w:p>
      <w:pPr>
        <w:pStyle w:val="BookText"/>
        <w:rPr/>
      </w:pPr>
      <w:r>
        <w:rPr>
          <w:rFonts w:ascii="IRNazanin" w:hAnsi="IRNazanin" w:eastAsia="IRNazanin"/>
          <w:color w:val="111111"/>
          <w:sz w:val="28"/>
          <w:sz w:val="28"/>
          <w:szCs w:val="28"/>
          <w:rtl w:val="true"/>
          <w:lang w:bidi="fa-IR"/>
        </w:rPr>
        <w:t>القربى، قم،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الفوائد للإمام أبي الفتح الشيخ محمد بن علي بن عثمان الكراجكي الطرابلسي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حققه وعلق عليه العلّامة الشيخ عبد الله نعمة، دار الأضواء، بیروت،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للإمام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اعتنى بتصحيحه أمين محمد عبد الوهاب ومحمد الصادق العبيدي،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مبادئ الوصول إلى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كتاب نصوص الدراسة في الحوزة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للعلّامة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حسين الحسيني الجلالي، منشورات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في فقه الإمامية، 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 مؤسسة النشر الإسلامي،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البحرين للعالم المحدث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أحمد الحسيني، الناشر المكتبة المرتضوية طهران،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لأمين الإسلام أبي علي الفضل بن الحسن الطبرسي من أعلام القرن السادس الهجري، تحقيق لجنة من العلماء،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الفائدة والبرهان في شرح إرشاد الأذهان، للفقيه المحقق أحمد بن مجمع محمد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مجتبى العراقي وعلي بناه الاشتهاردي وحسين الأصفهاني، مؤسسة النشر الإسلامي قم ،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المحصول في علم أصول الفقه، للإمام فخر الدين محمد بن عمر بن الحسين البكري الرازي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عادل أحمد عبد الموجود وعلي محمد معوض المكتبة العصرية،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المحصول في علم الأصول، للمحقق السيد محسن بن الحسن بن مرتضى الأعرجي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هادي الشيخ طه، مركز المرتضى لإحياء التراث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منتهى السؤل والأمل في علمي الأصول والجدل للعلّامة ابن الحاجب جمال الدين أبي عمر و عثمان بن عمر بن أبي بكر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نذير حمادو، دار ابن حزم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مدارك الأحكام في شرح شرائع الإسلام للفقيه محمد بن علي الموسوي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آل البيت لإحياء التراث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الأفهام إلى تنقيح شرائع الإسلام للفقيه زين الدين بن علي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المعارف الإسلامية قم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الوسائل و مستنبط المسائل خاتمة المحدثين الميرزا حسين النوري </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المستصفى من علم الأصول، لحجة الإسلام أبي حامد محمد بن محمد الغزالي 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الاميرية ببولاق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مشارق الشموس في شرح الدروس للمحقق حسين بن جمال الدين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 مؤسسة آل البيت لإحياء التراث طبعة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مشاهير علماء الأمصار وأعلام فقهاء الأقطار، للحافظ أبي حاتم محمد بن حبان بن أحمد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مرزوق علي إبراهيم، دار الوفاء للطباعة والنشر،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مشرق الشمسين وأكسير السعادتين للعلّامة بهاء الدين محمد بن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مهدي الرجائي، مؤسسة الطبع والنشر التابعة للآستانة الرضوية المقدسة مشهد المقدسة،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في غريب الشرح الكبير للعلامة أحمد بن محمد بن علي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 مؤسسة دار الهجرة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مطارح الأنظار تقريرات الشيخ الأعظم الأنصاري، للعلّامة المحقق الميرزا أبي القاسم الكلانتري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 مجمع الفكر الإسلامي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المطول شرح تلخيص المفتاح للعلّامة سعد الدين مسعود بن عمر التفتازاني ت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 أحمد عزو عناية، دار الكوخ للطباعة والنشر،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معارج الأصول، للمحقق أبي القاسم نجم الدين جعفر بن الحسن الحلي 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اعداد محمد حسين الرضوي، مؤسسة آل البيت قم،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معارج الفهم في شرح النظم للعلّامة جمال الدين 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الحليم عوض الحلي، منشورات دليل ما قم،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معارف الرجال في تراجم العلماء والأدباء للعلّامة الشيخ محمد حرز الدين 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علق عليه محمد حسين حرز ،الدين منشورات مكتبة المرعشي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للعلّامة الشيخ حسن بن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الشيخ علي محمدي، دار الفكر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لرئيس المحدثين أبي جعفر الصدوق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المرتضى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في شرح المختصر، للمحقق أبي القاسم نجم الدين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ذوي القربى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الأصولي، للشيخ محمد صنقور علي منشورات الطيار قم،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الشامل، إبراهيم سرور ، دار الكاتب العربي،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مصطلحات الرجال والدراية، لمحمد رضا جديدي نجاد، اشرافمحمد کاظم رحمن ستایش دار الحديث للطباعة والنشر قم،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المؤلفين، عمر رضا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مغني اللبيب عن كتب الأعاريب، للإمام أبي محمد عبد الله جمال الدين بن يوسف بن هشام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محيي الدين عبد الحميد، منشورات ذوي القربى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الأصول، للعلامة المجاهد السيد محمد بن علي الطباطبائي ت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الغيب للإمام فخر الدين محمد بن عمر بن الحسين البكري الرازي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الأحكام، للمولى أحمد بن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مركز العلوم والثقافة الإسلامية، مؤسسة بوستان كتاب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العلوم للإمام أبي يعقوب يوسف بن أبي بكر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حمدي محمدي ،قابيل المكتبة التوفيقية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الكرامة في شرح قواعد العلّامة للفقيه السيد محمد جواد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حققه وعلق عليه الشيخ محمد باقر الخالصي، نشر مؤسسة النشر الإسلامي قم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المقاصد العلية في شرح الرسالة الألفية للفقيه زين الدين بن علي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 مركز الأبحاث والدراسات الإسلامية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المقالات الغرية في المباحث الأصولية، للمحقق الميرزا محمد صادق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باسم مجيد الساعدي مركز المرتضى لإحياء التراث، النجف الأشرف،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مقباس الهداية في علم الدراية للعلّامة الرجالي الشيخ عبد الله المامقاني ت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محمد رضا المامقاني منشورات دليل ما،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لرئيس المحدثين أبي جعفر الصدوق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ضبطه وصححه محمد جعفر شمس الدين، </w:t>
      </w:r>
    </w:p>
    <w:p>
      <w:pPr>
        <w:pStyle w:val="BookText"/>
        <w:rPr/>
      </w:pPr>
      <w:r>
        <w:rPr>
          <w:rFonts w:ascii="Amiri" w:hAnsi="Amiri" w:eastAsia="Amiri" w:cs="Amiri"/>
          <w:color w:val="111111"/>
          <w:sz w:val="28"/>
          <w:sz w:val="28"/>
          <w:szCs w:val="28"/>
          <w:rtl w:val="true"/>
          <w:lang w:bidi="ar-SA"/>
        </w:rPr>
        <w:t xml:space="preserve">دار التعارف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المناهل للعلّامة المجاهد السيد محمد بن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منبع الحياة وحجية قول المجتهد من الأموات للمحدّث العلّامة السيد نعمة الله بن محمد بن عبد الله الموسوي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منتقى الجمان في الأحاديث الصحاح والحسان للعلّامة الشيخ حسن 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 علي أكبر الغفاري، مؤسسة النشر الإسلامي،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المنقذ من التقليد، للعلّامة المدقق سديد الدين محمود الحمصي الرازي المتوفى أوائل القرن السابع، تحقيق ونشر مؤسسة النشر الإسلامي،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السنة النبوية في نقض كلام الشيعة القدرية، لتقي الدين أبي العباس أحمد بن عبد الحليم بن تيمية الحراني الحنبلي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رشاد سالم، جامعة محمد بن سعود الإسلامية،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اللبيب في شرح التهذيب للسيد ضياء الدين عبد الله بن محمد بن الأعرج الحسيني الحلي، كان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 مؤسسة الإمام الصادق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المريد في آداب المفيد والمستفيد للفقيه زين الدين بن علي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ديوان الوقف الشيعي،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طبقات الفقهاء، اللجنة العلمية في مؤسسة الإمام الصادق ، إشراف العلّامة الشيخ جعفر السبحاني، الناشر مؤسسة الإمام الصادق قم،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مؤلفي الإمامية لمجموعة من الباحثين والمؤلفين، المشرف العام الشيخ مجتبى الحمودي، مجمع الفكر الإسلامي،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النافع يوم الحشر في شرح الباب الحادي عشر للفقيه 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ديوان الوقف الشيعي،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نتائج الأفكار، للمحقق السيد إبراهيم بن محمد باقر القزويني الحائري ت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إصدار شعبة إحياء التراث الثقافي والديني التابع للعتبة الحسينية المقدسة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نضد القواعد الفقهية على مذهب الإمامية للفقيه 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عبد اللطيف الكوهكمري، الناشر مكتبة آيه الله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الإقدام في علم الكلام لأبي الفتح محمد بن عبد الكريم بن أبي بكر أحمد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حرّره وصححه الفريد جيوم مكتبة الثقافة الدينية القاهرة،</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السول للإمام جمال الدين عبد الرحيم الاسنوي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ضبطه عبد القادر محمد علي،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المأمول في شرح مبادئ الوصول لفخر المحققين أبي طالب محمد بن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 الشيخ حميد رمح الحلي، مركز العلّامة الحلي التابع للعتبة الحسينية المقدسة،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الوصول إلى علم الأصول للعلّامة الحسن بن يوسف بن المطهر الحلي 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الشيخ إبراهيم البهادري ، الناشر مؤسسة الإمام الصادق ،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النهاية في غريب الحديث والأثر، للإمام مجد الدين أبي السعادات المبارك </w:t>
      </w:r>
    </w:p>
    <w:p>
      <w:pPr>
        <w:pStyle w:val="BookText"/>
        <w:rPr/>
      </w:pPr>
      <w:r>
        <w:rPr>
          <w:rFonts w:ascii="Amiri" w:hAnsi="Amiri" w:eastAsia="Amiri" w:cs="Amiri"/>
          <w:color w:val="111111"/>
          <w:sz w:val="28"/>
          <w:sz w:val="28"/>
          <w:szCs w:val="28"/>
          <w:rtl w:val="true"/>
          <w:lang w:bidi="ar-SA"/>
        </w:rPr>
        <w:t xml:space="preserve">بن محمد الجزري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طاهر أحمد الزاوي ومحمود محمد الطناحي، نشر دار التفسير،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الحق وكشف الصدق، للعلّامة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علق عليه الشيخ عين الله الحسني الأرموي، منشورات دار الهجرة،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هداية الأبرار إلى طريق الأئمة الأطهار، للعالم المحقق الشيخ حسين بن شهاب الدين الكركي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رؤوف جمال الدين،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هداية المسترشدين في شرح أصول معالم الدين للفقيه المحقق الشيخ محمد تقي الرازي النجفي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النشر الإسلامي، قم،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هدية العارفين أسماء المؤلفين وآثار المصنفين إسماعيل باشا البغدادي 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مؤسسة التاريخ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الوافية في أصول الفقه للفاضل المولى عبد الله بن محمد البشروي الخراساني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محمد حسين الرضوي، مؤسسة مجمع الفكر الإسلامي،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إلى تحصيل مسائل الشريعة للمحدث الكبير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w:t>
      </w:r>
      <w:r>
        <w:rPr>
          <w:rFonts w:eastAsia="Amiri" w:cs="Amiri" w:ascii="Amiri" w:hAnsi="Amiri"/>
          <w:color w:val="111111"/>
          <w:sz w:val="28"/>
          <w:szCs w:val="28"/>
          <w:rtl w:val="true"/>
          <w:lang w:bidi="ar-SA"/>
        </w:rPr>
        <w:t xml:space="preserve">. </w:t>
      </w:r>
      <w:bookmarkStart w:id="882" w:name="pg9015_97975"/>
    </w:p>
    <w:p>
      <w:pPr>
        <w:pStyle w:val="Heading2"/>
        <w:numPr>
          <w:ilvl w:val="1"/>
          <w:numId w:val="1"/>
        </w:numPr>
        <w:rPr/>
      </w:pPr>
      <w:bookmarkStart w:id="883" w:name="__RefHeading___Toc2001963_2870459653"/>
      <w:bookmarkStart w:id="884" w:name="_Toc331"/>
      <w:bookmarkEnd w:id="882"/>
      <w:bookmarkEnd w:id="883"/>
      <w:r>
        <w:rPr>
          <w:rtl w:val="true"/>
        </w:rPr>
        <w:t>الفهرس</w:t>
      </w:r>
      <w:bookmarkEnd w:id="884"/>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مقدمة 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أما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العلم وفائدته وموضوعه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الأصل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الفقه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الإيرادين المشهورين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موضوع هذا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غاية هذا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اللفظ والمعنى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تقسيمات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الوضع وتقسيمه باعتبار أركانه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الوضع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النزاع مع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الألفاظ اسام للصحيح أو الأعمّ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معنى الأعم والصحيح والصحة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الصحيحي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الوضع وعلائمه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التبادر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السلب وعدمها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الاطّراد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العلائم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المشترك واستعمالاته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المشترك في أكثر من 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كيفية أوضاع المفردات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كيفية أوضاع التثنية والجمع وأداة النفي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استعمال اللفظ في معنييه الحقيقي والمجازي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معنى الحقيقة والمجاز والكناية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الألفاظ موضوعة للمعاني اللابشرط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الألفاظ موضوعة للأمور النفس الأمرية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العرف واللغة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عرف السائل والمسؤول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 ألفاظ الموازين والمقادير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صيغة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المجاز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الأمر بالأمر أمر أم 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الوارد عقيب الحظر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المرة والتكرار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الفور والتراخي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فى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القول بالفور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القضاء بفرض جديد أم لا بل بالأمر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الواجب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المقدمة وبيان أقسامها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الضد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مع العلم بانتفاء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الأمر لطلب ايجاد الماهية لا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اجتماع الأمر والنهي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الامتناع بالاختيار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النهي على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المنطوق والمفهوم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مفهوم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مفهوم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مفهوم 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الحصر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للعام صيغة تخصه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المحلّى باللام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المفرد المحلّى باللام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المفرد المضاف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المفرد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أقل ما يطلق عليه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الاستفصال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التشبيه والمنزلة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الخطاب الشفاهي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التخصيص والخاص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منتهى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استثناء النصف والأكثر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المخصص وانه حقيقة أم 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حجية المخصّص بالمجمل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العمل بالعام قبل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تعقب الخاص للعمومات المتعددة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الضمير الراجع إلى بعض أفراد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العبرة بعموم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 العام بمفهوم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تخصيص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المطلق والمقيد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العموم المستفاد من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التشكيك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المطلق على المقيد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المجمل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توارد المجمل والمبين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المبيّن وعدم تأخير البيان عن وقت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الضرر المحتمل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وأقسامها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الخبر إلى المتواتر والآحاد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أصالة حرمة العمل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انقلاب الأصل الأولي في الجملة في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دليل الانسداد قضية مهملة وليست كلية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حجية الظن مشروطة بعدم التمكن من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ميزان مقدار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وجوب تحصيل الظن الأقوى على المجتهد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الظنين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حجية الظن في المسائل الأصولية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في الموضوع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في الموضوع المستنبط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في المسائل المشتبهة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الاعتقادية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التسامح في السنن والكراهة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الخبر المرسل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الأدلة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إدراك العقل للحسن و القبح بطريق الإيجاب الجزئي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إدراك العقل الثواب والعقاب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أصل في حجيّة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أخر لنفي حجية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أصل في إثبات تبعية الأحكام الشرعية للصفات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الحسن و القبح هل هما ذاتيان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خلو واقعة من الوقائع عن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الأشياء قبل ورود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في ذكر مسائل البراءة والاحتياط وفي الشك في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الأصل </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الجاري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الوجوب والإباحة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أصل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دوران الأمر بين الوجوب والندب والإباحة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الوجوبية ودوران الأمر بين الأقل والأكثر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الارتباطيين مع كون الشبهة مرادية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النفسية والغيرية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الأقل والأكثر الاستقلاليين مع كون الشبهة مرادية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المتباينين مع كون الشبهة مرادية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الأقل والأكثر الاستقلاليين في الشبهة المصداقية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المتباينين في الشبهة المصداقية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المتباينين مع كون الشبهة في مصداق 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في الشبهة التحريمية مع الشك في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التحريمية ودوران الأمر بين المتباينين الشبهة المصداقية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المحذورين في الشبهة الحكمية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الوجوب والكراهة، أو الحرمة والندب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الفحص قبل العمل بأصل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وتعريفه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الاستصحاب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أصل في حجية الاستصحاب في الأمور الخارجية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أصل في حجية الاستصحاب في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الاستصحاب فيما ثبت من الإجماع كغيره من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الاستصحاب سواء كان الشكّ في وجود المقتضي أو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الشك في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الطارئ والساري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في الشك في الحادث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في الموضوع المستنبط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العملية اللفظية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في التوابع واللوازم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مجرى أصالة تأخر الحادث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الاستصحاب في الأحكام الظاهرية والواقعية كليهما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في الأمور التدريجية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أصل في مجاري الاستصحاب بالنسبة إلى الدليل الدال على المستصحب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بقاء الموضوع في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بعض من الاصطلاحات المرتبطة بالمقام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الاستصحابين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الفحص قبل العمل بالاستصحاب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الشرائع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الاجتهاد والتقليد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التجزي في الاجتهاد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الاجتهاد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الجاهل بالعبادة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التخطئة والتصويب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رجوع المقلّد برجوع مجتهده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الحكم والفتوى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نقض حكم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الأعمال الصادرة قبل تجدّد الرأي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التقليد في أصول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تقليد من بلغ رتبة الاجتهاد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عمل المقلد من دون الاستناد إلى واحد بخصوصه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هناك مجتهدان متوافقان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التقليد من باب الظن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الرجوع عن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وجوب تقليد الأعلم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التبعيض في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مشافهة المفتي في أخذ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تقليد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تحصيل العلم باجتهاد مجتهده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أصل 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الدليلين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تعادل الدليلين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التعادل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الافتاء بعدما بني على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أخذ الأرجح عند التعارض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bookmarkStart w:id="885" w:name="pg9015_98001"/>
    </w:p>
    <w:p>
      <w:pPr>
        <w:pStyle w:val="Heading2"/>
        <w:numPr>
          <w:ilvl w:val="1"/>
          <w:numId w:val="1"/>
        </w:numPr>
        <w:rPr/>
      </w:pPr>
      <w:bookmarkStart w:id="886" w:name="__RefHeading___Toc2001965_2870459653"/>
      <w:bookmarkStart w:id="887" w:name="_Toc332"/>
      <w:bookmarkEnd w:id="885"/>
      <w:bookmarkEnd w:id="886"/>
      <w:r>
        <w:rPr>
          <w:rtl w:val="true"/>
        </w:rPr>
        <w:t>إصدارات مركز تراث سامراء</w:t>
      </w:r>
      <w:bookmarkEnd w:id="887"/>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حدوث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محمد باقر الاصطهباناتي، تحقيق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العبر في استدراك البحار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الميرزا حسين النوري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الذريعة إلى تصانيف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الشيخ آقا بزرك الطهراني ، تحقيق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من إفادات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مسلم الرضائي بمراجعة وتدقيق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أحكام الجبائر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تقريراً لبحث السيد المجدد الشيرازي بقلم السيد محمد الساروي، تحقيق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حكم الخلل الواقع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 لبحث السيد المجدّد الشيرازي، بقلم الشيخ آقا رضا الهمداني ، تحقیق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مآثر الكبراء في تاريخ سامراء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تأليف الشيخ ذبيح الله المحلاتي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رجالية وتاريخية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الشيخ آقا بزرك الطهراني، تحقيق السيد جعفر الحسيني الإشكوري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القلوب والخواطر في بعض ما تركه الأوائل للأواخر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الميرزا محمد بن عبد الوهاب الهمداني الملقب بإمام الحرمين، تحقيق الشيخ محمد لطف زاده، مراجعة وتدقيق مركز تراث سامراء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الهادي عمر حافل بالجهاد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علي الكوراني، أعده وخرّج مصادره مركز تراث سامراء</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 في الإرشيف الوثائقي العثماني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إعداد مركز تراث سامراء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السالنامات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لغة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مجلة سومر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قوافي الولاء من الكاظمية إلى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للأستاذ عبد الكريم الدباغ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أئمة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معرض فاجعة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أئمة سامراء من طرق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نصائح سماحة المرجع الديني الأعلى السيد علي السيستاني دام ظله للشباب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إعداد 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نصائح سماحة المرجع الديني الأعلى السيد علي السيستاني دام ظله للمقاتلين في ساحات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إعداد 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قبسات من حياة أئمة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كتيب تعريفي بمركز تراث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الزائر لمرقد الإمامين العسكريين في مدينة سامراء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مركز تراث سامراء</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السيد علي الحسيني الميبدي، تحقيق الشيخ ستار </w:t>
      </w:r>
    </w:p>
    <w:p>
      <w:pPr>
        <w:pStyle w:val="BookText"/>
        <w:rPr/>
      </w:pPr>
      <w:r>
        <w:rPr>
          <w:rFonts w:ascii="Amiri" w:hAnsi="Amiri" w:eastAsia="Amiri" w:cs="Amiri"/>
          <w:color w:val="111111"/>
          <w:sz w:val="28"/>
          <w:sz w:val="28"/>
          <w:szCs w:val="28"/>
          <w:rtl w:val="true"/>
          <w:lang w:bidi="ar-SA"/>
        </w:rPr>
        <w:t>الجيزاني، مراجعة وتدقيق مركز تراث سامراء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من كتاب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آية الله السيد إبراهيم الدامغاني ، تقريراً لبحث آية الله المجدّد السيد محمد حسن الشيرازي ، تحقيق الشيخ كريم مسیر، مراجعة وتدقيق مركز تراث سامراء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في تحقيق دليل الإنسداد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إفادات السيّد المجدد الشيرازي ، بقلم المحقق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الحاج محسن الجعفري، مراجعة وتدقيق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العسكرية المقدسة في الإرشيف الوثائقي العثماني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المنصوري، تدقيق ومراجعة 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الذريعة إلى تصانيف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الشيخ آقا بزرك الطهراني ، تحقيق مركز تراث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ثانية منقحة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آية الله السيد إبراهيم الدامغاني، تقريراً لبحث آية الله المجدّد السيد محمد حسن الشيرازي، تحقيق الشيخ سلام محمد الناصري مراجعة وتدقيق مركز تراث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سامراء في مجلة سومر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 مركز تراث سامراء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آية الله الشيخ عباس بن حسن آل كاشف الغطاء ، تحقيق محمد جليل الحسناوي، تدقيق ومراجعة 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 الحسنية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السيد حسن صدر الدين الكاظمي، تحقيق الشيخ إبراهيم الجوراني، تدقيق ومراجعة 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المؤتمر العلمي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 عبق النبوة وعماد السلم المجتمعي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سامراء في تراث الكاظميين وآثارهم في القرن الثالث عشر والقرن الرابع عشر ، تأليف الأستاذ عبد الكريم الدباغ، مراجعة وتدقيق مركز تراث سامراء</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مباحث من كتاب الزكاة، تقريراً لبحث السيد المجدد الشيرازي ، بقلم </w:t>
      </w:r>
    </w:p>
    <w:p>
      <w:pPr>
        <w:pStyle w:val="BookText"/>
        <w:rPr/>
      </w:pPr>
      <w:r>
        <w:rPr>
          <w:rFonts w:ascii="Amiri" w:hAnsi="Amiri" w:eastAsia="Amiri" w:cs="Amiri"/>
          <w:color w:val="111111"/>
          <w:sz w:val="28"/>
          <w:sz w:val="28"/>
          <w:szCs w:val="28"/>
          <w:rtl w:val="true"/>
          <w:lang w:bidi="ar-SA"/>
        </w:rPr>
        <w:t>العلّامة الفقيه الشيخ أسد الله الزنجاني، تحقيق 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كرامات السيد المجدّد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الفقهاء والمجتهدين الميرزا محمد حسين الغروي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علمية محكمة نصف سنوية تُعنى بدراسة تراث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تراث حوزة سامراء، جمع وإعداد مركز تراث سامراء، نشر مركز تراث سامراء، دار الكفيل للطباعة النجف الأشرف، </w:t>
      </w:r>
      <w:r>
        <w:rPr>
          <w:rFonts w:ascii="Amiri" w:hAnsi="Amiri" w:eastAsia="Amiri" w:cs="Amiri"/>
          <w:color w:val="111111"/>
          <w:sz w:val="28"/>
          <w:sz w:val="28"/>
          <w:szCs w:val="28"/>
          <w:lang w:bidi="ar-SA"/>
        </w:rPr>
        <w:t>١٤٤٢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الأفكار،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الموسوي القزويني،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ستار الجيزاني نشر مركز تراث سامراء، النجف الأشرف، دار الكفيل للطباعة، </w:t>
      </w:r>
      <w:r>
        <w:rPr>
          <w:rFonts w:ascii="Amiri" w:hAnsi="Amiri" w:eastAsia="Amiri" w:cs="Amiri"/>
          <w:color w:val="111111"/>
          <w:sz w:val="28"/>
          <w:sz w:val="28"/>
          <w:szCs w:val="28"/>
          <w:lang w:bidi="ar-SA"/>
        </w:rPr>
        <w:t>١٤٤٢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التي ستصدر قريباً</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الشيخ محمد تقي الشيرازي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ببليوغرافيا الإمامين العسكريين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ببليوغرافيا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العسكريان علیهما السلام في الشعر العربي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مكتبات سامراء الرائدة وتتضمن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المجدّد السيد محمد حسن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الشيخ محمد تقي الشيرازي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المهدي العامة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حسن كبة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قيد التحقيق والتأليف</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مقدمة الواجب، تأليف السيد هاشم بحر العلوم، تقريراً لبحث آية الله المجدّد السيد محمد حسن الشيرازي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الكبراء ج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تأليف العلامة الشيخ ذبيح الله المحلاتي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 الكبراء ج</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تأليف العلامة الشيخ ذبيح الله المحلاتي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الكبراء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تأليف العلامة الشيخ ذبيح الله المحلاتي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مآثر الكبراء 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تأليف العلامة الشيخ ذبيح الله المحلاتي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الكبراء 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تأليف العلامة الشيخ ذبيح الله المحلاتي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الكبراء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تأليف العلامة الشيخ ذبيح الله المحلاتي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مآثر الكبراء 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تأليف العلامة الشيخ ذبيح الله المحلاتي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الرجال على كتاب منتهى المقال، تأليف آية الله السيد صدر الدين الكاظمي</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تتلمذوا في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وثيقة الفقهاء، محمد باقر البيرجندي</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حواشي على نجاة العباد، عدة من العلماء</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مقدمتا مركز تراث سامراء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عصمة الحجج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علي الميبدي،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القلوب والخواطر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للميرزا محمد بن عبد الوهاب الهمداني</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الشيخ المفيد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الشيخ المفيد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ابن خلكان عن بعض الفضلاء أنه رأى في 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بعض الأدباء اجتاز بدار الشريف الرضي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من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لا يعرفها، وقد أخنى عليها الزمان وذهبت بهجتها وأخلقت ديباجتها، وبقايا رسومها تشهد لها بالنضارة وحسن الشارة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ويمكن بمراجعة تاريخ بغداد للخطيب الحصول على موارد أُخر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أعيان الشيعة </w:t>
      </w:r>
      <w:r>
        <w:rPr>
          <w:rFonts w:eastAsia="IRNazanin" w:cs="IRNazanin"/>
          <w:b w:val="false"/>
          <w:bCs w:val="false"/>
          <w:i w:val="false"/>
          <w:iCs w:val="false"/>
          <w:color w:val="333333"/>
          <w:sz w:val="20"/>
          <w:szCs w:val="20"/>
        </w:rPr>
        <w:t>187/9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النوري النجم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النوري النجم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عبد الوهابي الهمداني نزهة القلوب والخواطر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لا يزال مخطوطاً وهو قيد التحقيق في مركز تراث سامراء</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العراقين، تأليف الشيخ حامد رضائي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الطبقات </w:t>
      </w:r>
      <w:r>
        <w:rPr>
          <w:rFonts w:eastAsia="IRNazanin" w:cs="IRNazanin"/>
          <w:b w:val="false"/>
          <w:bCs w:val="false"/>
          <w:i w:val="false"/>
          <w:iCs w:val="false"/>
          <w:color w:val="333333"/>
          <w:sz w:val="20"/>
          <w:szCs w:val="20"/>
        </w:rPr>
        <w:t>2777/5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 ذكر هذه العمارة مع أنها متقدمة زماناً عن سابقتها لنكتة الحديث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نتائج الأفكار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القزويني، ضوابط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المحلاتي مآثر الكبراء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الاصدار الأول هو عصمة الحجج للسيد علي الميبدي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القلوب والخواطر لمحمد بن عبد الوهاب الهمداني</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 المؤلف في بعض المصادر من غير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بعض آخر مقروناً به، ولعل الحذف من جهة التخفيف كما شاع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باقر لمن اسمه محمد باقر؛ لأجل التخفيف، وفي مثل المورد الحمل على التخفيف أقل مؤنة من الحمل على الزيادة وإضافة لفظ إلى الاسم لم يعلم أنه منه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الزنجاني في إجازته للعلّامة الأوردبادي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 ومولاي السيد علي المشهور بالقزويني مع أن أصله وأصل صاحب الضوابط زنجاني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ترجم له السيد إبراهيم الموسوي الزنجاني في كتابه تاريخ زنجان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من علماء</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مؤرخاً كربلاء سلمان هادي و صادق آل طعمة، وهو يناسب ما ذكره تلميذه محمد التنكابني في قصص العلماء، وصاحب الأعيان، من أن عمره ناهز الستين عاماً، وهو الأرجح، وأما ما ذكره المحقق الطهراني أن المصنّف قد أرخ ولادته بخطه فهو من سهو القلم؛ إذ الموجود على ظهر المكاسب من كتابه الدلائل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صورة خط أخي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وفاة المرحوم المبرور مجمع الفواضل والفضائل، وصاحب الضوابط والنتائج والدلائل آخر ليلة الخميس سابع من شهر شوال المكرم سنة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مولده الشريف في شهر ذي الحجة سنة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صريح في أن المكتوب ليس بخط المصنّف، وإن كان ينسبه إلى أخ المصنّف، لكن في هذه النسبة نظر ، بل إن الشيخ الطهراني نفسه تنازل عن هذه النسبة للمصنّف أو أخيه، وإنما نسبها إلى بعض تلاميذ المصنّف ، كما في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 يبق لدينا ما يرجح هذا الرأي</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تلميذه التنكابني في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وتلميذه الخوانساري في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الشيخ آقا بزرك الطهراني في 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حضور السيد المترجم له عند الشيخ علي نجل الشيخ جعفر الكبير، بدعوى أن الأخير لم يدرس إلا بعد وفاة أخيه الشيخ موسى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والحال أن السيد القزويني درس في حياة أستاذه شريف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يخالف ما ورد صريحاً في العبقات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السيد القزويني ممن تخرج من تحت منبر الشيخ علي نجل الشيخ جعفر الكبير</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تسخير كربلاء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العبقات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الشيعة الإمامية ظهرت في أواخر النصف الأوّل من القرن الثالث عشر الهجري التاسع عشر الميلادي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وسميت بذلك نسبة إلى زعيمها الأوّل الشيخ أحمد الأحسائي، المتوفّى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م، وتسمّى بالكشفية أيضاً؛ لما يصرح به زعيمها من الكشف والإلهام، أو لأنّ الله سبحانه قد كشف غطاء الجهل وعدم البصيرة في الدين عن بصائرهم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العنبرية في الطبقات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جهود تبذل من قبل مراكز العتبة الحسينية المقدسة لتحقيق ونشر تراث المصنّف كله؛ ليستفيد المحصلون من هذا التراث الكبير</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مئة وخمسون أصلاً</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الأعيان أن وفاته كانت في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ولاريب أنه سهو أو خطأ مطبعي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التوسعة أصبح قبره الشريف في داخل الصحن الحسيني الطاهر</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لدينا مجموعة من النسخ عدا ما ذكرناه في أعلاه، هي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لترتيب</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الطاهرين، وليست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دقائقه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مندرجاً</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القاموس المحيط للفيروزآبادي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مجمع البحرين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من المعاجم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شرح العضد على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إرشاد الفحول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يكون مشتركاً معنوياً</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يكون حقيقة ومجازاً</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يكون تعيينياً</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لابن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للفيروزآبادي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فيتصادقان في العالم الفطن، ويصدق الأول فقط على العامي الفطن، ويصدق الثاني فقط على البليد الذي علم شيئاً أو أكثر</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في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السول للأسنوي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فواتح الرحموت لعبد العلي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المقالات الغرية للتبريزي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لغة يطلق</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شيء إلى آخر بطريق القطع إيجاباً أو سلباً</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الأمر والنهي</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عدّ ما عدا الأخير من معانيه اللغوية نظر؛ إذ لم يرد ذلك في المعاجم، بل ذكرت هذه المعاني كمصطلحات عند أهل الميزان</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للشهيد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إرشاد الفحول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التصوير المعقول من الكلام النفسي وإلا فكلامهم في تصويره غير معقول، قال العلّامة في نهج الحق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والأشعرية خالفوا عقولهم وعقول كافة البشر، وأثبتوا له تعالى كلاماً لا يفهمونه هم ولا غيرهم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الملكوت في شرح الياقوت،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يقال لكل واحد منهم كليم الله أيضاً</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الاعتقادات أفعالاً باطنية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السول للأسنوي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الحكم على مذهبهم هو كلام الله النفسي المتعلق بأفعال المكلفين، وهو لا يكون إلا شرعية فرعية</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في أصول الأحكام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آيات متعددة،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وَيَنْهَى عَنِ الْفَحْشَاءِ وَالْمُنكَرِ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الحكم</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الفقيه إذا اعتقد بالانشاءات نشأ من اعتقاده بها الاعتقاد بالنسب الجزئية، فيعتقد من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أَقِيمُوا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بوجوب الصلاة، وهو الفقه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الصرفة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الجزئيات للكليات المتعلقة للتكاليف، وأما المستنبطة فهي تلك الكليات نفسها، وهي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لغوية إن كانت مستندة إلى اللغة وشرعية إن كانت مستندة إلى الشرع</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 بإخراج الموضوع عن التعريف حينئذ</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فتصديق</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تصديق</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المقالات الغرية للتبريزي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السول للأسنوي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الشرعية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يطلق عند بعض أهل الميزان واختاره صاحب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في بعض النسخ التي اشار إليها محقق الكتاب</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المحقق القمي على ما في النسخة المتداولة للقوانين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المتداول عند أهل الميزان، واختاره سلطان العلماء في حاشية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يجري على لسان أهل العلم كافة في مثل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النحو، وأحكام الفقه،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مسائله، واختاره صريحاً البهائي في الزبدة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المصنف في الضوابط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 القواعد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شروع في الإيراد الأول،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معالم الدين لابن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أنها ليست فقهاً</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أنها من الفقه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إضمار لفظ المدلولية</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شروع في الإيراد الثاني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فيصير 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الفقه هو العلم الفعلي بكل الأحكام</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عدم حجية ظنه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لابن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أريد من الأصول الأدلة</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الأدلة</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وخروج</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المشهور بين الأعلام</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السابق واللاحق</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المهمات</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صاحب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صاحب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المصنف في الضوابط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بعضهم</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الأصول للكرباسي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الشمسية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الجوهر النضيد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الكليات للكفوي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حضورها</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ذهب إليه المصنف في ملاك التواطئ والتشكيك مخالف لما عليه أهل الميزان، والذي هو عندهم باعتبار التفاوت في الوجود تقدماً وتاخراً، شدة وضعفاً، زيادة ونقصاً، وعدمه، كما صرح به في الضوابط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موجب لإجمال اللفظ، فيضر التشكيك بظاهر اللفظ المطلق</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خفاء الفرد بمرتبة يضر بالإطلاق، بل يخرجه عن المراد</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منية اللبيب للعميدي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 الترادف والتساوي هو أن الأول يطلق فيما اتحد فيه المفهوم والمصداق وتعدد اللفظ كالإنسان والبشر والثاني فيما تعدد فيه اللفظ والمفهوم واتحد المصداق، كالناطق والضاحك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الضوابط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هجر المعنى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حقيقة ومجاز، أو مع تعدد الوضع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قولنا اللفظ والمعنى ان اتحدا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والحقيقة، وإلا فيكون الحقيقة والمجاز أيضاً من أقسام متحد اللفظ والمعنى، مع أنهم عدوه من متكثر المعنى</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الأفكار للرشتي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المختصر للتفتازاني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الوضع</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الواضع إما هو واضع اللغة نفسه فهو اللغوي، أو الواضع شخص معين أو جمع معين فهو العرفي الخاص، أو الواضع كل أهل اللسان من غير اختصاص بطائفة دون أخرى فهو العرفي العام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الضوابط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 الأصولي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أخذت الكثرة والشيوع في مدلول لفظه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المادة</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الخاص لا يمكن أن يكون عنواناً للعام ومرآة لملاحظته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حكايته عنهم في 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الاسم</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الأصل كون التبادر ناشئ من الوضع وليس من الإطلاق الناشيء من كثرة الاستعمال في الخصوصيات</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 على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معنى للتمسك بأصالة الوضعية؛ لافتراض وجود الشهرة قطعاً المانع من ذلك</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لابن هشام </w:t>
      </w:r>
      <w:r>
        <w:rPr>
          <w:rFonts w:eastAsia="IRNazanin" w:cs="IRNazanin"/>
          <w:b w:val="false"/>
          <w:bCs w:val="false"/>
          <w:i w:val="false"/>
          <w:iCs w:val="false"/>
          <w:color w:val="333333"/>
          <w:sz w:val="20"/>
          <w:szCs w:val="20"/>
        </w:rPr>
        <w:t>187/1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شرح العضد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ما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عبد الله 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أدب رسوله حتى قومه على ما أراد، ثم فوّض إليه فقال عز ذكره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آتَاكُمُ الرَّسُولُ فَخُذُوهُ وَمَا نَهَاكُمْ عَنْهُ فَانتَهُوا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فوّض الله إلى رسوله فقد فوّضه إلينا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والإرشاد للباقلاني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فيمكنه إجراء الأصل مطلقاً، سواء كان الشك في الأجزاء المقوّمة أو غير المقوّمة أم في الشروط؛ لتحقق ماهية مدلول اللفظ وصدق الاسم، فيكون الشك حينئذ في التكليف والتقييد، والأصل يقتضي البراءة والإطلاق</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على مذهب القاضي أنه مع الشك في الجزئية والشرطية لا شك في تحقق الماهية، أي ماهية مدلول اللفظ وصدق الاسم، وانما الشك في التكليف والتقييد، والأصل يقتضي البراءة والإطلاق</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صدر الدين في شرح الوافية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معاصره السيد الفاضل نصر الله المدرس في الحائر، وقد اختاره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البهبهاني في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النراقي في 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القاضي الباقلاني في التقريب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ورجحه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الغروية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 المختار وبين القول أنها حقيقة في الألفاظ المتداولة خاصة، ان النسبة بين المتداولة والألفاظ التي يكون استعمالها في المعنى الشرعي أكثر من الاستعمال في المعنى اللغوي في خصوص الكتاب والسنة عموم من وجه؛ إذ اللفظ قد يكون متداولاً في الخارج مع أن استعماله في المعنى الشرعي في الكتاب والسنة لا يكون أكثر من استعماله في المعنى اللغوي، وقد يكون بالعكس، وقد يجتمعان، فالنسبة بين القولين أيضاً بحسب الموارد عموم من وجه</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ابن الحاجب في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وتبعه العضد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في 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الحاجب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المحصول للأعرجي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قطعية،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نقول بعدم ثبوتها في الألفاظ النادرة الاستعمال بأصالة تاخر الحادث وفيما بقي بالإجماع المركب ووضوح فساده من جهة أن أحد شطري إجماعنا ثابت بالقطع، وشطر هذا الإجماع هو الأصل، فكيف يعارض القطع</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الغروية للأصفهاني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المصنف في الضوابط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عن الشيخ الطوسي والرازي والآمدي</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المحصول للأعرجي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المتمسّك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الموضوعات المستنبطة، كما سياتي من المصنف</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ويلزم بمقتضاه عدم النقل عن اللغة</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فالدليل أخص من المدعى</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 على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السيد الأعرجي في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وادعى شهرته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الاثنين</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 للزركشي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إن الإجماع المركب حجة من باب الكشف والوصف لا التعبد، والوصف فيما نحن فيه على الخلاف؛ لما ترى من بناء العرف على عدم ثبوت الحقيقة في الألفاظ غير المتداولة النادرة الاستعمال</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في جانب التفصيل على المختار</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للبهبهاني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الأدلة الاجتهادية الدالة على الثبوت في متكرر الاستعمال</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 على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لابن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الامتثال به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المطلوب مطلق الوصول إلينا، لا الوصول بطريق النقل</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العدة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حكوا عن بعضهم إفادته العلم</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بيانه من المصنف</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الناشئ من كثرة الاستعمال، مع أن الكلام في مطلق الوضع</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لغة الحبشة ينظر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زبدة الأصول 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المعاني اللغوية</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يضر وجود لفظ غير عربي فيه، كما لا يضر في فارسية الكتب الفارسية اشتمالها على اللفظ العربي</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غاية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شرح العضد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القول بالثبوت</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لابن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الغروية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ترى ان الأطباء مثلاً في زماننا لو تتبعوا كتاب ،افلاطون، ووجدوا اللفظ الفلاني في كتابه مستعملاً في المعنى المصطلح عندهم ألف مرة، وفي معناه الأصلي في قليل من الموارد، ثم حصل لهم الاشتباه في مورد في أن مراده هل هو المعنى المصطلح عندهم أم غيره، بأن لم يعلموا أنه كما يكون حقيقة الآن في المعنى المعهود عندهم، هل كان حقيقة فيه أيضاً في الصدر الأول كزمان إفلاطون أم لا ؟ فلا شك أنهم يحكمون باتحاد هذا الزمان مع الصدر الأول، فيحملون هذا اللفظ في كلامه مجرداً عن القرينة على مصطلح الأطباء، وكذلك حال أهل التواريخ، والأمثلة كثيرة</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الخلاف لا يتوقف على القول بثبوت الحقيقة الشرعية فيها، بل يكتفى فيه بثبوت الحقيقة المتشرعة، ومطلق استعمال الشارع تلك الألفاظ فيها، فالنزاع في الحقيقة في أنه متى أطلق لفظ دال على تلك الماهية المحدثة فهل يراد الصحيحة منها أو الأعم</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للعلم</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أن هذا فرع اتحاد زمان المتشرعة مع زمان الشارع</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فكل من قال بالتقييد أو المجاز قال مراد الشارع من تلك الألفاظ ما صارت حقيقة متشرعة فيه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ثبوت الإجماع المركب هنا وفاقي ظاهر</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القاضي</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الأقرب إلى المعنى اللغوي،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الاعتبار</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والمصداق فيه متحققاً</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 للماهية المركبة من الأجزاء المعهودة حال كونها جامعة للشرائط الخارجة عن مفهومها، وهذا يقال له الصحيح بالمعنى الأخص</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يقال له الصحيح بالمعنى الأعم</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الصلاة اسماً للأركان المخصوصة فقط</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 الألفاظ استعملت في الصحيح والفاسد، والظاهر من استعمال لفظ في معنيين أو أكثر من دون نصب قرينة على الحقيقة والمجازية كون اللفظ حقيقة فيهما</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صحيحة، وصلاة فاسدة؛ والأصل فيما تقيد بالقيدين أن يكون حقيقة في القدر المشترك بينهما</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إما صحيح أو فاسد، والأصل فيما ينقسم إلى الأمرين أن يكون حقيقة في القدر المشترك بينهما</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يسأل عن الوضوء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الوضوء غسلتان ومسحتان، من دون ذكر شيء آخر من الشرائط والأجزاء</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الله كانوا في مقام تعليم الوضوء مثلاً بالغسلات والمسحات من دون ذكر اشتراط إباحة الماء وغيره من الشرائط</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لو كانت للصحيحة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للصحيحة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 عن الفاسدة، وليس المنهي عنه فرداً من الصلاة حتى يكون تعارضاً وتقييداً، ففهم العرف التعارض والتقييد هنا دليل الأعمية</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المراد بها الفاسدة فالمطلوب ،ثابت وإن أريد بها الصحيحة لزم دلالة النهي على الصحة، وهو باطل</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فهذه أربعة وجوه في تقرير الاستقراء</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يمكن الا على مذهب الأعمي</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الصحيحي لا يقول بصدق الاسم مع الشك حتى ينفي وجوب الزائد بالأصل</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في بيان أدلة الأعمي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عبادة بداهة</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فلابد من إجراء أصل الاشتغال في الجميع وهو المطلوب</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كانت أسام للأعمّ كان المرجع العرف لا الشرع</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لابن أبي جمهور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الماهيات، وهو خلاف الأصل، وعلى القول بالصحيح لا تقييد أصلاً</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وعدم تعرضهم للتفصيل كاشف عن الإجمال، والإجمال كاشف عن الصحة؛ لأنّ كل من قال بالإجمال قال بالصحة</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أدلة الصحيحي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 الأركاني والعرفي هو أن الموضوع له في الأول معين من كل الوجوه، بخلاف الثاني الذي مرجعه العرف، فقد يكون مبيناً، وقد يكون مجملاً</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الأركان الحقيقية من الركوع وغيره مما ذكروه في كتبهم الفقهية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كالإيماء القائم مقام الركوع والسجود</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صلاة الحريق والغريق، فعلى الأول لا يصدق الصلاة عليها حقيقة، بل مجازاً، وتقوم مقام الحقيقية في الامتثال وعلى الثاني هي صلاة حقيقية تشملها كل أحكام الصلاة وأدلتها</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لمعارضة عدم صحة السلب؛ إذ لا يصح سلب الصلاة عن صلاة الغريق والماشي</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تقريرات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للمرتضى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على العمل بها، فإنّ جملة من الكتب اللغوية دوّنت في زمنهم ككتاب الأصمعي والكسائي وسيبويه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 أمير المؤمنين لأبي الأسود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الأسود، انح على ذلك</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وبرهان</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وباجماع</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لم يفصل أحد في الموضوع المستنبط من حيث الموارد وفي العمل بالظن</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لكل منهما جهة رجحان ومرجوحية، فالآخذ بأحدهما دون الآخر ترجيح بلا مرجح</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بحجية</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فالأخذ بالظن الناتج من الشهرة دون الظن الناتج من قول الفقيه ترجيح بلا مرجح</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عدم كفاية غير مظنون الوضع لابد معه من التعدي إلى مظنونه</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بِنَبَإٍ فَتَبَيَّنُوا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التبعي</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النوعي والشأني</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القول فيها في الضوابط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بعضهم</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فيه انه تعارض بين المثبت والنافي، فيؤخذ بالمثبت في كل الصور ويطرح النافي</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إشارات الأصول للكرباسي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انا لا نسلم تقديم المثبت على النافي مطلقاً، نعم لو كان عدم المثبت مأخوذاً في مفهوم النفي بأن كان النفي معلقاً بعدم المثبت كأصل البراءة بالنسبة إلى الدليل الاجتهادي المثبت للتكليف، فهاهنا نعمل بالمثبت، بل لا تعارض حقيقة حاله، وأما لو لم يكن كذلك فلا دليل على تقديم المثبت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وللزيادة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التعليقة على معالم الأصول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للمرتضى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وممن حكاه عنه صاحب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انقلب هذا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وارد في خصوص كلام اللغوي أم لا؟</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تفصيلهما في الضوابط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للعلامة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الوافية للتوني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للفراهيدي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للقيومي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للفيروزآبادي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التفتازاني في المطول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غيره، وهو المسمى بالتبادر الوضعي، وما عداه بالإطلاقي</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التبادر الوضعي على قسمين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للعلّامة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العضد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السلب إما أن يضاف إلى الحقيقة، أو إلى المجاز، وعلى التقديرين إما الكل أو في الجملة</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حقيقته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حقيقته صرفاً وصحة سلبه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 والحقيقة</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العلم بالحقيقة موقوف على العلم بصحة سلب كل المجازات، وهو موقوف على العلم بكل المجازات بطريق الحصر المركب من النفي والإثبات وهو موقوف على العلم بحقيقة مورد الاستعمال</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علامتين</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المفروض عدم صحة سلب المعنى الحقيقي عنه، فمجرد هذا الفرض بعد تحققه لا يحتاج إلى الدليل، وهكذا في جانب صحة السلب</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التجوز</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وناقشها المصنف في ضوابط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العلامات</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مضمرة</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علمنا</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بينهما</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تعارض الاجتهاديتين محال، وفي المختلفتين تقدم الاجتهادي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للنجفي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بدائع الأفكار للرشتي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اطّراد</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يدلّ عليها، اختاره البهائي في 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والحاجبي 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والعضدي في شرحه للمختصر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المحقق في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غير واحد عنه، منهم صاحب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 مطلقاً</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للمرتضى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كل من قال باستلزام المجاز للحقيقة</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صاحب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للبهبهاني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أنيس المجتهدين للنراقي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صاحب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بقلة المجاز بلا حقيقة على فرض وقوعه</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الاستقراء مسلّم لكن الإلحاق غلط ؛ لاختلاف الصنف</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وفق مبناه</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الأصول للكرباسي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إشارات الأصول للكرباسي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يدل على الحقيقة في المقسم للعرف</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إنا إذا وجدنا استعمال اللفظ صحيحاً في معنى مجرداً عن التقييد، وغير صحيح في معنى آخر مجرداً عن التقييد حكمنا بكونه حقيقة في المعنى الذي يصح استعماله فيه مجرداً عن التقييد، ومجازاً في الآخر الذي لا يصح استعماله فيه إلا مع القيد</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وعدمه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فيما إذا استعمل اللفظ في معنيين وعلم كونه حقيقة في أحداهما وشك في حقيقة الآخر، فإن كان جمعها متحداً يكون اللفظ حقيقة فيهما ، وإن كان مختلفاً يكون أمارة المجاز في المشكوك</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فيما إذا استعمل لفظ في معنيين لم يعلم بكونه حقيقة في أيهما فالمعنى الذي يشتق منه يحكم بحقيقته، والمعنى الذي لا يشتق منه يحكم بمجازيته</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متى ما كان استعمال اللفظ في معنى موجباً لتنافر وفهم متناقض ومتعارض كان علامة كونه مجازاً فيه</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علم بكون اللفظ حقيقة في العرف العام في معنى حكمنا بأنه في اللغة حقيقة في هذا المعنى بأصالة عدم النقل إذا لم يكن الظن على خلافه، وإلا فلا عبرة به</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 إذا وجدنا أغلب ما كان على زنة فاعل دالاً على نسبة المبدأ إلى فاعل ما في الزمان الماضي حكمنا بأن كل ما كان على زنة فاعل هو كذلك</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لم نجد صحة استعمال لفظ في معنى لوجود أمر فيه وعدم صحة استعماله فيه عند فقدان هذا الأمر، فبهذا الدوران نحكم بأن اللفظ موضوع لكل ما وجد فيه هذا الأمر</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معارج الأصول للمحقق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العضد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جماعة من الأصوليين للمشترك تعاريف عديدة لا يخلو شيء منها عن شيء من انتقاض عكس أو طرد أو انتقاضهما، والتعريف الذي اختاره المصنف بقيوده قال عنه السيد القزويني في تعليقته على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لا يرجع إلى طائل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نهاية السول للأسنوي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الوجوب يحتاج إلى رجحان طرف الوجود، والامتناع يحتاج إلى رجحان طرف العدم، بخلاف الإمكان، فإنه تساوي الطرفين، والأصل عدم الزيادة</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لإمكان ان المشترك</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فإمكان الاشتراك مخلوق الله تعالى</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الإمكان مذكورة في كتب الحكماء، وقد صرح بها الرّئيس، حيث قال كل ما قرع سمعك فذره في بقعة الإمكان ما لم يذدك عنه قائم البرهان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لابن سينا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الوضع</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العدة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شرح العضد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 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وَاللَّيْلِ إِذَا عَسْعَسَ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مشترك بين أقبل وأدبر</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ثَلَاثَةَ قُرُوءٍ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مشترك بين الحيض والطهر</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الأصول للكرباسي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ولا جامع</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ووقوعه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مطلقاً، واختاره القاضيان أبو بكر وعبد الجبار، والشافعي والسيد المرتضى وأبو علي الجبائي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الشافعي والباقلاني والجبائي على ما حكاه عنهم الزركشي في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صاحب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الجميع</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يستعمل في كل من معنييه أو معانيه منفرداً</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يستعمل في المجموع من حيث المجموع</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يستعمل في أمر عام يكون قدراً مشتركاً بين المعنيين أو المعاني</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يستعمل في استعمال واحد على كل واحد من افراد معانيه تخييراً بأن يكون كل واحد منها مراداً على سبيل التخيير</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يستعمل في استعمال واحد على كل واحد من أفراد معانيه عيناً، بمعنى أن يكون كل واحد منها مراداً عيناً ومورداً للنفي والإثبات</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المفاتيح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صرح به في منية اللبيب ونهاية السول وشرح الحاشية وشرحي العبري والأصفهاني على المنهاج وحواشي الباغنوي والأبهري والفاضلين الشيرواني وجدي المازندراني والمحكي عن صاحب الحاصل والتحصيل وكثير من الأصوليين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تكون الوحدة جزء الموضوع له كما هو ظاهر صاحب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يكون التقييد داخلاً والقيد خارجاً</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 على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غيره من الاحتمالات مدَّع للالتفات إلى أمر زائد، والأصل عدمه</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كثيرين صاحب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الجزولي والأندلسي وابن مالك على ماحكاه عنهم الرضي في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إشارات الأصول للكرباسي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إرادة</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صاحب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الرازي في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التعليقة على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صحته بناء على الجواز، وغلطه بناء على عدم الجواز</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لنا الاستدلال بالآية الكريمة على عدم حرمة كل من الأم والبنت بمجرد عقد الآخر، إذا أرجعنا القيد الأخير 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نِّسَائِكُمْ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إلى كل من الجملتين، وجوزنا استعمال المشترك، وهو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المعنيين؛ لأنها على الأول بيانية، وعلى الثاني ابتدائية، وإن لم نجوز استعمال المشترك في أزيد من معنى لم يصح هذا الاستدلال</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بكون المفرد موضوعاً لمعنى اللابشرط، أو بشرط الإطلاق</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العلائق</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بلوغ تلك الرخصة لا آحاداً ولا وصفاً</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المقام ذكروا</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لابن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اختيار المصنف</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الشوكاني في إرشاد الفحول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جمهور أهل العربية، وجميع الحنفية، وجمع من المعتزلة، والمحققين من الشافعية</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 للكفوي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مفتاح العلوم للسكاكي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المطول للتفتازاني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مختصر المعاني للتفتازاني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 للسكاكي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الخطيب القزويني في تلخيص المفتاح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السكاكي في المفتاح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 للسكاكي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المطول للتفتازاني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الكناية ما يكون لعلاقة التلازم ، والمجاز ما يكون لعلاقة غيره، لكن هذا الفرق خلاف المشهور ، وإنما المشهور الفرق بحسب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جواز إرادة الموضوع له وعدمه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الأسنوي في نهاية السول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والميرزا الرشتي في 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الرازي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علي القزويني في تعليقته على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فالاختلاف</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المامور به</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أكرم عمراً معتقداً انه زيد المأمور بإكرامه لم يعد ممتثلاً</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فيلزم التصويب في الموضوعات على القول بالذهنيّة؛ إذ الموضوع له حينئذ هو المعنى الموجود في الذهن، فكلّ من حصل في ذهنه معنى 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كالقبلة بالنسبة إلى الجهات الأربع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مصيب في ترتيب الأحكام عليه، وإن خالف ما حصل في ذهن كلّ لما حصل في ذهن الآخر، للزوم هذا القول تعدّد الموضوع له واختلافه بحسب تعدّد الأذهان في الاعتقادات واختلافها، والتخطئة على غيره إذ الموضوع له حينئذ أمر واحد من أصابه فهو مصيب، ومن أصاب غيره؛ فهو مخطئ</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أمره بإكرام زيد فاعتقد عمراً أنه زيد فأكرمه، فعلى القول بالأمور الذهنية يكون ممتثلاً؛ لأنه أتى بالمأمور به على وجهه، بخلافه على القول الآخر</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العلمين الشيخ الرئيس والمحقق الطوسي الخواجة نصير الدين ما أن الدلالة تتبع الإرادة، ولعل وجه استفادة ذلك من كلامهما إنما هو من جهة الملازمة بين تبعية الدلالة للإرادة وبين كون الموضوع له المعنى المقيد بكونه مراداً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للبروجردي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الاجتناب عن الحرام مثلاً إن قلنا فيه بأن الحرام موضوع للمعلوم لم يجب الاجتناب عن الشبهة، وإن قلنا إنه موضوع للأمر النفس الأمري لزم الاجتناب من باب المقدمة</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الشهيد الأول في 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فحمل كلام الشارع على العرف الأقرب إلى زمانه أولى من حمله على العرف الأبعد، ولازمه تقديم اللغة</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السيد المرتضى في رسائله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صاحب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وما قبله تذكر كأقوال من دون نسبتها إلى قائل بعينه</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صاحب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والوحيد البهبهاني في فوائده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الناقص بيسير إذا كان من أفراد الموضوع له كان الناقص عنه بيسير أيضاً من أفراده، وهكذا</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للأصفهاني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الأفكار للرشتي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كوضع سائر الهيئات غير المصادر</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 الأصولي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أخذت الكثرة والشيوع في مدلول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 المنطقي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كان مفهومه صادقاً على كثيرين كأسماء الأجناس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علم الأصول لعلي الإيرواني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الملكيات</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إن الكيفيات التي يتعلق وجودها بالأنفس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يكون راسخاً في المتكيف بها رسوخاً لا يزول، أو يعسر زواله، وبالجملة لا يسهل زواله ويسمى ملكة ، ومنها ما لا يكون راسخاً، بل يكون مذعناً للزوال سهل الانتقال، فيسمى حالاً</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يقال على من ضرب في الأمس ضارب ویراد انه ضارب الآن، أي يراد به معنى ضرب بعلاقة ما كان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أصالة عدم الدلالة</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ملكياً</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إطلاق المثمرة على الشجرة يتصور على وجوه</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آكل الجيفة قد يكون فعلاً، وقد يكون ملكة، وقد يكون نوعاً</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زبدة الأصول 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بالمبدأ</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الفعّال</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عالي</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 للمحقق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زبدة الأصول للبهائي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،وضعياً، يكشف عنه عدم صحة سلب الأمر عن طلب الداني المستعلي، فإنّه لا يصح سلبه عنه لغة ، وإن كان ذلك قبيحاً عقلاً باعتبار كون العلو من الشروط العقلية لصحة الأمر</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يا أبت افعل مَا تُؤْمَرُ ستجدني إِن شَاءَ الله مِنَ الصابرين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لطلب الإيجابي</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أكثر الأصوليين كما في غاية المأمول للجواد الكاظمي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19</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بيانه 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للفعل، والإيجاب صفة الأمر، فهو بمعنى الإلزام، وكلامنا في الإيجاب لا الوجوب، والعلو يصح قرينة للوجوب لا الإيجاب، فإنّ العلو والإيجاب يجتمعان في الطلب العالي المستعلي، ويتحقق الأوّل فقط في طلب العالي الغير المستعلي بدون الإيجاب والثاني فقط في المستعلي الداني، فكيف يصير أحدهما قرينة للآخر</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لها الرسول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ارجعي إلى زوجك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أتأمرني يا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أن شافع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أن أشق على أمتي لأمرتهم بالسواك مع كل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للتوني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وقوع الاشتقاق عن الأمر الذي بمعنى الطلب دون الباقي، وهذا مبني على الاشتقاق من علائم الحقيقة وعدمه من علائم المجاز</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جمع الأمر بمعنى الطلب الأوامر، وجمعه لسائر المعاني الأمور، وهو أيضاً من العلائم</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مؤولة</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أكثر المحققين كما عن الشهيد الثاني في 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وابنه في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الطلب</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مستعلياً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لاعتبار الاستعلاء في المادة دون الصيغة</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كلمة الاستفهام لا بد من صرفها عن معناها الحقيقي؛ لأنه غير معقول عن الحكيم على الإطلاق العالم بالعواقب، وأقرب المجازات هو الإنكار</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دفع دخل ذكره المصنف في الضوابط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المحظور هنا السجود لغير الله تعالى، والمأمور به هو السجود الله تعالى، وآدم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نبينا وآله وعليه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جهة السجود كالكعبة، لا انه المسجود له حقيقة</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الإيراد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حمل كلمة الاستفهام على الإنكار مجاز، وهو فرع تعذر الحقيقة، وهي ممكنة هنا؛ لأن الاستفهام أعم من أن يكون لأجل نفسه أو لأجل غيره، وهو حقيقة فيهما، والممتنع هنا هو الأوّل، فيحمل على الثّاني</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ثبت كون المادة للأعم ثبت في الصيغة أيضاً</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الإيراد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أفهم الملائكة بالوحي والإلهام، فحكى ذلك للنبي علي الاول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معبراً عن ذلك الأمر اللّبي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اسجدوا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يتحقق الأمر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يتم الدلالة</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المقام مقام تهديد وتخويف</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معرفة كون صيغة افعل وما بمعناها للوجوب موقوفة على معرفة كون الآية مفيدة للوجوب، وهي موقوفة على معرفة كون فليحذر للوجوب، وهي موقوفة على معرفة كون صيغة إفعل وما في معناها للوجوب</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الحذر لا يتحقق ولا يليق إلّا عند تحقق مقتضيه، وفيما نحن فيه إن كان المقتضي موجوداً وجب الحذر، وإلّا لم يحسن</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عادة أهل العرف جارية على الإرشاد في المقامات التي يكون المقتضي فيهما موجوداً، فيفهمون من الإرشاد اللزوم، ويوجبونه على أنفسهم وإن لم يقصد من اللفظ إلا الإرشاد</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الإيراد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 بنفسه، فتعديته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الشريفة لا يصح الا بتضمين الإعراض، فالمعنى يخالفون معرضين عن أمره، ولا ريب أن ذلك حرام وإن كان الأمر للندب، فالأمر بالحذر عن ذلك لا يدلّ على كون الأمر للوجوب</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الإيراد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 وهو يتحقق في ضمن فرد واحد أيضاً، فيجب الحذر من مخالفة أمر من أوامره، فيكون هو واجباً لا كل الأوامر</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بيانه لو كان الأمر موضوعاً للوجوب لكانت الآية تأكيداً، ولو لم يكن موضوعاً لخصوص الوجوب لزم التأسيس، وهو أولى من التأكيد، فالآية تقتضي كون الأمر ليس لخصوص الوجوب</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للمرتضى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 الاستدلال يتم بناء على القول بتكليف الكفار بالفروع كما أثبت في محله</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يمكن تكليف الكفار بالفروع؛ لأنه تكليف بما لا يطاق؛ لأنهم حين كفرهم لا يقدرون على الإتيان بالعبادة الصحيحة المشروطة بالإيمان، مع أنه تكليف سفهي لا يصدر عن الحكيم؛ إذ هو يعلم بعدم إتيان الكفّار بالفروع ، فلا ينفع أمرهم بالفروع، فيكون سفهاً</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الحاكم بالذم العقل القاطع، فلا دلالة حينئذ في الآية الشريفة</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لترك الركوع</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بعذر ، ولفظة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موجودة</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لابن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يتبادر من اللفظ إذا أطلق المعنى الحقيقي، إذ حال الإمام كحال سائر الأنام، وتكلّمه كتكلّمهم مع معاصريهم</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 تفصيلها 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في سائر محاوراتهم مع عبيدهم، ومع الناس، فإنهم فيها مثلهم</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من كل واحد واحد منهم</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عام الا وقد خصّ</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الأصل فيما شك في إمكانه وامتناعه هو الإمكان، على ما عليه العقلاء</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والنقل التعيني هو آخر مراتب الخمسة ، ولا يمكن وصول المجاز من المرتبة الأولى إلى الخامسة الا بطي المراتب</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للعلّامة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نقل الأقوال ولم يرجح أياً منها</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أنا لا نعلم أن بناء العرف على تقديم المجاز، أو الحقيقة المرجوحة، والأدلة من حيث القواعد الخارجيّة متعارضة أيضاً؛ لأنا لا نعلم أن بناء العرف على الوقف حتى يكون توقفاً اجتهادياً لا فقاهتيّاً</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للعلّامة في التهذيب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وللشهيد الثاني في التمهيد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وفي 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 المحققون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ليس أمراً بذلك الشيء</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قول الأول للثالث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أتيت بالظن قبل أن يأمرك الواسطة به</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الله أمر بالواجبات الكثيرة، ولم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أمركم بكذا</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الدليل الخارجي قد قام على ذلك في أوامر الرسول صلى الله عليه و آله وسلم والأئمة عل كما يشهد عليه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ومحلّ الكلام دلالة نفس الأمر عليه عند فقد القرينة، فأوامرهم من قبيل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زيداً من قبلي بالأمر الفلاني، وهو خارج عن محلّ النزاع؛ لوجود القرينة</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منية اللبيب للعميدي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قال زيد العمرو مر بكراً بأن يبيع هذا الفرس، فهل يجوز لبكر أن يتصرف فيه قبل أن يأمره عمر و أم لا ؟ فعلى الأوّل نعم ، و على الثاني لا، وهل يصح بيع بكر قبل أمر عمر و أم لا؟ مبني على القولين</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نذر أن يعطي من أتى بمطلوب الشارع در هماً فرأى صبياً يصلّي، فإن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مروهم بالصلاة وهم أبناء سبع أمر منه للأطفال؛ لأن الأمر بالأمر أمر من الشارع على الطفل، يبرّ نذره بإعطائه الدّرهم وإن قلنا بأن الأمر بالأمر ليس أمراً من الشارع، بل عمل الطفل تمريني محض لا شرعي، لم يبر نذره بإعطائه الدرهم</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صدور ناقض منه، ففي وجوب الوضوء عليه حينئذ للصّلاة الواجبة مرة ثانية؛ لأن ما أتى به لم يكن مطلوباً من الشارع، أم يكفيه الوضوء الأوّل، وجهان مبنيان على الخلاف</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المختار لا إعادة عليه، وعلى الثاني تجب الإعادة؛ لعدم شرعية صلاته</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العلّامة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والرازي في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ونسبه الآمدي في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للمعتزلة</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القاضي الحسين من الشافعية، كما في البحر المحيط للزركشي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المحقق القمي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ويظهر من صاحب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الشيخ المفيد في التذكرة </w:t>
      </w:r>
      <w:r>
        <w:rPr>
          <w:rFonts w:eastAsia="IRNazanin" w:cs="IRNazanin"/>
          <w:b w:val="false"/>
          <w:bCs w:val="false"/>
          <w:i w:val="false"/>
          <w:iCs w:val="false"/>
          <w:color w:val="333333"/>
          <w:sz w:val="20"/>
          <w:szCs w:val="20"/>
        </w:rPr>
        <w:t>30</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الغزالي في 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إمام الحرمين كما في الإحكام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المجاز المشهور</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التفصيلات 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تساوي الطرفين</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الشيخ المفيد في التذكرة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 أكثر المتكلمين والفقهاء</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القاضي أبو بكر الباقلاني وأبو حاتم القزويني وأبو حنيفة وأكثر الشافعية والمعتزلة على ما في البحر المحيط للزركشي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تفاسير الوقف على ما في البحر المحيط للزركشي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ابن زهرة في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السيد المرتضى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والرازي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قوم</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كل مرة بالمعنى الأول يقال لها المرة بالمعنى الثاني، ولا عكس</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الأمر يدلّ على إيجاد الماهية مرّة، والسكوت من جواز الإتيان الأكثر وعدمه</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حصول الامتثال بالمرة الأولى بعدم الإتيان بالزائد، بحيث لو أتى بالزائد لم يكن ممتثلاً بإيجاد الماهية أصلاً</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الأمر بالصلاة ينحل إلى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وجوب الإتيان بالمرة الواحدة، والآخر عدم جواز الإتيان بالزائد، فلو أتى بالزائد عصى، وكان ممتثلاً بالمرة الأولى</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حصول الامتثال رأساً الا بعد الإتيان مكرّراً، بحيث يكون الإتيان بالجميع امتثالاً واحداً، وكان الإتيان بكل فرد جزءاً للمأمور به</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حصول الامتثال عند الإتيان بفرد بالنسبة إلى الفرد المأتي به وإن كان عاصياً بترك الزائد، فيحل إلى تكاليف عديدة</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القائل بالتكرار</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بالافراد</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صاحب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امتثاله بالفرد الزائد</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العبادة توقيفية، فيكون الإتيان بما لم يرد من الشارع بقصد المطلوبية تشريعاً محرماً</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القائل بالمرة اللابشرط عند الامتثال ينوي الإتيان بالمأمور به المتصف بالمرة، فينوي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آتِ بالصّلاة مرة؛ إذ المأمور به عنده هو الصّلاة ،مرة، وأمّا القائل بالماهية فينوي الإتيان بالمأمور به من دون تقييد بالمرة</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لرجوع الشك إلى الشك في جزئية الأفراد للمأمور به، وعدمها</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تعدد التكليف اللازم على فرض كونه تعدداً مطلوبياً؛ إذ يكون كل فرد واجباً مستقلاً، ويكون التكليف متعدداً</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تعدّد التكليف الحاصل من تعدّد المطلوب؛ إذ عليه يجب الفرد الواحد ويحرم الزائد والأوّل مقطوع على التقديرين، والثاني منفي بالأصل</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الأصل السابق، وهو قولنا مقتضى الأصل العملي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لتوقيفيّة ،الألفاظ، فإذا لم يدلّ دليل على الوضع لأحد الأمور المذكورة فلا بد من الوقف من حيث اللفظ</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حسن استفهام المخاطب عن المتكلم أنه أراد المرة أو التكرار</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دليل الاحتمالي والاحتمالي دليل الإجمالي، والإجمالي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لصحة الاستفهام في الاحتمال غير المساوي؛ دفعا لاحتمال التجوّز</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كون مطلق الاحتمال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المرجوح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الإجمال أوّل الدعوى، سلّمنا، ولكن كون الإجمال دليلاً على الاشتراك ممنوع؛ إذ هو يصح على مذهب المتوقف ولا يختص بالاشتراك</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الشيخ المفيد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إلى كثير من المتكلمين والفقهاء، ونسبه الزركشي في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الحنفية والحنابلة وجمهور المالكية والظاهرية</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الواقفية على ما حكاه الرازي في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المرتضى على ما حكاه عنه فخر المحققين في نهاية المامول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المحقق في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التمهيد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والرازي في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بل عن فخر المحققين في نهاية المامول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أكثر المحققين</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السيد المرتضى على ما حكاه عنه 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جهتين</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الشيء</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على معالم الدين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يكون الوقت الأوّل من أزمنة الإمكان جزء من المطلوب، بحيث لو أخل بأول الوقت وآخره لم يكن ممتثلاً أصلاً</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المطلوب شيئين من الماهية من حيث هي أي وقت كانت، والإتيان بها أول الوقت وأول زمان الإمكان، بحيث لو أخّر أثم لأحد المطلوبين، ويبقى عليه المطلوب الآخر، فالمعنى حينئذ أنه يجب عليك إتيان الفعل في أول زمان ،إمكانه، فإن عصيت ففي الثاني، وإن عصيت</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المهية</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التوقيف</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لابن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وتقريره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أغلب الألفاظ مفيدة للفور الحقيقي وبعضها للفور العرفي، كزيد قائم ونحوها من الجمل الاسميّة، وأنت حرّ ونحوها من الجمل الإنشائية، وبعت وأنكحت ونحوهما من صيغ العقود، وبعض من الجمل الإنشائية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كالنهي والاستفهام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تفيد الفورية الحالية العرفية، أي المتصل بزمان النطق وبعده، فالفور بالمعنى الأعمّ موجود في أغلب الألفاظ، فيلحق المشكوك، وهو الأمر بالغالب، ويحكم بإفادته مطلق الفور</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وتقريره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النحاة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الأمر للحال، وغرضهم من اقتران معنى الفعل بأحد الأزمنة الثلاثة هو المعنى الحدثي، وإن شئت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انتسابه إلى الفاعل مقترن بأحد الأزمنة الثلاثة، وأما نسبته إلى المتكلم فكلّها واقعة حال النطق</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فَاسْتَبِقُوا الْخَيْرَاتِ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سَابِقُوا إِلَى مَغْفِرَةٍ مِّن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سَارِعُواْ إِلَى مَغْفِرَةٍ مِّن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لابن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فوات القدرة وحصول الإثم</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أغلب الناس يدركهم الموت في زمان اعتقادهم التمكن وظنهم به</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التهاون بأوامر الشرع محرّم بحكم العقل القاطع، فيحرم التأخير إليه من باب المقدّمة</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السيد المرتضى في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ونسبه إلى أكثر الفقهاء والمتكلمين</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البراءة عن التكليف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التكليف بالقضاء</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فهم العرف يكفي</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فالمطلوب الماهية لا بشرط ، وذكر الوقت من باب ذكر أحد الأفراد</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بقاء الأمر</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فيستصحب بقاء الأمر</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لابن أبي جمهور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أغلب الموقتات ورد الأمر بها بعد مضي الوقت أيضاً، ويلحق المشكوك بالغالب</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أكثر الأصوليين كما عن صاحب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المحقق القمي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ونسب إلى المعتزلة على ما في البحر المحيط لزركشي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صاحب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الرازي في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الواقفية</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ابن الحاجب في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والعضد في شرحه للمختصر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خارج عن البحث</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معاني الأقسام المذكورة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الأصول</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 للتفتازاني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هذه الأقسام جميعاً عند بحثهم لمقدمة الواجب</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القواعد المنطقية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الجوهر النضيد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حاشية الملا عبد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غير المقدورة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لابن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والعلمية والتركيبية والسببية والتسبيبية</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المصنف مفصلا في الضوابط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بيانه ان استحقاق العقاب على ترك ذي المقدمة هل هو عند ترك المقدمة المفضي إلى ترك ذي المقدمة وإن لم يصل بعد وقت تعلّق التكليف بذي المقدمة، أم هو لا يستحق العقاب إلّا إذا دخل وقت ذي المقدمة، فمن قال بوجوب المقدمة قال بالأول، ومن أنكره قال بالثاني، فمن وجب عليه الحجّ في البلد النّائي وجب عليه الخروج إليه قبل الموسم، فلو علم بأنه لو لم يخرج تلك القافلة لفاته الحجّ وأخّر الخروج مع ذلك استحق العقاب على ترك الحجّ حين ترك الخروج على الأوّل، وحين دخول موسم الحج على الثاني</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ترتب الفسق على تركها على القول بوجوبها، وعدمه على عدمه</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على القول بوجوب المقدمة يلزم اجتماع الأمر والنهي في الموارد التي تكون المقدمة محرمة دون القول بالعدم</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تعدد العقاب ووحدته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البرء من النذر فيما لو أتى الناذر لإتيان الواجب بمقدمة من مقدماته على القول بالوجوب وعدمه على القول بعدمه</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وللسائل</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 على</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ذي المقدمة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وسابقاً لها</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التباين الجزئي، فلأنه يمكن أن يقول أحد ثمة بوجوب المقدمة، وهنا يقول بأن الأمر بالشيء لا يقتضي النهي عن ضده الخاص ؛ لمنع كون ترك الضدّ مقدمة لفعل ضده، ويمكن أن يقول أحد ثمة بعدم وجوب المقدمة، وهنا بالاقتضاء أيضاً؛ لقوله بعدم جواز اختلاف المتلازمين في الحكم، ويمكن أن يقول أحد بوجوب مقدمة الواجب وباقتضاء الأمر بالشيء النهي عن ضده الخاص؛ لقوله هنا بالمقدميّة، وهناك بوجوب مقدّمة الواجب، أو عدم جواز</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لابن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مطارح الأنظار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ضد</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ما وضع له الضدّ جزئي من الأمر الكلي، وهو مطلق المنافي للشّيء الشامل للضد والنقيض، فأطلق لفظ الضدّ الموضوع لذلك الجزئي وأريد منه الكلّي</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 اطلق لفظ الضدّ أولاً وأريد منه خصوص الترك، بمشابهة فعل الضدّ الذي هو وجودي في كون كلّ منهما منافياً للمأمور به</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لمجاورة ترك الشيء مع فعل ضدّه، فأطلق اللّفظ الموضوع لأحد المجاورين على الآخر، من باب جري الميزاب</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في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اختاره المحقق القمي في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للشهيد الثاني في 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مشهور المتأخرين ومنهم صاحب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احتياج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بيان جواز اختلاف المتلازمين في الحكم وعدمه أقوالاً، ثالثها التفصيل بين ما لو كان المتلازمان معلولي علة واحدة، أو كان أحدهما علّة والآخر معلولاً، وبين ما لو كان التلازم فيه من باب المقارنة الاتفاقية، ففي الأولين لا يجوز الاختلاف في الحكم، وفى الآخر يجوز</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التقديرين،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تقديريه</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صاحب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صاحب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ينسبه القائل بعينه، واختاره هو</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واستناد الإنكار إليه سهو</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للعلّامة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البهائي في الزبدة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وجزم به صاحب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خيرة بعض الأعلام على ما في حاشية القزويني على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656/3</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علّق النذر على فعل الواجب، فصلّى أحد في سعة الوقت تاركاً إزالة النجاسة، فإن قلنا بأن الأمر بالشيء يقتضي عدم الأمر بضده، أو النهي عنه مع اقتضاء النهي فساد العبادة، لم يكن هذا الشخص آتيا بالواجب، وإن قلنا بعدم الاقتضاء رأساً وبالاقتضاء التبعي كان آتياً بالواجب</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قال لزوجاته من أتى منكن بمحرّم فهي علي كظهر امّي، فصلت إحداهنّ في سعة الوقت تاركة للواجب الفوري، فإن قلنا باقتضاء الأمر النّهي عن الضدّ تعلق الظهار، والا فلا</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الضد</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لابن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أكثر المحققين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الفصول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أن الجواز الثابت في ضمن الوجوب لا يبقى بعد نسخه واختار الغزالي في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عدم اللزوم ورجوع الأمر إلى ما كان عليه قبل الوجوب</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المنع من الترك</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لفظيين، أم لبيين، أم مختلفين</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يشهد به ظاهر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النّزاع فيما كان بلفظ نسخت الوجوب ونحوه، وظاهر استدلالهم على بقاء الجواز من انّ الأمر يدلّ على شيئين، وانه تعدّد مطلوبي، فإن ذلك بظاهره لا يتصوّر فيما كان المنسوخ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الأمر الدال على 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لبيّاً، كما أن الشاهد الأول ينافي كون الناسخ لبيّاً، وأما إذا كان المنسوخ لفظياً والناسخ لبيّاً فهو خارج أيضاً عن النزاع بشهادة الشاهد الأول، وكذا العكس بشهادة الشاهد الثاني</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لذهاب الفعل بذهاب جنسه</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الأمر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القمي في القوانين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أصحابنا فيه إلى عدم الجواز، وجمهور العامة على الجواز، وربّما أفرط بعضهم فجوّزه مع علم المأمور بانتفاء الشّرط أيضاً</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الشروط</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قبل إظهار إرادة التوطين يفهم المخاطب إرادة نفس الفعل مع كونه معتقداً، وبعد إظهار إرادة التوطين يفهم العرف القسم الأخير ، أي إرادة المعنى الحقيقي من اللفظ، مع كون الداعي هو التوطين لا هذا القسم، وهو إرادة التوطين من حق اللفظ، فلو أراد الأمر ذلك لم يفهمه المكلف لا قبل إقامة القرينة على إرادة خلاف الظاهر ولا بعدها، الا ان يقيم القرينة بالخصوص على إرادة التوطين من حاق اللفظ ، فلو لم تقم تلك القرينة وأراد ذلك كان بمنزلة إرادة خلاف ظاهر اللفظ مع تاخير بيانه عن وقت الحاجة، وهو قبيح عقلاً</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كلامهم ونزاعهم</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كون النزاع هنا صغروياً، وهو نزاعهم في أن الارادة هل هي شرط للوجوب؛ لاضطرار العبد فيها، أم للوجود؛ لكونها اختيارية له، فالأشاعرة حكموا بالاضطرار، فالإرادة عندهم شرط الوجوب، والخاصة حكموا بالاختيار، فهي عندهم شرط الوجود</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 للسكاكي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أنيس المجتهدين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التجربة</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الماهية</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المصنف تفصيلاً في ضوابط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 الدليل</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المقتضي لتعلق الأحكام بالطبيعة، ولا نصرفه عن ظاهره بمجرد احتمال امتناع وجود الكلي</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يقيد</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والمسلّم من قبح التكليف بالمحال إنما هو حيث اعتقد المخاطب بالمحالية ولم يقبل المولى منه غير ذلك المحال</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إيراد مفاده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الكلّي موجوداً لم يكن فيه صفة حسن وقبح، فكيف يتعلّق به الأمر مع قولك بدوران الاحكام مدار الصفات</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التكليف بالمسبب حال عدم وجود السبب</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التكليف بالمسبب حال وجود السبب</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فالسببية والمسببية بينهما أول الكلام</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الأمر بالصّلاة إن كان حال وجود الطهارة خاصة انقلب الواجب المطلق مشروطاً، وإن كان حال فقدانها خاصة لزم التكليف بما لا يطاق، وأما في الحالتين معاً فهو أيضاً مستلزم للتكليف بالمحال؛ لانّ المشروط بدون الشّرط محال</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بالشرط</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بالوجوه والاعتبارات</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فالمحققون ذهبوا إلى أنّ الإتيان بمقتضى الأمر، يقتضي الإجزاء بالمعنيين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هاشم وأتباعه والقاضي عبد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يقتضي الإجزاء بمعنى سقوط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يدلّ من حيث الشرع، لا من جهة اللغة</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في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والعلّامة في نهاية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عن القاضي، الفصول الغروية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للمحقق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مطارح الأنظار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الثلاثة بعد كشف الفساد أو التمكن من المبدل</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بالمرة والتكرار والطبيعة</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ففيما لو انكشف الفساد قبل خروج الوقت يجري النزاع الأول دون الثاني، ولو ترك الإتيان بالمأمور به رأساً في الوقت ولم يأت بشيء يجري النزاع الثاني دون الأول، ولو صلى بظن الطهارة و انكشف الفساد بعد خروج الوقت يجري النزاعان</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 لأنه من التوقيفيات، فلا يكون الأصل عدم الإجزاء ولا الإجزاء؛ لأن الأوّل لدلالة الأمر الأول على الإتيان بالمأمور به ثانياً في الجملة، والثاني لدلالة الأمر الثاني الدال على البدلية المطلقة، وكلاهما خلاف الأصل</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وجهان</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ان</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للمحقق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زبدة الأصول 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يظهر من بعضهم دعوى الإجماع عليه كالعلامة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حسن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محمد في مدارك الأحكام </w:t>
      </w:r>
      <w:r>
        <w:rPr>
          <w:rFonts w:eastAsia="IRNazanin" w:cs="IRNazanin"/>
          <w:b w:val="false"/>
          <w:bCs w:val="false"/>
          <w:i w:val="false"/>
          <w:iCs w:val="false"/>
          <w:color w:val="333333"/>
          <w:sz w:val="20"/>
          <w:szCs w:val="20"/>
        </w:rPr>
        <w:t>217/3</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مذهب أكثر الاشاعرة وبعض أصحابنا كصاحب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فى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المعتزلة</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في 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لاتفاق كلمتهم على اعتبار المندوحة في الامتثال</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المحقق القمي في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 عن محل الكلام</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بالعكس</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متعلقهما شيئاً واحداً</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له جهة توصل وجهة تعبد يتوقف حصول الأولى على الثانية</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له جهة توصل وجهة تعبد لكنهما منفكتان</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لابن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بد</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بالمقوّم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يمكن تصور الشيء المتصف بذلك الوصف الا بملاحظة ذلك الوصف</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ليس بلازم وإن كان ربما لا ينفك، كما في الحركة للفلك</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إشارات الأصول للكرباسي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في العبادات</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يطلق الجواز ويراد به ما يقابل الحرمة أو الوجوب، وقد يطلق ويراد به ما يقابل الفساد الشرعي،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بيع المعاطات، أي يصح ويترتب عليه الأثر، وقد يطلق ويراد به الصحة اللغوية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استعمال المشترك في المعنيين، وقد يطلق ويراد به ما يقابل الامتناع الذاتي، وقد يطلق ويراد به ما يقابل القبح العقلي،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ذلك عقلاً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يقبح</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الأصول للكرباسي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الغروية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لفهم</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ملازمة بين جواز الاجتماع وصحة العبادة، فلعل مذهب المجوز للاجتماع عقلاً ان الاجتماع غير واقع في الشرع، وإن كان جائزا؛ لفهم العرف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 ولا تغصب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تخصيص الأمر بغير المكان المغصوب وإن أمكن عقلاً عدم المخصص</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الجهة التي نحن فيها، وهي الدلالة العقلية</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يتم</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باعلى</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للاستقراء</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يلزم من منعه الاجتماع عقلاً المنع لفظاً أيضاً، وهو المذهب المشهور</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المولى الأردبيلي في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بعض أصحابنا، ومنهم المحقق القمي في القوانين المحكمة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الأصل اللبي الذي هو مع المانعين، وبين اللفظي الذي هو مع المجوزين يقدم الأخير</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ارتباطاً أم استقلالاً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عليه المشهور، وذلك</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في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الحمل هو المشهور على ما في الوافية للتوني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لاريب في أن مراتب المكروهات متدرجة فلازم المعنى الأول أن المكروه من هذه المراتب ما كان أقل ثواباً مما عداه مطلقاً، فتنحصر الكراهة في فرد واحد</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 في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مستعملاً في الثواب ويكون إخباراً عن قلة الثواب لا إنشاء</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مصطلحة</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الصلاة في البيت أقل ثواباً من الصلاة في المسجد مع عدم ورود النهي عنها</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يصدق عليه أنه أقل ثواباً من غيره في الجملة ، وإن كان هو أيضاً أكثر ثواباً من بعض العبادات</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للطبيعة من حيث هي مع قطع النظر عن الخصوصيات ثواباً مقرراً كمئة مثلاً، ولكن إذا اختصت بالخصوصيات فهذه الحصة قد تساوي الطبيعة، وقد تنقص عنها، وقد تزيد عليها، والمكروه منها ما كانت أقل من الطبيعة في الثواب دون المساوية أو الزائدة</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النهي عن الصلاة في الحمام هو نهي عن التعرض للرشاش، فلم يجتمع الأمر والنهي في متعلق واحد ذي جهتين</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الاشتراك</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نحن فيه من الأخير؛ حيث تعلق النهي بالعبادة نفسها لأمر خارج عنها</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للبهبهاني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الفرد</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قد أخذ في مفهوم الكراهة الرخصة في الارتكاب فلا يلزم منافاة الغرض</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قبح عند العقل في تصريح الأمر بأني أطلب ماهيّة الصّلاة لا بشرط وأنهى عن الفرد المخصوص، ولكن لو عصيتني وأتيت بالماهيّة في ضمن هذا الفرد، لعاقبتك على الإتيان بالفرد لا على عدم الامتثال بالماهية من حيث هي بل أنت ممتثل بها مطلقاً، فأعطيتك من جهة وأعاقبك من جهة أخرى</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لأنا مكلفون على متفاهم العرف</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الفرد</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يوجب تخصيص ذي المقدمة بالفرد المباح بأن يكون المطلب الأصلي هو الكلي الموجود في ضمن الفرد المباح خاصة</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القدر المستفاد من العقل انه لا عقاب في الفرد من جهة إيجاد الكلي المطلوب كما هو لازم عقلي لكلّ أمر صدر من المولى، ولا يحكم بالرخصة من كلّ جهة، ولا يدرك عدم وجود العقاب على الفرد من جهة أخرى، بل يحكم بعدم العقاب من جهة على الفرد من تلك الجهة المحصلة للطبيعة وإن كان يمكنه عقابه من جهة أخرى</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يرخص في إتيان الفرد من جميع الجهات، ويحكم بأنّه لا عقاب في الفرد المأتي؛ لإيجاد الكلّي أصلاً ومن جهة من الجهات</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انعقدت الصلاة صحيحة اجتمع أمران ونهي، الأمر بالصلاة والأمر بالإتمام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تُبْطِلُوا أَعْمالَكُمْ ، والنهي عن الغصب، فلا يجوز له بعد الشروع والدخول على وجه الصحة القطع ولا عدم القطع؛ إذ لو قطع عوقب على عدم الإتمام، ولو لم يقطع عوقب على الغصب، وهذا تكليف بما لا يطاق</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الأمر بالإتمام، فلو فرض انتفاؤه لم يكن مانعاً من الاجتماع</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المطلق</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الأول منهما المحقق القمي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ونسبه إلى أكثر أفاضل متأخرينا، بل إلى ظاهر الفقهاء</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ابن الحاجب والعضدي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للمشهور من المنافاة خطاباً وعقاباً كما هو ظاهر إطلاقهم</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بالحكم العقلي</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أهل الظاهر وكثير من الفقهاء من أصحاب الشافعي وأبي حنيفة وكثير من المتكلمين</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الرازي في المحصول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أكثر الفقهاء، والآمدي في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المحققين</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أكثر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حكاه المحقق القمي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كالمحقق في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والعلّامة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وبعض العامة كالرازي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المرتضى</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الأسنوي في نهاية السول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الحاجب والآمدي</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المنقول عن أبي حنيفة ومحمد بن الحسن ينظر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الافراد</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العقود</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نذر بيع منّ من الحنطة في الفلا، ثم باعه فيه وهو مال الغير من غير إذنه، فبعد تعلق النّهي على هذا البيع لا يحصل الوفاء بالنذر ، فمن يقول بفساد العبادات بالنهي يقول به هاهنا؛ لشمول أدلته له، ولم يفرق من قال بالفساد بين الماهيات المخترعة للعبادة وغيرها، فاذن المراد من المعاملة معناها الأخصّ، فلا يشمل المثال المذكور والا لزم على القول بالدلالة على الفساد في العبادة دون المعاملة الحكم بالصحة هنا وهو تناقض</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 الفساد المستفاد هل يستفاد بطريق كون عدم المنهي عنه شر عنه شرطاً في صحة المأمور به، فلايصح إذا أتى به في ضمن المنهي عنه عمداً كان أم جهلاً بالموضوع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الغصبية، أم المنهي لا يفيد الاشتراط، بل الحرمة فقط المستلزم للفساد عند تعلّق النهي ظاهراً وحين تعلّقه بالمكلّف وهو عند العلم بالموضوع مثلاً ، فلا يفسد الصلاة عند الإتيان بها في المغصوب جهلاً بالموضوع؛ إذ لا نهي، فلا فساد</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مطلقين</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أنه إن قلنا بالاقتضاء فسد الضد إن كان عبادة، والا فلا يفسد</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الألفاظ والدلالات</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ورد فيه جهة صحة</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النهي فساده</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للتوني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مسالة</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العقل لا يمنع من قراءة العزيمة؛ لأن كلّي القراءة الذي هو جزء الصلاة مأمور به من حيث هو، والمكلّف بسوء اختياره أوجده في ضمن الفرد المحرم من جهة الخصوصية لا من جهة الكلّي الموجود في ضمنه</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يفهم أن هذا الفرد والكلّي الموجود في ضمنه ليس مطلوباً، ويفهم أيضاً ان عدم العزيمة شرط في صحة الصلاة، فيحكم بالفساد من هاتين الجهتين</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النهي</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الشرط، ووجوده فاسداً بطريق تعلق النهي بطريق التقييد ، أو الاستقلال مع تعيين المحل، أو بدون تعيينه</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بوصفه</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كالنهي</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الفساد عرفاً</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اختاره صاحب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المشهور كما عن الفوائد الحائرية للبهبهاني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نفسياً أم غيره، تعلق النّهي بنفس المعاملة، أم بجزئها، أم بشرطها، أم بغيرها</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 الله البيع ؛ لفهم الفساد، لكن لا لأجل النهي، بل لأجل حصول المناقضة بين النهي والمقتضي فيفهم أن المراد حلية ما عدا صورة النهي</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فإنا وجدنا غالب المحرمات الأصلية من المعاملات فاسدة، بدليل خارج، فيلحق المشكوك بالغالب</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مملوك تزوج بغير إذن سيده؟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إلى سيده إن شاء أجازه، وإن شاء فرق بينهما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أصلحك الله إن الحكم بن عتيبة وإبراهيم النخعي وأصحابهما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أصل النكاح فاسد، ولا تحل إجازة السيد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 يعص الله، إنما عصى سيده، فإذا أجازه فهو له جائز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إرشاد الفحول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المدلول</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المجتهدين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للزيادة ينظر الإحكام في أصول الأحكام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الأكثر كما في أنيس المجتهدين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الغيث الهامع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ماخوذ من كلام ابن الحاجب في اثناء الاستدلال</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نسبته إلى أحد بعينه</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السيد المرتضى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والشيخ في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وابن زهرة في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والحر العاملي في الفوائد الطوسية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والآمدي في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وحكاه عن القاضيين وأبي عبد الله البصري</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للفراهيدي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للفيروزآبادي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لابن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للأصل</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إشارات الأصول للكرباسي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 للكفوي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بإرادة</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الوصلية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عملت خيراً تجز به وإن كان مثقال 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مثقال ذرة</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سببية الأول للثاني،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انتفاء الثاني من انتفاء الأول، ووجود الثاني من وجود الأول</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نظر إلى أن انتفاء الأول مستلزم لانتفاء الثاني، أو انتفاء الثاني كاشف عن انتفاء الأول</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فِيهِمَا آلِهَةٌ إِلَّا اللَّهُ لَفَسَدَتَا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توقف نفسها عليه، كقولك ان نزل الثلج فالزمان شتاء</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اللفظ</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المبحث من المبادئ اللغوية، ومن شانها كون النزاع لغوياً ولفظياً لا عقلياً</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عدم الدلالة</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كونه ملتفتاً إليه</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التخصيص والتقييد</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تضمنية</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والدلالة</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إرادة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لفظ</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عينيا وتخييرياً</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عاصرنا</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القمي في القوانين المحكمة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التبادر</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زكاة في الغنم إن كانت معلوفة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فالقائل بالحجّية يقول بوجوب الزكاة في السائمة، والقائل بعدمها يقول ان السائمة مسكوت عنها</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أكرم العلماء إن كانوا 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فمفهوم الأخير يعارض الأوّل في غير الفقهاء، والأخير خاص والأول عام، فيلاحظ المرجحات بينهما على القول بالحجية، وأما على القول بعدم الحجيّة فيكون الثاني تأكيداً لجزء مفاد الأول، ويعمل بهما معاً</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إيراد مفاده أنه على فرض عدم حجّية المفهوم لا يحتاج فيما إذا وافق الأصل إلى الفحص عن المعارض في إثبات الحكم، بخلاف ما إذا لم يكن حجة، فإنه لا بد في العمل بالأصل من الفحص عن المعارضات الدافعة للأصل</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يؤكل لحمه يتوضأ من سؤره ويشرب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فهل مفهومه أنه كل ما لا يؤكل لحمه لا يتوضأ من سؤره، أو المفهوم هو ليس كل ما لا يؤكل لحمه يتوضأ من سؤره، فعلى الأوّل المفهوم سالبة كلية، وعلى الثاني سالبة جزئية</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مطارح الأنظار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الشهيد في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ومالك، وأحمد بن حنبل، وأبو الحسن الأشعري، وجماعة من الفقهاء والمتكلّمين، وأبو عبيد، وجماعة من أهل العربية على ما حكاه 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السيد في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والشيخ في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والمحقق في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حنيفة وأصحابه، والقاضي أبو بكر، وابن سريج، والقفّال، وجماهير المعتزلة على ما حكاه 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ابن الحاجب في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والمحقق القمي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فيدخل نحو جاءني زيد راكباً، وفي الغنم السائمة زكاة، وجاءني رجل عالم</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فيدخل نحو في السائمة زكاة، وفي الغنم السائمة زكاة، وجاءني زيد راكباً، وتخرج الجملة الوصفية</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فيخرج نحو جاءني زيد راكباً، وفي السائمة زكاة</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 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للشيخ البهائي في الزبدة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الغروية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يتبادر حينئذ وجود المفهوم الموافق، فيفهم مفهوم الموافق حينئذ؛ لتعارض قرينة الأولوية مع اقتضاء وضع اللفظ المفهوم المخالف على القول بالحجيّة، فتصرف تلك القرينة ظاهره</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وَرَبَائِبُكُمُ اللَّاتِي فِي حُجُورِكُمْ مِنْ نِسَائِكُمُ اللَّاتِي دَخَلْتُمْ 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فالغالب في الربائب كونهن في الحجور</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للفرق</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الرضي في 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بعضهم</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نجم الأئمة في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وابن هشام في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بل عليه أكثر المحققين على ما ذكره الشهيد الثاني في التمهيد </w:t>
      </w:r>
      <w:r>
        <w:rPr>
          <w:rFonts w:eastAsia="IRNazanin" w:cs="IRNazanin"/>
          <w:b w:val="false"/>
          <w:bCs w:val="false"/>
          <w:i w:val="false"/>
          <w:iCs w:val="false"/>
          <w:color w:val="333333"/>
          <w:sz w:val="20"/>
          <w:szCs w:val="20"/>
        </w:rPr>
        <w:t>425</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الرضي في شرح الكافية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بعضهم، قيل هو المبرد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هداية المسترشدين للنجفي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الزمخشري في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والذي عليه أكثر المحققين الحجية، وذهب جماعة منهم السيد المرتضى في الذريعة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العامة الآمدي في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إلى أصحاب أبي حنيفة وجماعة من الفقهاء والمتكلمين إلى عدم الحجية</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قلنا المرفق مجمع العظمين، ظهر الفائدة بين القول بالدلالة على عدم الدخول وعكسه والسكوت، فعلى الأوّل لو قطع اليد و بقى المرفق لم يجب غسله</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قلنا بمخالفة ما بعد الغاية لما قبل الغاية جاز المقاربة، وإن قلنا بالسكوت حرمت لاستصحاب الحرمة</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حصول التمييز بينهما</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الادخال من باب المقدمة معناه عدم الدخول أصالة، ولازمه مع عدم الاشتباه لا يدخل</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الآية الشريفة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أَتِمُّوا الصِّيَامَ إِلَى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فيجب إدخال جزء من الليل من باب المقدمة، فلا وجه لتخصيص الإدخال بالمتجانسين</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إرادة</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الآية الشريفة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فاغْسِلُوا وُجُوهَكُمْ وَأَيْدِيَكُمْ إِلَى 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هل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لبيان منتهى المغسول أم لبيان الغسل أيضاً ، فإن قلنا بالأوّل فلا دلالة في الآية الشريفة على لزوم الابتداء من الأصابع والانتهاء إلى المرافق، بل الآية الشريفة بالنسبة إلى كيفية الغسل حينئذ</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المجتهدين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866/2</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عما</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المجتهدين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فالأشهر الأقوى فيه الحجية عرفاً، ونقله الفارسي عن النحاة وصوّبهم؛ وكذلك لغة</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تعقيب</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المجتهدين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زبدة الأصول 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الاستغراق</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 للبهائي في الزبدة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 زاد عليه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أجزاء جزئياته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ابن الزبعرى مع النبي ذكرها المفسرون عند قوله تعالى في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وَمَا تَعْبُدُونَ مِن دُونِ اللَّهِ حَصَبُ جَهَنَّمَ أَنْتُمْ لَهَا وَارِدُونَ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حيث إنّ النّبي لم يقل له إنّ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يفيد الظنّ بالعموم، بل أجاب بكونه لغير العاقل</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هؤلاء الرجال</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الْمُسْتَضْعَفِينَ مِنَ الرِّجَالِ وَالنِّسَاءِ وَالْوِلْدَانِ لَا يَسْتَطِيعُونَ 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جعلنا الجملة الفعلية صفة للمستضعفين، فيكون المراد منه معنى النكرة فيصح توصيفه بالجملة فيكون العهد ذهنيّاً؛ لأنه في المعنى كالنكرة قد يجري فيه أحكام النكرات، وقد يجري أحكام المعارف</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 قَوَّامُونَ عَلَى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يركب الخيل</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يُحِبُّ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العدة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احتياج العهد الخارجي إلى القرينة بحيث لولاها لفهم الاستغراق دليل على كونه مجازاً في العهد؛ لاحتياج المجاز إلى القرينة</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تكرم الرجال</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عبيدي أحرار</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خير موضوع</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 الناس الدرهم البيض والدينار الصفر</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مشيراً إلى حاضر</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في المعنى كالنكرة ،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على اللئيم يسبني</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هذا البعض</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 للسكاكي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أنيس المجتهدين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الغروية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صاحب إشارات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 بالنسبة إلى المادة</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وبنحو</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صاحب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عبرة بتلك القرينة العقلية الخفية التى لا يدركها المخاطب، فإن الخطاب بما له ظاهر وإرادة خلافه مع عدم القرينة المفهمة قبيح</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كل من اللام والمدخول جزء دال</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فالوضع فيها عام والموضوع له خاص</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فيها</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ضربي زيداً قائماً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الأوجه</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عليه الرازي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الرازي عن ابن جني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زبدة الأصول 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وَأَنْزَلْنَا مِنَ السَّمَاءِ مَاءً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رجلاً، ثم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زيداً، ومن هذا الباب التقييد بالمنفصل</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رجلاً</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جاءني رجل لا امرأة</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الدلالة على الفرد المنتشر في نحو زيد</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إشارات الأصول للكرباسي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الغروية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الفرد</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أقواها</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لاستعمالها في معناها</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في معناها ولا في غيره، فلا تكون حقيقة ولا مجازاً ، فلا مجاز في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علي وفي الحروب نعامة، ومعناه هو معنى المادة الخالية عن كل اللواحق</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المنكر</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كالمفرد المنون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 الله بيوعاً</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رجالاً، ثم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زيداً وعمراً وبكراً</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رجالاً</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رجال لا نساء</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المجتهدين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الشيخ المفيد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الرازي في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جمع من الصحابة والتابعين، والغزالي في 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استدلال القاضي عليه</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السيد المرتضى في الذريعة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العدة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إلى المتكلمين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الفقهاء، والمحقق في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والرازي في الحصول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ونسبه إلى أبي حنيفة والشافعي، وحكاه الآمدي في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ومشايخ المعتزلة وجماعة من أصحاب الشافعي، وفي المنية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مذهب المحققين</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أو اثنان</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إمام الحرمين إلى أنه لا يمتنع رد لفظ الجمع إلى 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القوانين المحكمة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الأول</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تكذيب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 ،رجال، بأن فيها رجلين لا رجال</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أكرم رجلين بعد قول المولى أكرم رجالاً</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الرازي في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القرافي 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عارض</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بئر دارنا إنسان ، فأجاب انزح أربعين دلواً مثلاً</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المجتهدين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 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إذا دخل</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البيت</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لابن أبي جمهور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 للسيوري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الشيخ جعفر في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والمحقق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أن ينسبه</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المصنف في الضوابط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إشارات الأصول للكرباسي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للبهبهاني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الغطاء للشيخ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الغزالي في 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وصاحب فواتح الرحموت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والمولى أحمد النراقي في مفتاح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أصحابنا وأكثر أهل الخلاف كما عن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الفاضل التوني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الزركشي في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من الحنفية والحنابلة</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المشافه</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الرسائل الأصولية للبهبهاني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أنيس المجتهدين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737/2</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عن الحلال والحرام،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حلال محمد حلال أبداً إلى يوم القيامة، وحرامه حرام أبداً إلى يوم القيامة، لا يكون غيره ولا يجيء غيره</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الأصولية للبهبهاني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فيما إذا قلنا بجواز خلو الواقعة عن الحكم فالأصل الاختصاص مطلقاً، أو قلنا بعدم جوازه، فإن احتمل كون حكم الغائب الإباحة وكان حكم الحاضر ما عدا الإباحة فالأصل الاختصاص أيضاً</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النبي</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بإجماع المسلمين، ومن جملة السنة فعل المعصوم ، فلو كان احتمال الاختصاص بالمعصوم مضراً في الاشتراك لم يكن لقولهم ان فعله من الادلة ،وجه مع أنهم مطبقون عليه</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أعمّ</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إرشاد الفحول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حكاية الإجماع عن المحقق الخوانساري، والأردبيلي</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الثاني الحاجبي في مختصره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وصاحب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وغيرهم من المحققين، فعلى مبناهم تكون المسألة لغوية</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فهي وإن شملها النزاع، لكن بملاحظة أدلة الأطراف يظهر حصر النزاع في الكتاب العزيز</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ايها، أنتم ونحوهما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الاختصاص ما يظهر من عنواناتهم للمسألة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وضع لخطاب المشافهة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اتفاقهم على جواز الخطاب بالموجود الصرف، وعلى قبح الخطاب بالمعدوم الصرف</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 احتمالين</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 والمادة</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الكلام في بيان مرادات الشارع من تلك الخطابات من حيث ابتناء المسألة الفرعية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فلأن دخول الحاضرين الفاهمين قدر متيقن فالتعدي يحتاج إلى دليل</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لانصراف الخطابات إلى إرادة الحاضرين</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على الأوّل إذا فهم المعدوم من الخطاب شيئاً رتب قياساً من الشكل الأوّل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خطاب خوطبت به وکل خطاب خوطبت به فإني مكلف بما فهمت منه؛ وأما على فرض الاختصاص فلا يتم الصغرى، وإذا لم يتم الصغرى فلعل المراد خلاف ظاهر الخطاب، فيحتاج إلى الفحص عما فهمه المخاطبون</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المعمّم وجوب صلاة الجمعة ثابت على الحاضرين على الإطلاق؛ لتعلق الخطاب بالمشافهة يقيناً مطلقاً، و كلّما ثبت للحاضرين ثبت للمعدومين؛ لاشتراك المعدم مع الحاضر في الخطاب، واما القائل بالاختصاص فلا يثبت على مذهبه الوجوب على المعدومين؛ إذ كلّية الكبرى لا يمكن إثباتها على مذهبه لا باشتراك الخطاب ؛ لفرض عدمه، ولا بالإجماع على الاشتراك في الحكم حتى في صلاة الجمعة؛ لفقدان الإجماع على الاشتراك في مثل صلاة الجمعة؛ لمكان الخلاف في وجوبها على المعدوم، وإن كانت الصغرى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وجوبها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الحاضرين ثابتة مطلقاً</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فالقارئ مخاطب والسامع مخاطب باختلاف الجهة بالشخصية</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للزركشي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تمسك بها صاحب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معنى للرسالة الا بتبليغ الخطاب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الإمام الصادق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ينبغي للعبد إذا صلى أن يرتل في قراءته، فإذا مر بآية فيها ذكر الجنة وذكر النار سأل الله الجنة، وتعوذ بالله من النار ، وإذا مرّ بيا أيها الناس ويا أيها الذين آمنوا،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ربنا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حماد بن عثمان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يستحب أن تقرأ في دبر الغداة يوم الجمعة الرحمن كلها، ثم تقول كلما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فبأي آلاء ربكما تكذبان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بشيء من آلائك ربّ أكذب</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وجه الدلالة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يمكن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 على الضمير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الموصول في محلّ النصب، فيكون المعنى لانذركم وأنذر من بلغ مرتبة الوجود أو حدّ التكليف أو بلغه القرآن من غيركم بالقرآن فيشمل الإنذار بالقرآن غير الموجودين في زمن النبي، ولا يكون ذلك الا لشمول الخطاب مدلولا للجمع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للجمع</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 ظاهر التسمية بالكتاب كون القرآن من باب تأليف المؤلفين</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كالآية الشريفة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كُنتُمْ خَيْرَ أُمَّةٍ أُخْرِجَتْ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فقد روى القمي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انها خير 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أن الأئمة عل كانوا حين النزول غير موجودين</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نحوما رواه الصدوق في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 عن أبيه موسى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سأل أبا عبد الله ما بال القرآن لا يزداد على النشر والدراسة إلا غضاضة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الله لم يجعله لزمان دون زمان ولا لناس دون ناس فهو في كل زمان جديد، وعند كل قوم غض إلى يوم القيامة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العين للفراهيدي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للفيروزآبادي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لابن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مجمع البحرين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لابن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زبدة الأصول للبهائي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أنيس المجتهدين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لفظياً</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المجتهدين للنراقي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الغروية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المنتهى</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لظاهر السيد المرتضى في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والمحقق في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وصاحب 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الذي اختاره الشافعي وأصحابه، ونسب إلى الجمهور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المجتهدين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749/2</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الفصول الغروية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 إليه أكثر المحصلين من المتكلمين والفقهاء وأهل اللغة</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الإشكال لصاحب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بوجوه كثيرة</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العقلي ولا الشرعي التكليفي ولا الوضعي</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والمرجع في الكل هو طبيعة العنوان وطريقة الاستدلال، فبحسبهما يدخل أو يخرج المورد عن محل النزاع</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 للشهيد الثاني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الأصول للكرباسي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الأكثر</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في العمل به مفر عن ذلك، فعلى القول بالجواز يعمل بهذا الخبر في المسألة الفقهية، وعلى القول بعدم الجواز فقاهة عمل بالخبر أيضاً، أو اجتهاداً ، فلا يعمل بهذا الخبر في المسألة اللغوية، وأما من حيث المسألة الفرعية فله صور في بعضها يعمل وفي البعض الآخر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المجتهدين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 في أدلة الجواز إلى الواحد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زبدة الأصول 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المحصول للرازي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للبهائي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القوانين المحكمة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المجتهدين للنراقي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السابقة</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لَكَ عَلَيْهِمْ سُلْطَانُ إِلَّا مَنِ اتَّبَعَكَ مِنَ الْغَاوِينَ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ولا ريب أن الغاوين أكثر من الباقين، أما أولاً فللحس والعيان، وأما ثانياً فلقوله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أَكْثَرُ النَّاسِ وَلَوْ حَرَضِتَ بِمُؤْمِنِينَ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وأما ثالثاً فلقوله تعالى حكاية عن ابليس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وَلَأُغْوِيَنَّهُمْ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عِبَادَكَ مِنْهُمُ الْمُخْلَصِينَ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فالغاوون إن كانوا أكثر ثبت المطلوب بالآية الأولى، وإن كانوا أقل والمخلصون أكثر ثبت المطلوب بالآية الأخيرة فبانضمام الآيتين يثبت جواز استثناء الأكثر</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القائل بمجرد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علي عشرة ثبت مجموع العشرة في ذمته ظاهراً ثم بعد قوله الا ثلاثة انكر بعضا من العشرة فاثبت اوّلا الإيجاب الكلي ثم رفعه وهذا تناقض</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 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أنيس المجتهدين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النراقي في أنيس المجتهدين للنراقي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الشافعي واصحابه ومالك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البحر المحيط للزركشي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الزركشي في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إمام الحرمين</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الرازي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 أبي الحسين البصري</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الكرخي وغيره من الحنفية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البحر المحيط للزركشي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الحاجب في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القاضي</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الحاجب في المختصر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الرازي</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الشيخ في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ونسبه إلى أكثر المتكلمين وباقي الفقهاء، والمحقق في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وصاحب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 هو مذهب الأكثرين كما عن صاحب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الحاجب في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وحكي عن المعتزلة وأكثر الحنفية، وعن الأشعري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البحر المحيط للزركشي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قلنا بأن العام المخصص حقيقة في الباقي لكان الأصل صحة تخصيص العام إلى الواحد، ولو قلنا أنه مجاز فيه فالأصل عدم صحته إلى أن يقوم عليها دليل</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قلنا بالحقيقة لزم القول بحجّية العام المخصص في الباقي؛ لكون المعنى الحقيقي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معيناً، وإن قلنا بالمجاز أمكن القول بالإجمال؛ لأجل تعدد مراتب المجاز بعد سلخ العام من معناه الحقيقي</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وجد معارض للعام المخصص، وكان دلالة المعارض على سبيل الحقيقة، فإن قلنا بحقيقة العام المخصص كان مساوياً لمعارضه من تلك الجهة، والا لترجح المعارض، وكذا تظهر الثّمرة إذا كانت دلالة المعارض مجازية</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أُحِلَّتْ لَكُم بَهِيمَةُ الْأَنْعَامِ إِلَّا مَا يُتْلَى عَلَيْكُمْ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المجتهدين للنراقي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القوانين المحكمة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الغروية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 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على ثمانية أقوال كما في إرشاد الفحول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إن خصّص بمتصل كالشرط والاستثناء والصفة فهو حجة فيما بقي، وإن خصص بمنفصل فلا ، بل يصير مجملا ، حكاه الأستاذ أبو منصور عن الكرخي، ومحمد بن شجاع الثلجي</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وفاقاً للعلّامة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وخلافاً للشيخ في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والمحقق القمي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وأكثر المحققين كما عن النراقي في 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812/2</w:t>
      </w:r>
      <w:r>
        <w:rPr>
          <w:rFonts w:ascii="IRNazanin" w:hAnsi="IRNazanin" w:eastAsia="IRNazanin"/>
          <w:b w:val="false"/>
          <w:b w:val="false"/>
          <w:bCs w:val="false"/>
          <w:i w:val="false"/>
          <w:i w:val="false"/>
          <w:iCs w:val="false"/>
          <w:color w:val="333333"/>
          <w:sz w:val="20"/>
          <w:sz w:val="20"/>
          <w:szCs w:val="20"/>
          <w:rtl w:val="true"/>
        </w:rPr>
        <w:t>، واختار جماعة التوقف منهم السيد المرتضى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والمحقق في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وصاحب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والبهائي في الزبدة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القوانين المحكمة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ساير</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عوالي اللآلئ لابن أبي جمهور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وسلم وقد سئل عن بئر بضاعة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الماء طهوراً لا ينجسه شيء، إلا ما غير لونه أو طعمه أو ريحه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فالحق</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معارج الأصول للمحقق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زبدة الأصول 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أنيس المجتهدين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لابن أبي جمهور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أنيس المجتهدين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القوانين المحكمة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أوجههما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الأكثرون كما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 للمحقق الحلي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الوصول للعلّامة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المجتهدين للنراقي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إشارات الأصول للكرباسي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للمحقق الحلي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أنيس المجتهدين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للنراقي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أنيس المجتهدين للنراقي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807/2</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أقوال</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مطلقاً، اختاره جماعة من أصحابنا منهم المرتضى في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والشيخ في العدة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 للمحقق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الوصول للعلّامة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xml:space="preserve">، ذكرى الشيعة للشهيد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لابن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859/2</w:t>
      </w:r>
      <w:r>
        <w:rPr>
          <w:rFonts w:ascii="IRNazanin" w:hAnsi="IRNazanin" w:eastAsia="IRNazanin"/>
          <w:b w:val="false"/>
          <w:b w:val="false"/>
          <w:bCs w:val="false"/>
          <w:i w:val="false"/>
          <w:i w:val="false"/>
          <w:iCs w:val="false"/>
          <w:color w:val="333333"/>
          <w:sz w:val="20"/>
          <w:sz w:val="20"/>
          <w:szCs w:val="20"/>
          <w:rtl w:val="true"/>
        </w:rPr>
        <w:t>، 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زبدة الأصول 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الغروية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 على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 على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يتصادقان على هذا الرجل ويصدق الأول على مثل زيد، والثاني على رقبة مؤمنة</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يتصادقان على رقبة مؤمنة ويصدق الأول على رقبة، والثاني على هذا الرجل</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العموم المستفاد من لفظ المطلق نفسه، بحيث تكون المصاديق التي يكون المطلق مطلقاً بالنسبة إليها مندرجة تحت اندراج الجزئي تحت الكلي</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العموم المستفاد من الهيئة التركيبية، بحيث تكون الأمور التي يكون المطلق مطلقاً بالنسبة إليها من الأمور الخارجية عن مدلول المطلق لا من مصاديقه، فلا يصدق المطلق عليها صدق الكلي على الفرد</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الأصح</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فَكُلُوا مِمَّا أَمْسَكْنَ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فلا يصح التمسك بإطلاق الآية على طهارة موضع العصّ؛ لشهادة السياق بأن الغرض ليس بيان الطهارة والنجاسة، بل الحلية من حيث إمساك الكلب</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كان ما هو أغلب وجوداً أقل استعمالاً، وما هو أغلب استعمالاً، أقل وجوداً</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ظهر</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لابن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المطلق</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بمطلق</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صلّى المعصوم لا صلاة ولم يظهر أن قراءة السورة فيها كانت على وجه الوجوب أو الاستحباب</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صلّى صلاتين بأذان وإقامتين ولم يظهر أن ترك الأذان في الثانية كان من باب الرخصة أو العزيمة</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فعل بحضرته فعل و سكتا الله عنه ولم يظهر ان السكوت كان لتقية أم للرخصة</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كالقرء و الجون</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كلفظ المختار، ولولا الاعلال لانتفى منه الإجمال</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زيد عمروا فضربته، فيحصل الإجمال لتعدد المرجع وعدم التعيّن</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أراد المتكلم فرداً معيناً عنده فقط كقوله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تذبحوا 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فقدان القرينة المعينة بعد صرف اللفظ عن المعنى الحقيقي</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يَعْفُونَ أَوْ يَعْفُوا الَّذِي بِيَدِهِ عُقْدَةُ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فإنه لا إجمال في اليد والعقود والنكاح، بل المجموع المركب يحتمل إرادة الزوج فيرجع كل المهر إلى الزوجة أو الولي، فيعود كله إلى الزوج</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عن عقيل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معاوية بن أبي سفيان يأمر في أن ألعن عليّاً الا فالعنوه</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لتصادقهما في نحو ضرب زيد عمرواً فضربته، وصدق الأوّل فقط على نحو هو والعين ونحوهما من الأسماء المعدودة التي ثبت صحة استعمالها منفردة بلا ضم تركيب، وصدق الاخير فقط في آية العفو</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كان الإجمال فيه من المكلف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يلقي الخطاب المبهم من دون نصب قرينة يفهم المخاطب منها المراد</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المحققون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والوقوع دليل 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ينقل الخلاف الا عن داود الظاهري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المحيط للزركشي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 زيداً عيناً، وأعط عمرواً ذهباً</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 ولدي من السفر فأعط زيداً عيناً، وإن أفطرت فاعط زيداً ذهباً</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 ولدي من السفر فأعط زيداً عيناً، وان جاء ولدي من السفر فأعط زيداً عيناً</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اللفظ</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 لَكُمْ ما وَراءَ ذلِكُمْ أَنْ تَبْتَغُوا بِأَمْوالِكُمْ مُحْصِنِينَ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فالإحصان له معنيان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التزويج والتعفف، وعلى الأوّل مبين، وعلى الأخير مجمل؛ لإجمال التعفف</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بِكُلِّ شَيْءٍ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تَذْبَحُوا 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المبين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صَفْرَاءُ فَاقِعٌ 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كالوضوءات البيانية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فاغْسِلُوا وُجُوهَكُمْ وَأَيْدِيَكُمْ إِلَى 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ركع المعصوم في الثانية بلا قنوت؛ بياناً لعدم الوجوب</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فعل أمراً بحضرة المعصوم لا فقرره بياناً لجوازه</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المتوهم من العامة وهو أبو إسحاق المروزي والكرخي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 المحيط للزركشي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الفعل أطول من القول، فيلزم تأخير البيان مع إمكان تعجيله</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كما عن السيد المرتضى في الذريعة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يخالف فيه إلا من قال بجواز التكليف بما لا يطاق كالأشعرية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الحاجة مطلقاً</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المجتهدين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المعتزلة وكثير من الحنفية، ووافقهم بعض المالكية والشافعية وصار إليه ابن داود الظاهري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 المحيط للزركشي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الجبائيان والقاضي عبد الجبار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الشيخ المفيد في التذكرة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والسيد المرتضى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والشيخ في العدة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المصباح المنير للفيومي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القاموس المحيط للفيروزآبادي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البحرين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المجتهد</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للزركشي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تمهيد القواعد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 علم إجمالاً بدخول المعصوم في المجلس الفلاني الحاضر فيه جماعة من المؤمنين، ثم دخل في ذلك المجلس وسأل الحاضرين عن نجاسة الماء القليل بملاقاة النجاسة، فأجاب كل من الحاضرين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الاتفاق كاشف عن دخول شخص المعصوم في المجمعين، وكاشف عن قوله بنجاسة الماء القليل بالملاقاة</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حضر عند الشخص توقيعات كثيرة مكتوب في كلّها نجاسة القليل بالملاقاة، فربّما حصل العلم إجمالاً بأن أحد الأقوال المكتوبة هو من المعصوم، وأنه خطه الشريف</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الاتفاق الكاشف الذي علمه الشخص بنفسه من الفحص والاستقراء، فمن حصل له ذلك فهو إجماع محصل بالقياس إليه، ويطلق عليه المحقق</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القطعي كما لو نقل بطريق التواتر والواحد المحفوف بالقرينة، والظني كما لو نقل بالآحاد، والأوّل يسمّى محققاً أيضاً</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الإجماع المنعقد على حكم واحد ، ولو تعدّدت الأحكام وانعقد الإجماع على كل واحد منها فإجماعات بسيطة</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الإجماع المنعقد على حكمين أو أحكام مع عدم انعقاده على كل واحد، سواء كان في موضوع واحد كاستحباب الجهر في ظهر الجمعة وحرمته؛ حيث افترق الأصحاب فيه فرقتين فالقول بوجوبه خرق للإجماع المركب أو في موضوعين فما زاد كتبديل الركعتين من جلوس بركعة من قيام في الشك بين الثنتين والثلاث وبين الثلاث والأربع، فإنّ من قال بجواز تبديلهما بها قال به في المقامين، ومن منع منه منع منه في المقامين، فالقول بجوازه في أحدهما دون الآخر خرق للإجماع المركب</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الإجماع المحتاج إلى النظر والفكر والاجتهاد، كحصول الاتفاق بعد الفحص على وجوب السورة في الصلاة مثلاً</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كاتفاق المسلمين على حكم كوجوب الصلاة مثلاً</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كاتفاق الطائفة الحقة على حكم كوجوب الاشهاد في الطلاق</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فاتفاق جميع أهل الرّجل واتباعه ومقلديه على أمر، قد يكشف قطعاً عن رأي ذلك الرجل وتحقق هذا في أمثال زماننا غير عزيز ، فلو اطلعنا على معتقد زرارة ومحمد بن مسلم وليث المرادي ونحوهم من الأجلاء، لقطعنا مثلاً بأن هذا رأي رئيسهم</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على ماحمله 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إما بعدم اعتبار المخالف المعلوم المعين وإما تسميتهم لما اشتهر إجماعاً، وإما بعدم ظفره حين ادعى الإجماع بالمخالف، وإما بتأويل الخلاف على وجه يمكن مجامعته لدعوى الإجماع وان ،بعد كجعل الحكم من باب التخيير، وإما إجماعهم على روايته بمعنى تدوينه في كتبهم منسوباً إلى الأئمة</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إجماعين</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يتأتى على طريقة القدماء</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يتأتى على طريقة المتاخرين</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يتأتى على طريقة الشيخ</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مسألتين أو مسألة</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منية اللبيب للعميدي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فيجتمعان في مسألة الفسخ بالعيوب، فإن للأصحاب قولاً بفسخ النكاح لكلّ واحد من العيوب، وقولاً آخر لبعض منهم بعدمه في كل العيوب، فاختيار الفسخ في بعضها دون بعض خرق للإجماع المركب، ويسمّى أيضاً قولاً بالفصل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فقاهتي،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فقاهي</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في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اختلافهم</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للمحقق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البعض وسكوت الباقين مع معرفتهم به</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للمرتضى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تمهيد القواعد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الأصول للمجاهد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لدفعنا</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الإيراد وجوابه 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واجتماع</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الخصم</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واخبارهم واحتجاجاتهم كثيرة مشهورة وحسبك ما في كتاب الاحتجاج للطبرسي</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الأصلية </w:t>
      </w:r>
      <w:r>
        <w:rPr>
          <w:rFonts w:eastAsia="IRNazanin" w:cs="IRNazanin"/>
          <w:b w:val="false"/>
          <w:bCs w:val="false"/>
          <w:i w:val="false"/>
          <w:iCs w:val="false"/>
          <w:color w:val="333333"/>
          <w:sz w:val="20"/>
          <w:szCs w:val="20"/>
        </w:rPr>
        <w:t>238</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المحصول للأعرجي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 أبي جعفر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جاءكم عنا حديث فوجدتم عليه شاهداً أو شاهدين من كتاب الله فخذوا به، وإلا فقفوا عنده ثم ردوه إلينا حتى يستبين لكم 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النبي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وعترتي ولن يفترقا حتى يردا على الحوض</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ابن الزبعرى مع النبي ذكرها المفسرون عند قوله تعالى في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وَمَا تَعْبُدُونَ مِن دُونِ اللهِ حَصَبُ جَهَنَّمَ أَنتُمْ هَا وَارِدُونَ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حيث إنّ النّبي لم يقل له إنّ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يفيد الظنّ بالعموم ، بل أجاب بكونه لغير العاقل</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عَلَيْكُمْ جُنَاحٌ أَن تَقْصُرُوا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روى الشيخ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زرارة وابن مسلم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لأبي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صلى في السفر أربعاً، أيعيد أم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قرأت عليه آية التقصير وفسرت له فصلى أربعاً أعاد، وإن لم يكن قرئت عليه ولم يعلمها فلا إعادة عليه</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الشيخ الأعظم وناقشها في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يدل</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روايات كثيرة ادعى صاحب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تجاوزها حد التواتر</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بعض الأخباريين،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الحياة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المجتهدين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المجتهدين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الخصم لا يعتقد بحجية ظواهر الكتاب، فلا يكون ذلك منه الا إلزاماً لمن يرى حجيتها</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شوارق الالهام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السيد المرتضى في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تأثير</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ضرره تابع لنفس الفعل أو الترك، علم حرمته أم لم يعلم</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فالعقاب مأمون على ما لم ينصب الشارع دليلاً على التكليف به</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فرائد الأصول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احديهما</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دليل</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وكما لو كان الضرر الدنيوي مظنوناً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استحقاق العقاب على تركه في الآخرة فعله؛ لاحتمال وجوبه</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في تفصيل ذلك كله 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الأصولية لبحر العلوم </w:t>
      </w:r>
      <w:r>
        <w:rPr>
          <w:rFonts w:eastAsia="IRNazanin" w:cs="IRNazanin"/>
          <w:b w:val="false"/>
          <w:bCs w:val="false"/>
          <w:i w:val="false"/>
          <w:iCs w:val="false"/>
          <w:color w:val="333333"/>
          <w:sz w:val="20"/>
          <w:szCs w:val="20"/>
        </w:rPr>
        <w:t>230</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جَعَلَ عَلَيْكُمْ فِي الدِّينِ مِنْ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 فيه التصرف</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الأصولية لبحر العلوم </w:t>
      </w:r>
      <w:r>
        <w:rPr>
          <w:rFonts w:eastAsia="IRNazanin" w:cs="IRNazanin"/>
          <w:b w:val="false"/>
          <w:bCs w:val="false"/>
          <w:i w:val="false"/>
          <w:iCs w:val="false"/>
          <w:color w:val="333333"/>
          <w:sz w:val="20"/>
          <w:szCs w:val="20"/>
        </w:rPr>
        <w:t>232</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للنجفي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إشارات الأصول للكرباسي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النظم</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بالندب</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دليلاً</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والتزاما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وكقوله</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لابن قولويه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عندهم</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ascii="IRNazanin" w:hAnsi="IRNazanin" w:eastAsia="IRNazanin"/>
          <w:b w:val="false"/>
          <w:b w:val="false"/>
          <w:bCs w:val="false"/>
          <w:i w:val="false"/>
          <w:i w:val="false"/>
          <w:iCs w:val="false"/>
          <w:color w:val="333333"/>
          <w:sz w:val="20"/>
          <w:sz w:val="20"/>
          <w:szCs w:val="20"/>
          <w:rtl w:val="true"/>
        </w:rPr>
        <w:t>، 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القوانين المحكمة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المنالب إلى المنالب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اشتباه أو تصحيف</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اتحاد النقل</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والنقل يعين الغلبة</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لابن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زبدة الأصول 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بأي</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فرائد الأصول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الجريان دليل</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دليله المحقق في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فالمعلوم</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المظنون</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المتواترات</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ظن الخاص</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نسياناً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فرائد الأصول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والمحقق القمي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فرائد الأصول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عامل بهما حقيقة</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أيضا</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لابن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الرسائل الأصولية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هنا</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ههنا كلام للشيخ الأعظم في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يحسن الاطلاع عليه</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الأصولية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لكون</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بينهما</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من المصنف تعرض لهذه الوجوه في مباحث الأصول العملية</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كونه رافعاً لموضوعها</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يكشف</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للتمكن</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سياتي في مبحث الاستصحاب</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المظنونات</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 مركب الإجماع</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الإفتاء</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الفتوى</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بأكثر</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فالمكلف</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مبحثي الاستصحاب والبراءة ما ينفع في المقام</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الفقد</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الكائنة</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العرفية</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المسبب</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الأصولية للبهبهاني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عوائد الايام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بواحد</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في 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يَتَّبِعُ أَكْثَرُهُمْ إِلَّا ظَنَّا إِنَّ الظَّنَّ لَا يُغْنِي مِنَ الْحَقِّ شَيْئًا</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والنصوصية</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 الصادق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شك أو ظن، فأقام على أحدهما، أحبط الله عمله، إن حجة الله هي الحجة 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الأصولية للبهبهاني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نضد 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زبدة الأصول 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كالمتواتر المعنوي</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جلّها</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عليه جمع من الأخباريين،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المشايخ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ومحمد بن علي الصدوق ت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ومحمد بن الحسن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بكونها مأخوذة من تلك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الرعاية لحال البداية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في دراية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تصانيف أصحابنا وأصولهم لا تكاد تضبط؛ لانتشار أصحابنا في البلدان وأقاصي الأرض</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مقدمة كتابه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وجميع ما فيه مستخرج من كتب مشهورة، عليها المعول وإليها المرجع</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تبعهم</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الأصحاب اختلفوا في العدالة، فقال بعضهم إنّها الملكة، وقال بعض إنها حسن الظاهر ، وقال آخر إنّها ظهور الإسلام مع عدم ظهور الفسق، فإذا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فلان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عادل فالعدالة تحمل على معناها الأعلى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غيره من الأفراد الدنيا</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ملازمة بينهما</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لفظيان</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مقدمة 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الأصول للمجاهد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الميرزا النوري في 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أصل له ، ولا أثر له في مؤلفات أصحابنا، بل صرح بعدمه المحدث الاسترآبادي الذي رام أن يجعل تمام أحاديثه قطعية، لما عنده من القرائن التي لا تنهض لذلك، ومع ذلك ذلك صرح بأنه لا أصل له</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بينهما</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ابحاث</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خبر</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المحدثين</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إنّ الصحيح عند القدماء يحتمل معاني ثلاثة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لابن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الوافية للتوني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 ادعي الإجماع عليه من قبل جماعة منهم شيخ الطائفة في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طاووس في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324/86</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منفتحا</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لاختلاف</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الاختلاف</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العدة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الوصول للعلّامة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رسائل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جلّها</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والعلّامة</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لوجوه</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المعصومين</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وجمعت الأصول</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انسداد</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بالآحاد</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وثقوا بكونه من المعصوم ع الله أعم من أن يكون منشأ وثوقهم كون الراوي من الثقات، أو أمارات أخر، ويكونوا قطعوا بصدوره عنه الله أو يظنون</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كل واحد من الرواة في كل مرتبة معلوم الإمامية والعدالة والضبط، أو كان معدّلاً بتعديل عدلين، أو معدّلين بعدلين وهكذا</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الصحيح على مذهب ومذاق المشهور ، المبني على الاكتفاء في تزكية الراوي بشهادة العدل الواحد، في قبال الصحيح عند بعضهم كصاحب المعالم الذي لا يكتفي بشهادة العدل الواحد في التزكية، يل يوجب التعدد فيها</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رسالة</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مطبوعة، قال عنها تلميذه التنكابني في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كتبها في سعة كاملة، وهي حسنة جداً، فيها تحقيقات لا تقدر</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المراد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اتباعهم</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المحقق القمي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ونسبه إلى أكثر أفاضل متأخرينا، بل ظاهر الفقهاء</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الرازي، وهو اختيار المصنف كما تقدم</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الخطابات</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للاجمال</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إما الفاضل النراقي في عوائد الايام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المحقق الخوانساري على ما حكاه عنه الشيخ الأعظم في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كالمجلسي في 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والبهبهاني في 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والرسائل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عند العلّامة، نعم نسبه الشيخ في العدة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والمحقق في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إلى بعض أصحابنا</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ماضية</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المجتهدين</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 أبواب الفقه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المعلومات</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بعدم</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فواه</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فيتعين</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الظن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والصفات</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الاعتبارات</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البهبهاني في رسائله الأصولية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مثل صاحب المدارك ومن وافقه من المتأخرين عنه ربّما غفلوا وأخذوا غير طريقتهم، فسدّوا باب ثبوت الفقه؛ لأنّ الخبر الصحيح قلّما يتحقق، سيّما في المعاملات، وبعد التحقق لا يكاد يسلم عن معارض ، والأصل عند هؤلاء في غاية القوّة، بحيث لا يكاد يقاومه المرجّحات الفنيّة، ولذا قلما يعتبرونها في مقام الترجيح أو الجمع ، ولذا قلما يسلم حكم فقهي عن مناقشتهم</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منتقى الجمان للمحقق الشيخ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ان عمل به مع عدم كون</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95/4</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خروج</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لابن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منتقى الجمان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بعدم</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نتيجة دليل الانسداد قضية مهملة من حيث أسباب الظن فلا يعم الحكم جميع الأمارات الموجبة للظن إلا بعد ثبوت معمّم من لزوم ترجيح بلا مرجح أو إجماع مركب أو غير ذلك، وإن قلنا إنها قضية كلية فلا تحتاج في التعميم إلى شيء، وعلى التقدير الأول فهل يثبت المرجح لبعض الأسباب على بعض أو لا يثبت؟ وعلى التقدير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كون القضية كلية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توجبه خروج القياس مع أن الدليل العقلي لا يقبل التخصيص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الأصول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الأحكام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هداية المسترشدين للنجفي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وجوده عقلا</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والاستصحاب</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 م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نقطع،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لانا نقطع</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الوصول للعلّامة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دعوى الإجماع عليه</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يعلم بهذا أيضاً للأصل</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المقدار</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التعطيل</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فالاقوى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للإجماع المدعى من الشيخ جعفر الكبير في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عمل به</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ظن الشخص</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بالظن</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الجانبين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الجريان صاحب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وأخوه في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العلمية</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وتقريره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شبهة في ثبوت التكليف وبقائه بالنسبة إلى الأحكام الإلهية الواقعية، أصولية أم وفرعيّة على حسب تسمية الخصم وباب العلم في معظمها منسد ، إذن المكلف به إما العمل بالظن، أو تحصيل العلم أو الاحتياط أو الاقتصار بالمعلوم، إلى آخر الاحتمالات، والكل فاسد إلا الأول؛ لما مرّ، فثبت من تلك المقدمات حجية الظن في الجملة وبانضمام المقدمة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الترجيح بلا مرجّح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 التعميم كالفروع، وهو المطلوب</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كل من قال بحجية الظنّ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مطلقاً وإما في الأحكام الفرعية، وكل من لم يقل به لم يقل به، فالقول بحجيته في الأصول دون الفروع خرق للإجماع المركب</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الظن بالمسألة الأصولية انما يستلزم</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الظن بالحكم الواقعي والظن بالحكم الظاهري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يجتمعان كالخبر الصحيح المورث للوصف بالحكم الواقعي، فإن مظنونية اعتباره من المسائل الأصولية، ومظنونية مطابقة الحكم للواقع من الفرعية، فقد اجتمع الظن في المسألتين الأصولية والفرعيّة فاجتمع الظنان، وقد يوجد الظن في المسألة الفرعية بالحكم الواقعي دون الأصولية، كالشهرة المورثة للوصف في الحكم الفرعي الواقعي مع أنه موهوم الاعتبار أو مشكوك الاعتبار في المسألة الأصولية، وقد يكون الأمر بالعكس، كالاستصحاب المظنون الحجية من الأخبار في المسألة الأصولية في حق من تيقن بالوضوء وظن أو شك في الارتفاع بالحدث، فلا ظن بالحكم الواقعي الفرعي مع وجود الظن في المسألة الأصولية</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 إلى أن الأصول بيان للفروع، ولا بد من كون المباني مقطوعات؛ ليحصل الاطمئنان في العمل بما وراء العلم المنهي عنه في الأحكام</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هي المصاديق الجزئية الخارجة المتعلقة نوعاً بكليات الأحكام،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متعلقات الأحكام الجزئية</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كاشتباه الزوجة المنذور وطؤها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الحرمة أبداً مع الظن بالمنذورة معينة</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تحصيل العلم بالنسبة إلى آحاد المكلفين ممكن بالذات غالباً، لكن تحصيله بالنسبة إلى الجميع يورث اختلال النظام، فتمنع بالعرض</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فالظن في هذه الصور معتبر</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الأصل يقتضي الطهارة في المورد</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الصرفة</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المظنونات</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حجة</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ولزوم</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لحرمة العمل بالظن</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حجيته</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للامارات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وإن لم تكن اجماعية إلّا أنها لما كانت مثبتة للمطلوب بضميمة الأصل المقطوع اعتباره إجماعاً، فكأنها أيضاً إجماعيات</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العلماء الذين لا يكونون من أهل الخبرة، كالأصوليين والبيانيين</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الأصل حرمة العمل بالظن، ولا يخرج عنه الا بالدليل</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 موضوعات غالب الألفاظ مقطوعات بلا واسطة فإن المراد من الموضوعات هو ما انصرف اللفظ عند الإطلاق و التحرز عن القرينة ولا نعني بالوضع الا هذا</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الشريفة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كالدابة، فإنّها موضوعة لغةً لكل ما يدب على الأرض، وفى العرف العام منقولة إلى ذات الحافر المعبر عنه بذات القوائم بطريق التعيين مثلاً، فإذا ورد حديث بأنه إذا وقع في البئر دابة فانزح منه كراً مثلاً، وحصل لنا ظنّ من تتبع كلمات الشارع أن بناءه على تقديم العرف على اللغة في موارد تعارضهما وأن بناءه على العرف في المكالمات كما عليه الشارع، فيحصل الظن بأن المراد من الدابة ذات الحافر ، فحصل من ذلك الظن بالحكم الفرعي</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إن البرهان القاطع الذى أقمناه على حجّية الظنّ في الأحكام الفرعية قد دل على حجية الظن فيها مطلقاً سواء حصل من الظنّ بالأوضاع أم العلم بها</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إمكان منع العلم الإجمالي ومنع كثرة الموارد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انفتاح باب العلم</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والدليل</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هل أن باب العلم في تلك المسائل منسد أم لا؟ أو هل يكون موجباً للاختلال أم لا؟</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هو القدر المتيقن من المسامحين في أدلّة السنن، فكلّ من جوّز التسامح جوّز هنا، وكلّ من جوّزه في غير تلك الصورة جوز هنا أيضاً، من غير عكس</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لابن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مشارق الشموس للخوانساري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جملة منها الحر العاملي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الإتيان بكل عمل مشروع روي له ثواب عنهم علیهم السلام</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جملة منها الحر العاملي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وجوب التوقف والاحتياط في القضاء والفتوى والعمل في كل مسألة نظرية لم يعلم حكمها بنص منهم</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يعلم له مستند ولا مخالف بحيث صارت فتواه موجباً لاحتمال مطلوبية المفتى به، أو لرجحانه في النظر، بناء على مذهب من ينكر حجّية الظنّ المسبب من فتوى المفتي</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هل يجوز للمجتهد التسامح قبل الفحص أم لا يكون الا بعد الفحص؟</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أبو حنيفة ومالك وأحمد في أشهر الروايتين وجماهير المعتزلة كأبي هاشم ،واتباعه، وهو قول محمد بن خالد من قدماء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الشهيد الثاني وابنه الشيخ حسن على ما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لازم</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للجرجاني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للتفتازاني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مطارح الأنظار للأنصاري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504/3</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 ليس بحسن ولا قبيح</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الباقي</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لفظي</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السول للأسنوي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العقائد العضدية للدواني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يوافق الغرض ، وما يلائم الطبع</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السول للأسنوي </w:t>
      </w:r>
      <w:r>
        <w:rPr>
          <w:rFonts w:eastAsia="IRNazanin" w:cs="IRNazanin"/>
          <w:b w:val="false"/>
          <w:bCs w:val="false"/>
          <w:i w:val="false"/>
          <w:iCs w:val="false"/>
          <w:color w:val="333333"/>
          <w:sz w:val="20"/>
          <w:szCs w:val="20"/>
        </w:rPr>
        <w:t>54</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للعلّامة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السول للأسنوي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للعلّامة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 الغرض وموافقته</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للتفتازاني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القبح</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ذوي الأديان</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للتفتازاني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لو كان انه</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امتناعه</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نهج الباطل، المطبوع ضمن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518/3</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كل أمر خارج عن اختيار العبد بمذهبه، فكل من الوثوق والامتثال اضطراري</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لم</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الكليين</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للتفتازاني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المرسل</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الفائدة فيهما الاطاعة والانقياد وهما فرع الوثوق وليس بحاصل</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انحصار لاثبات النبوة بهذا الوجه العقلي</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بحقيقته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بحقية شريعتنا</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للنجفي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503/3</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للسيد صدر الدين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تشنيف المسامع بجمع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للتوني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المعلومتين</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الوجوه المذكورة ترد على الأشعري وعلى من لم يفصل بين العلميّات والعقائد واما المفصل من الأخباريين كصاحب الوافية فلا ترد عليه</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إدراك العقل في العقائد نظري وفي العمليات ضروري، فإن كان مدركاً للأول كما هو رأيك كان مدركاً للآخر أيضاً لأنه أسهل</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نظيره</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المنفصل</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الوثني لا يقول بالشرع حتى يكون توعيده سببا لدرك عقله فتوعيد الشارع مساو له مع توعيد غيره</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أولوية</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ظوابط الأصول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هداية المسترشدين للنجفي الأصفهاني </w:t>
      </w:r>
      <w:r>
        <w:rPr>
          <w:rFonts w:eastAsia="IRNazanin" w:cs="IRNazanin"/>
          <w:b w:val="false"/>
          <w:bCs w:val="false"/>
          <w:i w:val="false"/>
          <w:iCs w:val="false"/>
          <w:color w:val="333333"/>
          <w:sz w:val="20"/>
          <w:szCs w:val="20"/>
        </w:rPr>
        <w:t>503/3</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الأعظم الوجوه المحتملة لهذه العبارة في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الحسن الرضا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الحسين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الأئمة من الفرض ما ليس على شيعتهم، وعلى شيعتنا ما ليس علينا، أمرهم الله عز وجل أن يسألونا،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نفَاسْأَلُوا أَهْلَ الذِّكْرِ إِن كُنتُمْ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فأمرهم أن يسألونا وليس علينا الجواب إن شئنا أجبنا وإن شئنا أمسكنا</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رجل قطع إصبعاً من أصابع المرأة، كم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قطع اثنين؟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ثلاثاً؟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أربعاً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 ثلاثاً فيكون عليه ثلاثون ويقطع أربعاً فيكون عليه 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كان يبلغنا ونحن بالعراق فنبرأ ممن قاله ونقول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جاء به شيطان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يا أبان هكذا حكم رسول الله ، إن المرأة تقابل الرجل إلى ثلث الدية، فإذا بلغت الثلث رجعت إلى النصف، يا أبان، إنك أخذتني بالقياس والسنة إذا قيست محق الدين</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توجد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الوافية كما تقدمت الإشارة إليه</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لا دليل شرعي يحصل به القطع لهم</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للفيروزآبادي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البحرين لور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ابن عرفة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حيث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 لتحريم</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حينئذ حيث</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اثبات الصغرى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الظلم مثلاً قبيحاً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من العقل وأما كون القبح محرماً فلم يثبت من العقل</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عبارات المشهور ،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الشيخ في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يحدثنا القرآن صريحاً عن قوم نوح وهود وصالح ولوط وغيرهم من الأقوام</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تعارض</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الاخير</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الآية الثانية</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التساوي، فيبقى ما ذكر من الدليل على حجية العقل سليماً عن المعارض</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فتخصص الآية بغير ما يستقل به العقل</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شيء مطلق حتى يرد فيه نهي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وعبارة الشيخ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الأشياء مطلقة ما لم يرد عليك أمر و نهي أمر ونهي</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زرارة، عن أبي جعفر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الإسلام على خمسة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أن رجلاً قام ليله وصام نهاره وتصدق بجميع ماله، وحج جميع دهره، ولم يعرف ولاية ولي الله فيواليه، ويكون جميع أعماله بدلالته إليه، ما كان له على الله عزوجل حق في ثوابه، ولا كان من أهل الإيمان</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التعريف والبيان والحجة والهداية</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الاضطرار إلى الحجة</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ان الأرض لا تخلو من حجة</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التوحيد، باب البيان والتعريف ولزوم الحجة</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للجرجاني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 في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لابن الحاجب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وشرحه للعضد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قلنا إنهم مكلفون بالفروع فيكون القاصرون منهم مكلفين بالفرع الذي يستقل به العقل واما المقصرون منهم فمكلفون على هذا القول مطلقاً، سواء فيما يستقل به العقل أم لا، وأما إن لم نقل بحجية العقل فيختصّ التكليف بالفروع بالمقصرين منهم لا القاصرين، وإن لم يجعل الكفار مكلفين بالفروع انتفت الثمرة</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قلنا بحجية العقل عملنا به في مقابل الخبر إذا لم يرتفع القطع بملاحظة الخبر، وإن قلنا بعدم الحجية عملنا بالخبر</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اثبات حجيته يتوقف على حجية ما يستقل فيه العقل من الجهتين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اعني الاستفادة المستفاد ، كإبطال التكليف بما لا يطاق، وترجيح المرجوح على الرّاجح والتسوية بينهما، واختلال النّظم، والاقتصار على القدر المعلوم ونحو ذلك ، فلو لم يكن العقل حجّة لم يثبت تلك المقدمات، فلا يثبت حجّية الظن</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لبطلان ترجيح المرجوح على الرّاجح أو التسوية بينه وبين المرجوح، ومن لا يقول بحجية العقل يقول بالتخيير هاهنا</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قلنا بحجّية العقل كان أهل ذلك الزمان مكلفين بما يستقل به العقل، وإلّا فلا تكليف؛ الفرض فقدان الشرع، وعدم حجية العقل</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يقل بحجية الأخبار الواردة فيها لأحد الوجوه الماضية في التسامح، وإن لم نقل بحجية العقل ليس لنا القول بحجية الأصول المذكورة حينئذ ؛ لفرض عدم حجية العقل، وعدم حجية الخبر الواردة في الباب</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صاحب 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اللطف قد يكون واجباً كما لو يكن قبله ،بيان وكان بيان الشارع تأسيساً، وقد يكون مندوباً كما فيما يستقل به العقل، فإنّه بعد إدراك العقل يكون بيان الشارع تأكيداً ولطفاً مندوباً</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وجوب اللطف</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لظهور</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يلزم أصول</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كالقاصرين</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فالعبرة بوصوله إلى المكلف</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الملخص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الاقتصاد فيما يتعلق بالاعتقاد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كشف المراد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تنويع</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الأنواع</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صفات</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تعالى ينهى عن القبائح النفس الأمرية ولا يأمر بها، وان هذا الا لمفاسد كامنة فيها، فثبت أن المناهي معلّلة بالأغراض، ويتم الأمر في غير المناهي بالإجماع المركب إن كان موجوداً كما هو كذلك، والا فيصير هذا أيضاً كالدليل الأوّل في نفي السلب الكلي وإثبات الإيجاب الجزئي</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الاضطرار إلى الحجة</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الأوامر الابتلائية التي لا مصلحة في نفس المأمور به أصلاً</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عليه المحقق الخوانساري، والسيد الصدر، وصاحب الفصول، ومن تبعهم ممن يرى وجود المصلحة في الأمر وإن لم يكن في المأمور به مصلحة كالتواضع للمولى، والانقياد له، وتوطين النفس على تحمل المشاق لنيل السعادة الأبدية والتقرب إليه سبحانه، وما أشبه ذلك</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الترجيح بلا مرجح أو ترجيح المرجوح على الراجح أو التسوية بين الراجح والمرجوح</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مقصودا في كل</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المقصود قد حصل بعد الإتيان بالمقدمة فابقاء الأمر بعده لغو وسفه</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عليه الأشاعرة</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Pr>
        <w:t>5</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تعبد</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المخالفة والذم لازمان في الصورتين</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ظاهر السيد الداماد في السبع الشداد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العضدي في الحاشية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المعتزلة والكرامية والبراهمة</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إلى جماعة كما في شرح العضد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وفواتح الرحموت لعبد العلي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والصدق</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الجبائية كما عن العضد في 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الخارجية</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بعضهم كما في فواتح الرحموت لعبد العلي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بيانه انه لاحكم قبل حدوث رأي المجتهد حتى يحتمل الخطأ والإصابة، بل الاحكام انما صارت حادثة بعد حدوث الآراء، فتلك احكام واقعية ثانوية متعددة بتعدد الآراء</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العلم بالتكليف بهذا الحكم مثلاً متوقف على الطلب المتوقف على الحسن، فلو كان الحسن أيضاً متوقفاً على العلم لزم الدور</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أخرى نقول في إبطال كون الحسن والقبح ذاتيين بطريق الإيجاب الكلي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لو كان كذلك لما جاز النسخ، والتالي باطل، فالمقدم مثله</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للنجفي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الاجتماع</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لابن الحاجب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وشرحه للعضد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نقول بتعدد الذات والموضوع في موارد النسخ فوطء المحارم مثلاً قبيح بالذات في كل زمان وإبقاء النسل حسن بالذات والنسبة بين الأمرين عموم من وجه، ففي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التعارض بين الذاتيين لا بُدَّ من الرجوع إلى المرجحات الخارجية</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الإيراد يتم لو كانا على نحو العلة التامة، لكنا نقول إنهما على نحو الاقتضاء ، لكن المانع موجود، وتأثير المقتضي فرع السلامة عن المعارض</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ترى أن ترك المقدمات المستلزم لترك ذيها لا قبح فيه حتى بالعرض، وتسميته بالقبيح مجاز</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فكل من قال بالوجوه بالمعنى الأعم من العلم والجهل فلازمه التصويب، ومن قال بالذاتي بالمعنى الأخص فلازمه التخطئة</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قال بالوجوه والاعتبار اعني الوجوه الموجبة لاختلاف الحكم من العلم والجهل والغصب والإباحة ونحوها، فلازمه القول بعدم جواز الاجتماع؛ لأن طبيعة الصلاة لا حسن فيها، بل هي حسنة في المكان المباح وقبيحة في المكان المغصوب</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القول بالوجوه والاعتبارات واما القائل بالذاتية بالمعنى الأخص فله القول بالفساد والقول بالصحة معاً، والقائل في الاختلاف بالموارد حاله ظاهر مما سبق</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قلنا بالذاتية بالمعنى الأخص لزم القول بالتاثير، وإن قلنا بالوجوه والاعتبارات الموجبة لاختلاف الحكم لزم القول بعدم التاثير، وإن قلنا باختلاف الموارد في الذاتية والوصف اللّازم والوجوه والاعتبار بلا مدخلية للعلم والجهل أصلاً كان كالقول الأول، وإلا كالقول الثاني</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العامة، وكذا في 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546/3</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السيد المجاهد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المعتزلة</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والظن في المسألة الفرعية حجة</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درست بن أبي منصور، عن محمد بن حكيم،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نتلاقى فيما بيننا، فلا يكاد يرد علينا شيء إلا وعندنا فيه شيء وذلك شيء أنعم الله به علينا بكم، وقد يرد علينا الشيء وليس عندنا فيه شيء وعندنا ما يشبهه فنقيس على أحسنه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وما لكم وللقياس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أبا فلان،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وقلت، وقالت الصحابة وقلت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تجلس إليه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 هذا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جاءكم ما تعلمون فقولوا، وإذا جاءكم ما لا تعلمون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ووضع يده على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ذاك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رسول الله أتى الناس بما اكتفوا به على عهده وما يحتاجون إليه من بعده إلى يوم القيامة</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الصدوق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شيء مطلق حتى يرد فيه نهي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وعبارة الشيخ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الأشياء مطلقة ما لم يرد عليك أمر ونهي</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يتم بها الاستدلال</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 لهم</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كانت محتاجاً إليها</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وتقييد</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كانت مطلقة فلابد من تقييدها بخبر درست كونه أخص منها لانه مقيد بما يحتاج إليه الناس</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الشيخ الطوسي في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كثير من البغداديين وطائفة من أصحابنا الإمامية</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السيد المرتضى في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 الشيخ الطوسي في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مذهب أكثر المتكلمين من البصرة وكثير من الفقهاء</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الزركشي في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جماعة منهم أبو نصر بن القشيري وأبو الفتح بن برهان واختاره ابن الحاجب في المختصر،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 على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اختيار الشيخ المفيد في التذكرة بأصول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الطوسي في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الموهم بخروج النحو الثاني مما لا تعلق له بالأعيان</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بحكمه العقل</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يتنازعوا</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صاحب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الشروع</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نعلم إجمالاً بأن بعضاً من المشتبهات تبدل حكمه عن الحالة السابقة على الشرع فإذا أجرينا الاستصحاب في جميع المشتبهات لزم طرح المقطوع، وإن اجريناه في بعضها لزم الترجيح بلا مرجح</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العلم الإجمالي بتغير بعض المشتبهات ومن لا يرى حجية الاستصحاب</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القزويني في تعليقته على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544/5</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المصنف وناقشها في الضوابط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جهتين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الظل والضوء ليسا مما يصدق عليه الملك حتى يصدق التصرف في ملك الغير، والثانية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مما يستقل به العقل بجواز التصرف فيهما ، بخلاف محل الكلام</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التتبع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فعاله</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إن بناء العقلاء على وجوب دفع الضرر المحتمل لازم مسلم، لكن ليس كل ضرر؛ إذ انهم لا يحترزون عن عن احتمال الضرر الناشيء عن مجرد الإمكان الذاتي كما في المقام</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شك فيه في الأذن وعدمه إن كان مما يمكن فيه الاستئذان لزم الاجتناب، وإن كان مما لا يمكن فيه الاستئذان صح التصرف لما عرفت من بنائهم</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إن مبنى العقلاء على عدم الانزجار في مثل المورد</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 المشتبهات كثيرة، والمعلوم بالإجمال قليلاً</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لانه كما حكم به العقل</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لفظي الورود والنهي منصرفان إلى خصوص اللفظي</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الغرض بيان ان في خلق الأشياء منفعة لكم، لا بيان انها أي شيء</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خَلَقَ لَكُم مَّا فِي الْأَرْضِ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الأرض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لتعتبروا به وتتوصلوا به إلى رضوانه، وتتوقوا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عذاب نيرانه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الأقوال</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الوجوب</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لطرحها</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يحتمل الوجوب قبل الشرع يحتمل التحريم أيضاً، أو ما من شيء الا ويحتمل الوجوب</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قبل الشرع لا علم اجمالي في البين حتى يقال بالاحتياط</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منشا الاحتياط ليس العلم الإجمالي بل وجوه اخرى منها لزوم دفع الضرر المحتمل</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المحدث الحر العاملي في الفوائد الطوسية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 معنى للأصل</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المحقق الحلي في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كما ترى، أو الاستصحاب باضمار المقتضي كما هو شائع</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الشرع لم يكن تكليف إلزامي فيستصحب إلى ما بعد ورود الشرع</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للعلم بالجعل</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الشك بعد إتيان البعض يرجع إلى الشك في البقاء بعد القطع بالحدوث فيستصحب التكليف</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الاسترابادي في 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وحكاه المحقق الحلي في معارج الأصول للمحقق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للمحقق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الاتفاق من الأصوليين والأخباريين عليه غير واحد من الأصحاب كالوحيد البهبهاني في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نعمة الله الجزائري في زهر الربيع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الحر في الوسائل في باب وجوب التوقف والاحتياط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ومثله عن صاحب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بيانه 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الدليل أخص من المدعى؛ لأنه لا يتم فيما لا يجري فيه الاستصحاب</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نعلم أنه الوجوب أو غيره</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عدم الاعتناء بالاحتمالات المسببة من الأسباب غير المعتبرة، وربما ينسبون المعتني بها إلى السفه</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القسيم</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يلزم العسر</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الآجل</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مفادها الإخبار بوقوع التعذيب سابقاً بعد البعث، فتختص بالعذاب الدنيوي الواقع في الأمم السابقة</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الدلالة بوجهين أحدهما أن لازم الآية الشريفة بمنطوقها دالة على الهلكة عند البينة، وبمفهومها على عدم الهلكة إذا لم تكن بينة،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الشخص ممن لم يصل إليه بينة، وكل من كان كذلك لم يكن هالكاً لمفهوم الآية</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الكلام في البراءة الشرعية وليس العقلية</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رواية الكليني</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آحاد</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صاحب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المحدث الميرزا علي العلوي في سبيكة اللجين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يوصل</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العباد</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قبيل 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جاءك العلماء فأكرمهم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فيجب إكرام كل واحد بمجيئه، ولا يتوقف إكرام البعض حينئذٍ على مجيء الكل</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المعروف</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بالأولى</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تنازلنا عن ظاهر الرواية فسنكون أمام احتمالات متعددة</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لوجود ما لا يعلم للامة كثيراً فحينئذ لا بد من التصرف بظاهرها اما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المؤاخذة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التجوز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بالحمل على العموم المجموعي كما سياتي منه</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التسعة المذكورة قد تكون مسببة عن المكلف نفسه وباختياره، وقد لا تكون كذلك، والمراد من مفهوم الرواية اختصاص الامة برفع المذكورات وإن كانت مسببة عن المكلف،بخلاف سائر الأمم فانه لم يرتفع عنهم ما كان السبب فيه انفسهم بل ما لم يكن باختيارهم</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الظاهرين</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لابن أبي جمهور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وفي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في سعة حتى يعلموا</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المعنى ان الناس في سعة ما دام لم يعلموا شيئاً كالمجنون والبعيد عن الإسلام سنخاً، وأما من علم بعض الأشياء فلا سعة أصلاً له</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لابن أبي جمهور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أصالة عدم ورود النص في نفس الأمر</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التعارض</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جهتين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اخرى</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الأشياء مطلقة ما لم يرد عليك أمر ونهي</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يظهر من بعضهم كالشيخ الأعظم في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اختصاصه بالشبهة التحريمية</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قائل بالفصل بين الإفتاء والعمل، فكذلك من أوجب الاحتياط في الإفتاء أوجبه في مقام العمل أيضاً</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الاحتياط عند العمل؛ لما مرَّ من الأدلة، فلا يجب عند الإفتاء أيضاً</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رواية بهذا اللفظ، ولعله أراد رواية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والتي جاء في ذيلها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أرى لك أن تنتظر حتى تذهب الحمرة وتأخذ بالحايطة لدينك</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كصاحب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للأنصاري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بدوي</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المصنف في الضوابط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السيد صاحب الرياض</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اختاره صاحب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الاسترابادي في 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جمع من المتأخرين</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الأصل السابق</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زهر الربيع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باب وجوب التوقف والاحتياط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تختص بتعارض النصين</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تعديت إلى ما لانص فيه</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فنثبت عدم الوجوب فيما لا نص فيه</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كالشهرة والإجماع المنقول المطلق</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الأصل السابق</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مجموعة من الروايات اشتهر التعبير عنها بروايات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عقد لها الشيخ الكليني باباً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منها رواية هشام بن سالم عن أبي عبد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سمع الثواب على شيء فصنعه، كان له، وإن لم يكن على ما بلغه</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قبح المنع من الترك بلا بيان</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المشهور بين الخاصة والعامة كما عن الشيخ الأعظم في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المحقق السبزواري في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والسيد المجاهد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فرائد الأصول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صاحب 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كان</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لدوران الأمر بين الوجوب والاستحباب كالسورة فلا يجري أصالة عدم الأمر بهذا الجزء؛ لأن الأمر يقيني، لكن لا يعلم انه وجوب أم ندبي</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بين العلماء تقديم المثبت على النافي</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واستصحاب المتبوع مقدم وان عارضه ألف استصحاب في التابع</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بناء العقلاء والاستصحاب وأصالة الاشتغال</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ما اختاره المصنف من استحقاق تارك المقدمة العقاب على الترك الحكمي لذي المقدمة</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مستلزم لتكرار العبادات المؤدي للعسر والحرج الشديدين</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لابن أبي جمهور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في سعة يعلموا</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القول بالانسداد الأغلبي</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المشتبهات</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اكان الشك بدوياً أيضاً كما لو شك قبل الشروع في الصلاة في اشتراط ستر العورة أم أثنائياً كأن يبني من شك في وجوب تكبيرة الأحرام على الاحتياط وكبّر فدخل في الصلاة ثم شك في الاثناء في لزوم الاحتياط فظن الشك في أصل التكبيرة أيضاً</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شاك في شرعية أدلة الاحتياط</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استصحاب</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الأعم الشامل للشرطية والجزئية</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أصالة عدم استحقاق العقاب على ترك ذلك الشيء مستقلاً كما هو لازم كون وجوبه نفسيّاً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ولأصالة الاشتغال بالنسبة إلى الشيء الذي شككنا في كون ذلك الشيء مقدمة له</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تعارض</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التعارض</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الإجمال</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الاحتياط</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مر</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القرعة فلعدم تمامية دليلها وشمولها للمورد، وأما طرح الأمرين فمخالف للإجماع</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خالف في ذلك المحقق الخوانساري على ما حكاه عنه الشيخ الأنصاري في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والمحقق القمي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ذهاب</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لرجوع الشك حينئذ إلى التكليف الصرف؛ لاحتمال كون المكلف به الواحد المجمل المعين في نفس الأمر وكان الفرد الغير المتمكن فيه هو ذلك الواحد فلا يكون مكلّفا في الواقع؛ لعدم القدرة عليه، فإذا كان الشك في التكليف يرجع إلى البراءة</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المصنف في الضوابط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أقوال ذكرها صاحب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678/9</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حصل الظن بالاشتغال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العلم الإجمالي بين المتباينين</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بحكم</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بالنقض</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لا يكون في إتيان أحدهما وإتيان الآخر عقاب إذا كان المأتي به الواجب الواقعي</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فيتعين</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بالغسل مع الوضوء</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يحصل إذا جمع بين الغسل والوضوء، لا بالغسل وحده، ولا بالوضوء وحده</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المقتضية لتحصيل القطع بالامتثال الذي لا يحصل الا بعد الجمع بين الغسل والوضوء</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السيد الصدر الله في شرح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جميع الأخباريين قائلون به، وكذا المحقق القمي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وأما الوحيد البهبهاني فقد نسب إليهم في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أقوال التحريم ظاهراً، والتحريم واقعاً، والتوقف، والاحتياط</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مضمون رواية عمار عن الصادق في حديث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شيء نظيف حتى تعلم انه قذر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فرائد الأصول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الجان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الفوائد الحائرية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فرائد الأصول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المجلسي في كتاب الابعين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والبهبهاني في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الشيخ الأعظم في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الشهيد الثاني في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المحقق القمي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المشهور كما عن الشيخ الأنصاري في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فتخصيص</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استند إلى ما رواه الشيخ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محمد بن عيسى عن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 عن رجل نظر إلى راع نزا على شاة؟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عرفها ذبحها وأحرقها، وإن لم يعرفها قسمها نصفين أبداً حتى يقع السهم بها، فتذبح وتحرق وقد نجت سائرها</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الأقل</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والرجوع إلى الأصل، نظرا إلى على عدم الدليل على التلازم بين الواقع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المصنف في الضوابط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الأصحاب في بحث الإجماع المركب</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عليه الآمدي في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470/4</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قائل به، وإنما ذكره المصنف احتمالاً</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تقتضي التخيير البدوي، والعمل في كل وقت بما اختاره أولاً</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للحكم الفرعي الذي اختاره أولاً ، فانه كان ثابتاً في ذمته قبل تجدد رأيه، وبعده يستصحب وجوب الأخذ بما اختاره أولاً؛ إذ لا شبهة في لزوم الأخذ بما أخذه أولاً في بدو الأمر ما دام كونه باقياً على الاختيار السابق، وبعد ارتفاع ذلك الاختيار وحدوث اختيار الأخذ بمضمون الآخر وقع الشكّ في بقاء ذلك اللزوم الأوّلي وارتفاعه، والأصل البقاء</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طرح الفتوى رأساً خلاف الإجماع، والجمع بين الفتوى بالتخيير والفتوى بالمختار محال، وتعيين الفتوى بالتخيير فقط والمختار فقط تكليف بما لا يطاق؛ لأنه تعيين بلا معيّن فتعين ان المجتهد مخير بين قسمي الإفتاء</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السيد المجاهد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الحكم إلى جماعة، منهم العلّامة الحلي في نهاية الوصول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والسيد العميدي في 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الأمر</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ضوابط الأصول للمصنف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الاستصحاب</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القمي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الحكم على الكلّي بما وجد في الجزئيات، وهو إمّا تام ،و إمّا ناقص</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النوع لا غالب</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الاضمحلال</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وحكمها</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المقتضي</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الأغلب</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للمحقق الحلي في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فذهبا إلى عدم حجيته في الأحكام</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يبدأ السقط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فيما بعد يرجع إلى مقاطع مقطعة من النص فيها تقديم وتأخيركثير</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قائل به كما في الضوابط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للزركشي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بقاء كل ما كان</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 للسيوري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الأحكام </w:t>
      </w:r>
      <w:r>
        <w:rPr>
          <w:rFonts w:eastAsia="IRNazanin" w:cs="IRNazanin"/>
          <w:b w:val="false"/>
          <w:bCs w:val="false"/>
          <w:i w:val="false"/>
          <w:iCs w:val="false"/>
          <w:color w:val="333333"/>
          <w:sz w:val="20"/>
          <w:szCs w:val="20"/>
        </w:rPr>
        <w:t>74</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وسياتي الكلام حول الأقسام المذكورة فيما بعد</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 قال الحنابلة والمالكية وأكثر الشافعية والظاهرية،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للزركشي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المشهور، أو الأكثر ، عند فقهائنا،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الوافية للتوني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زبدة الأصول للبهائي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الفوائد الحائرية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المحقق السبزواري في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 من المحقق الخوانساري في شرح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الفاضل التوني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الغزالي في 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المحقق في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الشيخ الأنصاري في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السيد المرتضى في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المشهور بين المحدثين كما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الحنفية وجماعة من المتكلمين كأبي الحسين البصري وغيره على ما حكاه عنهم الآمدي في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بأصالة النفي أيضاً</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المنقول عن جماعة كالمحقق في المعارج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446/4</w:t>
      </w:r>
      <w:r>
        <w:rPr>
          <w:rFonts w:ascii="IRNazanin" w:hAnsi="IRNazanin" w:eastAsia="IRNazanin"/>
          <w:b w:val="false"/>
          <w:b w:val="false"/>
          <w:bCs w:val="false"/>
          <w:i w:val="false"/>
          <w:i w:val="false"/>
          <w:iCs w:val="false"/>
          <w:color w:val="333333"/>
          <w:sz w:val="20"/>
          <w:sz w:val="20"/>
          <w:szCs w:val="20"/>
          <w:rtl w:val="true"/>
        </w:rPr>
        <w:t>، دعوى الإطباق على حجيته</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فعنوان أصالة النفي أو البراءة الأصلية غير عنوان الاستصحاب</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المصنف في الضوابط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الفاضل الجواد والسيد صاحب الرياض</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تمسّكوا على حجّية الاستصحاب بأن الثابت أولاً قابل للثّبوت ثانياً، والا انقلب من الامكان الذاتي إلى الاستحالة، وإذا جاز ثبوته في الزمان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كان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ينعدم الا بمؤثر؛ لاستحالة خروج الممكن عن أحد طرفيه إلى الآخر الا بمؤثر، فإذا لم يعلم بالمؤثر فيكون البقاء أرجح في اعتقاد المجتهد، والعمل بالراجح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وأجيب عن ذلك بأنه مبتن على عدم احتياج الباقي في البقاء إلى المؤثر، وهو خلاف الحق، بل يحتاج في البقاء أيضاً، كما يحتاج إليه في الحدوث</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مباديء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ما علمت</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الرواية في مصادرنا الحديثية</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إن الرواية تحتمل وجوها ثلاثة وبعض هذه الوجوه فيه احتمالات متعددة، فهي لا تتم الا على أحدها</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تقطيعات متعددة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 يبدأ النص من جديد</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العبارة</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لو كانت للعهد لكانت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المنضمة إلى الصغرى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ينقض اليقين بالوضوء بالشك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فيفيد قاعدة كلية في باب الوضوء، وأنه لا ينقض إلا باليقين بالحدث</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فاعلم أنّ القرينة الحالية قائمة في الأحكام الشرعية غالباً على إرادة العموم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المفرد المحلّى بلام الجنس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لا عهد خارجيّ، 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واحل الله البيع وحرّم الربا</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لحجية منصوص العلة عرفاً</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حكموا بالبناء على الأكثر، على خلاف الأصل</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الرواية خبر واحد، وصدورها عن الإمام مشكوك، والأصل عدم صدورها عنه علیه السلام</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الرواية وإن لم تكن معتبرة بحسب الأصل، لكن يحصل منها الظن بحجية الاستصحاب، فإذا اضفناه إلى الأدلة الظنية الاخرى ليحصل من تراكمها القطع بحجية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باستصحاب بين المعارضين</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كصحيحة زرارة الاخرى التي رواها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لم يدر في ثلاث هو أو في أربع، وقد أحرز الثلاث قام فأضاف إليها أخرى، ولا شيء عليه، ولا ينقض اليقين بالشك، ولا يدخل الشك في اليقين، ولا يخلط أحدهما بالآخر، ولكنه ينقض الشك باليقين، ويتم على اليقين، فيبني عليه ولا يعتد بالشك في حال من الحالات</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في أصول الأحكام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ascii="IRNazanin" w:hAnsi="IRNazanin" w:eastAsia="IRNazanin"/>
          <w:b w:val="false"/>
          <w:b w:val="false"/>
          <w:bCs w:val="false"/>
          <w:i w:val="false"/>
          <w:i w:val="false"/>
          <w:iCs w:val="false"/>
          <w:color w:val="333333"/>
          <w:sz w:val="20"/>
          <w:sz w:val="20"/>
          <w:szCs w:val="20"/>
          <w:rtl w:val="true"/>
        </w:rPr>
        <w:t>، 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الغروية للأصفهاني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 في 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تَقْفُ مَا لَيْسَ لَكَ بِهِ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يَتَّبِعُونَ إِلَّا الظَّنَّ وَإنَّ الظَّنَّ لَا يُغْنِي مِنَ الْحَقِّ شَيْئًا</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رادعة</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ذكرهما في الضوابط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وجدانا</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السقط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كبقاء زيد والرطوبة ونحوهما</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تفاصيل كل ما تقدم 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شك ان القطع بالاشتغال يقتضي تحصيل القطع بالامتثال</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الأمور الخارجية والأحكام</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كل فرد من أفراد الاستصحاب حينئذ يحتمل كونه واجب العمل، كما هو مقتضى أصل الاشتغال، ويحتمل كونه محرم العمل كما هو مقتضى الأصل المذكور، فيدور الأمر بين المحذورين، ويكون المرجح مع أصل الاشتغال؛ لأن العلم الإجمالي حاصل بلزوم العمل بالاستصحاب في الجملة، فيكون هذا العلم الإجمالي مرجحاً لأصل الاشتغال</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فيلزم طرح ما قطعنا به من حجية الاستصحاب في الجملة</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روايات كثيرة، وأكثر الكتب جمعاً لها وسائل الشيخ الحرة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في أبواب القضاء، وقد أفرد ذكر باب لها على حدة، باب وجوب التوقف والاحتياط في القضاء والفتوى والعمل في كل مسألة نظرية لم يعلم حكمها بنص منهم</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الطهارة حكم شرعي</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العموم في الجواب مستفاد من التعليل</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يلتزم به المعترض</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على يقين فشك فليمض على يقينه، فإن الشك لا ينقض اليقين</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العموم المستفاد من الاخبار انما هو افرادي لا أحوالي، بمعنى انها تدل على حجّية كل استصحاب في الجملة، واما من حيث الأحوال اعني قبل الفحص و بعده فلا عموم في الاخبار ولا إطلاق بل هي من هذه الجهة مجملة وواردة مورد حكم آخر، فلا يكون اخراج حالة عدم الفحص تخصيصا أو تقييدا؛ إذ هما فرع العموم أو الإطلاق من حيث الأحوال، وقد عرفت عدمه، فليس الروايات بظاهرها خلاف الإجماع؛ إذ لا ظهور فيها في الحجية قبل الفحص</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كانت</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بتقريب أنا نقول بناءً على حجية الاستصحاب في الأحكام إن العمل بالاستصحاب قبل الفحص كان حراماً قطعاً، وبعد الفحص شككنا في بقاء الحرمة وارتفاعها، ومقتضى الاستصحاب البقاء، فلا يكون الاستصحاب في الأحكام حجة للاستصحاب الحكمي، أي استصحاب الحرمة</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عبرة به، فهو نظير استصحاب حرمة الحيوان المشكوك كونه مأكول اللحم،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قبل التذكية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حال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حراماً قطعاً، فيستصحب إلى ما بعد التذكية وهذا الاستصحاب لا عبرة به؛ لأن المستصحب إن كان هو الحرمة العرضية المسببة عن عدم التذكية، فقد انتفت قطعاً بعد التذكية وإن كان المستصحب الحرمة الذاتية، فمن الأول كانت مشكوكاً بها</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فيدخل في المستثنى لا المستثنى منه</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القدر المشترك بين المتعارضين غير قابل للمرجحية، وكون الظاهر من الروايات اسقلال اليقين السابق في العلية</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لكونها أحادا والتواتر الإجمالي لا يحصل الا بعد ضم سائر الأخبار</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هو قاطع ببقاء الأمر بالصلاة ، فلا استصحاب حكميا يعارض استصحاب الطهارة حينئذ</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انه بعد الامتثال يقطع بارتفاع الأمر باليقين الشرعي المامور به، فلا شك في ارتفاع الأمر وبقائه حتى يستصحب</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ان الرواية تبقى على ظاهرها فحينئذ يبقى اليقين السابق علة مستقلة للحكم ببقائه مطلقاً وفي جميع الموارد، ولدفع المحذور يخصص تلك الكلية بغير صورة المعارضة</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العرف يفهم في مثل المورد عدم العلة التامة في هذا المورد الخاص لا مطلقاً، فنعمل بالعموم في غير هذا المورد</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الأول</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المشهور خلافاً للغزالي في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ذهب إلى عدم حجيته إذا كان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حيث ذهب دليله الإجماع</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دوران الأمر بين السعة والضيق</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شك المتيمم الواجد للماء في أثناء الصلاة</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هذا القسم من الاستصحاب وغيره</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 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الاستصحاب</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فبعد عدم شمول النص، وعدم وجود دليل آخر أيضاً بالفرض، لم يكن الحكم في الآن المتأخر ثابتاً</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 للمحقق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للخوانساري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الجريان دليله فيهما</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الأخبار إنما تنصرف إلى الشك في المانع فقط</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الخبرية منها؛ لأن المتيقن الواقعي في الواقع لأجل نفس الشك أو معروضه قد ينتقض وقد لا ينتقض</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الإنشائية منها؛ لأن النقض الواقعي وعدمه ليس مقدوراً للمكلف</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فيرجع الكلام حينئذ إلى المشكوك فيه، وقد تقدم الكلام فيه</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للخوانساري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يمكن حمله على ظاهره؛ لأنه أسند النقض فيه إلى نفس المكلف، فظاهره غير مراد</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الشك</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 للخوانساري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السبب</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رأى مائعاً سيالاً في ثوبه الطاهر، وشك في أنه بول أم ماء، وان الشك في الموضوع الصرف هنا جزء أخير للعلة التامة في الشك في بقاء الحكم، فانه حصل له اليقين أولاً بالملاقاة، ثم شك في الموضوع الصرف، فشك في بقاء الحالة السابقة بعد هذا الشك، فهذا داخل في مورد</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المعبر عنه بالشك الساري، وهو موضوع قاعدة اليقين</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مثل</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الاستصحاب هو إبقاء ما قطع بتحققه سابقاً فشك فيه لاحقاً، ولا ريب أن ما قطع به سابقاً هنا قد قطع برفعه لاحقاً</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العلماء لم يعنونوا للشك في الحادث عنواناً مستقلاً، نعم اشتهر في الألسن عدم جواز التمسك بالاستصحاب إذا شك في الحادث</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فيتمسك</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المستنبطة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اللفظية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موضوعات الأحكام التي يكون تشخيص مفهومها عرفاً أو شرعاً، والتعرّف على حدودها سعة وضيقاً بحاجة إلى نظر وبرهنة، بحيث لا يتيسر لكل أحد التعرّف على مفاهيم هذه الموضوعات من تمام الحيثيات المقتضية لتشخيصها تشخيصاً تاماً، وذلك في مقابل الموضوعات الصرفة والتي لا يحتاج تشخيصها إلى برهنة، بل هي من الوضوح بحيث يفهمها كلّ أحد، وهي عادة ما تطلق على الموضوعات المنقحة في مرتبة سابقة، والتي يكون تشخيصها معتمداً على المدارك الحسيّة ليس أكثر، مثل تشخيص أنّ هذا خمر ، وأنّ ذاك دم حيض، أو استحاضة، وأنّ هذا من موارد الحرج، وكلّ ذلك إنّما يكون بعد الفراغ عن تنقيح مفهوم الحيض والخمر والحرج، وما هي حدودها سعة وضيقاً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الأصولي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بلا واسطة متعلّق للحكم اللّغوي من حمل اللفظ على هذا المعنى عند عدم القرينة ونحو ذلك من الاحكام اللغوية، ثم بعد ذلك يصير متعلّقاً للحكم اللّغوي الشّرعي</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مرتبطاً بالأحكام ارتباطاً قريباً؛ لأن الموضوع الخارجي نفسه من متعلقات الأحكام</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 بين كونه من باب الظنّ الخاص، أو الظنّ المطلق، تظهر في جواز العمل به حين انفتاح باب العلم، فعلى الأوّل يجوز، وعلى الثاني لا يجوز</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 بين كونه من باب السببية المطلقة أو المقيّدة، تظهر فيما عارض الاستصحاب ظنّ غير معتبر، فعلى الأوّل يعمل بالاستصحاب دون الثاني</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والاشتراك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والتقييد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من جملتها صحيحة زرارة عن الباقر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ينام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حرّك إلى جنبه شيء ولم يعلم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حتّى يستيقن أنه قد نام، حتّى يجيء من ذلك أمر بين، والا فأنه على يقين من وضوئه، ولا ينقض اليقين أبداً بالشك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بملاحظة صدر الرواية وذيلها</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باتفاق أهل اللغة، ينظر العين للفراهيدي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القاموس المحيط للفيروزآبادي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لسان العرب لابن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الدوران</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استصحاب الصحة موقوف على سبق الصحة بالنسبة إلى الأجزاء السابقة، وسبق الصحة الأجزاء السابقة موقوف على دخوله في العبادة على الوجه الشرعي، ودخوله فيها على الوجه الشرعي موقوف على العلم بالوجه والعلم بالوجه والشك أيضاً أثنائياً موقوف على استصحاب الصحة</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انصراف الأخبار ، مع كون بناء العقلاء على الاحتياط</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كصوم يوم الخميس الذي هو بسيط في النظر ، مع قطع النظر عن الدقة الفلسفية والتحليل العقلي، ولكنه مركب بعد تحليل العقل من جنس وهو الصوم، ومن فصل وهو خصوص يوم الخميس، فوجه عدم صحة التمسك بالاستصحاب فيه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فقد يوم الخميس أنه يجب أصل الصوم في يوم آخر استصحاباً لوجوبه، فهو أن الجنس ينتفي بانتفاء الفصل، وأن المطلوب إنما كان هو الجنس في ضمن الفصل الخاص، فلا يبقى مستصحب حتى يستصحب؛ لأن الجنس الخاص قد عدم قطعاً، والجنس في ضمن خصوصية أخرى لم يكن مطلوباً، فلا يجري الاستصحاب حتى يكون حجة</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قطع بعض اليد،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غسل اليد من المرفق كان واجباً بجميع أجزائها، وبعد قطع البعض يستصحب وجوب غسل البعض الباقي، فلا يجري فيه الاستصحاب أيضاً؛ إذ إن وجوب الأبعاض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اغسل يدك من المرفق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انما هو تبعي ومقدمي لإتيان المأمور به المركب، وبعد فقد المركب فقد الأمر به فلا يبقى الأمر بالمقدمة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الأمر بالمقدمة موقوف على الأمر بذي المقدمة، فلا معنى للاستصحاب</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المفروض وحدة الحادث، فإجراء الأصل فيه اجراء للأصل في تعيين الحادث</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وجرى</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اللفظ للمعنى اللغوي أولاً، ثم وضعه للمعنى العرفي ثانياً، ثم نقله عن المعنى الأوّل برفع المؤانسة عن المعنى الأوّل</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فيبقى أصل عدم النقل بحاله</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النّقل في الجملة يقيني؛ إذ لو كان اللّفظ حقيقة خاصة في اللغة في غير هذا المعنى العرفي خاصة فواضح ، وإن كان مشتركاً بين هذا المعنى العرفي وغيره لزم النقل أيضاً عن المشترك إلى احد معنيين، فالنقل يقيني، ولا يجري أصل عدم النّقل ويبقى أصل تأخر الحادث سليماً عن المعارض، ومعتضداً بأصالة عدم الاشتراك في اللغة</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فالوجودي كما لو علمنا بوجود زيد في البلد وقدومه اليه وشككنا في أن مبدأ القدوم هو يوم الجمعة أو يوم الخميس، فأصل تأخر الحادث يقتضي القدوم يوم الجمعة، ولا ريب أن الحادث هنا أمر وجوديّ؛ والعدمي كما لو قطعنا بموت زيد ولم نعلم انه مات يوم الجمعة أو الخميس، فأصل تأخر الحادث يقتضي موته يوم الجمعة</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مستنبط</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تلك الصورة جزء من جزئيات الشك في عروض المانع ، وقد مرّ حجية الاستصحاب في الشك في عروض القادح</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المراد من الشك في الروايات هو الشك الواقعي، فهو تخصيص، وإن كان المراد الأعمّ من الواقعي والظاهري فهو تخصص</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تظهر الثّمرة ما لو ألقى ماء غدير كرّ فصاعداً إلى غدير آخر تدريجاً بالمكيال كيلاً فكيلاً في مجلس واحد، ثم لاقى ماء ذلك الغدير الآخر ،نجس، وشككنا أن ماءه وصل إلى حدّ الكر حتى لا ينفعل أم لم يصل، فلو قلنا باستصحاب عدم الكرية حكمنا بنجاسة الماء، وان عارضه استصحاب طهارة الماء، لكن الأوّل موضوعي والثانى حكمي، فيكون الأوّل وارداً على الثّاني؛ ولو لم نقل باستصحاب عدم الكريّة حكمنا بطهارة الماء؛ لاستصحاب الطهارة السّليم عن المعارض، فلا يكون ملاقيه نجساً، ويجوز شربه</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القضية حُكمَ فيها بوجود حكم على تقدير وجود آخر</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وصل خفاء الفرد بمرتبة يضر بالإطلاق، بل يخرجه عن المراد</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موجب لإجمال اللفظ ، فيضر التشكيك بظاهر اللفظ المطلق</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حاكمة بحرمة نقض اليقين بالشك، من دون تفصيل بين كون الشك ناشئاً الدليل، أو تردده بين الاحتمال وغيره</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حقيقة</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الإشكال والجواب في القوانين المحكمة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للتوني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كصيرورة الماء بولا، ودم الانسان بعد دخوله جوف العلق دم علق</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المنتقل منه مائعاً دون المنتقل اليه كصيرورة المني إنساناً، وبالعكس بأن يكون عكس الثانية كصيرورة البطيخ بولا</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كصيرورة العلقة روثاً</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المبدل منه والمبدل إليه كليهما مائعين كانقلاب الخمر خلاً وعكسه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المبدل منه مائعاً دون المبدل اليه كانقلاب الماء هواء والثالثة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عكس الثانية كانقلاب الهواء ماء، والرابعة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يكون شيء منهما مائعاً كصيرورة الكلب ملحاً والخشب رماداً</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الاستصحاب مطلقاً اختاره المحقق في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الموصول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قيودها</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المتغير نجس</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 يوم الخميس</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بعد ما علمنا أن لهذا الحكم المجعول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النجاسة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موضوعاً، شككنا في أن موضوعه هل هو الصورة النوعية، أو الموضوع الجنسية، فكما ان للخصم أن يقول بعد ارتفاع الصورة النوعية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الأصل بقاء الموضوع من هذين المشكوكين، وارتفاع غير الموضوع منهما، فلنا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الأصل بقاء غير الموضوع منهما، وارتفاع ما هو الموضوع منهما</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المستصحب إن كان هو نجاسة هذا الجزء، فمن الأول كان مشكوكاً، وإن كان هو نجاسة اجزاء الكلب بحقيقتها النوعية فقد ارتفعت</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حدوث الحكم يتوقف على حدوث الصورة النوعية، وبقاءه يتوقف على بقائها</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الشارع</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مشهور على لسان الفقهاء،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نبه عليه صاحب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علم بأن أحد الحكمين من نجاسة الكلب وطهارة الخلّ قد نسخ وشك في أن المنسوخ أيهما</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علم بطهارة ماء، ثم شككنا في بقاء الطهارة فغسلنا به ثوباً معلوم النجاسة، فحصل حينئذٍ القطع إما بارتفاع نجاسة الثوب أو طهارة الماء، فتعارض استصحاب طهارة الماء مع استصحاب نجاسة الثوب</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الميرزا القمي في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لفخر الحققين في الايضاح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متنجس</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ترتب</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تخلو دعوى الإجماع من نظر مع وجود المخالفين كالشيخ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والمحقق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وجماعة من متاخري المتاخرين</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مقتضى استصحاب بقاء الأمر بالصلاة أن لا يسجد على هذه الأرض ، ولا يتيمم بها؛ عملاً بالأصلين</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غاية ما يقتضيه أصالة نجاسة الثوب هو الحكم بنجاسة الثوب لا غير، وغاية ما يقتضيه أصالة طهارة الأرض الملاقية للثوب هو الحكم بطهارة الأرض لا غير، فلا تعارض بينهما</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لوجود</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فالتعارض بين الأصلين حينئذ يصير من باب تعارض المتباينين الذي لا بد فيه من الرجوع إلى المرجح لا من باب تعارض العامين من وجه حتى تتبعض، ويعمل بهما في مادة الافتراق ولا يعمل بشيء منهما في مادة الاجتماع، كما فعل هذا القائل هنا كذلك بأن ارتكب التبعيض في العمل فأخذ بعض أحكام هذا الأصل وبعض أحكام الأصل الآخر، مضافاً إلى أن التعيين في التبعيض أيضاً لا بد له من مرجّح حتى يلزم الترجيح بلا مرجّح</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الموارد</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إمكان الجمع بالفرض</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التخيير فرع عدم إمكان الجمع، وعدم وجود المرجح ، وعدم إمكان الطرح، والشرط الثالث هنا مفقود؛ لأن الطرح ممكن</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باصلين</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فيه</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المتبادر منها عدم جواز نقض يقين نفسه إلا بيقين آخر لنفسه، ولا ريب انه غير حاصل للمكلّف</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المصنف في الضوابط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علي في حاشيته على الروضة</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شكّ في بقاء زيد وطهارة ثوبه بعد القطع بارتفاع احدهما عقيب القطع بتحققها</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يكن أحدهما مزيلاً للآخر</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في كل أمر غير علمي هو عدم جواز العمل الا مع اليقين بالجواز، وهو هنا يكون بعد الفحص عن الدليل الاجتهادي، هذا من حيث الحكم التكليفي، وأما من حيث الحكم الوضعي، فالأصل عدم حجية الاستصحاب قبل الفحص أيضاً؛ لأصالة الاشتغال</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المصنف في الضوابط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يجز العمل بالأدلة الاجتهادية قبل الفحص، فالفقاهية بطريق أولى قطعاً</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العمل بقول اللغوي الذي هو دليل اجتهادي في اللغات يحتاج إلى الفحص، والعمل بالاستصحاب أولى في الاحتياج إلى الفحص؛ لانه دليل فقاهتي</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للمشهور</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تختص في إبقاء الأحكام الواصلة إلينا من جانبهم، لا مطلق الأحكام</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كالموجودين أول بعثة النبي صلی الله علیه و آله وسلم</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لأنا نثبت عدم الحجّية لأمثالنا ممن هو موجود في هذا الزمان ببناء العقلاء، ويتم الباقي بالإجماع المركّب، عكس ما تقول به، وبعد تعارضها وتساقطها يرجع إلى الأصل الأولي</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عن المعارض</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الأصل</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الاستفراق</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التعريف لابن الحاجب في مختصره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العلّامة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 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الفرعي الواقعي</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المجتهدين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الشامل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318/23</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التجزي</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الجوامع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الأكثر كما في الوافية للتوني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الإمكان</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فإنا نرى أن الشخص قد يكون له ملكة في العبادات؛ لكثرة الممارسة فيها دون المعاملات كما أن الشخص قد يكون له ممارسة فى جزء من علم الطب فله ملكة فيه دون سائر الأجزاء، كالكحال والجراح ونحوهما</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أن الملكات تدريجية في الحصول بداهة، فلا بد ان يصير الشخص أولاً متجزئاً ثم مطلقاً، فلو لم يمكن التجزي لم يمكن الإطلاق</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العلّامة والشهيدين والبهائي ووالده والفاضل الهندي، بل ادعى عدم الخلاف فيه الا من صاحب المعالم</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 أيهما اختار من الاجتهاد في المسائل، أو التقليد، لزم ذلك عليه دائماً</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له إمّا من العمل بظنّه أو بوهمه الحاصل من تقليد غيره، فإن ألزمناه بالتقليد 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ترجيح المرجوح، أو خيرناه بينه وبين العمل بالظن لزم التسوية بين الراجح والمرجوح، فتعين عمله بظنّه</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هداية المسترشدين للنجفي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671/3</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استوعب هذه الشروط بالتفصيل السيد محمد المجاهد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بهذا الشرط المرتضى في الذريعة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والشيخ في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728/2</w:t>
      </w:r>
      <w:r>
        <w:rPr>
          <w:rFonts w:ascii="IRNazanin" w:hAnsi="IRNazanin" w:eastAsia="IRNazanin"/>
          <w:b w:val="false"/>
          <w:b w:val="false"/>
          <w:bCs w:val="false"/>
          <w:i w:val="false"/>
          <w:i w:val="false"/>
          <w:iCs w:val="false"/>
          <w:color w:val="333333"/>
          <w:sz w:val="20"/>
          <w:sz w:val="20"/>
          <w:szCs w:val="20"/>
          <w:rtl w:val="true"/>
        </w:rPr>
        <w:t xml:space="preserve">، وابن ادريس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والعلّامة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والشهيد الأول في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في 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والشيخ حسن في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والبهائي في الزبدة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والفاضل التوني في الوافية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والوحيد البهبهاني في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 من الأعلام</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الشخص من فصحاء العرب الذين يعلمون العربية؛ لأنها لسانهم وإن لم يعلموا الاصطلاحات والتسمية بالفاعل والمفعول وغيرهما بعد علمهم بلبهما وبأن ما يسند إليه الشيء مرفوع، وما يقع عليه الفعل منصوب، وهكذا</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القطعي</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علمنا باخذهم المعنى من فهم العرف</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قاعدة الاشتغال</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استنباط</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بهذا الشرط العلّامة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والشهيد الأول في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في 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التوني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والوحيد البهبهاني في 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الاجتهاد هو ملكة تحصيل الاعتقاد بالحكم الشرعي الواقعي، ولا ريب في أنّ الاعتقاد بأن حكم الله تعالى كذا لا يمكن حصوله الّا بعد معرفة المضاف إليه الحكم من الشرع والشارع ونحوهما</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بهذا الشرط العلّامة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والشهيد الأول في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في المنية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حسن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والبهائي في الزبدة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والفاضل التوني في 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والبهبهاني في 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 بقول بحجية الخبر من باب الظن</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بهذا الشرط العلّامة في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والشهيد الأول في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والثاني في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والشيخ حسن في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والبهائي في الزبدة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التوني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والوحيد البهبهاني في الفوائد</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بهذا الشرط الفاضل التوني في 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والبهائي في الزبدة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بهذا الشرط الشيخ في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والعلّامة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والشهيد الأول في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والثاني في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حسن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والبهائي في الزبدة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التوني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للمشهور ،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ويعبر عن هذا الشرط في المصادر المعروفة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يكون عارفاً بالسنة</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أراد الاجتهاد فعلاً في مسألة الطهارات أو في مسألة منها لم يكف له الرجوع إلى أحاديث كتاب الطهارة فقط؛ لأن بعض أخبار الطهارة قد يذكر في كتاب الصلاة بمناسبته، كطهارة بدن المصلي أو ثوبه، فلا بد له من الرجوع إلى مكان أخبار الطهارة لعله يقف على معارض أو معاضد</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بهذا الشرط العلّامة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والشهيد الأول في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في 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حسن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والبهائي في الزبدة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التوني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والبهبهاني في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الفصيح أو الأفصح</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السيد المرتضى، وابن المتوج البحراني، وصرح به الشهيد الثاني في منية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خداع</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يميل</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مقومات</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وبعضها</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المشهور كما في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صرح بهذا الحكم الشهيد الأول في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في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663/2</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المقدس الأردبيلي في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وتابعه صاحب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المحدث البحراني في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الصحة</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محل النزاع هو الجهل بالحكم الوضعي الصحة والفساد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التكليفي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الإثم وعدمه</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المراد بالجهل في المقام ما يشمل الجهل بالوجوب والندب بعد العلم بأصل المطلوبية والرجحان، بأن يعلم الجنس ويجهل الفصل أو لا يشتمله ؟ يمكن الشمول؛ لإطلاق العنوان،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الجهل لا ينصرف إلى مثله، وعنوانهم إنما هو الجاهل</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الْمُؤْمِنُونَ لِيَنْفِرُوا كَافَّةً فَلَوْلَا نَفَرَ مِنْ كُلُّ فِرْقَةٍ مِنْهُمْ طَائِفَةٌ لِيَتَفَقَّهُوا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العلم فريضة على كل مسلم، ألا إن الله يحب بغاة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معه دليل وجوب العبادة مطلقاً</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للعلم</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ذات يوم لعمار في سفر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عمار، بلغنا أنك أجنبت، فكيف صنعت؟ قال تمرغت یا رسول الله في التراب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يتمرغ الحمار ، أفلا صنعت كذا ؟ ثم أهوى بيديه إلى الأرض فوضعهما على الصعيد، ثم مسح جبينيه بأصابعه وكفيه إحداهما بالأخرى، ثم لم يعد ذلك</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فالوقت</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الجمهور</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الإجماع عليها جماعة من العامة كالحاجبي 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1215/2</w:t>
      </w:r>
      <w:r>
        <w:rPr>
          <w:rFonts w:ascii="IRNazanin" w:hAnsi="IRNazanin" w:eastAsia="IRNazanin"/>
          <w:b w:val="false"/>
          <w:b w:val="false"/>
          <w:bCs w:val="false"/>
          <w:i w:val="false"/>
          <w:i w:val="false"/>
          <w:iCs w:val="false"/>
          <w:color w:val="333333"/>
          <w:sz w:val="20"/>
          <w:sz w:val="20"/>
          <w:szCs w:val="20"/>
          <w:rtl w:val="true"/>
        </w:rPr>
        <w:t>، والآمدي في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الخاصة العلّامة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والشهيد الثاني في 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ونفى الخلاف عنه الشيخ في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1377/1</w:t>
      </w:r>
      <w:r>
        <w:rPr>
          <w:rFonts w:ascii="IRNazanin" w:hAnsi="IRNazanin" w:eastAsia="IRNazanin"/>
          <w:b w:val="false"/>
          <w:b w:val="false"/>
          <w:bCs w:val="false"/>
          <w:i w:val="false"/>
          <w:i w:val="false"/>
          <w:iCs w:val="false"/>
          <w:color w:val="333333"/>
          <w:sz w:val="20"/>
          <w:sz w:val="20"/>
          <w:szCs w:val="20"/>
          <w:rtl w:val="true"/>
        </w:rPr>
        <w:t xml:space="preserve">، نهاية الوصول للعلّامة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الحسن بن الحصين بن أبى الحصين العنبري التميمي، قاضي البصرة، مات سنة ثمان وستين ومئة، وكان يتفقه على مذهب الكوفيين، ويخالفهم في الشيء بعد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 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قدم العالم وحدوثه، وعصمة الإمام، وعدمها ، ووجود المعاد الجسماني وعدمه، وجواز الخرق وعدمه</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عدمها</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w:t>
      </w:r>
      <w:r>
        <w:rPr>
          <w:rFonts w:ascii="IRNazanin" w:hAnsi="IRNazanin" w:eastAsia="IRNazanin"/>
          <w:b w:val="false"/>
          <w:b w:val="false"/>
          <w:bCs w:val="false"/>
          <w:i w:val="false"/>
          <w:i w:val="false"/>
          <w:iCs w:val="false"/>
          <w:color w:val="333333"/>
          <w:sz w:val="20"/>
          <w:sz w:val="20"/>
          <w:szCs w:val="20"/>
          <w:rtl w:val="true"/>
        </w:rPr>
        <w:t>، 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جعل الملازمة بين المجاهدة و الهداية التي هي المعرفة، فلو لم يكن الطرفان ممكنين لم تصح الملازمة، فعدم هداية الجاهل القاصر لعدم جهاده</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كفروا من أهل الكتاب والمشركين في نار جهنم خالدين فيها أولئك هم شر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في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الرازي في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جمهور المتكلمين من العامة كأبي الحسن الأشعري والقاضي أبي بكر من الأشاعرة، وأبي الهذيل العلاف وأبي علي وأبي هاشم وأتباعهم من المعتزلة</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الأقوال وتفاصيلها ينظر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الفحول للشوكاني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726/2</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الخطابات</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حكم واحد</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للمرتضى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أخرى تلك الأحكام الظاهرية المتعدّدة من حيث الظاهر في الواقعة الواحدة كلها أحكام واقعية كما هى الظاهريّة أم الواقعي منها واحد لا غير؟</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تمهيد القواعد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 الفرعي مأخوذ في معناه الكلية، والخصوصيات خارجة عن الأحكام، والموضوعات جزئیات يشملها العنوان</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كالعقائد، فإن الكعبة لا يعقل تعددها بتعدد الاجتهاد</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للأمور النفس الأمرية، وقال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للأمور الذهنية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ريب أن القول الأول لا يستلزم التخطئة ولا التصويب في الأحكام ولا في الموضوعات، لكن القول الثاني يستلزم التصويب في الموضوعات الصرفة؛ لتعدد الأمور الذهنية، فتكون القبلة مثلاً موضوعة للأمر الذهني، فتعدد القبلة إذا تعدد الأمر الذهني، ويصير ذلك تصويباً، فظهر أن الإمامية في الموضوعات الصرفة مختلفون في التصويب والتخطئة، فلو كان الموضوعات داخلة في هذا النزاع لزم كونهم متفقين على التخطئة؛ لاتفاقهم في هذا النزاع على بطلان التصويب، وهذا يكون تناقضاً بين اتفاقهم هنا وخلافهم ثمة في مدلولات الألفاظ، فلا بد أن يكون الموضوعات خارجة عن هذا النزاع حتى لا يلزم تناقض</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يقولون إن حكم الله ،واحد ، وأما الأحكام الظاهرية فليست بأحكام حقيقة، بخلاف المصوبة فإنهم يقولون بتعدد الحكم الواقعي الأصلي، والأصل عدمه</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فأصالة عدم الإصابة جارية من حيث الشك في إصابة الحكم في كل واحد من المجتهدين، لكن من حيث المصيب شك في الحادث</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المصنف في الضوابط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تواترها ، وقد تقدم منا بيان بعض مصادرها</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أجران</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 واحد</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أبي جمهور في العوالي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اجتهد وأصاب فله حسنتان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 وأخطأ فله حسنة</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الواجب على المجتهد هو استفراغ الوسع في المسألة بقدر لا يتعطل به الأحكام، فمن استفرغ وسعه المعتد به لم يجب عليه أزيد من ذلك، بل يستحب الفحص الزائد إن لم يوجب التّعطيل، ففي تلك الزيادة المستحبة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المجتهد لو أصاب بسبب تلك الزيادة من الفحص فله أجران ومن أخطأ في تلك الزيادة فله أجر واحد</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باب الرد إلى الكتاب والسنة، وأنه ليس شيء من الحلال والحرام، وجميع ما يحتاج الناس إليه إلا وقد جاء فيه كتاب أو سنة</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من كلام له علیه السلام في دم اختلاف العلماء في الفتيا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 على أحدهم القضية في حكم من الأحكام، فيحكم فيها برأيه، ثم ترد تلك القضية بعينها على غيره فيحكم فيها بخلافه، ثم يجتمع القضاة بذلك عند الإمام الذي استقضاهم فيصوب آراءهم جميعاً، وإلههم واحد، ونبيهم واحد وكتابهم واحد، أفأمرهم الله تعالى بالاختلاف فأطاعوه، أم نهاهم عنه فعصوه، أم أنزل الله ديناً ناقصاً فاستعان بهم على إتمامه، أم كانوا شركاء له، فلهم أن يقولوا وعليه أن يرضى، أم أنزل الله سبحانه ديناً تاماً فقصر الرسول عن تبليغه وأدائه، والله سبحانه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فَرَّطْنَا فِي الْكِتَابِ مِنْ شَيْءٍ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Pr>
        <w:t>38</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اجزائه</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قدرة</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 الحاكم الآخر</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المجتهد</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المأمول في شرح مبادئ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المجتهد إذا لم يجز له البقاء على رأيه الأوّل فمقلده بطريق أولى</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القدر المتيقن</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فأصل الشغل معارض باستصحاب التخيير الذاتي الذي كان حاصلاً للمقلّد قبل الأخذ بالرأي الأوّل لهذا المجتهد</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بدوا</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عمله برأي غيره حين ما كان مقلّداً لذلك المجتهد كان حراماً إجماعاً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هو الظاهر فيستصحب، وهذا يؤيد أصل الاشتغال</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البراءة</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القوانين المحكمة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الشرب</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توضيحه لو شهد عدلان بأن فلاناً شرب الخمر وأمر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عدلان بسبب الشاهد أو بعلمه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حكم الحاكم بحدّه مع أنه لا خصومة أصلاً ، أيضاً لو ثبت عند المجتهد رؤية الهلال في شهر رمضان مثلاً وأمر بالصيام،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حكم بأن اليوم أول الشهر ، مع أنه لا خصومة</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في المثال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مرجع ذلك إلى الخصومة في تصديق الشارب، وتكذيب الشهود فعلاً إذا كان الشاهد موجوداً، أو قوة إذا حكم الحاكم بعلمه</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مسالك الافهام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أنيس المجتهدين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البخاري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هند أم معاوية 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سفيان رجل شحيح ، فهل علي جناح أن آخذ من ماله سراً؟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خذي أنت وبنوك ما يكفيك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فيحتمل أن يكون غرضه الحكم بأخذها وتقاصها من مال زوجها بقدر كفايتها؛ رفعاً للخصومة بالقوة؛ لعلمه بصدقها وعدم الحاجة إلى الشاهد، فيكون حكماً، ويحتمل أن يكون غرضه صلی الله علیه و آله وسلمبيان حكم الله سبحانه بلفظ الإنشاء</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أقوال</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والمحقق</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الغروية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الحرج</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للعلّامة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القوانين المحكمة للقمى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عدم</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 بالظن</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بالظن وأما بالقطع فيجوز إجماعاً كما في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ببطلانه</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الحرج</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صورة القطع ببطلان الحكم السابق</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المعاملة والعبادة</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للعميدي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العقلاء حينئذ يذمون الشرع، ويهتكون حرمته، ويقولون على الشارع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قدرت على اقامة حكم كلي لا يكون فيه تلك المزاحمة والإتيان بعد الإتيان بل أهل العقول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اعتماد بهذا المجتهد؛ حيث إنه كل وقت يحكم ببطلان ما افتى به و باعادته ثم باعادة ما اعاد وهكذا</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الأدلة الشرعية دلّت على جواز الاجتهاد في بعض المقامات، وكذا دلت على جواز التقليد والعمل بقول من يعتمد عليه ، وظاهر تلك الادلة اللفظية البدلية على الإطلاق، انكشف الفساد أم لا، فلا اعادة في تلك الموارد ولا قضاء، وفيما عدى تلك الموارد يتم الأمر بالإجماع المركب</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مقلدوه</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اللبيب للعميدي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الفائدة الإصابة بالأحكام الواقعية كما هو الغالب، لكن في بعض الأوقات يصير غير الواقع بدلا عن الواقع</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مع تبدل رأي المجتهد قلنا بعدم جواز نقض المعاملات السابقة على تبدل رأيه، فمع بقاء المجتهد على رأيه لا يجوز للمجتهد الآخر نقض معاملاته ومعاملات مقلديه بطريق أولى</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معاملة،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المعاملات</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معاملة</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الوارد</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الأصول للمجاهد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وينصبها</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المامول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الدين لابن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قِيلَ هُمُ اتَّبِعُوا مَا أَنزَلَ اللهُ قَالُوا بَلْ نَتَّبِعُ مَا أَلْفَيْنَا عَلَيْهِ آبَاءَنَا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هُم بِهِ مِنْ عِلْمٍ إِن يَتَّبِعُونَ إِلَّا الظَّنَّ وَإِنَّ الظَّنَّ لَا يُغْنِي مِنَ الْحَقِّ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للعلّامة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اللبيب للعميدي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430/4</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أحمد بن حنبل، وإسحق بن راهويه وسفيان الثوري</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ابن سريج، واختاره المصنف</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محمد بن الحسن</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بعض أهل العراق</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القاضي أبي بكر وأكثر الفقهاء</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الرازي في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والآمدي في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والعلّامة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لا يتمكن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تمكنه</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العمل بالظن، خرج المجتهد والمقلد غير المتمكن، وبقي الباقي</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تتبع الأقوال في المسألة يظهر انه لم ينقل قول بالجواز بشيء من وجوهه عن أصحابنا الإمامية، فالمخالف من غيرهم</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ذلك الشخص المتمكن من الاجتهاد امره دائر بين الاحتياط وجوباً، والتقليد كذلك، التمكن والتخيير بين الاحتياط والتقليد، ولزوم الاجتهاد، لا سبيل إلى الأولين؛ للإجماع على عدمهما، والثالث مستلزم للتسوية بين الراجح والمرجوح ، فإن الاجتهاد موجب للظنّ القوي، والتقليد موجب للوهم، وإحدى الأمارتين أقوى، فتعين الرابع</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الحاصل حتى التقليد</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لارتفاع لزوم التقليد عيناً عنه بعد حصول الملكة، وصار على القول بعدم تحريم التقليد مخيراً بينه وبين الاجتهاد، فارتفع الفصل ، ولازمه ارتفاع ،الجنس، ويحصل حينئذ الشك في أن الحكم الحاصل بعد الملكة هل هو لزوم الاجتهاد، أو التخيير بينه وبين التقليد، فلا يجري استصحاب لزوم التقليد؛ للقطع بالانتفاع ؟</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فتبدل الموضوع ، وحينئذ لا يجري الاستصحاب</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المجتهدان المتوافقان</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للمجاهد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المحقق القمي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فيلزم على مذهبه التعيين</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ظنّ المقلّد برأي المجتهد هو من المرجحات لقول من ظن بقوله، فلو ظن بقول غير الأعلم مع وجود الأعلم، جاز له الأخذ بقول غير الاعلم، بل لزم ذلك</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 يجوز له العمل بقول المجتهد وإن ظنّ بعدم موافقته للواقع</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 يجوز له العمل بقول المجتهد ما لم يظن بفساد قوله</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 البقاء قدراً متيقناً</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لمنقول</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منية اللبيب للعميدي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القطعية للواقع بعد الرجوع؛ إذ حكم الله واحد، وبعد الرجوع يعلم بالمخالفة في الجملة، أما في الأول، أو الثاني، وهذا باطل</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الملزوم</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لو قلّد مجتهداً في وجوب غسل الجمعة ولم يعمل به بعد، إما لأجل عدم دخول وقته، أو لأجل تركه عصياناً، أو لأجل عدم التمكن منه ، وقلنا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يلزم الا بعد العمل، لكان ذلك الشخص حينما أراد الغسل غير قاصد للوجه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الوجوب، وغير عالم بتعلّقه بذمته؛ إذ المفروض أن له الرجوع ما لم يعلم، وهو حين ما اراد العمل لم يعمل إلى الآن، ولم يتعلق الوجوب بذمته، فلا يمكن له قصد الوجوب والالتزام بذلك القول، فيكون عمله على قول القائل بالوجوب فاسداً، فلا يتحقق عمل صحيح حتى يقال انه لزم عليه قول ذلك المجتهد لأجل عمله، فيحتاج في اللّزوم إلى عمل صحيح آخر سوى ذلك، وننقل الكلام اليه، وليس له في العمل الثاني أيضاً قصد الوجوب؛ لأنه أوّل العمل الصحيح ولم يلزم حينئذ عليه؛ إذ المفروض انه مختار إلى بعد العمل فلا ينعقد عمله على قول المجتهد أيضاً، فلا يلزم تقليده؛ لعدم العمل الصحيح إلى الآن، وهكذا فلا يمكن حينئذ تحقق اللزوم أصلاً</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منه هو الإلزام الإجمالي؛ كأن يلتزم بتقليد هذا المجتهد، ويبني عليه من دون اطلاعه على تفصيل فتاويه بعد</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إقحام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القدر المتيقن</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حقائق الإيمان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تراث الشيعة الفقهي والأصولي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الثاني في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قول أكثر العامة، ولا نعلم به قائلاً منّا، بل المنصوص عندنا هو الأوّل</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لزوم تقليده الاتفاقى حينئذ كان ناشئاً عن الانحصار، وقد زال بعد وجود الأدون، فاللزوم العرضي الحاصل قد زال قطعاً بعد وجود الأدون، وأما اللزوم الذاتي فمشكوك من الأول؛ فهذا الاستصحاب لا ينفع</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 المذكور</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الأوّل يلزم تقليد الأعلم؛ للاشتغال، وفيما عداه بالإجماع المركب</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فَاسْأَلُوا أَهْلَ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بِنَبَأَ فَتَبَيَّنُوا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الْمُؤْمِنُونَ لِيَنْفِرُوا كَافَّةً فَلَوْلا نَفَرَ مِنْ كُلِّ فِرْقَةٍ مِنْهُمْ طَائِفَةٌ لِيَتَفَقَّهُوا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إليها لنا</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الشريفة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مطارح الأنظار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اختار المقلد في مثل الصلاة مثلاً في كلّ جزاء وشرط مختلف فيه بقول من لا يقول بالوجوب، ويختار من مسائل الحل والحرمة بقول من يقول بالحلّ فربما يصير صلاته صلاة نقطع بانها ليست من الدين</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الاشتغال</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الاشتغال</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ريب</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لاستصحاب بقاء التكليف براي ذلك المجتهد</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منه الناشئ من الإجماع والشهرة</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يتعين تقليد الحي كما في الصورة الأولى</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يراه صاحب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561/4</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الشخصي والنوعي</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الوحيد البهبهاني في 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صاحب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للوحيد البهبهاني في 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بلزوم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لزومه للاستصحاب</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فبطل من ذلك احتمال لزوم الرجوع، وجواز الأمرين، ولزوم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إذا وجد أعلم فيرجع ويتخير، ولزوم الرجوع</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المعارج للمحقق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معالم الدين لابن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استصحاب عدم الجواز فيما لو ظننا بعدم اجتهاده أو شككنا فيه</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الكلية</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للسافلين</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التقليد</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بتنافيهما</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اللبيب للعميدي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القوانين المحكمة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الغروية للأصفهاني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580/4</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المعتبرين من باب الظن النوعي، كخبر الواحد، والإجماع المنقول، وغيرها</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القطعي يترجح على الظني عند التعارض</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بالدليل</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بأعمّ</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الوافية للتوني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بدائع الأفكار للرشتي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يوجد الثاني من دون الأوّل، كما لو تعارض دليلان وكان أحدهما موافقاً للأصل، وكان مذهب المجتهد تقديم المقرر على الناقل تعبداً، فحينئذ ليس نفس الدليلين متساويين عند المجتهد، بل أحدهما أرجح ، فلا تعادل في نفسها، لكن اعتقاد المجتهد بالنسبة إلى مدلولها على السواء؛ إذ الأصل لا يورث الظنّ بالمدلول، ففي هذا المثال يصدق التعريف الأخير لا الأول، ويكون هذا المثال من المتعادلين ويجري فيه أحكام التعادل من الاختلاف في الجواز، ونحوه على الأخير دون الأول</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ونسب الخلاف فيه إلى الكرخي، القوانين المحكمة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594/4</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377/6</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المشهور المعروف من محققي أصحابنا كما في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عن صا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نعرف في ذلك من الأصحاب مخالفاً، وعليه أكثر أهل الخلاف</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الرازي في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بعض فقهاء العامة، ونقل عن أهل الظاهر كما في إرشاد الفحول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الأخباريين الوحيد البهبهاني في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بد حين العمل إما الفعل، وإما الترك، فكيف يتصور الوقف؟</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المعاملات الغيرية، فله أن يتوقف، ولا يحكم لأي طرف حال التداعي</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حكم</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 لزم طرح الأمارتين</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 نأخذ جنس الأمرين، وهو مطلق الطلب الراجح، وطرح فصلهما، فإن ذلك الجزء من التكليف ثابت باتفاق الخبرين</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المقدمة والوصول إلى الواقع المحتمل، اعني الوجوب</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ليس بمستحب واقعي</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طريق الاحتياط</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كتعادل أمارتي القبلة</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المصنف لا يقول بحجية الظن التفصيلي في الموضوع الصرف، فضلا عن الإجمالي</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كتعارض الغلبة النوعية مع الغلبة الشخصية، فيما إذا استعمل لفظ في معنى، ولم يعلم انه حقيقي أم مجازي</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استعمل لفظ في معنيين بينهما جامع قريب وتعارض فيه أمارة الحقيقة والمجاز أعني غلبة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أمارة الاشتراك اللفظي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ظهور الاستعمال في الحقيقة لو قلنا به وظن بنفي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الاشتراك المعنوي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الظن معتبر؛ لأن المصنف يعتبر الظنون التفصيلية في الموضوعات المستنبطة</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العلمية</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كل مزية غير مستقلة في نفسها، بل متقومة بما فيه، كمخالفة العامة</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أمراً مستقلاً بنفسه، ولو لم يكن هناك خبر، كالأصل والكتاب</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الوصول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564/2</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 للمحقق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نعرف موافقاً للمصنّف في ذلك</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للأخباريين كما في الفوائد الحائرية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ادعي الاتفاق عليه بين أصحابنا كما في مفاتيح الأصول للمجاهد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للرشتي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501.xml"/><Relationship Id="rId509" Type="http://schemas.openxmlformats.org/officeDocument/2006/relationships/footnotes" Target="footnotes.xml"/><Relationship Id="rId510" Type="http://schemas.openxmlformats.org/officeDocument/2006/relationships/numbering" Target="numbering.xml"/><Relationship Id="rId511" Type="http://schemas.openxmlformats.org/officeDocument/2006/relationships/fontTable" Target="fontTable.xml"/><Relationship Id="rId512" Type="http://schemas.openxmlformats.org/officeDocument/2006/relationships/settings" Target="settings.xml"/><Relationship Id="rId5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36614</Words>
  <Characters>172899</Characters>
  <CharactersWithSpaces>207713</CharactersWithSpaces>
  <Paragraphs>2031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2026-08-20T08:10:43Z</dcterms:created>
  <dc:creator>ghaemiyeh.com</dc:creator>
  <dc:description/>
  <dc:language>en-US</dc:language>
  <cp:lastModifiedBy/>
  <dcterms:modified xsi:type="dcterms:W3CDTF">2026-08-20T11:41:05Z</dcterms:modified>
  <cp:revision>1</cp:revision>
  <dc:subject/>
  <dc:title>نتائج الأفکار</dc:title>
</cp:coreProperties>
</file>

<file path=docProps/custom.xml><?xml version="1.0" encoding="utf-8"?>
<Properties xmlns="http://schemas.openxmlformats.org/officeDocument/2006/custom-properties" xmlns:vt="http://schemas.openxmlformats.org/officeDocument/2006/docPropsVTypes"/>
</file>