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فقه الدولة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17250_653776707">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2517252_65377670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517254_653776707">
            <w:r>
              <w:rPr>
                <w:webHidden/>
                <w:rStyle w:val="IndexLink"/>
                <w:rtl w:val="true"/>
              </w:rPr>
              <w:t>الفهرس</w:t>
            </w:r>
            <w:r>
              <w:rPr>
                <w:rStyle w:val="IndexLink"/>
                <w:rtl w:val="true"/>
              </w:rPr>
              <w:tab/>
            </w:r>
            <w:r>
              <w:rPr>
                <w:rStyle w:val="IndexLink"/>
              </w:rPr>
              <w:t>15</w:t>
            </w:r>
          </w:hyperlink>
        </w:p>
        <w:p>
          <w:pPr>
            <w:pStyle w:val="Contents2"/>
            <w:tabs>
              <w:tab w:val="clear" w:pos="8743"/>
              <w:tab w:val="right" w:pos="9026" w:leader="dot"/>
            </w:tabs>
            <w:rPr/>
          </w:pPr>
          <w:hyperlink w:anchor="__RefHeading___Toc2517256_653776707">
            <w:r>
              <w:rPr>
                <w:webHidden/>
                <w:rStyle w:val="IndexLink"/>
                <w:rtl w:val="true"/>
              </w:rPr>
              <w:t>المقدمة</w:t>
            </w:r>
            <w:r>
              <w:rPr>
                <w:rStyle w:val="IndexLink"/>
                <w:rtl w:val="true"/>
              </w:rPr>
              <w:tab/>
            </w:r>
            <w:r>
              <w:rPr>
                <w:rStyle w:val="IndexLink"/>
              </w:rPr>
              <w:t>29</w:t>
            </w:r>
          </w:hyperlink>
        </w:p>
        <w:p>
          <w:pPr>
            <w:pStyle w:val="Contents2"/>
            <w:tabs>
              <w:tab w:val="clear" w:pos="8743"/>
              <w:tab w:val="right" w:pos="9026" w:leader="dot"/>
            </w:tabs>
            <w:rPr/>
          </w:pPr>
          <w:hyperlink w:anchor="__RefHeading___Toc2517258_653776707">
            <w:r>
              <w:rPr>
                <w:webHidden/>
                <w:rStyle w:val="IndexLink"/>
                <w:rtl w:val="true"/>
              </w:rPr>
              <w:t>المرحلة الأولى</w:t>
            </w:r>
            <w:r>
              <w:rPr>
                <w:rStyle w:val="IndexLink"/>
                <w:rtl w:val="true"/>
              </w:rPr>
              <w:t xml:space="preserve">: </w:t>
            </w:r>
            <w:r>
              <w:rPr>
                <w:rStyle w:val="IndexLink"/>
                <w:rtl w:val="true"/>
              </w:rPr>
              <w:t>الدولة فی الفقه الإسلامي دراسة في المفهوم والضرورة والملامح</w:t>
            </w:r>
            <w:r>
              <w:rPr>
                <w:rStyle w:val="IndexLink"/>
                <w:rtl w:val="true"/>
              </w:rPr>
              <w:tab/>
            </w:r>
            <w:r>
              <w:rPr>
                <w:rStyle w:val="IndexLink"/>
              </w:rPr>
              <w:t>33</w:t>
            </w:r>
          </w:hyperlink>
        </w:p>
        <w:p>
          <w:pPr>
            <w:pStyle w:val="Contents3"/>
            <w:tabs>
              <w:tab w:val="clear" w:pos="8459"/>
              <w:tab w:val="right" w:pos="9026" w:leader="dot"/>
            </w:tabs>
            <w:rPr/>
          </w:pPr>
          <w:hyperlink w:anchor="__RefHeading___Toc2517260_653776707">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2517262_653776707">
            <w:r>
              <w:rPr>
                <w:webHidden/>
                <w:rStyle w:val="IndexLink"/>
                <w:rtl w:val="true"/>
              </w:rPr>
              <w:t>الفصل الأول</w:t>
            </w:r>
            <w:r>
              <w:rPr>
                <w:rStyle w:val="IndexLink"/>
                <w:rtl w:val="true"/>
              </w:rPr>
              <w:t xml:space="preserve">: </w:t>
            </w:r>
            <w:r>
              <w:rPr>
                <w:rStyle w:val="IndexLink"/>
                <w:rtl w:val="true"/>
              </w:rPr>
              <w:t>المبادئ والكلّيات</w:t>
            </w:r>
            <w:r>
              <w:rPr>
                <w:rStyle w:val="IndexLink"/>
                <w:rtl w:val="true"/>
              </w:rPr>
              <w:tab/>
            </w:r>
            <w:r>
              <w:rPr>
                <w:rStyle w:val="IndexLink"/>
              </w:rPr>
              <w:t>35</w:t>
            </w:r>
          </w:hyperlink>
        </w:p>
        <w:p>
          <w:pPr>
            <w:pStyle w:val="Contents4"/>
            <w:tabs>
              <w:tab w:val="clear" w:pos="8176"/>
              <w:tab w:val="right" w:pos="9026" w:leader="dot"/>
            </w:tabs>
            <w:rPr/>
          </w:pPr>
          <w:hyperlink w:anchor="__RefHeading___Toc2517264_653776707">
            <w:r>
              <w:rPr>
                <w:webHidden/>
                <w:rStyle w:val="IndexLink"/>
                <w:rtl w:val="true"/>
              </w:rPr>
              <w:t>المسألة الأولى</w:t>
            </w:r>
            <w:r>
              <w:rPr>
                <w:rStyle w:val="IndexLink"/>
                <w:rtl w:val="true"/>
              </w:rPr>
              <w:t xml:space="preserve">: </w:t>
            </w:r>
            <w:r>
              <w:rPr>
                <w:rStyle w:val="IndexLink"/>
                <w:rtl w:val="true"/>
              </w:rPr>
              <w:t>الفقه لغة واصطلاحًا</w:t>
            </w:r>
            <w:r>
              <w:rPr>
                <w:rStyle w:val="IndexLink"/>
                <w:rtl w:val="true"/>
              </w:rPr>
              <w:tab/>
            </w:r>
            <w:r>
              <w:rPr>
                <w:rStyle w:val="IndexLink"/>
              </w:rPr>
              <w:t>35</w:t>
            </w:r>
          </w:hyperlink>
        </w:p>
        <w:p>
          <w:pPr>
            <w:pStyle w:val="Contents4"/>
            <w:tabs>
              <w:tab w:val="clear" w:pos="8176"/>
              <w:tab w:val="right" w:pos="9026" w:leader="dot"/>
            </w:tabs>
            <w:rPr/>
          </w:pPr>
          <w:hyperlink w:anchor="__RefHeading___Toc2517266_653776707">
            <w:r>
              <w:rPr>
                <w:webHidden/>
                <w:rStyle w:val="IndexLink"/>
                <w:rtl w:val="true"/>
              </w:rPr>
              <w:t>المسألة الثالثة</w:t>
            </w:r>
            <w:r>
              <w:rPr>
                <w:rStyle w:val="IndexLink"/>
                <w:rtl w:val="true"/>
              </w:rPr>
              <w:t xml:space="preserve">: </w:t>
            </w:r>
            <w:r>
              <w:rPr>
                <w:rStyle w:val="IndexLink"/>
                <w:rtl w:val="true"/>
              </w:rPr>
              <w:t>الدولة لغةً واصطلاحًا</w:t>
            </w:r>
            <w:r>
              <w:rPr>
                <w:rStyle w:val="IndexLink"/>
                <w:rtl w:val="true"/>
              </w:rPr>
              <w:tab/>
            </w:r>
            <w:r>
              <w:rPr>
                <w:rStyle w:val="IndexLink"/>
              </w:rPr>
              <w:t>43</w:t>
            </w:r>
          </w:hyperlink>
        </w:p>
        <w:p>
          <w:pPr>
            <w:pStyle w:val="Contents5"/>
            <w:tabs>
              <w:tab w:val="clear" w:pos="7892"/>
              <w:tab w:val="right" w:pos="9026" w:leader="dot"/>
            </w:tabs>
            <w:rPr/>
          </w:pPr>
          <w:hyperlink w:anchor="__RefHeading___Toc2517268_653776707">
            <w:r>
              <w:rPr>
                <w:webHidden/>
                <w:rStyle w:val="IndexLink"/>
              </w:rPr>
              <w:t>1</w:t>
            </w:r>
            <w:r>
              <w:rPr>
                <w:rStyle w:val="IndexLink"/>
                <w:rtl w:val="true"/>
              </w:rPr>
              <w:t xml:space="preserve">- </w:t>
            </w:r>
            <w:r>
              <w:rPr>
                <w:rStyle w:val="IndexLink"/>
                <w:rtl w:val="true"/>
              </w:rPr>
              <w:t>الدولة لغةً</w:t>
            </w:r>
            <w:r>
              <w:rPr>
                <w:rStyle w:val="IndexLink"/>
                <w:rtl w:val="true"/>
              </w:rPr>
              <w:tab/>
            </w:r>
            <w:r>
              <w:rPr>
                <w:rStyle w:val="IndexLink"/>
              </w:rPr>
              <w:t>43</w:t>
            </w:r>
          </w:hyperlink>
        </w:p>
        <w:p>
          <w:pPr>
            <w:pStyle w:val="Contents5"/>
            <w:tabs>
              <w:tab w:val="clear" w:pos="7892"/>
              <w:tab w:val="right" w:pos="9026" w:leader="dot"/>
            </w:tabs>
            <w:rPr/>
          </w:pPr>
          <w:hyperlink w:anchor="__RefHeading___Toc2517270_653776707">
            <w:r>
              <w:rPr>
                <w:webHidden/>
                <w:rStyle w:val="IndexLink"/>
              </w:rPr>
              <w:t>2</w:t>
            </w:r>
            <w:r>
              <w:rPr>
                <w:rStyle w:val="IndexLink"/>
                <w:rtl w:val="true"/>
              </w:rPr>
              <w:t xml:space="preserve">- </w:t>
            </w:r>
            <w:r>
              <w:rPr>
                <w:rStyle w:val="IndexLink"/>
                <w:rtl w:val="true"/>
              </w:rPr>
              <w:t>الدولة اصطلاحًا</w:t>
            </w:r>
            <w:r>
              <w:rPr>
                <w:rStyle w:val="IndexLink"/>
                <w:rtl w:val="true"/>
              </w:rPr>
              <w:tab/>
            </w:r>
            <w:r>
              <w:rPr>
                <w:rStyle w:val="IndexLink"/>
              </w:rPr>
              <w:t>44</w:t>
            </w:r>
          </w:hyperlink>
        </w:p>
        <w:p>
          <w:pPr>
            <w:pStyle w:val="Contents5"/>
            <w:tabs>
              <w:tab w:val="clear" w:pos="7892"/>
              <w:tab w:val="right" w:pos="9026" w:leader="dot"/>
            </w:tabs>
            <w:rPr/>
          </w:pPr>
          <w:hyperlink w:anchor="__RefHeading___Toc2517272_653776707">
            <w:r>
              <w:rPr>
                <w:webHidden/>
                <w:rStyle w:val="IndexLink"/>
              </w:rPr>
              <w:t>3</w:t>
            </w:r>
            <w:r>
              <w:rPr>
                <w:rStyle w:val="IndexLink"/>
                <w:rtl w:val="true"/>
              </w:rPr>
              <w:t xml:space="preserve">- </w:t>
            </w:r>
            <w:r>
              <w:rPr>
                <w:rStyle w:val="IndexLink"/>
                <w:rtl w:val="true"/>
              </w:rPr>
              <w:t>الدولة في علم السياسة</w:t>
            </w:r>
            <w:r>
              <w:rPr>
                <w:rStyle w:val="IndexLink"/>
                <w:rtl w:val="true"/>
              </w:rPr>
              <w:tab/>
            </w:r>
            <w:r>
              <w:rPr>
                <w:rStyle w:val="IndexLink"/>
              </w:rPr>
              <w:t>47</w:t>
            </w:r>
          </w:hyperlink>
        </w:p>
        <w:p>
          <w:pPr>
            <w:pStyle w:val="Contents5"/>
            <w:tabs>
              <w:tab w:val="clear" w:pos="7892"/>
              <w:tab w:val="right" w:pos="9026" w:leader="dot"/>
            </w:tabs>
            <w:rPr/>
          </w:pPr>
          <w:hyperlink w:anchor="__RefHeading___Toc2517274_653776707">
            <w:r>
              <w:rPr>
                <w:webHidden/>
                <w:rStyle w:val="IndexLink"/>
              </w:rPr>
              <w:t>4</w:t>
            </w:r>
            <w:r>
              <w:rPr>
                <w:rStyle w:val="IndexLink"/>
                <w:rtl w:val="true"/>
              </w:rPr>
              <w:t xml:space="preserve">- </w:t>
            </w:r>
            <w:r>
              <w:rPr>
                <w:rStyle w:val="IndexLink"/>
                <w:rtl w:val="true"/>
              </w:rPr>
              <w:t>التمييز بين الدولة والمفاهيم المشابهة لها</w:t>
            </w:r>
            <w:r>
              <w:rPr>
                <w:rStyle w:val="IndexLink"/>
                <w:rtl w:val="true"/>
              </w:rPr>
              <w:t>:</w:t>
              <w:tab/>
            </w:r>
            <w:r>
              <w:rPr>
                <w:rStyle w:val="IndexLink"/>
              </w:rPr>
              <w:t>47</w:t>
            </w:r>
          </w:hyperlink>
        </w:p>
        <w:p>
          <w:pPr>
            <w:pStyle w:val="Contents6"/>
            <w:tabs>
              <w:tab w:val="clear" w:pos="7609"/>
              <w:tab w:val="right" w:pos="9026" w:leader="dot"/>
            </w:tabs>
            <w:rPr/>
          </w:pPr>
          <w:hyperlink w:anchor="__RefHeading___Toc2517276_653776707">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2517278_653776707">
            <w:r>
              <w:rPr>
                <w:webHidden/>
                <w:rStyle w:val="IndexLink"/>
                <w:rtl w:val="true"/>
              </w:rPr>
              <w:t>أ</w:t>
            </w:r>
            <w:r>
              <w:rPr>
                <w:rStyle w:val="IndexLink"/>
                <w:rtl w:val="true"/>
              </w:rPr>
              <w:t xml:space="preserve">) </w:t>
            </w:r>
            <w:r>
              <w:rPr>
                <w:rStyle w:val="IndexLink"/>
                <w:rtl w:val="true"/>
              </w:rPr>
              <w:t>الدولة والحكومة</w:t>
            </w:r>
            <w:r>
              <w:rPr>
                <w:rStyle w:val="IndexLink"/>
                <w:rtl w:val="true"/>
              </w:rPr>
              <w:tab/>
            </w:r>
            <w:r>
              <w:rPr>
                <w:rStyle w:val="IndexLink"/>
              </w:rPr>
              <w:t>47</w:t>
            </w:r>
          </w:hyperlink>
        </w:p>
        <w:p>
          <w:pPr>
            <w:pStyle w:val="Contents6"/>
            <w:tabs>
              <w:tab w:val="clear" w:pos="7609"/>
              <w:tab w:val="right" w:pos="9026" w:leader="dot"/>
            </w:tabs>
            <w:rPr/>
          </w:pPr>
          <w:hyperlink w:anchor="__RefHeading___Toc2517280_653776707">
            <w:r>
              <w:rPr>
                <w:webHidden/>
                <w:rStyle w:val="IndexLink"/>
                <w:rtl w:val="true"/>
              </w:rPr>
              <w:t>ب</w:t>
            </w:r>
            <w:r>
              <w:rPr>
                <w:rStyle w:val="IndexLink"/>
                <w:rtl w:val="true"/>
              </w:rPr>
              <w:t xml:space="preserve">) </w:t>
            </w:r>
            <w:r>
              <w:rPr>
                <w:rStyle w:val="IndexLink"/>
                <w:rtl w:val="true"/>
              </w:rPr>
              <w:t>الدولة والولاية</w:t>
            </w:r>
            <w:r>
              <w:rPr>
                <w:rStyle w:val="IndexLink"/>
                <w:rtl w:val="true"/>
              </w:rPr>
              <w:t>:</w:t>
              <w:tab/>
            </w:r>
            <w:r>
              <w:rPr>
                <w:rStyle w:val="IndexLink"/>
              </w:rPr>
              <w:t>48</w:t>
            </w:r>
          </w:hyperlink>
        </w:p>
        <w:p>
          <w:pPr>
            <w:pStyle w:val="Contents6"/>
            <w:tabs>
              <w:tab w:val="clear" w:pos="7609"/>
              <w:tab w:val="right" w:pos="9026" w:leader="dot"/>
            </w:tabs>
            <w:rPr/>
          </w:pPr>
          <w:hyperlink w:anchor="__RefHeading___Toc2517282_653776707">
            <w:r>
              <w:rPr>
                <w:webHidden/>
                <w:rStyle w:val="IndexLink"/>
                <w:rtl w:val="true"/>
              </w:rPr>
              <w:t>ج</w:t>
            </w:r>
            <w:r>
              <w:rPr>
                <w:rStyle w:val="IndexLink"/>
                <w:rtl w:val="true"/>
              </w:rPr>
              <w:t xml:space="preserve">) </w:t>
            </w:r>
            <w:r>
              <w:rPr>
                <w:rStyle w:val="IndexLink"/>
                <w:rtl w:val="true"/>
              </w:rPr>
              <w:t>الدولة والسياسة</w:t>
            </w:r>
            <w:r>
              <w:rPr>
                <w:rStyle w:val="IndexLink"/>
                <w:rtl w:val="true"/>
              </w:rPr>
              <w:tab/>
            </w:r>
            <w:r>
              <w:rPr>
                <w:rStyle w:val="IndexLink"/>
              </w:rPr>
              <w:t>49</w:t>
            </w:r>
          </w:hyperlink>
        </w:p>
        <w:p>
          <w:pPr>
            <w:pStyle w:val="Contents4"/>
            <w:tabs>
              <w:tab w:val="clear" w:pos="8176"/>
              <w:tab w:val="right" w:pos="9026" w:leader="dot"/>
            </w:tabs>
            <w:rPr/>
          </w:pPr>
          <w:hyperlink w:anchor="__RefHeading___Toc2517284_653776707">
            <w:r>
              <w:rPr>
                <w:webHidden/>
                <w:rStyle w:val="IndexLink"/>
                <w:rtl w:val="true"/>
              </w:rPr>
              <w:t>المسألة الرابعة</w:t>
            </w:r>
            <w:r>
              <w:rPr>
                <w:rStyle w:val="IndexLink"/>
                <w:rtl w:val="true"/>
              </w:rPr>
              <w:t xml:space="preserve">: </w:t>
            </w:r>
            <w:r>
              <w:rPr>
                <w:rStyle w:val="IndexLink"/>
                <w:rtl w:val="true"/>
              </w:rPr>
              <w:t>تعريف فقه الدولة</w:t>
            </w:r>
            <w:r>
              <w:rPr>
                <w:rStyle w:val="IndexLink"/>
                <w:rtl w:val="true"/>
              </w:rPr>
              <w:tab/>
            </w:r>
            <w:r>
              <w:rPr>
                <w:rStyle w:val="IndexLink"/>
              </w:rPr>
              <w:t>49</w:t>
            </w:r>
          </w:hyperlink>
        </w:p>
        <w:p>
          <w:pPr>
            <w:pStyle w:val="Contents5"/>
            <w:tabs>
              <w:tab w:val="clear" w:pos="7892"/>
              <w:tab w:val="right" w:pos="9026" w:leader="dot"/>
            </w:tabs>
            <w:rPr/>
          </w:pPr>
          <w:hyperlink w:anchor="__RefHeading___Toc2517286_653776707">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2517288_653776707">
            <w:r>
              <w:rPr>
                <w:webHidden/>
                <w:rStyle w:val="IndexLink"/>
                <w:rtl w:val="true"/>
              </w:rPr>
              <w:t>نظرة أخرى إلى ماهية فقه الدولة</w:t>
            </w:r>
            <w:r>
              <w:rPr>
                <w:rStyle w:val="IndexLink"/>
                <w:rtl w:val="true"/>
              </w:rPr>
              <w:tab/>
            </w:r>
            <w:r>
              <w:rPr>
                <w:rStyle w:val="IndexLink"/>
              </w:rPr>
              <w:t>51</w:t>
            </w:r>
          </w:hyperlink>
        </w:p>
        <w:p>
          <w:pPr>
            <w:pStyle w:val="Contents4"/>
            <w:tabs>
              <w:tab w:val="clear" w:pos="8176"/>
              <w:tab w:val="right" w:pos="9026" w:leader="dot"/>
            </w:tabs>
            <w:rPr/>
          </w:pPr>
          <w:hyperlink w:anchor="__RefHeading___Toc2517290_653776707">
            <w:r>
              <w:rPr>
                <w:webHidden/>
                <w:rStyle w:val="IndexLink"/>
                <w:rtl w:val="true"/>
              </w:rPr>
              <w:t>المسألة السادسة</w:t>
            </w:r>
            <w:r>
              <w:rPr>
                <w:rStyle w:val="IndexLink"/>
                <w:rtl w:val="true"/>
              </w:rPr>
              <w:t xml:space="preserve">: </w:t>
            </w:r>
            <w:r>
              <w:rPr>
                <w:rStyle w:val="IndexLink"/>
                <w:rtl w:val="true"/>
              </w:rPr>
              <w:t>المبادئ التصديقية لفقه الدولة</w:t>
            </w:r>
            <w:r>
              <w:rPr>
                <w:rStyle w:val="IndexLink"/>
                <w:rtl w:val="true"/>
              </w:rPr>
              <w:tab/>
            </w:r>
            <w:r>
              <w:rPr>
                <w:rStyle w:val="IndexLink"/>
              </w:rPr>
              <w:t>53</w:t>
            </w:r>
          </w:hyperlink>
        </w:p>
        <w:p>
          <w:pPr>
            <w:pStyle w:val="Contents5"/>
            <w:tabs>
              <w:tab w:val="clear" w:pos="7892"/>
              <w:tab w:val="right" w:pos="9026" w:leader="dot"/>
            </w:tabs>
            <w:rPr/>
          </w:pPr>
          <w:hyperlink w:anchor="__RefHeading___Toc2517292_653776707">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2517294_653776707">
            <w:r>
              <w:rPr>
                <w:webHidden/>
                <w:rStyle w:val="IndexLink"/>
                <w:rtl w:val="true"/>
              </w:rPr>
              <w:t>المبدأ الأول</w:t>
            </w:r>
            <w:r>
              <w:rPr>
                <w:rStyle w:val="IndexLink"/>
                <w:rtl w:val="true"/>
              </w:rPr>
              <w:t xml:space="preserve">: </w:t>
            </w:r>
            <w:r>
              <w:rPr>
                <w:rStyle w:val="IndexLink"/>
                <w:rtl w:val="true"/>
              </w:rPr>
              <w:t>عدم استغناء المجتمع عن الدولة ونظام الحكم</w:t>
            </w:r>
            <w:r>
              <w:rPr>
                <w:rStyle w:val="IndexLink"/>
                <w:rtl w:val="true"/>
              </w:rPr>
              <w:tab/>
            </w:r>
            <w:r>
              <w:rPr>
                <w:rStyle w:val="IndexLink"/>
              </w:rPr>
              <w:t>54</w:t>
            </w:r>
          </w:hyperlink>
        </w:p>
        <w:p>
          <w:pPr>
            <w:pStyle w:val="Contents5"/>
            <w:tabs>
              <w:tab w:val="clear" w:pos="7892"/>
              <w:tab w:val="right" w:pos="9026" w:leader="dot"/>
            </w:tabs>
            <w:rPr/>
          </w:pPr>
          <w:hyperlink w:anchor="__RefHeading___Toc2517296_653776707">
            <w:r>
              <w:rPr>
                <w:webHidden/>
                <w:rStyle w:val="IndexLink"/>
                <w:rtl w:val="true"/>
              </w:rPr>
              <w:t>المبدأ الثاني</w:t>
            </w:r>
            <w:r>
              <w:rPr>
                <w:rStyle w:val="IndexLink"/>
                <w:rtl w:val="true"/>
              </w:rPr>
              <w:t xml:space="preserve">: </w:t>
            </w:r>
            <w:r>
              <w:rPr>
                <w:rStyle w:val="IndexLink"/>
                <w:rtl w:val="true"/>
              </w:rPr>
              <w:t>انحصار الولاية في الله تبارك وتعالى</w:t>
            </w:r>
            <w:r>
              <w:rPr>
                <w:rStyle w:val="IndexLink"/>
                <w:rtl w:val="true"/>
              </w:rPr>
              <w:tab/>
            </w:r>
            <w:r>
              <w:rPr>
                <w:rStyle w:val="IndexLink"/>
              </w:rPr>
              <w:t>55</w:t>
            </w:r>
          </w:hyperlink>
        </w:p>
        <w:p>
          <w:pPr>
            <w:pStyle w:val="Contents3"/>
            <w:tabs>
              <w:tab w:val="clear" w:pos="8459"/>
              <w:tab w:val="right" w:pos="9026" w:leader="dot"/>
            </w:tabs>
            <w:rPr/>
          </w:pPr>
          <w:hyperlink w:anchor="__RefHeading___Toc2517298_653776707">
            <w:r>
              <w:rPr>
                <w:webHidden/>
                <w:rStyle w:val="IndexLink"/>
                <w:rtl w:val="true"/>
              </w:rPr>
              <w:t>الفصل الثاني</w:t>
            </w:r>
            <w:r>
              <w:rPr>
                <w:rStyle w:val="IndexLink"/>
                <w:rtl w:val="true"/>
              </w:rPr>
              <w:t xml:space="preserve">: </w:t>
            </w:r>
            <w:r>
              <w:rPr>
                <w:rStyle w:val="IndexLink"/>
                <w:rtl w:val="true"/>
              </w:rPr>
              <w:t>الدولة وملاك شرعيّتها في الإسلام</w:t>
            </w:r>
            <w:r>
              <w:rPr>
                <w:rStyle w:val="IndexLink"/>
                <w:rtl w:val="true"/>
              </w:rPr>
              <w:tab/>
            </w:r>
            <w:r>
              <w:rPr>
                <w:rStyle w:val="IndexLink"/>
              </w:rPr>
              <w:t>57</w:t>
            </w:r>
          </w:hyperlink>
        </w:p>
        <w:p>
          <w:pPr>
            <w:pStyle w:val="Contents4"/>
            <w:tabs>
              <w:tab w:val="clear" w:pos="8176"/>
              <w:tab w:val="right" w:pos="9026" w:leader="dot"/>
            </w:tabs>
            <w:rPr/>
          </w:pPr>
          <w:hyperlink w:anchor="__RefHeading___Toc2517300_653776707">
            <w:r>
              <w:rPr>
                <w:webHidden/>
                <w:rStyle w:val="IndexLink"/>
                <w:rtl w:val="true"/>
              </w:rPr>
              <w:t>المسألة الأولى</w:t>
            </w:r>
            <w:r>
              <w:rPr>
                <w:rStyle w:val="IndexLink"/>
                <w:rtl w:val="true"/>
              </w:rPr>
              <w:t xml:space="preserve">: </w:t>
            </w:r>
            <w:r>
              <w:rPr>
                <w:rStyle w:val="IndexLink"/>
                <w:rtl w:val="true"/>
              </w:rPr>
              <w:t>ملاك شرعية الدولة</w:t>
            </w:r>
            <w:r>
              <w:rPr>
                <w:rStyle w:val="IndexLink"/>
                <w:rtl w:val="true"/>
              </w:rPr>
              <w:tab/>
            </w:r>
            <w:r>
              <w:rPr>
                <w:rStyle w:val="IndexLink"/>
              </w:rPr>
              <w:t>57</w:t>
            </w:r>
          </w:hyperlink>
        </w:p>
        <w:p>
          <w:pPr>
            <w:pStyle w:val="Contents4"/>
            <w:tabs>
              <w:tab w:val="clear" w:pos="8176"/>
              <w:tab w:val="right" w:pos="9026" w:leader="dot"/>
            </w:tabs>
            <w:rPr/>
          </w:pPr>
          <w:hyperlink w:anchor="__RefHeading___Toc2517302_653776707">
            <w:r>
              <w:rPr>
                <w:webHidden/>
                <w:rStyle w:val="IndexLink"/>
                <w:rtl w:val="true"/>
              </w:rPr>
              <w:t>المسألة الثانية</w:t>
            </w:r>
            <w:r>
              <w:rPr>
                <w:rStyle w:val="IndexLink"/>
                <w:rtl w:val="true"/>
              </w:rPr>
              <w:t xml:space="preserve">: </w:t>
            </w:r>
            <w:r>
              <w:rPr>
                <w:rStyle w:val="IndexLink"/>
                <w:rtl w:val="true"/>
              </w:rPr>
              <w:t>الأصل في شرعية الدولة</w:t>
            </w:r>
            <w:r>
              <w:rPr>
                <w:rStyle w:val="IndexLink"/>
                <w:rtl w:val="true"/>
              </w:rPr>
              <w:tab/>
            </w:r>
            <w:r>
              <w:rPr>
                <w:rStyle w:val="IndexLink"/>
              </w:rPr>
              <w:t>60</w:t>
            </w:r>
          </w:hyperlink>
        </w:p>
        <w:p>
          <w:pPr>
            <w:pStyle w:val="Contents5"/>
            <w:tabs>
              <w:tab w:val="clear" w:pos="7892"/>
              <w:tab w:val="right" w:pos="9026" w:leader="dot"/>
            </w:tabs>
            <w:rPr/>
          </w:pPr>
          <w:hyperlink w:anchor="__RefHeading___Toc2517304_653776707">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2517306_653776707">
            <w:r>
              <w:rPr>
                <w:webHidden/>
                <w:rStyle w:val="IndexLink"/>
                <w:rtl w:val="true"/>
              </w:rPr>
              <w:t>مستند الأصل في الولاية</w:t>
            </w:r>
            <w:r>
              <w:rPr>
                <w:rStyle w:val="IndexLink"/>
                <w:rtl w:val="true"/>
              </w:rPr>
              <w:t>:</w:t>
              <w:tab/>
            </w:r>
            <w:r>
              <w:rPr>
                <w:rStyle w:val="IndexLink"/>
              </w:rPr>
              <w:t>62</w:t>
            </w:r>
          </w:hyperlink>
        </w:p>
        <w:p>
          <w:pPr>
            <w:pStyle w:val="Contents6"/>
            <w:tabs>
              <w:tab w:val="clear" w:pos="7609"/>
              <w:tab w:val="right" w:pos="9026" w:leader="dot"/>
            </w:tabs>
            <w:rPr/>
          </w:pPr>
          <w:hyperlink w:anchor="__RefHeading___Toc2517308_653776707">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2517310_653776707">
            <w:r>
              <w:rPr>
                <w:webHidden/>
                <w:rStyle w:val="IndexLink"/>
                <w:rtl w:val="true"/>
              </w:rPr>
              <w:t>المستند الأول</w:t>
            </w:r>
            <w:r>
              <w:rPr>
                <w:rStyle w:val="IndexLink"/>
                <w:rtl w:val="true"/>
              </w:rPr>
              <w:t xml:space="preserve">: </w:t>
            </w:r>
            <w:r>
              <w:rPr>
                <w:rStyle w:val="IndexLink"/>
                <w:rtl w:val="true"/>
              </w:rPr>
              <w:t>الأصل العمليّ</w:t>
            </w:r>
            <w:r>
              <w:rPr>
                <w:rStyle w:val="IndexLink"/>
                <w:rtl w:val="true"/>
              </w:rPr>
              <w:tab/>
            </w:r>
            <w:r>
              <w:rPr>
                <w:rStyle w:val="IndexLink"/>
              </w:rPr>
              <w:t>62</w:t>
            </w:r>
          </w:hyperlink>
        </w:p>
        <w:p>
          <w:pPr>
            <w:pStyle w:val="Contents6"/>
            <w:tabs>
              <w:tab w:val="clear" w:pos="7609"/>
              <w:tab w:val="right" w:pos="9026" w:leader="dot"/>
            </w:tabs>
            <w:rPr/>
          </w:pPr>
          <w:hyperlink w:anchor="__RefHeading___Toc2517312_653776707">
            <w:r>
              <w:rPr>
                <w:webHidden/>
                <w:rStyle w:val="IndexLink"/>
                <w:rtl w:val="true"/>
              </w:rPr>
              <w:t>المستند الثاني</w:t>
            </w:r>
            <w:r>
              <w:rPr>
                <w:rStyle w:val="IndexLink"/>
                <w:rtl w:val="true"/>
              </w:rPr>
              <w:t xml:space="preserve">: </w:t>
            </w:r>
            <w:r>
              <w:rPr>
                <w:rStyle w:val="IndexLink"/>
                <w:rtl w:val="true"/>
              </w:rPr>
              <w:t>الآيات والروايات الواردة في الولاية</w:t>
            </w:r>
            <w:r>
              <w:rPr>
                <w:rStyle w:val="IndexLink"/>
                <w:rtl w:val="true"/>
              </w:rPr>
              <w:tab/>
            </w:r>
            <w:r>
              <w:rPr>
                <w:rStyle w:val="IndexLink"/>
              </w:rPr>
              <w:t>63</w:t>
            </w:r>
          </w:hyperlink>
        </w:p>
        <w:p>
          <w:pPr>
            <w:pStyle w:val="Contents6"/>
            <w:tabs>
              <w:tab w:val="clear" w:pos="7609"/>
              <w:tab w:val="right" w:pos="9026" w:leader="dot"/>
            </w:tabs>
            <w:rPr/>
          </w:pPr>
          <w:hyperlink w:anchor="__RefHeading___Toc2517314_653776707">
            <w:r>
              <w:rPr>
                <w:webHidden/>
                <w:rStyle w:val="IndexLink"/>
                <w:rtl w:val="true"/>
              </w:rPr>
              <w:t>المستند الثالث</w:t>
            </w:r>
            <w:r>
              <w:rPr>
                <w:rStyle w:val="IndexLink"/>
                <w:rtl w:val="true"/>
              </w:rPr>
              <w:t xml:space="preserve">: </w:t>
            </w:r>
            <w:r>
              <w:rPr>
                <w:rStyle w:val="IndexLink"/>
                <w:rtl w:val="true"/>
              </w:rPr>
              <w:t>حكم ضرورة العقل بتساوي آحاد الإنسان</w:t>
            </w:r>
            <w:r>
              <w:rPr>
                <w:rStyle w:val="IndexLink"/>
                <w:rtl w:val="true"/>
              </w:rPr>
              <w:tab/>
            </w:r>
            <w:r>
              <w:rPr>
                <w:rStyle w:val="IndexLink"/>
              </w:rPr>
              <w:t>65</w:t>
            </w:r>
          </w:hyperlink>
        </w:p>
        <w:p>
          <w:pPr>
            <w:pStyle w:val="Contents6"/>
            <w:tabs>
              <w:tab w:val="clear" w:pos="7609"/>
              <w:tab w:val="right" w:pos="9026" w:leader="dot"/>
            </w:tabs>
            <w:rPr/>
          </w:pPr>
          <w:hyperlink w:anchor="__RefHeading___Toc2517316_653776707">
            <w:r>
              <w:rPr>
                <w:webHidden/>
                <w:rStyle w:val="IndexLink"/>
                <w:rtl w:val="true"/>
              </w:rPr>
              <w:t>المستند الرابع</w:t>
            </w:r>
            <w:r>
              <w:rPr>
                <w:rStyle w:val="IndexLink"/>
                <w:rtl w:val="true"/>
              </w:rPr>
              <w:t xml:space="preserve">: </w:t>
            </w:r>
            <w:r>
              <w:rPr>
                <w:rStyle w:val="IndexLink"/>
                <w:rtl w:val="true"/>
              </w:rPr>
              <w:t>حكم ضرورة العقل بالولاية الإلهية الانحصارية</w:t>
            </w:r>
            <w:r>
              <w:rPr>
                <w:rStyle w:val="IndexLink"/>
                <w:rtl w:val="true"/>
              </w:rPr>
              <w:tab/>
            </w:r>
            <w:r>
              <w:rPr>
                <w:rStyle w:val="IndexLink"/>
              </w:rPr>
              <w:t>66</w:t>
            </w:r>
          </w:hyperlink>
        </w:p>
        <w:p>
          <w:pPr>
            <w:pStyle w:val="Contents4"/>
            <w:tabs>
              <w:tab w:val="clear" w:pos="8176"/>
              <w:tab w:val="right" w:pos="9026" w:leader="dot"/>
            </w:tabs>
            <w:rPr/>
          </w:pPr>
          <w:hyperlink w:anchor="__RefHeading___Toc2517318_653776707">
            <w:r>
              <w:rPr>
                <w:webHidden/>
                <w:rStyle w:val="IndexLink"/>
                <w:rtl w:val="true"/>
              </w:rPr>
              <w:t>المسألة الثالثة</w:t>
            </w:r>
            <w:r>
              <w:rPr>
                <w:rStyle w:val="IndexLink"/>
                <w:rtl w:val="true"/>
              </w:rPr>
              <w:t xml:space="preserve">: </w:t>
            </w:r>
            <w:r>
              <w:rPr>
                <w:rStyle w:val="IndexLink"/>
                <w:rtl w:val="true"/>
              </w:rPr>
              <w:t>الإسلام ونظام الحكم</w:t>
            </w:r>
            <w:r>
              <w:rPr>
                <w:rStyle w:val="IndexLink"/>
                <w:rtl w:val="true"/>
              </w:rPr>
              <w:tab/>
            </w:r>
            <w:r>
              <w:rPr>
                <w:rStyle w:val="IndexLink"/>
              </w:rPr>
              <w:t>67</w:t>
            </w:r>
          </w:hyperlink>
        </w:p>
        <w:p>
          <w:pPr>
            <w:pStyle w:val="Contents5"/>
            <w:tabs>
              <w:tab w:val="clear" w:pos="7892"/>
              <w:tab w:val="right" w:pos="9026" w:leader="dot"/>
            </w:tabs>
            <w:rPr/>
          </w:pPr>
          <w:hyperlink w:anchor="__RefHeading___Toc2517320_65377670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2517322_653776707">
            <w:r>
              <w:rPr>
                <w:webHidden/>
                <w:rStyle w:val="IndexLink"/>
                <w:rtl w:val="true"/>
              </w:rPr>
              <w:t>الدليل الأول</w:t>
            </w:r>
            <w:r>
              <w:rPr>
                <w:rStyle w:val="IndexLink"/>
                <w:rtl w:val="true"/>
              </w:rPr>
              <w:t xml:space="preserve">: </w:t>
            </w:r>
            <w:r>
              <w:rPr>
                <w:rStyle w:val="IndexLink"/>
                <w:rtl w:val="true"/>
              </w:rPr>
              <w:t xml:space="preserve">دراسة تاريخ بعد الرسول </w:t>
            </w:r>
            <w:r>
              <w:rPr>
                <w:rStyle w:val="IndexLink"/>
                <w:rtl w:val="true"/>
              </w:rPr>
              <w:t>(</w:t>
            </w:r>
            <w:r>
              <w:rPr>
                <w:rStyle w:val="IndexLink"/>
                <w:rtl w:val="true"/>
              </w:rPr>
              <w:t>صَلَّى اَللَّهُ عَلَيْهِ وَ آلِهِ وَ سَلَّمْ</w:t>
            </w:r>
            <w:r>
              <w:rPr>
                <w:rStyle w:val="IndexLink"/>
                <w:rtl w:val="true"/>
              </w:rPr>
              <w:t>)</w:t>
              <w:tab/>
            </w:r>
            <w:r>
              <w:rPr>
                <w:rStyle w:val="IndexLink"/>
              </w:rPr>
              <w:t>70</w:t>
            </w:r>
          </w:hyperlink>
        </w:p>
        <w:p>
          <w:pPr>
            <w:pStyle w:val="Contents5"/>
            <w:tabs>
              <w:tab w:val="clear" w:pos="7892"/>
              <w:tab w:val="right" w:pos="9026" w:leader="dot"/>
            </w:tabs>
            <w:rPr/>
          </w:pPr>
          <w:hyperlink w:anchor="__RefHeading___Toc2517324_653776707">
            <w:r>
              <w:rPr>
                <w:webHidden/>
                <w:rStyle w:val="IndexLink"/>
                <w:rtl w:val="true"/>
              </w:rPr>
              <w:t>الدليل الثاني</w:t>
            </w:r>
            <w:r>
              <w:rPr>
                <w:rStyle w:val="IndexLink"/>
                <w:rtl w:val="true"/>
              </w:rPr>
              <w:t xml:space="preserve">: </w:t>
            </w:r>
            <w:r>
              <w:rPr>
                <w:rStyle w:val="IndexLink"/>
                <w:rtl w:val="true"/>
              </w:rPr>
              <w:t>دراسة السيرة</w:t>
            </w:r>
            <w:r>
              <w:rPr>
                <w:rStyle w:val="IndexLink"/>
                <w:rtl w:val="true"/>
              </w:rPr>
              <w:tab/>
            </w:r>
            <w:r>
              <w:rPr>
                <w:rStyle w:val="IndexLink"/>
              </w:rPr>
              <w:t>70</w:t>
            </w:r>
          </w:hyperlink>
        </w:p>
        <w:p>
          <w:pPr>
            <w:pStyle w:val="Contents5"/>
            <w:tabs>
              <w:tab w:val="clear" w:pos="7892"/>
              <w:tab w:val="right" w:pos="9026" w:leader="dot"/>
            </w:tabs>
            <w:rPr/>
          </w:pPr>
          <w:hyperlink w:anchor="__RefHeading___Toc2517326_653776707">
            <w:r>
              <w:rPr>
                <w:webHidden/>
                <w:rStyle w:val="IndexLink"/>
                <w:rtl w:val="true"/>
              </w:rPr>
              <w:t>الدليل الثالث</w:t>
            </w:r>
            <w:r>
              <w:rPr>
                <w:rStyle w:val="IndexLink"/>
                <w:rtl w:val="true"/>
              </w:rPr>
              <w:t xml:space="preserve">: </w:t>
            </w:r>
            <w:r>
              <w:rPr>
                <w:rStyle w:val="IndexLink"/>
                <w:rtl w:val="true"/>
              </w:rPr>
              <w:t>القرآن</w:t>
            </w:r>
            <w:r>
              <w:rPr>
                <w:rStyle w:val="IndexLink"/>
                <w:rtl w:val="true"/>
              </w:rPr>
              <w:tab/>
            </w:r>
            <w:r>
              <w:rPr>
                <w:rStyle w:val="IndexLink"/>
              </w:rPr>
              <w:t>72</w:t>
            </w:r>
          </w:hyperlink>
        </w:p>
        <w:p>
          <w:pPr>
            <w:pStyle w:val="Contents6"/>
            <w:tabs>
              <w:tab w:val="clear" w:pos="7609"/>
              <w:tab w:val="right" w:pos="9026" w:leader="dot"/>
            </w:tabs>
            <w:rPr/>
          </w:pPr>
          <w:hyperlink w:anchor="__RefHeading___Toc2517328_653776707">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2517330_653776707">
            <w:r>
              <w:rPr>
                <w:webHidden/>
                <w:rStyle w:val="IndexLink"/>
                <w:rtl w:val="true"/>
              </w:rPr>
              <w:t>الطائفة الأولى</w:t>
            </w:r>
            <w:r>
              <w:rPr>
                <w:rStyle w:val="IndexLink"/>
                <w:rtl w:val="true"/>
              </w:rPr>
              <w:t xml:space="preserve">: </w:t>
            </w:r>
            <w:r>
              <w:rPr>
                <w:rStyle w:val="IndexLink"/>
                <w:rtl w:val="true"/>
              </w:rPr>
              <w:t xml:space="preserve">الآيات المشيرة إلى شؤون النبي الأعظم </w:t>
            </w:r>
            <w:r>
              <w:rPr>
                <w:rStyle w:val="IndexLink"/>
                <w:rtl w:val="true"/>
              </w:rPr>
              <w:t>(</w:t>
            </w:r>
            <w:r>
              <w:rPr>
                <w:rStyle w:val="IndexLink"/>
                <w:rtl w:val="true"/>
              </w:rPr>
              <w:t>صَلَّى اَللَّهُ عَلَيْهِ وَ آلِهِ وَ سَلَّمْ</w:t>
            </w:r>
            <w:r>
              <w:rPr>
                <w:rStyle w:val="IndexLink"/>
                <w:rtl w:val="true"/>
              </w:rPr>
              <w:t xml:space="preserve">) </w:t>
            </w:r>
            <w:r>
              <w:rPr>
                <w:rStyle w:val="IndexLink"/>
                <w:rtl w:val="true"/>
              </w:rPr>
              <w:t>السياسية والاجتماعية</w:t>
            </w:r>
            <w:r>
              <w:rPr>
                <w:rStyle w:val="IndexLink"/>
                <w:rtl w:val="true"/>
              </w:rPr>
              <w:t>:</w:t>
              <w:tab/>
            </w:r>
            <w:r>
              <w:rPr>
                <w:rStyle w:val="IndexLink"/>
              </w:rPr>
              <w:t>72</w:t>
            </w:r>
          </w:hyperlink>
        </w:p>
        <w:p>
          <w:pPr>
            <w:pStyle w:val="Contents6"/>
            <w:tabs>
              <w:tab w:val="clear" w:pos="7609"/>
              <w:tab w:val="right" w:pos="9026" w:leader="dot"/>
            </w:tabs>
            <w:rPr/>
          </w:pPr>
          <w:hyperlink w:anchor="__RefHeading___Toc2517332_653776707">
            <w:r>
              <w:rPr>
                <w:webHidden/>
                <w:rStyle w:val="IndexLink"/>
                <w:rtl w:val="true"/>
              </w:rPr>
              <w:t>الطائفة الثانية</w:t>
            </w:r>
            <w:r>
              <w:rPr>
                <w:rStyle w:val="IndexLink"/>
                <w:rtl w:val="true"/>
              </w:rPr>
              <w:t xml:space="preserve">: </w:t>
            </w:r>
            <w:r>
              <w:rPr>
                <w:rStyle w:val="IndexLink"/>
                <w:rtl w:val="true"/>
              </w:rPr>
              <w:t>الآيات التي تدعو الرسول إلى تنفيذ الأحكام</w:t>
            </w:r>
            <w:r>
              <w:rPr>
                <w:rStyle w:val="IndexLink"/>
                <w:rtl w:val="true"/>
              </w:rPr>
              <w:tab/>
            </w:r>
            <w:r>
              <w:rPr>
                <w:rStyle w:val="IndexLink"/>
              </w:rPr>
              <w:t>74</w:t>
            </w:r>
          </w:hyperlink>
        </w:p>
        <w:p>
          <w:pPr>
            <w:pStyle w:val="Contents6"/>
            <w:tabs>
              <w:tab w:val="clear" w:pos="7609"/>
              <w:tab w:val="right" w:pos="9026" w:leader="dot"/>
            </w:tabs>
            <w:rPr/>
          </w:pPr>
          <w:hyperlink w:anchor="__RefHeading___Toc2517334_653776707">
            <w:r>
              <w:rPr>
                <w:webHidden/>
                <w:rStyle w:val="IndexLink"/>
                <w:rtl w:val="true"/>
              </w:rPr>
              <w:t>الطائفة الثالثة</w:t>
            </w:r>
            <w:r>
              <w:rPr>
                <w:rStyle w:val="IndexLink"/>
                <w:rtl w:val="true"/>
              </w:rPr>
              <w:t xml:space="preserve">: </w:t>
            </w:r>
            <w:r>
              <w:rPr>
                <w:rStyle w:val="IndexLink"/>
                <w:rtl w:val="true"/>
              </w:rPr>
              <w:t>آيات البيعة</w:t>
            </w:r>
            <w:r>
              <w:rPr>
                <w:rStyle w:val="IndexLink"/>
                <w:rtl w:val="true"/>
              </w:rPr>
              <w:tab/>
            </w:r>
            <w:r>
              <w:rPr>
                <w:rStyle w:val="IndexLink"/>
              </w:rPr>
              <w:t>76</w:t>
            </w:r>
          </w:hyperlink>
        </w:p>
        <w:p>
          <w:pPr>
            <w:pStyle w:val="Contents6"/>
            <w:tabs>
              <w:tab w:val="clear" w:pos="7609"/>
              <w:tab w:val="right" w:pos="9026" w:leader="dot"/>
            </w:tabs>
            <w:rPr/>
          </w:pPr>
          <w:hyperlink w:anchor="__RefHeading___Toc2517336_653776707">
            <w:r>
              <w:rPr>
                <w:webHidden/>
                <w:rStyle w:val="IndexLink"/>
                <w:rtl w:val="true"/>
              </w:rPr>
              <w:t>الطائفة الرابعة الآيات المرتبطة بالموارد المالية</w:t>
            </w:r>
            <w:r>
              <w:rPr>
                <w:rStyle w:val="IndexLink"/>
                <w:rtl w:val="true"/>
              </w:rPr>
              <w:tab/>
            </w:r>
            <w:r>
              <w:rPr>
                <w:rStyle w:val="IndexLink"/>
              </w:rPr>
              <w:t>77</w:t>
            </w:r>
          </w:hyperlink>
        </w:p>
        <w:p>
          <w:pPr>
            <w:pStyle w:val="Contents6"/>
            <w:tabs>
              <w:tab w:val="clear" w:pos="7609"/>
              <w:tab w:val="right" w:pos="9026" w:leader="dot"/>
            </w:tabs>
            <w:rPr/>
          </w:pPr>
          <w:hyperlink w:anchor="__RefHeading___Toc2517338_653776707">
            <w:r>
              <w:rPr>
                <w:webHidden/>
                <w:rStyle w:val="IndexLink"/>
                <w:rtl w:val="true"/>
              </w:rPr>
              <w:t>الطائفة الخامسة</w:t>
            </w:r>
            <w:r>
              <w:rPr>
                <w:rStyle w:val="IndexLink"/>
                <w:rtl w:val="true"/>
              </w:rPr>
              <w:t xml:space="preserve">: </w:t>
            </w:r>
            <w:r>
              <w:rPr>
                <w:rStyle w:val="IndexLink"/>
                <w:rtl w:val="true"/>
              </w:rPr>
              <w:t>الآيات التي تخاطب المؤمنين لتنفيذ الأحكام</w:t>
            </w:r>
            <w:r>
              <w:rPr>
                <w:rStyle w:val="IndexLink"/>
                <w:rtl w:val="true"/>
              </w:rPr>
              <w:tab/>
            </w:r>
            <w:r>
              <w:rPr>
                <w:rStyle w:val="IndexLink"/>
              </w:rPr>
              <w:t>78</w:t>
            </w:r>
          </w:hyperlink>
        </w:p>
        <w:p>
          <w:pPr>
            <w:pStyle w:val="Contents4"/>
            <w:tabs>
              <w:tab w:val="clear" w:pos="8176"/>
              <w:tab w:val="right" w:pos="9026" w:leader="dot"/>
            </w:tabs>
            <w:rPr/>
          </w:pPr>
          <w:hyperlink w:anchor="__RefHeading___Toc2517340_653776707">
            <w:r>
              <w:rPr>
                <w:webHidden/>
                <w:rStyle w:val="IndexLink"/>
                <w:rtl w:val="true"/>
              </w:rPr>
              <w:t>المسألة الرابعة</w:t>
            </w:r>
            <w:r>
              <w:rPr>
                <w:rStyle w:val="IndexLink"/>
                <w:rtl w:val="true"/>
              </w:rPr>
              <w:t xml:space="preserve">: </w:t>
            </w:r>
            <w:r>
              <w:rPr>
                <w:rStyle w:val="IndexLink"/>
                <w:rtl w:val="true"/>
              </w:rPr>
              <w:t xml:space="preserve">الدولة بعد النبي الأعظم </w:t>
            </w:r>
            <w:r>
              <w:rPr>
                <w:rStyle w:val="IndexLink"/>
                <w:rtl w:val="true"/>
              </w:rPr>
              <w:t>(</w:t>
            </w:r>
            <w:r>
              <w:rPr>
                <w:rStyle w:val="IndexLink"/>
                <w:rtl w:val="true"/>
              </w:rPr>
              <w:t>صَلَّى اَللَّهُ عَلَيْهِ وَ آلِهِ وَ سَلَّمْ</w:t>
            </w:r>
            <w:r>
              <w:rPr>
                <w:rStyle w:val="IndexLink"/>
                <w:rtl w:val="true"/>
              </w:rPr>
              <w:t xml:space="preserve">) </w:t>
            </w:r>
            <w:r>
              <w:rPr>
                <w:rStyle w:val="IndexLink"/>
                <w:rtl w:val="true"/>
              </w:rPr>
              <w:t>وملاك شرعيّتها</w:t>
            </w:r>
            <w:r>
              <w:rPr>
                <w:rStyle w:val="IndexLink"/>
                <w:rtl w:val="true"/>
              </w:rPr>
              <w:tab/>
            </w:r>
            <w:r>
              <w:rPr>
                <w:rStyle w:val="IndexLink"/>
              </w:rPr>
              <w:t>82</w:t>
            </w:r>
          </w:hyperlink>
        </w:p>
        <w:p>
          <w:pPr>
            <w:pStyle w:val="Contents5"/>
            <w:tabs>
              <w:tab w:val="clear" w:pos="7892"/>
              <w:tab w:val="right" w:pos="9026" w:leader="dot"/>
            </w:tabs>
            <w:rPr/>
          </w:pPr>
          <w:hyperlink w:anchor="__RefHeading___Toc2517342_653776707">
            <w:r>
              <w:rPr>
                <w:webHidden/>
                <w:rStyle w:val="IndexLink"/>
                <w:rtl w:val="true"/>
              </w:rPr>
              <w:t>إشارة إلى إجماع المسلمين شيعةً وسنّةً على حكم المسألة</w:t>
            </w:r>
            <w:r>
              <w:rPr>
                <w:rStyle w:val="IndexLink"/>
                <w:rtl w:val="true"/>
              </w:rPr>
              <w:tab/>
            </w:r>
            <w:r>
              <w:rPr>
                <w:rStyle w:val="IndexLink"/>
              </w:rPr>
              <w:t>82</w:t>
            </w:r>
          </w:hyperlink>
        </w:p>
        <w:p>
          <w:pPr>
            <w:pStyle w:val="Contents6"/>
            <w:tabs>
              <w:tab w:val="clear" w:pos="7609"/>
              <w:tab w:val="right" w:pos="9026" w:leader="dot"/>
            </w:tabs>
            <w:rPr/>
          </w:pPr>
          <w:hyperlink w:anchor="__RefHeading___Toc2517344_653776707">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2517346_653776707">
            <w:r>
              <w:rPr>
                <w:webHidden/>
                <w:rStyle w:val="IndexLink"/>
              </w:rPr>
              <w:t>1</w:t>
            </w:r>
            <w:r>
              <w:rPr>
                <w:rStyle w:val="IndexLink"/>
                <w:rtl w:val="true"/>
              </w:rPr>
              <w:t xml:space="preserve">- </w:t>
            </w:r>
            <w:r>
              <w:rPr>
                <w:rStyle w:val="IndexLink"/>
                <w:rtl w:val="true"/>
              </w:rPr>
              <w:t>دراسة رأي الشيعة والسنّة في كيفية استمرار نظام الإمامة</w:t>
            </w:r>
            <w:r>
              <w:rPr>
                <w:rStyle w:val="IndexLink"/>
                <w:rtl w:val="true"/>
              </w:rPr>
              <w:tab/>
            </w:r>
            <w:r>
              <w:rPr>
                <w:rStyle w:val="IndexLink"/>
              </w:rPr>
              <w:t>85</w:t>
            </w:r>
          </w:hyperlink>
        </w:p>
        <w:p>
          <w:pPr>
            <w:pStyle w:val="Contents6"/>
            <w:tabs>
              <w:tab w:val="clear" w:pos="7609"/>
              <w:tab w:val="right" w:pos="9026" w:leader="dot"/>
            </w:tabs>
            <w:rPr/>
          </w:pPr>
          <w:hyperlink w:anchor="__RefHeading___Toc2517348_653776707">
            <w:r>
              <w:rPr>
                <w:webHidden/>
                <w:rStyle w:val="IndexLink"/>
                <w:rtl w:val="true"/>
              </w:rPr>
              <w:t>أ</w:t>
            </w:r>
            <w:r>
              <w:rPr>
                <w:rStyle w:val="IndexLink"/>
                <w:rtl w:val="true"/>
              </w:rPr>
              <w:t xml:space="preserve">) </w:t>
            </w:r>
            <w:r>
              <w:rPr>
                <w:rStyle w:val="IndexLink"/>
                <w:rtl w:val="true"/>
              </w:rPr>
              <w:t>البحث الكبروي</w:t>
            </w:r>
            <w:r>
              <w:rPr>
                <w:rStyle w:val="IndexLink"/>
                <w:rtl w:val="true"/>
              </w:rPr>
              <w:tab/>
            </w:r>
            <w:r>
              <w:rPr>
                <w:rStyle w:val="IndexLink"/>
              </w:rPr>
              <w:t>85</w:t>
            </w:r>
          </w:hyperlink>
        </w:p>
        <w:p>
          <w:pPr>
            <w:pStyle w:val="Contents6"/>
            <w:tabs>
              <w:tab w:val="clear" w:pos="7609"/>
              <w:tab w:val="right" w:pos="9026" w:leader="dot"/>
            </w:tabs>
            <w:rPr/>
          </w:pPr>
          <w:hyperlink w:anchor="__RefHeading___Toc2517350_653776707">
            <w:r>
              <w:rPr>
                <w:webHidden/>
                <w:rStyle w:val="IndexLink"/>
                <w:rtl w:val="true"/>
              </w:rPr>
              <w:t>ومنها</w:t>
            </w:r>
            <w:r>
              <w:rPr>
                <w:rStyle w:val="IndexLink"/>
                <w:rtl w:val="true"/>
              </w:rPr>
              <w:t xml:space="preserve">: </w:t>
            </w:r>
            <w:r>
              <w:rPr>
                <w:rStyle w:val="IndexLink"/>
                <w:rtl w:val="true"/>
              </w:rPr>
              <w:t>حديث المنزلة المتواتر أيضًا</w:t>
            </w:r>
            <w:r>
              <w:rPr>
                <w:rStyle w:val="IndexLink"/>
                <w:rtl w:val="true"/>
              </w:rPr>
              <w:tab/>
            </w:r>
            <w:r>
              <w:rPr>
                <w:rStyle w:val="IndexLink"/>
              </w:rPr>
              <w:t>88</w:t>
            </w:r>
          </w:hyperlink>
        </w:p>
        <w:p>
          <w:pPr>
            <w:pStyle w:val="Contents6"/>
            <w:tabs>
              <w:tab w:val="clear" w:pos="7609"/>
              <w:tab w:val="right" w:pos="9026" w:leader="dot"/>
            </w:tabs>
            <w:rPr/>
          </w:pPr>
          <w:hyperlink w:anchor="__RefHeading___Toc2517352_653776707">
            <w:r>
              <w:rPr>
                <w:webHidden/>
                <w:rStyle w:val="IndexLink"/>
                <w:rtl w:val="true"/>
              </w:rPr>
              <w:t>ومن السنة</w:t>
            </w:r>
            <w:r>
              <w:rPr>
                <w:rStyle w:val="IndexLink"/>
                <w:rtl w:val="true"/>
              </w:rPr>
              <w:t xml:space="preserve">: </w:t>
            </w:r>
            <w:r>
              <w:rPr>
                <w:rStyle w:val="IndexLink"/>
                <w:rtl w:val="true"/>
              </w:rPr>
              <w:t>حديث الغدير المتواتر</w:t>
            </w:r>
            <w:r>
              <w:rPr>
                <w:rStyle w:val="IndexLink"/>
                <w:rtl w:val="true"/>
              </w:rPr>
              <w:tab/>
            </w:r>
            <w:r>
              <w:rPr>
                <w:rStyle w:val="IndexLink"/>
              </w:rPr>
              <w:t>88</w:t>
            </w:r>
          </w:hyperlink>
        </w:p>
        <w:p>
          <w:pPr>
            <w:pStyle w:val="Contents4"/>
            <w:tabs>
              <w:tab w:val="clear" w:pos="8176"/>
              <w:tab w:val="right" w:pos="9026" w:leader="dot"/>
            </w:tabs>
            <w:rPr/>
          </w:pPr>
          <w:hyperlink w:anchor="__RefHeading___Toc2517354_653776707">
            <w:r>
              <w:rPr>
                <w:webHidden/>
                <w:rStyle w:val="IndexLink"/>
                <w:rtl w:val="true"/>
              </w:rPr>
              <w:t>المسألة الخامسة</w:t>
            </w:r>
            <w:r>
              <w:rPr>
                <w:rStyle w:val="IndexLink"/>
                <w:rtl w:val="true"/>
              </w:rPr>
              <w:t xml:space="preserve">: </w:t>
            </w:r>
            <w:r>
              <w:rPr>
                <w:rStyle w:val="IndexLink"/>
                <w:rtl w:val="true"/>
              </w:rPr>
              <w:t>تحرير محل النزاع في دولة عصرالغيبة</w:t>
            </w:r>
            <w:r>
              <w:rPr>
                <w:rStyle w:val="IndexLink"/>
                <w:rtl w:val="true"/>
              </w:rPr>
              <w:tab/>
            </w:r>
            <w:r>
              <w:rPr>
                <w:rStyle w:val="IndexLink"/>
              </w:rPr>
              <w:t>88</w:t>
            </w:r>
          </w:hyperlink>
        </w:p>
        <w:p>
          <w:pPr>
            <w:pStyle w:val="Contents5"/>
            <w:tabs>
              <w:tab w:val="clear" w:pos="7892"/>
              <w:tab w:val="right" w:pos="9026" w:leader="dot"/>
            </w:tabs>
            <w:rPr/>
          </w:pPr>
          <w:hyperlink w:anchor="__RefHeading___Toc2517356_653776707">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2517358_653776707">
            <w:r>
              <w:rPr>
                <w:webHidden/>
                <w:rStyle w:val="IndexLink"/>
                <w:rtl w:val="true"/>
              </w:rPr>
              <w:t>المرحلة الأولى</w:t>
            </w:r>
            <w:r>
              <w:rPr>
                <w:rStyle w:val="IndexLink"/>
                <w:rtl w:val="true"/>
              </w:rPr>
              <w:t>:</w:t>
              <w:tab/>
            </w:r>
            <w:r>
              <w:rPr>
                <w:rStyle w:val="IndexLink"/>
              </w:rPr>
              <w:t>90</w:t>
            </w:r>
          </w:hyperlink>
        </w:p>
        <w:p>
          <w:pPr>
            <w:pStyle w:val="Contents5"/>
            <w:tabs>
              <w:tab w:val="clear" w:pos="7892"/>
              <w:tab w:val="right" w:pos="9026" w:leader="dot"/>
            </w:tabs>
            <w:rPr/>
          </w:pPr>
          <w:hyperlink w:anchor="__RefHeading___Toc2517360_653776707">
            <w:r>
              <w:rPr>
                <w:webHidden/>
                <w:rStyle w:val="IndexLink"/>
                <w:rtl w:val="true"/>
              </w:rPr>
              <w:t>المرحلة الثانية</w:t>
            </w:r>
            <w:r>
              <w:rPr>
                <w:rStyle w:val="IndexLink"/>
                <w:rtl w:val="true"/>
              </w:rPr>
              <w:t>:</w:t>
              <w:tab/>
            </w:r>
            <w:r>
              <w:rPr>
                <w:rStyle w:val="IndexLink"/>
              </w:rPr>
              <w:t>90</w:t>
            </w:r>
          </w:hyperlink>
        </w:p>
        <w:p>
          <w:pPr>
            <w:pStyle w:val="Contents5"/>
            <w:tabs>
              <w:tab w:val="clear" w:pos="7892"/>
              <w:tab w:val="right" w:pos="9026" w:leader="dot"/>
            </w:tabs>
            <w:rPr/>
          </w:pPr>
          <w:hyperlink w:anchor="__RefHeading___Toc2517362_653776707">
            <w:r>
              <w:rPr>
                <w:webHidden/>
                <w:rStyle w:val="IndexLink"/>
                <w:rtl w:val="true"/>
              </w:rPr>
              <w:t>المرحلة الثالثة</w:t>
            </w:r>
            <w:r>
              <w:rPr>
                <w:rStyle w:val="IndexLink"/>
                <w:rtl w:val="true"/>
              </w:rPr>
              <w:t>:</w:t>
              <w:tab/>
            </w:r>
            <w:r>
              <w:rPr>
                <w:rStyle w:val="IndexLink"/>
              </w:rPr>
              <w:t>92</w:t>
            </w:r>
          </w:hyperlink>
        </w:p>
        <w:p>
          <w:pPr>
            <w:pStyle w:val="Contents4"/>
            <w:tabs>
              <w:tab w:val="clear" w:pos="8176"/>
              <w:tab w:val="right" w:pos="9026" w:leader="dot"/>
            </w:tabs>
            <w:rPr/>
          </w:pPr>
          <w:hyperlink w:anchor="__RefHeading___Toc2517364_653776707">
            <w:r>
              <w:rPr>
                <w:webHidden/>
                <w:rStyle w:val="IndexLink"/>
                <w:rtl w:val="true"/>
              </w:rPr>
              <w:t>المسألة السادسة</w:t>
            </w:r>
            <w:r>
              <w:rPr>
                <w:rStyle w:val="IndexLink"/>
                <w:rtl w:val="true"/>
              </w:rPr>
              <w:t xml:space="preserve">: </w:t>
            </w:r>
            <w:r>
              <w:rPr>
                <w:rStyle w:val="IndexLink"/>
                <w:rtl w:val="true"/>
              </w:rPr>
              <w:t>المسالك المختلفة لإقامة الدولة الإسلامية</w:t>
            </w:r>
            <w:r>
              <w:rPr>
                <w:rStyle w:val="IndexLink"/>
                <w:rtl w:val="true"/>
              </w:rPr>
              <w:tab/>
            </w:r>
            <w:r>
              <w:rPr>
                <w:rStyle w:val="IndexLink"/>
              </w:rPr>
              <w:t>92</w:t>
            </w:r>
          </w:hyperlink>
        </w:p>
        <w:p>
          <w:pPr>
            <w:pStyle w:val="Contents5"/>
            <w:tabs>
              <w:tab w:val="clear" w:pos="7892"/>
              <w:tab w:val="right" w:pos="9026" w:leader="dot"/>
            </w:tabs>
            <w:rPr/>
          </w:pPr>
          <w:hyperlink w:anchor="__RefHeading___Toc2517366_653776707">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2517368_653776707">
            <w:r>
              <w:rPr>
                <w:webHidden/>
                <w:rStyle w:val="IndexLink"/>
                <w:rtl w:val="true"/>
              </w:rPr>
              <w:t>أ</w:t>
            </w:r>
            <w:r>
              <w:rPr>
                <w:rStyle w:val="IndexLink"/>
                <w:rtl w:val="true"/>
              </w:rPr>
              <w:t xml:space="preserve">) </w:t>
            </w:r>
            <w:r>
              <w:rPr>
                <w:rStyle w:val="IndexLink"/>
                <w:rtl w:val="true"/>
              </w:rPr>
              <w:t>بيان المسلكين</w:t>
            </w:r>
            <w:r>
              <w:rPr>
                <w:rStyle w:val="IndexLink"/>
                <w:rtl w:val="true"/>
              </w:rPr>
              <w:tab/>
            </w:r>
            <w:r>
              <w:rPr>
                <w:rStyle w:val="IndexLink"/>
              </w:rPr>
              <w:t>92</w:t>
            </w:r>
          </w:hyperlink>
        </w:p>
        <w:p>
          <w:pPr>
            <w:pStyle w:val="Contents6"/>
            <w:tabs>
              <w:tab w:val="clear" w:pos="7609"/>
              <w:tab w:val="right" w:pos="9026" w:leader="dot"/>
            </w:tabs>
            <w:rPr/>
          </w:pPr>
          <w:hyperlink w:anchor="__RefHeading___Toc2517370_653776707">
            <w:r>
              <w:rPr>
                <w:webHidden/>
                <w:rStyle w:val="IndexLink"/>
                <w:rtl w:val="true"/>
              </w:rPr>
              <w:t>المسلك الأول</w:t>
            </w:r>
            <w:r>
              <w:rPr>
                <w:rStyle w:val="IndexLink"/>
                <w:rtl w:val="true"/>
              </w:rPr>
              <w:t xml:space="preserve">: </w:t>
            </w:r>
            <w:r>
              <w:rPr>
                <w:rStyle w:val="IndexLink"/>
                <w:rtl w:val="true"/>
              </w:rPr>
              <w:t>مسلك المشهور</w:t>
            </w:r>
            <w:r>
              <w:rPr>
                <w:rStyle w:val="IndexLink"/>
                <w:rtl w:val="true"/>
              </w:rPr>
              <w:tab/>
            </w:r>
            <w:r>
              <w:rPr>
                <w:rStyle w:val="IndexLink"/>
              </w:rPr>
              <w:t>92</w:t>
            </w:r>
          </w:hyperlink>
        </w:p>
        <w:p>
          <w:pPr>
            <w:pStyle w:val="Contents6"/>
            <w:tabs>
              <w:tab w:val="clear" w:pos="7609"/>
              <w:tab w:val="right" w:pos="9026" w:leader="dot"/>
            </w:tabs>
            <w:rPr/>
          </w:pPr>
          <w:hyperlink w:anchor="__RefHeading___Toc2517372_653776707">
            <w:r>
              <w:rPr>
                <w:webHidden/>
                <w:rStyle w:val="IndexLink"/>
                <w:rtl w:val="true"/>
              </w:rPr>
              <w:t>المسلك الثاني</w:t>
            </w:r>
            <w:r>
              <w:rPr>
                <w:rStyle w:val="IndexLink"/>
                <w:rtl w:val="true"/>
              </w:rPr>
              <w:t xml:space="preserve">: </w:t>
            </w:r>
            <w:r>
              <w:rPr>
                <w:rStyle w:val="IndexLink"/>
                <w:rtl w:val="true"/>
              </w:rPr>
              <w:t xml:space="preserve">مسلك الإمام الخميني </w:t>
            </w:r>
            <w:r>
              <w:rPr>
                <w:rStyle w:val="IndexLink"/>
                <w:rtl w:val="true"/>
              </w:rPr>
              <w:t>(</w:t>
            </w:r>
            <w:r>
              <w:rPr>
                <w:rStyle w:val="IndexLink"/>
                <w:rtl w:val="true"/>
              </w:rPr>
              <w:t>قُدّس سِرّه</w:t>
            </w:r>
            <w:r>
              <w:rPr>
                <w:rStyle w:val="IndexLink"/>
                <w:rtl w:val="true"/>
              </w:rPr>
              <w:t>)</w:t>
              <w:tab/>
            </w:r>
            <w:r>
              <w:rPr>
                <w:rStyle w:val="IndexLink"/>
              </w:rPr>
              <w:t>93</w:t>
            </w:r>
          </w:hyperlink>
        </w:p>
        <w:p>
          <w:pPr>
            <w:pStyle w:val="Contents5"/>
            <w:tabs>
              <w:tab w:val="clear" w:pos="7892"/>
              <w:tab w:val="right" w:pos="9026" w:leader="dot"/>
            </w:tabs>
            <w:rPr/>
          </w:pPr>
          <w:hyperlink w:anchor="__RefHeading___Toc2517374_653776707">
            <w:r>
              <w:rPr>
                <w:webHidden/>
                <w:rStyle w:val="IndexLink"/>
                <w:rtl w:val="true"/>
              </w:rPr>
              <w:t>ب</w:t>
            </w:r>
            <w:r>
              <w:rPr>
                <w:rStyle w:val="IndexLink"/>
                <w:rtl w:val="true"/>
              </w:rPr>
              <w:t xml:space="preserve">) </w:t>
            </w:r>
            <w:r>
              <w:rPr>
                <w:rStyle w:val="IndexLink"/>
                <w:rtl w:val="true"/>
              </w:rPr>
              <w:t>المائز بين المسلكين</w:t>
            </w:r>
            <w:r>
              <w:rPr>
                <w:rStyle w:val="IndexLink"/>
                <w:rtl w:val="true"/>
              </w:rPr>
              <w:tab/>
            </w:r>
            <w:r>
              <w:rPr>
                <w:rStyle w:val="IndexLink"/>
              </w:rPr>
              <w:t>93</w:t>
            </w:r>
          </w:hyperlink>
        </w:p>
        <w:p>
          <w:pPr>
            <w:pStyle w:val="Contents3"/>
            <w:tabs>
              <w:tab w:val="clear" w:pos="8459"/>
              <w:tab w:val="right" w:pos="9026" w:leader="dot"/>
            </w:tabs>
            <w:rPr/>
          </w:pPr>
          <w:hyperlink w:anchor="__RefHeading___Toc2517376_653776707">
            <w:r>
              <w:rPr>
                <w:webHidden/>
                <w:rStyle w:val="IndexLink"/>
                <w:rtl w:val="true"/>
              </w:rPr>
              <w:t>الفصل الثالث</w:t>
            </w:r>
            <w:r>
              <w:rPr>
                <w:rStyle w:val="IndexLink"/>
                <w:rtl w:val="true"/>
              </w:rPr>
              <w:t xml:space="preserve">: </w:t>
            </w:r>
            <w:r>
              <w:rPr>
                <w:rStyle w:val="IndexLink"/>
                <w:rtl w:val="true"/>
              </w:rPr>
              <w:t>في ضرورة إقامة الحكم الإسلامي</w:t>
            </w:r>
            <w:r>
              <w:rPr>
                <w:rStyle w:val="IndexLink"/>
                <w:rtl w:val="true"/>
              </w:rPr>
              <w:tab/>
            </w:r>
            <w:r>
              <w:rPr>
                <w:rStyle w:val="IndexLink"/>
              </w:rPr>
              <w:t>97</w:t>
            </w:r>
          </w:hyperlink>
        </w:p>
        <w:p>
          <w:pPr>
            <w:pStyle w:val="Contents4"/>
            <w:tabs>
              <w:tab w:val="clear" w:pos="8176"/>
              <w:tab w:val="right" w:pos="9026" w:leader="dot"/>
            </w:tabs>
            <w:rPr/>
          </w:pPr>
          <w:hyperlink w:anchor="__RefHeading___Toc2517378_653776707">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2517380_653776707">
            <w:r>
              <w:rPr>
                <w:webHidden/>
                <w:rStyle w:val="IndexLink"/>
                <w:rtl w:val="true"/>
              </w:rPr>
              <w:t>المسألة الأولى</w:t>
            </w:r>
            <w:r>
              <w:rPr>
                <w:rStyle w:val="IndexLink"/>
                <w:rtl w:val="true"/>
              </w:rPr>
              <w:t xml:space="preserve">: </w:t>
            </w:r>
            <w:r>
              <w:rPr>
                <w:rStyle w:val="IndexLink"/>
                <w:rtl w:val="true"/>
              </w:rPr>
              <w:t xml:space="preserve">الوجوه العقلية لضرورة إقامة الحكم الإسلامي </w:t>
            </w:r>
            <w:r>
              <w:rPr>
                <w:rStyle w:val="IndexLink"/>
                <w:rtl w:val="true"/>
              </w:rPr>
              <w:t>(</w:t>
            </w:r>
            <w:r>
              <w:rPr>
                <w:rStyle w:val="IndexLink"/>
                <w:rtl w:val="true"/>
              </w:rPr>
              <w:t xml:space="preserve">أدلة السيد الإمام الخميني </w:t>
            </w:r>
            <w:r>
              <w:rPr>
                <w:rStyle w:val="IndexLink"/>
                <w:rtl w:val="true"/>
              </w:rPr>
              <w:t>(</w:t>
            </w:r>
            <w:r>
              <w:rPr>
                <w:rStyle w:val="IndexLink"/>
                <w:rtl w:val="true"/>
              </w:rPr>
              <w:t>قُدّس سِرّه</w:t>
            </w:r>
            <w:r>
              <w:rPr>
                <w:rStyle w:val="IndexLink"/>
                <w:rtl w:val="true"/>
              </w:rPr>
              <w:t>)</w:t>
              <w:tab/>
            </w:r>
            <w:r>
              <w:rPr>
                <w:rStyle w:val="IndexLink"/>
              </w:rPr>
              <w:t>97</w:t>
            </w:r>
          </w:hyperlink>
        </w:p>
        <w:p>
          <w:pPr>
            <w:pStyle w:val="Contents5"/>
            <w:tabs>
              <w:tab w:val="clear" w:pos="7892"/>
              <w:tab w:val="right" w:pos="9026" w:leader="dot"/>
            </w:tabs>
            <w:rPr/>
          </w:pPr>
          <w:hyperlink w:anchor="__RefHeading___Toc2517382_653776707">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2517384_653776707">
            <w:r>
              <w:rPr>
                <w:webHidden/>
                <w:rStyle w:val="IndexLink"/>
                <w:rtl w:val="true"/>
              </w:rPr>
              <w:t>الدليل الأول</w:t>
            </w:r>
            <w:r>
              <w:rPr>
                <w:rStyle w:val="IndexLink"/>
                <w:rtl w:val="true"/>
              </w:rPr>
              <w:t xml:space="preserve">: </w:t>
            </w:r>
            <w:r>
              <w:rPr>
                <w:rStyle w:val="IndexLink"/>
                <w:rtl w:val="true"/>
              </w:rPr>
              <w:t>التأمّل في طبيعة التشريعات الإسلامية</w:t>
            </w:r>
            <w:r>
              <w:rPr>
                <w:rStyle w:val="IndexLink"/>
                <w:rtl w:val="true"/>
              </w:rPr>
              <w:tab/>
            </w:r>
            <w:r>
              <w:rPr>
                <w:rStyle w:val="IndexLink"/>
              </w:rPr>
              <w:t>98</w:t>
            </w:r>
          </w:hyperlink>
        </w:p>
        <w:p>
          <w:pPr>
            <w:pStyle w:val="Contents6"/>
            <w:tabs>
              <w:tab w:val="clear" w:pos="7609"/>
              <w:tab w:val="right" w:pos="9026" w:leader="dot"/>
            </w:tabs>
            <w:rPr/>
          </w:pPr>
          <w:hyperlink w:anchor="__RefHeading___Toc2517386_653776707">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2517388_653776707">
            <w:r>
              <w:rPr>
                <w:webHidden/>
                <w:rStyle w:val="IndexLink"/>
                <w:rtl w:val="true"/>
              </w:rPr>
              <w:t>المقدمة الأولى</w:t>
            </w:r>
            <w:r>
              <w:rPr>
                <w:rStyle w:val="IndexLink"/>
                <w:rtl w:val="true"/>
              </w:rPr>
              <w:t xml:space="preserve">: </w:t>
            </w:r>
            <w:r>
              <w:rPr>
                <w:rStyle w:val="IndexLink"/>
                <w:rtl w:val="true"/>
              </w:rPr>
              <w:t>بقاء الأحكام واستمرار التشريعات الإسلامية</w:t>
            </w:r>
            <w:r>
              <w:rPr>
                <w:rStyle w:val="IndexLink"/>
                <w:rtl w:val="true"/>
              </w:rPr>
              <w:tab/>
            </w:r>
            <w:r>
              <w:rPr>
                <w:rStyle w:val="IndexLink"/>
              </w:rPr>
              <w:t>99</w:t>
            </w:r>
          </w:hyperlink>
        </w:p>
        <w:p>
          <w:pPr>
            <w:pStyle w:val="Contents6"/>
            <w:tabs>
              <w:tab w:val="clear" w:pos="7609"/>
              <w:tab w:val="right" w:pos="9026" w:leader="dot"/>
            </w:tabs>
            <w:rPr/>
          </w:pPr>
          <w:hyperlink w:anchor="__RefHeading___Toc2517390_653776707">
            <w:r>
              <w:rPr>
                <w:webHidden/>
                <w:rStyle w:val="IndexLink"/>
                <w:rtl w:val="true"/>
              </w:rPr>
              <w:t>المقدمة الثانية</w:t>
            </w:r>
            <w:r>
              <w:rPr>
                <w:rStyle w:val="IndexLink"/>
                <w:rtl w:val="true"/>
              </w:rPr>
              <w:t xml:space="preserve">: </w:t>
            </w:r>
            <w:r>
              <w:rPr>
                <w:rStyle w:val="IndexLink"/>
                <w:rtl w:val="true"/>
              </w:rPr>
              <w:t>لزوم تنفيذ الأحكام والتشريعات الإسلامية</w:t>
            </w:r>
            <w:r>
              <w:rPr>
                <w:rStyle w:val="IndexLink"/>
                <w:rtl w:val="true"/>
              </w:rPr>
              <w:tab/>
            </w:r>
            <w:r>
              <w:rPr>
                <w:rStyle w:val="IndexLink"/>
              </w:rPr>
              <w:t>99</w:t>
            </w:r>
          </w:hyperlink>
        </w:p>
        <w:p>
          <w:pPr>
            <w:pStyle w:val="Contents6"/>
            <w:tabs>
              <w:tab w:val="clear" w:pos="7609"/>
              <w:tab w:val="right" w:pos="9026" w:leader="dot"/>
            </w:tabs>
            <w:rPr/>
          </w:pPr>
          <w:hyperlink w:anchor="__RefHeading___Toc2517392_653776707">
            <w:r>
              <w:rPr>
                <w:webHidden/>
                <w:rStyle w:val="IndexLink"/>
                <w:rtl w:val="true"/>
              </w:rPr>
              <w:t>المقدمة الثالثة</w:t>
            </w:r>
            <w:r>
              <w:rPr>
                <w:rStyle w:val="IndexLink"/>
                <w:rtl w:val="true"/>
              </w:rPr>
              <w:t xml:space="preserve">: </w:t>
            </w:r>
            <w:r>
              <w:rPr>
                <w:rStyle w:val="IndexLink"/>
                <w:rtl w:val="true"/>
              </w:rPr>
              <w:t>توقّف تنفيذ التشريع على السلطة</w:t>
            </w:r>
            <w:r>
              <w:rPr>
                <w:rStyle w:val="IndexLink"/>
                <w:rtl w:val="true"/>
              </w:rPr>
              <w:tab/>
            </w:r>
            <w:r>
              <w:rPr>
                <w:rStyle w:val="IndexLink"/>
              </w:rPr>
              <w:t>100</w:t>
            </w:r>
          </w:hyperlink>
        </w:p>
        <w:p>
          <w:pPr>
            <w:pStyle w:val="Contents5"/>
            <w:tabs>
              <w:tab w:val="clear" w:pos="7892"/>
              <w:tab w:val="right" w:pos="9026" w:leader="dot"/>
            </w:tabs>
            <w:rPr/>
          </w:pPr>
          <w:hyperlink w:anchor="__RefHeading___Toc2517394_653776707">
            <w:r>
              <w:rPr>
                <w:webHidden/>
                <w:rStyle w:val="IndexLink"/>
                <w:rtl w:val="true"/>
              </w:rPr>
              <w:t>الدليل الثاني</w:t>
            </w:r>
            <w:r>
              <w:rPr>
                <w:rStyle w:val="IndexLink"/>
                <w:rtl w:val="true"/>
              </w:rPr>
              <w:t xml:space="preserve">: </w:t>
            </w:r>
            <w:r>
              <w:rPr>
                <w:rStyle w:val="IndexLink"/>
                <w:rtl w:val="true"/>
              </w:rPr>
              <w:t>ضرورة حفظ النظام وحرمة الإخلال به</w:t>
            </w:r>
            <w:r>
              <w:rPr>
                <w:rStyle w:val="IndexLink"/>
                <w:rtl w:val="true"/>
              </w:rPr>
              <w:tab/>
            </w:r>
            <w:r>
              <w:rPr>
                <w:rStyle w:val="IndexLink"/>
              </w:rPr>
              <w:t>100</w:t>
            </w:r>
          </w:hyperlink>
        </w:p>
        <w:p>
          <w:pPr>
            <w:pStyle w:val="Contents5"/>
            <w:tabs>
              <w:tab w:val="clear" w:pos="7892"/>
              <w:tab w:val="right" w:pos="9026" w:leader="dot"/>
            </w:tabs>
            <w:rPr/>
          </w:pPr>
          <w:hyperlink w:anchor="__RefHeading___Toc2517396_653776707">
            <w:r>
              <w:rPr>
                <w:webHidden/>
                <w:rStyle w:val="IndexLink"/>
                <w:rtl w:val="true"/>
              </w:rPr>
              <w:t>الدليل الثالث</w:t>
            </w:r>
            <w:r>
              <w:rPr>
                <w:rStyle w:val="IndexLink"/>
                <w:rtl w:val="true"/>
              </w:rPr>
              <w:t xml:space="preserve">: </w:t>
            </w:r>
            <w:r>
              <w:rPr>
                <w:rStyle w:val="IndexLink"/>
                <w:rtl w:val="true"/>
              </w:rPr>
              <w:t>ضرورة حفظ ثغور المسلمين</w:t>
            </w:r>
            <w:r>
              <w:rPr>
                <w:rStyle w:val="IndexLink"/>
                <w:rtl w:val="true"/>
              </w:rPr>
              <w:tab/>
            </w:r>
            <w:r>
              <w:rPr>
                <w:rStyle w:val="IndexLink"/>
              </w:rPr>
              <w:t>102</w:t>
            </w:r>
          </w:hyperlink>
        </w:p>
        <w:p>
          <w:pPr>
            <w:pStyle w:val="Contents4"/>
            <w:tabs>
              <w:tab w:val="clear" w:pos="8176"/>
              <w:tab w:val="right" w:pos="9026" w:leader="dot"/>
            </w:tabs>
            <w:rPr/>
          </w:pPr>
          <w:hyperlink w:anchor="__RefHeading___Toc2517398_653776707">
            <w:r>
              <w:rPr>
                <w:webHidden/>
                <w:rStyle w:val="IndexLink"/>
                <w:rtl w:val="true"/>
              </w:rPr>
              <w:t>المسألة الثانية</w:t>
            </w:r>
            <w:r>
              <w:rPr>
                <w:rStyle w:val="IndexLink"/>
                <w:rtl w:val="true"/>
              </w:rPr>
              <w:t xml:space="preserve">: </w:t>
            </w:r>
            <w:r>
              <w:rPr>
                <w:rStyle w:val="IndexLink"/>
                <w:rtl w:val="true"/>
              </w:rPr>
              <w:t>الروايات الدالّة على جعل كل ما يحتاج إليه وضرورة إقامة الحكم الإسلامي</w:t>
            </w:r>
            <w:r>
              <w:rPr>
                <w:rStyle w:val="IndexLink"/>
                <w:rtl w:val="true"/>
              </w:rPr>
              <w:tab/>
            </w:r>
            <w:r>
              <w:rPr>
                <w:rStyle w:val="IndexLink"/>
              </w:rPr>
              <w:t>104</w:t>
            </w:r>
          </w:hyperlink>
        </w:p>
        <w:p>
          <w:pPr>
            <w:pStyle w:val="Contents5"/>
            <w:tabs>
              <w:tab w:val="clear" w:pos="7892"/>
              <w:tab w:val="right" w:pos="9026" w:leader="dot"/>
            </w:tabs>
            <w:rPr/>
          </w:pPr>
          <w:hyperlink w:anchor="__RefHeading___Toc2517400_653776707">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2517402_653776707">
            <w:r>
              <w:rPr>
                <w:webHidden/>
                <w:rStyle w:val="IndexLink"/>
                <w:rtl w:val="true"/>
              </w:rPr>
              <w:t>تقريب الاستدلال</w:t>
            </w:r>
            <w:r>
              <w:rPr>
                <w:rStyle w:val="IndexLink"/>
                <w:rtl w:val="true"/>
              </w:rPr>
              <w:t>:</w:t>
              <w:tab/>
            </w:r>
            <w:r>
              <w:rPr>
                <w:rStyle w:val="IndexLink"/>
              </w:rPr>
              <w:t>105</w:t>
            </w:r>
          </w:hyperlink>
        </w:p>
        <w:p>
          <w:pPr>
            <w:pStyle w:val="Contents4"/>
            <w:tabs>
              <w:tab w:val="clear" w:pos="8176"/>
              <w:tab w:val="right" w:pos="9026" w:leader="dot"/>
            </w:tabs>
            <w:rPr/>
          </w:pPr>
          <w:hyperlink w:anchor="__RefHeading___Toc2517404_653776707">
            <w:r>
              <w:rPr>
                <w:webHidden/>
                <w:rStyle w:val="IndexLink"/>
                <w:rtl w:val="true"/>
              </w:rPr>
              <w:t>المسألة الثالثة</w:t>
            </w:r>
            <w:r>
              <w:rPr>
                <w:rStyle w:val="IndexLink"/>
                <w:rtl w:val="true"/>
              </w:rPr>
              <w:t xml:space="preserve">: </w:t>
            </w:r>
            <w:r>
              <w:rPr>
                <w:rStyle w:val="IndexLink"/>
                <w:rtl w:val="true"/>
              </w:rPr>
              <w:t>رواية الفضل بن شاذان وضرورة إقامة الحكم الإسلامي</w:t>
            </w:r>
            <w:r>
              <w:rPr>
                <w:rStyle w:val="IndexLink"/>
                <w:rtl w:val="true"/>
              </w:rPr>
              <w:tab/>
            </w:r>
            <w:r>
              <w:rPr>
                <w:rStyle w:val="IndexLink"/>
              </w:rPr>
              <w:t>107</w:t>
            </w:r>
          </w:hyperlink>
        </w:p>
        <w:p>
          <w:pPr>
            <w:pStyle w:val="Contents5"/>
            <w:tabs>
              <w:tab w:val="clear" w:pos="7892"/>
              <w:tab w:val="right" w:pos="9026" w:leader="dot"/>
            </w:tabs>
            <w:rPr/>
          </w:pPr>
          <w:hyperlink w:anchor="__RefHeading___Toc2517406_653776707">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2517408_653776707">
            <w:r>
              <w:rPr>
                <w:webHidden/>
                <w:rStyle w:val="IndexLink"/>
                <w:rtl w:val="true"/>
              </w:rPr>
              <w:t>سند الحديث</w:t>
            </w:r>
            <w:r>
              <w:rPr>
                <w:rStyle w:val="IndexLink"/>
                <w:rtl w:val="true"/>
              </w:rPr>
              <w:t>:</w:t>
              <w:tab/>
            </w:r>
            <w:r>
              <w:rPr>
                <w:rStyle w:val="IndexLink"/>
              </w:rPr>
              <w:t>107</w:t>
            </w:r>
          </w:hyperlink>
        </w:p>
        <w:p>
          <w:pPr>
            <w:pStyle w:val="Contents5"/>
            <w:tabs>
              <w:tab w:val="clear" w:pos="7892"/>
              <w:tab w:val="right" w:pos="9026" w:leader="dot"/>
            </w:tabs>
            <w:rPr/>
          </w:pPr>
          <w:hyperlink w:anchor="__RefHeading___Toc2517410_653776707">
            <w:r>
              <w:rPr>
                <w:webHidden/>
                <w:rStyle w:val="IndexLink"/>
                <w:rtl w:val="true"/>
              </w:rPr>
              <w:t>البحث في دلالة الحديث</w:t>
            </w:r>
            <w:r>
              <w:rPr>
                <w:rStyle w:val="IndexLink"/>
                <w:rtl w:val="true"/>
              </w:rPr>
              <w:t>:</w:t>
              <w:tab/>
            </w:r>
            <w:r>
              <w:rPr>
                <w:rStyle w:val="IndexLink"/>
              </w:rPr>
              <w:t>110</w:t>
            </w:r>
          </w:hyperlink>
        </w:p>
        <w:p>
          <w:pPr>
            <w:pStyle w:val="Contents4"/>
            <w:tabs>
              <w:tab w:val="clear" w:pos="8176"/>
              <w:tab w:val="right" w:pos="9026" w:leader="dot"/>
            </w:tabs>
            <w:rPr/>
          </w:pPr>
          <w:hyperlink w:anchor="__RefHeading___Toc2517412_653776707">
            <w:r>
              <w:rPr>
                <w:webHidden/>
                <w:rStyle w:val="IndexLink"/>
                <w:rtl w:val="true"/>
              </w:rPr>
              <w:t>المسألة الرابعة</w:t>
            </w:r>
            <w:r>
              <w:rPr>
                <w:rStyle w:val="IndexLink"/>
                <w:rtl w:val="true"/>
              </w:rPr>
              <w:t xml:space="preserve">: </w:t>
            </w:r>
            <w:r>
              <w:rPr>
                <w:rStyle w:val="IndexLink"/>
                <w:rtl w:val="true"/>
              </w:rPr>
              <w:t>الخطبة الفدكية وضرورة إقامة الحكم الإسلامي</w:t>
            </w:r>
            <w:r>
              <w:rPr>
                <w:rStyle w:val="IndexLink"/>
                <w:rtl w:val="true"/>
              </w:rPr>
              <w:tab/>
            </w:r>
            <w:r>
              <w:rPr>
                <w:rStyle w:val="IndexLink"/>
              </w:rPr>
              <w:t>113</w:t>
            </w:r>
          </w:hyperlink>
        </w:p>
        <w:p>
          <w:pPr>
            <w:pStyle w:val="Contents5"/>
            <w:tabs>
              <w:tab w:val="clear" w:pos="7892"/>
              <w:tab w:val="right" w:pos="9026" w:leader="dot"/>
            </w:tabs>
            <w:rPr/>
          </w:pPr>
          <w:hyperlink w:anchor="__RefHeading___Toc2517414_653776707">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2517416_653776707">
            <w:r>
              <w:rPr>
                <w:webHidden/>
                <w:rStyle w:val="IndexLink"/>
                <w:rtl w:val="true"/>
              </w:rPr>
              <w:t>سند الخطبة</w:t>
            </w:r>
            <w:r>
              <w:rPr>
                <w:rStyle w:val="IndexLink"/>
                <w:rtl w:val="true"/>
              </w:rPr>
              <w:t>:</w:t>
              <w:tab/>
            </w:r>
            <w:r>
              <w:rPr>
                <w:rStyle w:val="IndexLink"/>
              </w:rPr>
              <w:t>113</w:t>
            </w:r>
          </w:hyperlink>
        </w:p>
        <w:p>
          <w:pPr>
            <w:pStyle w:val="Contents5"/>
            <w:tabs>
              <w:tab w:val="clear" w:pos="7892"/>
              <w:tab w:val="right" w:pos="9026" w:leader="dot"/>
            </w:tabs>
            <w:rPr/>
          </w:pPr>
          <w:hyperlink w:anchor="__RefHeading___Toc2517418_653776707">
            <w:r>
              <w:rPr>
                <w:webHidden/>
                <w:rStyle w:val="IndexLink"/>
                <w:rtl w:val="true"/>
              </w:rPr>
              <w:t>دلالة الخطبة</w:t>
            </w:r>
            <w:r>
              <w:rPr>
                <w:rStyle w:val="IndexLink"/>
                <w:rtl w:val="true"/>
              </w:rPr>
              <w:t>:</w:t>
              <w:tab/>
            </w:r>
            <w:r>
              <w:rPr>
                <w:rStyle w:val="IndexLink"/>
              </w:rPr>
              <w:t>115</w:t>
            </w:r>
          </w:hyperlink>
        </w:p>
        <w:p>
          <w:pPr>
            <w:pStyle w:val="Contents4"/>
            <w:tabs>
              <w:tab w:val="clear" w:pos="8176"/>
              <w:tab w:val="right" w:pos="9026" w:leader="dot"/>
            </w:tabs>
            <w:rPr/>
          </w:pPr>
          <w:hyperlink w:anchor="__RefHeading___Toc2517420_653776707">
            <w:r>
              <w:rPr>
                <w:webHidden/>
                <w:rStyle w:val="IndexLink"/>
                <w:rtl w:val="true"/>
              </w:rPr>
              <w:t>المسألة الخامسة</w:t>
            </w:r>
            <w:r>
              <w:rPr>
                <w:rStyle w:val="IndexLink"/>
                <w:rtl w:val="true"/>
              </w:rPr>
              <w:t xml:space="preserve">: </w:t>
            </w:r>
            <w:r>
              <w:rPr>
                <w:rStyle w:val="IndexLink"/>
                <w:rtl w:val="true"/>
              </w:rPr>
              <w:t xml:space="preserve">الحاجة إلى الدولة في كلام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في الردّ على الخوارج</w:t>
            </w:r>
            <w:r>
              <w:rPr>
                <w:rStyle w:val="IndexLink"/>
                <w:rtl w:val="true"/>
              </w:rPr>
              <w:tab/>
            </w:r>
            <w:r>
              <w:rPr>
                <w:rStyle w:val="IndexLink"/>
              </w:rPr>
              <w:t>116</w:t>
            </w:r>
          </w:hyperlink>
        </w:p>
        <w:p>
          <w:pPr>
            <w:pStyle w:val="Contents3"/>
            <w:tabs>
              <w:tab w:val="clear" w:pos="8459"/>
              <w:tab w:val="right" w:pos="9026" w:leader="dot"/>
            </w:tabs>
            <w:rPr/>
          </w:pPr>
          <w:hyperlink w:anchor="__RefHeading___Toc2517422_653776707">
            <w:r>
              <w:rPr>
                <w:webHidden/>
                <w:rStyle w:val="IndexLink"/>
                <w:rtl w:val="true"/>
              </w:rPr>
              <w:t>الفصل الرابع</w:t>
            </w:r>
            <w:r>
              <w:rPr>
                <w:rStyle w:val="IndexLink"/>
                <w:rtl w:val="true"/>
              </w:rPr>
              <w:t xml:space="preserve">: </w:t>
            </w:r>
            <w:r>
              <w:rPr>
                <w:rStyle w:val="IndexLink"/>
                <w:rtl w:val="true"/>
              </w:rPr>
              <w:t>الأدلة المعارضة لضرورة إقامة الحكم الإسلامي</w:t>
            </w:r>
            <w:r>
              <w:rPr>
                <w:rStyle w:val="IndexLink"/>
                <w:rtl w:val="true"/>
              </w:rPr>
              <w:tab/>
            </w:r>
            <w:r>
              <w:rPr>
                <w:rStyle w:val="IndexLink"/>
              </w:rPr>
              <w:t>119</w:t>
            </w:r>
          </w:hyperlink>
        </w:p>
        <w:p>
          <w:pPr>
            <w:pStyle w:val="Contents4"/>
            <w:tabs>
              <w:tab w:val="clear" w:pos="8176"/>
              <w:tab w:val="right" w:pos="9026" w:leader="dot"/>
            </w:tabs>
            <w:rPr/>
          </w:pPr>
          <w:hyperlink w:anchor="__RefHeading___Toc2517424_653776707">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2517426_653776707">
            <w:r>
              <w:rPr>
                <w:webHidden/>
                <w:rStyle w:val="IndexLink"/>
                <w:rtl w:val="true"/>
              </w:rPr>
              <w:t>المسألة الأولى</w:t>
            </w:r>
            <w:r>
              <w:rPr>
                <w:rStyle w:val="IndexLink"/>
                <w:rtl w:val="true"/>
              </w:rPr>
              <w:t xml:space="preserve">: </w:t>
            </w:r>
            <w:r>
              <w:rPr>
                <w:rStyle w:val="IndexLink"/>
                <w:rtl w:val="true"/>
              </w:rPr>
              <w:t>دراسة الأدلة المتعرّضة لأمر قيام زيد بن علي</w:t>
            </w:r>
            <w:r>
              <w:rPr>
                <w:rStyle w:val="IndexLink"/>
                <w:rtl w:val="true"/>
              </w:rPr>
              <w:t>(</w:t>
            </w:r>
            <w:r>
              <w:rPr>
                <w:rStyle w:val="IndexLink"/>
                <w:rtl w:val="true"/>
              </w:rPr>
              <w:t>عَلَيْهِ السَّلاَمُ</w:t>
            </w:r>
            <w:r>
              <w:rPr>
                <w:rStyle w:val="IndexLink"/>
                <w:rtl w:val="true"/>
              </w:rPr>
              <w:t>)</w:t>
              <w:tab/>
            </w:r>
            <w:r>
              <w:rPr>
                <w:rStyle w:val="IndexLink"/>
              </w:rPr>
              <w:t>119</w:t>
            </w:r>
          </w:hyperlink>
        </w:p>
        <w:p>
          <w:pPr>
            <w:pStyle w:val="Contents5"/>
            <w:tabs>
              <w:tab w:val="clear" w:pos="7892"/>
              <w:tab w:val="right" w:pos="9026" w:leader="dot"/>
            </w:tabs>
            <w:rPr/>
          </w:pPr>
          <w:hyperlink w:anchor="__RefHeading___Toc2517428_653776707">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2517430_653776707">
            <w:r>
              <w:rPr>
                <w:webHidden/>
                <w:rStyle w:val="IndexLink"/>
                <w:rtl w:val="true"/>
              </w:rPr>
              <w:t>ومنها</w:t>
            </w:r>
            <w:r>
              <w:rPr>
                <w:rStyle w:val="IndexLink"/>
                <w:rtl w:val="true"/>
              </w:rPr>
              <w:t xml:space="preserve">: </w:t>
            </w:r>
            <w:r>
              <w:rPr>
                <w:rStyle w:val="IndexLink"/>
                <w:rtl w:val="true"/>
              </w:rPr>
              <w:t>الصحيحة الثانية لعيص بن القاسم</w:t>
            </w:r>
            <w:r>
              <w:rPr>
                <w:rStyle w:val="IndexLink"/>
                <w:rtl w:val="true"/>
              </w:rPr>
              <w:tab/>
            </w:r>
            <w:r>
              <w:rPr>
                <w:rStyle w:val="IndexLink"/>
              </w:rPr>
              <w:t>122</w:t>
            </w:r>
          </w:hyperlink>
        </w:p>
        <w:p>
          <w:pPr>
            <w:pStyle w:val="Contents5"/>
            <w:tabs>
              <w:tab w:val="clear" w:pos="7892"/>
              <w:tab w:val="right" w:pos="9026" w:leader="dot"/>
            </w:tabs>
            <w:rPr/>
          </w:pPr>
          <w:hyperlink w:anchor="__RefHeading___Toc2517432_653776707">
            <w:r>
              <w:rPr>
                <w:webHidden/>
                <w:rStyle w:val="IndexLink"/>
                <w:rtl w:val="true"/>
              </w:rPr>
              <w:t>ومنها</w:t>
            </w:r>
            <w:r>
              <w:rPr>
                <w:rStyle w:val="IndexLink"/>
                <w:rtl w:val="true"/>
              </w:rPr>
              <w:t xml:space="preserve">: </w:t>
            </w:r>
            <w:r>
              <w:rPr>
                <w:rStyle w:val="IndexLink"/>
                <w:rtl w:val="true"/>
              </w:rPr>
              <w:t>رواية أبي عبدون</w:t>
            </w:r>
            <w:r>
              <w:rPr>
                <w:rStyle w:val="IndexLink"/>
                <w:rtl w:val="true"/>
              </w:rPr>
              <w:tab/>
            </w:r>
            <w:r>
              <w:rPr>
                <w:rStyle w:val="IndexLink"/>
              </w:rPr>
              <w:t>123</w:t>
            </w:r>
          </w:hyperlink>
        </w:p>
        <w:p>
          <w:pPr>
            <w:pStyle w:val="Contents5"/>
            <w:tabs>
              <w:tab w:val="clear" w:pos="7892"/>
              <w:tab w:val="right" w:pos="9026" w:leader="dot"/>
            </w:tabs>
            <w:rPr/>
          </w:pPr>
          <w:hyperlink w:anchor="__RefHeading___Toc2517434_653776707">
            <w:r>
              <w:rPr>
                <w:webHidden/>
                <w:rStyle w:val="IndexLink"/>
                <w:rtl w:val="true"/>
              </w:rPr>
              <w:t>نتيجة الطائفة الأولى</w:t>
            </w:r>
            <w:r>
              <w:rPr>
                <w:rStyle w:val="IndexLink"/>
                <w:rtl w:val="true"/>
              </w:rPr>
              <w:t>:</w:t>
              <w:tab/>
            </w:r>
            <w:r>
              <w:rPr>
                <w:rStyle w:val="IndexLink"/>
              </w:rPr>
              <w:t>124</w:t>
            </w:r>
          </w:hyperlink>
        </w:p>
        <w:p>
          <w:pPr>
            <w:pStyle w:val="Contents4"/>
            <w:tabs>
              <w:tab w:val="clear" w:pos="8176"/>
              <w:tab w:val="right" w:pos="9026" w:leader="dot"/>
            </w:tabs>
            <w:rPr/>
          </w:pPr>
          <w:hyperlink w:anchor="__RefHeading___Toc2517436_653776707">
            <w:r>
              <w:rPr>
                <w:webHidden/>
                <w:rStyle w:val="IndexLink"/>
                <w:rtl w:val="true"/>
              </w:rPr>
              <w:t>المسألة الثانية</w:t>
            </w:r>
            <w:r>
              <w:rPr>
                <w:rStyle w:val="IndexLink"/>
                <w:rtl w:val="true"/>
              </w:rPr>
              <w:t xml:space="preserve">: </w:t>
            </w:r>
            <w:r>
              <w:rPr>
                <w:rStyle w:val="IndexLink"/>
                <w:rtl w:val="true"/>
              </w:rPr>
              <w:t>دراسة الأدلة الواردة في من ادّعى الإمامة وليس بإمام</w:t>
            </w:r>
            <w:r>
              <w:rPr>
                <w:rStyle w:val="IndexLink"/>
                <w:rtl w:val="true"/>
              </w:rPr>
              <w:tab/>
            </w:r>
            <w:r>
              <w:rPr>
                <w:rStyle w:val="IndexLink"/>
              </w:rPr>
              <w:t>125</w:t>
            </w:r>
          </w:hyperlink>
        </w:p>
        <w:p>
          <w:pPr>
            <w:pStyle w:val="Contents5"/>
            <w:tabs>
              <w:tab w:val="clear" w:pos="7892"/>
              <w:tab w:val="right" w:pos="9026" w:leader="dot"/>
            </w:tabs>
            <w:rPr/>
          </w:pPr>
          <w:hyperlink w:anchor="__RefHeading___Toc2517438_653776707">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2517440_653776707">
            <w:r>
              <w:rPr>
                <w:webHidden/>
                <w:rStyle w:val="IndexLink"/>
                <w:rtl w:val="true"/>
              </w:rPr>
              <w:t>و منها</w:t>
            </w:r>
            <w:r>
              <w:rPr>
                <w:rStyle w:val="IndexLink"/>
                <w:rtl w:val="true"/>
              </w:rPr>
              <w:t xml:space="preserve">: </w:t>
            </w:r>
            <w:r>
              <w:rPr>
                <w:rStyle w:val="IndexLink"/>
                <w:rtl w:val="true"/>
              </w:rPr>
              <w:t>صحيحة الفضيل بن يسار</w:t>
            </w:r>
            <w:r>
              <w:rPr>
                <w:rStyle w:val="IndexLink"/>
                <w:rtl w:val="true"/>
              </w:rPr>
              <w:tab/>
            </w:r>
            <w:r>
              <w:rPr>
                <w:rStyle w:val="IndexLink"/>
              </w:rPr>
              <w:t>125</w:t>
            </w:r>
          </w:hyperlink>
        </w:p>
        <w:p>
          <w:pPr>
            <w:pStyle w:val="Contents5"/>
            <w:tabs>
              <w:tab w:val="clear" w:pos="7892"/>
              <w:tab w:val="right" w:pos="9026" w:leader="dot"/>
            </w:tabs>
            <w:rPr/>
          </w:pPr>
          <w:hyperlink w:anchor="__RefHeading___Toc2517442_653776707">
            <w:r>
              <w:rPr>
                <w:webHidden/>
                <w:rStyle w:val="IndexLink"/>
                <w:rtl w:val="true"/>
              </w:rPr>
              <w:t>ومنها</w:t>
            </w:r>
            <w:r>
              <w:rPr>
                <w:rStyle w:val="IndexLink"/>
                <w:rtl w:val="true"/>
              </w:rPr>
              <w:t xml:space="preserve">: </w:t>
            </w:r>
            <w:r>
              <w:rPr>
                <w:rStyle w:val="IndexLink"/>
                <w:rtl w:val="true"/>
              </w:rPr>
              <w:t>رواية سورة بن كليب</w:t>
            </w:r>
            <w:r>
              <w:rPr>
                <w:rStyle w:val="IndexLink"/>
                <w:rtl w:val="true"/>
              </w:rPr>
              <w:tab/>
            </w:r>
            <w:r>
              <w:rPr>
                <w:rStyle w:val="IndexLink"/>
              </w:rPr>
              <w:t>125</w:t>
            </w:r>
          </w:hyperlink>
        </w:p>
        <w:p>
          <w:pPr>
            <w:pStyle w:val="Contents5"/>
            <w:tabs>
              <w:tab w:val="clear" w:pos="7892"/>
              <w:tab w:val="right" w:pos="9026" w:leader="dot"/>
            </w:tabs>
            <w:rPr/>
          </w:pPr>
          <w:hyperlink w:anchor="__RefHeading___Toc2517444_653776707">
            <w:r>
              <w:rPr>
                <w:webHidden/>
                <w:rStyle w:val="IndexLink"/>
                <w:rtl w:val="true"/>
              </w:rPr>
              <w:t>ومنها</w:t>
            </w:r>
            <w:r>
              <w:rPr>
                <w:rStyle w:val="IndexLink"/>
                <w:rtl w:val="true"/>
              </w:rPr>
              <w:t xml:space="preserve">: </w:t>
            </w:r>
            <w:r>
              <w:rPr>
                <w:rStyle w:val="IndexLink"/>
                <w:rtl w:val="true"/>
              </w:rPr>
              <w:t>صحيحة ابن أبي يعفور</w:t>
            </w:r>
            <w:r>
              <w:rPr>
                <w:rStyle w:val="IndexLink"/>
                <w:rtl w:val="true"/>
              </w:rPr>
              <w:tab/>
            </w:r>
            <w:r>
              <w:rPr>
                <w:rStyle w:val="IndexLink"/>
              </w:rPr>
              <w:t>126</w:t>
            </w:r>
          </w:hyperlink>
        </w:p>
        <w:p>
          <w:pPr>
            <w:pStyle w:val="Contents5"/>
            <w:tabs>
              <w:tab w:val="clear" w:pos="7892"/>
              <w:tab w:val="right" w:pos="9026" w:leader="dot"/>
            </w:tabs>
            <w:rPr/>
          </w:pPr>
          <w:hyperlink w:anchor="__RefHeading___Toc2517446_653776707">
            <w:r>
              <w:rPr>
                <w:webHidden/>
                <w:rStyle w:val="IndexLink"/>
                <w:rtl w:val="true"/>
              </w:rPr>
              <w:t>ومنها</w:t>
            </w:r>
            <w:r>
              <w:rPr>
                <w:rStyle w:val="IndexLink"/>
                <w:rtl w:val="true"/>
              </w:rPr>
              <w:t xml:space="preserve">: </w:t>
            </w:r>
            <w:r>
              <w:rPr>
                <w:rStyle w:val="IndexLink"/>
                <w:rtl w:val="true"/>
              </w:rPr>
              <w:t>رواية الحسين بن مختار</w:t>
            </w:r>
            <w:r>
              <w:rPr>
                <w:rStyle w:val="IndexLink"/>
                <w:rtl w:val="true"/>
              </w:rPr>
              <w:tab/>
            </w:r>
            <w:r>
              <w:rPr>
                <w:rStyle w:val="IndexLink"/>
              </w:rPr>
              <w:t>126</w:t>
            </w:r>
          </w:hyperlink>
        </w:p>
        <w:p>
          <w:pPr>
            <w:pStyle w:val="Contents5"/>
            <w:tabs>
              <w:tab w:val="clear" w:pos="7892"/>
              <w:tab w:val="right" w:pos="9026" w:leader="dot"/>
            </w:tabs>
            <w:rPr/>
          </w:pPr>
          <w:hyperlink w:anchor="__RefHeading___Toc2517448_653776707">
            <w:r>
              <w:rPr>
                <w:webHidden/>
                <w:rStyle w:val="IndexLink"/>
                <w:rtl w:val="true"/>
              </w:rPr>
              <w:t>ومنها</w:t>
            </w:r>
            <w:r>
              <w:rPr>
                <w:rStyle w:val="IndexLink"/>
                <w:rtl w:val="true"/>
              </w:rPr>
              <w:t xml:space="preserve">: </w:t>
            </w:r>
            <w:r>
              <w:rPr>
                <w:rStyle w:val="IndexLink"/>
                <w:rtl w:val="true"/>
              </w:rPr>
              <w:t>رواية الوليد بن صبيح</w:t>
            </w:r>
            <w:r>
              <w:rPr>
                <w:rStyle w:val="IndexLink"/>
                <w:rtl w:val="true"/>
              </w:rPr>
              <w:tab/>
            </w:r>
            <w:r>
              <w:rPr>
                <w:rStyle w:val="IndexLink"/>
              </w:rPr>
              <w:t>126</w:t>
            </w:r>
          </w:hyperlink>
        </w:p>
        <w:p>
          <w:pPr>
            <w:pStyle w:val="Contents5"/>
            <w:tabs>
              <w:tab w:val="clear" w:pos="7892"/>
              <w:tab w:val="right" w:pos="9026" w:leader="dot"/>
            </w:tabs>
            <w:rPr/>
          </w:pPr>
          <w:hyperlink w:anchor="__RefHeading___Toc2517450_653776707">
            <w:r>
              <w:rPr>
                <w:webHidden/>
                <w:rStyle w:val="IndexLink"/>
                <w:rtl w:val="true"/>
              </w:rPr>
              <w:t>ومنها</w:t>
            </w:r>
            <w:r>
              <w:rPr>
                <w:rStyle w:val="IndexLink"/>
                <w:rtl w:val="true"/>
              </w:rPr>
              <w:t xml:space="preserve">: </w:t>
            </w:r>
            <w:r>
              <w:rPr>
                <w:rStyle w:val="IndexLink"/>
                <w:rtl w:val="true"/>
              </w:rPr>
              <w:t>موثّقة طلحة بن زيد</w:t>
            </w:r>
            <w:r>
              <w:rPr>
                <w:rStyle w:val="IndexLink"/>
                <w:rtl w:val="true"/>
              </w:rPr>
              <w:tab/>
            </w:r>
            <w:r>
              <w:rPr>
                <w:rStyle w:val="IndexLink"/>
              </w:rPr>
              <w:t>126</w:t>
            </w:r>
          </w:hyperlink>
        </w:p>
        <w:p>
          <w:pPr>
            <w:pStyle w:val="Contents4"/>
            <w:tabs>
              <w:tab w:val="clear" w:pos="8176"/>
              <w:tab w:val="right" w:pos="9026" w:leader="dot"/>
            </w:tabs>
            <w:rPr/>
          </w:pPr>
          <w:hyperlink w:anchor="__RefHeading___Toc2517452_653776707">
            <w:r>
              <w:rPr>
                <w:webHidden/>
                <w:rStyle w:val="IndexLink"/>
                <w:rtl w:val="true"/>
              </w:rPr>
              <w:t>المسألة الثالثة</w:t>
            </w:r>
            <w:r>
              <w:rPr>
                <w:rStyle w:val="IndexLink"/>
                <w:rtl w:val="true"/>
              </w:rPr>
              <w:t xml:space="preserve">: </w:t>
            </w:r>
            <w:r>
              <w:rPr>
                <w:rStyle w:val="IndexLink"/>
                <w:rtl w:val="true"/>
              </w:rPr>
              <w:t>دراسة الأدلة الدالّة على لزوم السكون وعدم التحرّك</w:t>
            </w:r>
            <w:r>
              <w:rPr>
                <w:rStyle w:val="IndexLink"/>
                <w:rtl w:val="true"/>
              </w:rPr>
              <w:tab/>
            </w:r>
            <w:r>
              <w:rPr>
                <w:rStyle w:val="IndexLink"/>
              </w:rPr>
              <w:t>129</w:t>
            </w:r>
          </w:hyperlink>
        </w:p>
        <w:p>
          <w:pPr>
            <w:pStyle w:val="Contents5"/>
            <w:tabs>
              <w:tab w:val="clear" w:pos="7892"/>
              <w:tab w:val="right" w:pos="9026" w:leader="dot"/>
            </w:tabs>
            <w:rPr/>
          </w:pPr>
          <w:hyperlink w:anchor="__RefHeading___Toc2517454_653776707">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2517456_653776707">
            <w:r>
              <w:rPr>
                <w:webHidden/>
                <w:rStyle w:val="IndexLink"/>
                <w:rtl w:val="true"/>
              </w:rPr>
              <w:t>منها</w:t>
            </w:r>
            <w:r>
              <w:rPr>
                <w:rStyle w:val="IndexLink"/>
                <w:rtl w:val="true"/>
              </w:rPr>
              <w:t xml:space="preserve">: </w:t>
            </w:r>
            <w:r>
              <w:rPr>
                <w:rStyle w:val="IndexLink"/>
                <w:rtl w:val="true"/>
              </w:rPr>
              <w:t>صحيحة سدير</w:t>
            </w:r>
            <w:r>
              <w:rPr>
                <w:rStyle w:val="IndexLink"/>
                <w:rtl w:val="true"/>
              </w:rPr>
              <w:tab/>
            </w:r>
            <w:r>
              <w:rPr>
                <w:rStyle w:val="IndexLink"/>
              </w:rPr>
              <w:t>129</w:t>
            </w:r>
          </w:hyperlink>
        </w:p>
        <w:p>
          <w:pPr>
            <w:pStyle w:val="Contents5"/>
            <w:tabs>
              <w:tab w:val="clear" w:pos="7892"/>
              <w:tab w:val="right" w:pos="9026" w:leader="dot"/>
            </w:tabs>
            <w:rPr/>
          </w:pPr>
          <w:hyperlink w:anchor="__RefHeading___Toc2517458_653776707">
            <w:r>
              <w:rPr>
                <w:webHidden/>
                <w:rStyle w:val="IndexLink"/>
                <w:rtl w:val="true"/>
              </w:rPr>
              <w:t>ومنها</w:t>
            </w:r>
            <w:r>
              <w:rPr>
                <w:rStyle w:val="IndexLink"/>
                <w:rtl w:val="true"/>
              </w:rPr>
              <w:t xml:space="preserve">: </w:t>
            </w:r>
            <w:r>
              <w:rPr>
                <w:rStyle w:val="IndexLink"/>
                <w:rtl w:val="true"/>
              </w:rPr>
              <w:t>رواية جابر الجعفي</w:t>
            </w:r>
            <w:r>
              <w:rPr>
                <w:rStyle w:val="IndexLink"/>
                <w:rtl w:val="true"/>
              </w:rPr>
              <w:tab/>
            </w:r>
            <w:r>
              <w:rPr>
                <w:rStyle w:val="IndexLink"/>
              </w:rPr>
              <w:t>129</w:t>
            </w:r>
          </w:hyperlink>
        </w:p>
        <w:p>
          <w:pPr>
            <w:pStyle w:val="Contents5"/>
            <w:tabs>
              <w:tab w:val="clear" w:pos="7892"/>
              <w:tab w:val="right" w:pos="9026" w:leader="dot"/>
            </w:tabs>
            <w:rPr/>
          </w:pPr>
          <w:hyperlink w:anchor="__RefHeading___Toc2517460_653776707">
            <w:r>
              <w:rPr>
                <w:webHidden/>
                <w:rStyle w:val="IndexLink"/>
                <w:rtl w:val="true"/>
              </w:rPr>
              <w:t>منها</w:t>
            </w:r>
            <w:r>
              <w:rPr>
                <w:rStyle w:val="IndexLink"/>
                <w:rtl w:val="true"/>
              </w:rPr>
              <w:t xml:space="preserve">: </w:t>
            </w:r>
            <w:r>
              <w:rPr>
                <w:rStyle w:val="IndexLink"/>
                <w:rtl w:val="true"/>
              </w:rPr>
              <w:t>رواية النعماني</w:t>
            </w:r>
            <w:r>
              <w:rPr>
                <w:rStyle w:val="IndexLink"/>
                <w:rtl w:val="true"/>
              </w:rPr>
              <w:tab/>
            </w:r>
            <w:r>
              <w:rPr>
                <w:rStyle w:val="IndexLink"/>
              </w:rPr>
              <w:t>129</w:t>
            </w:r>
          </w:hyperlink>
        </w:p>
        <w:p>
          <w:pPr>
            <w:pStyle w:val="Contents5"/>
            <w:tabs>
              <w:tab w:val="clear" w:pos="7892"/>
              <w:tab w:val="right" w:pos="9026" w:leader="dot"/>
            </w:tabs>
            <w:rPr/>
          </w:pPr>
          <w:hyperlink w:anchor="__RefHeading___Toc2517462_653776707">
            <w:r>
              <w:rPr>
                <w:webHidden/>
                <w:rStyle w:val="IndexLink"/>
                <w:rtl w:val="true"/>
              </w:rPr>
              <w:t>منها</w:t>
            </w:r>
            <w:r>
              <w:rPr>
                <w:rStyle w:val="IndexLink"/>
                <w:rtl w:val="true"/>
              </w:rPr>
              <w:t xml:space="preserve">: </w:t>
            </w:r>
            <w:r>
              <w:rPr>
                <w:rStyle w:val="IndexLink"/>
                <w:rtl w:val="true"/>
              </w:rPr>
              <w:t>ما رواه النعماني أيضًا</w:t>
            </w:r>
            <w:r>
              <w:rPr>
                <w:rStyle w:val="IndexLink"/>
                <w:rtl w:val="true"/>
              </w:rPr>
              <w:tab/>
            </w:r>
            <w:r>
              <w:rPr>
                <w:rStyle w:val="IndexLink"/>
              </w:rPr>
              <w:t>130</w:t>
            </w:r>
          </w:hyperlink>
        </w:p>
        <w:p>
          <w:pPr>
            <w:pStyle w:val="Contents5"/>
            <w:tabs>
              <w:tab w:val="clear" w:pos="7892"/>
              <w:tab w:val="right" w:pos="9026" w:leader="dot"/>
            </w:tabs>
            <w:rPr/>
          </w:pPr>
          <w:hyperlink w:anchor="__RefHeading___Toc2517464_653776707">
            <w:r>
              <w:rPr>
                <w:webHidden/>
                <w:rStyle w:val="IndexLink"/>
                <w:rtl w:val="true"/>
              </w:rPr>
              <w:t>منها</w:t>
            </w:r>
            <w:r>
              <w:rPr>
                <w:rStyle w:val="IndexLink"/>
                <w:rtl w:val="true"/>
              </w:rPr>
              <w:t xml:space="preserve">: </w:t>
            </w:r>
            <w:r>
              <w:rPr>
                <w:rStyle w:val="IndexLink"/>
                <w:rtl w:val="true"/>
              </w:rPr>
              <w:t>ما رواه الكليني</w:t>
            </w:r>
            <w:r>
              <w:rPr>
                <w:rStyle w:val="IndexLink"/>
                <w:rtl w:val="true"/>
              </w:rPr>
              <w:tab/>
            </w:r>
            <w:r>
              <w:rPr>
                <w:rStyle w:val="IndexLink"/>
              </w:rPr>
              <w:t>130</w:t>
            </w:r>
          </w:hyperlink>
        </w:p>
        <w:p>
          <w:pPr>
            <w:pStyle w:val="Contents4"/>
            <w:tabs>
              <w:tab w:val="clear" w:pos="8176"/>
              <w:tab w:val="right" w:pos="9026" w:leader="dot"/>
            </w:tabs>
            <w:rPr/>
          </w:pPr>
          <w:hyperlink w:anchor="__RefHeading___Toc2517466_653776707">
            <w:r>
              <w:rPr>
                <w:webHidden/>
                <w:rStyle w:val="IndexLink"/>
                <w:rtl w:val="true"/>
              </w:rPr>
              <w:t>المسألة الرابعة</w:t>
            </w:r>
            <w:r>
              <w:rPr>
                <w:rStyle w:val="IndexLink"/>
                <w:rtl w:val="true"/>
              </w:rPr>
              <w:t xml:space="preserve">: </w:t>
            </w:r>
            <w:r>
              <w:rPr>
                <w:rStyle w:val="IndexLink"/>
                <w:rtl w:val="true"/>
              </w:rPr>
              <w:t>دراسة روايات الراية</w:t>
            </w:r>
            <w:r>
              <w:rPr>
                <w:rStyle w:val="IndexLink"/>
                <w:rtl w:val="true"/>
              </w:rPr>
              <w:tab/>
            </w:r>
            <w:r>
              <w:rPr>
                <w:rStyle w:val="IndexLink"/>
              </w:rPr>
              <w:t>131</w:t>
            </w:r>
          </w:hyperlink>
        </w:p>
        <w:p>
          <w:pPr>
            <w:pStyle w:val="Contents5"/>
            <w:tabs>
              <w:tab w:val="clear" w:pos="7892"/>
              <w:tab w:val="right" w:pos="9026" w:leader="dot"/>
            </w:tabs>
            <w:rPr/>
          </w:pPr>
          <w:hyperlink w:anchor="__RefHeading___Toc2517468_653776707">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2517470_653776707">
            <w:r>
              <w:rPr>
                <w:webHidden/>
                <w:rStyle w:val="IndexLink"/>
                <w:rtl w:val="true"/>
              </w:rPr>
              <w:t>صحيحة أبي بصير</w:t>
            </w:r>
            <w:r>
              <w:rPr>
                <w:rStyle w:val="IndexLink"/>
                <w:rtl w:val="true"/>
              </w:rPr>
              <w:tab/>
            </w:r>
            <w:r>
              <w:rPr>
                <w:rStyle w:val="IndexLink"/>
              </w:rPr>
              <w:t>131</w:t>
            </w:r>
          </w:hyperlink>
        </w:p>
        <w:p>
          <w:pPr>
            <w:pStyle w:val="Contents5"/>
            <w:tabs>
              <w:tab w:val="clear" w:pos="7892"/>
              <w:tab w:val="right" w:pos="9026" w:leader="dot"/>
            </w:tabs>
            <w:rPr/>
          </w:pPr>
          <w:hyperlink w:anchor="__RefHeading___Toc2517472_653776707">
            <w:r>
              <w:rPr>
                <w:webHidden/>
                <w:rStyle w:val="IndexLink"/>
                <w:rtl w:val="true"/>
              </w:rPr>
              <w:t>ومنها</w:t>
            </w:r>
            <w:r>
              <w:rPr>
                <w:rStyle w:val="IndexLink"/>
                <w:rtl w:val="true"/>
              </w:rPr>
              <w:t xml:space="preserve">: </w:t>
            </w:r>
            <w:r>
              <w:rPr>
                <w:rStyle w:val="IndexLink"/>
                <w:rtl w:val="true"/>
              </w:rPr>
              <w:t>رواية مالك بن أعين الجهني</w:t>
            </w:r>
            <w:r>
              <w:rPr>
                <w:rStyle w:val="IndexLink"/>
                <w:rtl w:val="true"/>
              </w:rPr>
              <w:tab/>
            </w:r>
            <w:r>
              <w:rPr>
                <w:rStyle w:val="IndexLink"/>
              </w:rPr>
              <w:t>132</w:t>
            </w:r>
          </w:hyperlink>
        </w:p>
        <w:p>
          <w:pPr>
            <w:pStyle w:val="Contents5"/>
            <w:tabs>
              <w:tab w:val="clear" w:pos="7892"/>
              <w:tab w:val="right" w:pos="9026" w:leader="dot"/>
            </w:tabs>
            <w:rPr/>
          </w:pPr>
          <w:hyperlink w:anchor="__RefHeading___Toc2517474_653776707">
            <w:r>
              <w:rPr>
                <w:webHidden/>
                <w:rStyle w:val="IndexLink"/>
                <w:rtl w:val="true"/>
              </w:rPr>
              <w:t>ومنها</w:t>
            </w:r>
            <w:r>
              <w:rPr>
                <w:rStyle w:val="IndexLink"/>
                <w:rtl w:val="true"/>
              </w:rPr>
              <w:t xml:space="preserve">: </w:t>
            </w:r>
            <w:r>
              <w:rPr>
                <w:rStyle w:val="IndexLink"/>
                <w:rtl w:val="true"/>
              </w:rPr>
              <w:t>رواية ثانية لمالك بن أعين الجهني</w:t>
            </w:r>
            <w:r>
              <w:rPr>
                <w:rStyle w:val="IndexLink"/>
                <w:rtl w:val="true"/>
              </w:rPr>
              <w:tab/>
            </w:r>
            <w:r>
              <w:rPr>
                <w:rStyle w:val="IndexLink"/>
              </w:rPr>
              <w:t>132</w:t>
            </w:r>
          </w:hyperlink>
        </w:p>
        <w:p>
          <w:pPr>
            <w:pStyle w:val="Contents5"/>
            <w:tabs>
              <w:tab w:val="clear" w:pos="7892"/>
              <w:tab w:val="right" w:pos="9026" w:leader="dot"/>
            </w:tabs>
            <w:rPr/>
          </w:pPr>
          <w:hyperlink w:anchor="__RefHeading___Toc2517476_653776707">
            <w:r>
              <w:rPr>
                <w:webHidden/>
                <w:rStyle w:val="IndexLink"/>
                <w:rtl w:val="true"/>
              </w:rPr>
              <w:t>ومنها</w:t>
            </w:r>
            <w:r>
              <w:rPr>
                <w:rStyle w:val="IndexLink"/>
                <w:rtl w:val="true"/>
              </w:rPr>
              <w:t xml:space="preserve">: </w:t>
            </w:r>
            <w:r>
              <w:rPr>
                <w:rStyle w:val="IndexLink"/>
                <w:rtl w:val="true"/>
              </w:rPr>
              <w:t>رواية ثالثة لمالك بن أعين الجهني</w:t>
            </w:r>
            <w:r>
              <w:rPr>
                <w:rStyle w:val="IndexLink"/>
                <w:rtl w:val="true"/>
              </w:rPr>
              <w:tab/>
            </w:r>
            <w:r>
              <w:rPr>
                <w:rStyle w:val="IndexLink"/>
              </w:rPr>
              <w:t>132</w:t>
            </w:r>
          </w:hyperlink>
        </w:p>
        <w:p>
          <w:pPr>
            <w:pStyle w:val="Contents3"/>
            <w:tabs>
              <w:tab w:val="clear" w:pos="8459"/>
              <w:tab w:val="right" w:pos="9026" w:leader="dot"/>
            </w:tabs>
            <w:rPr/>
          </w:pPr>
          <w:hyperlink w:anchor="__RefHeading___Toc2517478_653776707">
            <w:r>
              <w:rPr>
                <w:webHidden/>
                <w:rStyle w:val="IndexLink"/>
                <w:rtl w:val="true"/>
              </w:rPr>
              <w:t>الفصل الخامس</w:t>
            </w:r>
            <w:r>
              <w:rPr>
                <w:rStyle w:val="IndexLink"/>
                <w:rtl w:val="true"/>
              </w:rPr>
              <w:t xml:space="preserve">: </w:t>
            </w:r>
            <w:r>
              <w:rPr>
                <w:rStyle w:val="IndexLink"/>
                <w:rtl w:val="true"/>
              </w:rPr>
              <w:t xml:space="preserve">ملامح الدولة الإسلامية في كلمات الإمام الخميني </w:t>
            </w:r>
            <w:r>
              <w:rPr>
                <w:rStyle w:val="IndexLink"/>
                <w:rtl w:val="true"/>
              </w:rPr>
              <w:t>(</w:t>
            </w:r>
            <w:r>
              <w:rPr>
                <w:rStyle w:val="IndexLink"/>
                <w:rtl w:val="true"/>
              </w:rPr>
              <w:t>قُدّس سِرّه</w:t>
            </w:r>
            <w:r>
              <w:rPr>
                <w:rStyle w:val="IndexLink"/>
                <w:rtl w:val="true"/>
              </w:rPr>
              <w:t>)</w:t>
              <w:tab/>
            </w:r>
            <w:r>
              <w:rPr>
                <w:rStyle w:val="IndexLink"/>
              </w:rPr>
              <w:t>137</w:t>
            </w:r>
          </w:hyperlink>
        </w:p>
        <w:p>
          <w:pPr>
            <w:pStyle w:val="Contents4"/>
            <w:tabs>
              <w:tab w:val="clear" w:pos="8176"/>
              <w:tab w:val="right" w:pos="9026" w:leader="dot"/>
            </w:tabs>
            <w:rPr/>
          </w:pPr>
          <w:hyperlink w:anchor="__RefHeading___Toc2517480_653776707">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2517482_653776707">
            <w:r>
              <w:rPr>
                <w:webHidden/>
                <w:rStyle w:val="IndexLink"/>
                <w:rtl w:val="true"/>
              </w:rPr>
              <w:t>اللمحة الأولى</w:t>
            </w:r>
            <w:r>
              <w:rPr>
                <w:rStyle w:val="IndexLink"/>
                <w:rtl w:val="true"/>
              </w:rPr>
              <w:t xml:space="preserve">: </w:t>
            </w:r>
            <w:r>
              <w:rPr>
                <w:rStyle w:val="IndexLink"/>
                <w:rtl w:val="true"/>
              </w:rPr>
              <w:t>نهج الحكومة الإسلامية</w:t>
            </w:r>
            <w:r>
              <w:rPr>
                <w:rStyle w:val="IndexLink"/>
                <w:rtl w:val="true"/>
              </w:rPr>
              <w:tab/>
            </w:r>
            <w:r>
              <w:rPr>
                <w:rStyle w:val="IndexLink"/>
              </w:rPr>
              <w:t>137</w:t>
            </w:r>
          </w:hyperlink>
        </w:p>
        <w:p>
          <w:pPr>
            <w:pStyle w:val="Contents4"/>
            <w:tabs>
              <w:tab w:val="clear" w:pos="8176"/>
              <w:tab w:val="right" w:pos="9026" w:leader="dot"/>
            </w:tabs>
            <w:rPr/>
          </w:pPr>
          <w:hyperlink w:anchor="__RefHeading___Toc2517484_653776707">
            <w:r>
              <w:rPr>
                <w:webHidden/>
                <w:rStyle w:val="IndexLink"/>
                <w:rtl w:val="true"/>
              </w:rPr>
              <w:t>اللمحة الثانية</w:t>
            </w:r>
            <w:r>
              <w:rPr>
                <w:rStyle w:val="IndexLink"/>
                <w:rtl w:val="true"/>
              </w:rPr>
              <w:t xml:space="preserve">: </w:t>
            </w:r>
            <w:r>
              <w:rPr>
                <w:rStyle w:val="IndexLink"/>
                <w:rtl w:val="true"/>
              </w:rPr>
              <w:t>السلطة التشريعية في الحكومة الإسلامية</w:t>
            </w:r>
            <w:r>
              <w:rPr>
                <w:rStyle w:val="IndexLink"/>
                <w:rtl w:val="true"/>
              </w:rPr>
              <w:tab/>
            </w:r>
            <w:r>
              <w:rPr>
                <w:rStyle w:val="IndexLink"/>
              </w:rPr>
              <w:t>138</w:t>
            </w:r>
          </w:hyperlink>
        </w:p>
        <w:p>
          <w:pPr>
            <w:pStyle w:val="Contents4"/>
            <w:tabs>
              <w:tab w:val="clear" w:pos="8176"/>
              <w:tab w:val="right" w:pos="9026" w:leader="dot"/>
            </w:tabs>
            <w:rPr/>
          </w:pPr>
          <w:hyperlink w:anchor="__RefHeading___Toc2517486_653776707">
            <w:r>
              <w:rPr>
                <w:webHidden/>
                <w:rStyle w:val="IndexLink"/>
                <w:rtl w:val="true"/>
              </w:rPr>
              <w:t>اللمحة الثالثة</w:t>
            </w:r>
            <w:r>
              <w:rPr>
                <w:rStyle w:val="IndexLink"/>
                <w:rtl w:val="true"/>
              </w:rPr>
              <w:t xml:space="preserve">: </w:t>
            </w:r>
            <w:r>
              <w:rPr>
                <w:rStyle w:val="IndexLink"/>
                <w:rtl w:val="true"/>
              </w:rPr>
              <w:t>تنزّه الحكومة الإسلامية عن الترف والامتيازات</w:t>
            </w:r>
            <w:r>
              <w:rPr>
                <w:rStyle w:val="IndexLink"/>
                <w:rtl w:val="true"/>
              </w:rPr>
              <w:tab/>
            </w:r>
            <w:r>
              <w:rPr>
                <w:rStyle w:val="IndexLink"/>
              </w:rPr>
              <w:t>138</w:t>
            </w:r>
          </w:hyperlink>
        </w:p>
        <w:p>
          <w:pPr>
            <w:pStyle w:val="Contents4"/>
            <w:tabs>
              <w:tab w:val="clear" w:pos="8176"/>
              <w:tab w:val="right" w:pos="9026" w:leader="dot"/>
            </w:tabs>
            <w:rPr/>
          </w:pPr>
          <w:hyperlink w:anchor="__RefHeading___Toc2517488_653776707">
            <w:r>
              <w:rPr>
                <w:webHidden/>
                <w:rStyle w:val="IndexLink"/>
                <w:rtl w:val="true"/>
              </w:rPr>
              <w:t>اللمحة الرابعة</w:t>
            </w:r>
            <w:r>
              <w:rPr>
                <w:rStyle w:val="IndexLink"/>
                <w:rtl w:val="true"/>
              </w:rPr>
              <w:t xml:space="preserve">: </w:t>
            </w:r>
            <w:r>
              <w:rPr>
                <w:rStyle w:val="IndexLink"/>
                <w:rtl w:val="true"/>
              </w:rPr>
              <w:t>توسّلية الحكومة الإسلامية</w:t>
            </w:r>
            <w:r>
              <w:rPr>
                <w:rStyle w:val="IndexLink"/>
                <w:rtl w:val="true"/>
              </w:rPr>
              <w:tab/>
            </w:r>
            <w:r>
              <w:rPr>
                <w:rStyle w:val="IndexLink"/>
              </w:rPr>
              <w:t>139</w:t>
            </w:r>
          </w:hyperlink>
        </w:p>
        <w:p>
          <w:pPr>
            <w:pStyle w:val="Contents4"/>
            <w:tabs>
              <w:tab w:val="clear" w:pos="8176"/>
              <w:tab w:val="right" w:pos="9026" w:leader="dot"/>
            </w:tabs>
            <w:rPr/>
          </w:pPr>
          <w:hyperlink w:anchor="__RefHeading___Toc2517490_653776707">
            <w:r>
              <w:rPr>
                <w:webHidden/>
                <w:rStyle w:val="IndexLink"/>
                <w:rtl w:val="true"/>
              </w:rPr>
              <w:t>اللمحة الخامسة</w:t>
            </w:r>
            <w:r>
              <w:rPr>
                <w:rStyle w:val="IndexLink"/>
                <w:rtl w:val="true"/>
              </w:rPr>
              <w:t xml:space="preserve">: </w:t>
            </w:r>
            <w:r>
              <w:rPr>
                <w:rStyle w:val="IndexLink"/>
                <w:rtl w:val="true"/>
              </w:rPr>
              <w:t>الحكومة الإسلامية والحرية والأمن</w:t>
            </w:r>
            <w:r>
              <w:rPr>
                <w:rStyle w:val="IndexLink"/>
                <w:rtl w:val="true"/>
              </w:rPr>
              <w:tab/>
            </w:r>
            <w:r>
              <w:rPr>
                <w:rStyle w:val="IndexLink"/>
              </w:rPr>
              <w:t>139</w:t>
            </w:r>
          </w:hyperlink>
        </w:p>
        <w:p>
          <w:pPr>
            <w:pStyle w:val="Contents4"/>
            <w:tabs>
              <w:tab w:val="clear" w:pos="8176"/>
              <w:tab w:val="right" w:pos="9026" w:leader="dot"/>
            </w:tabs>
            <w:rPr/>
          </w:pPr>
          <w:hyperlink w:anchor="__RefHeading___Toc2517492_653776707">
            <w:r>
              <w:rPr>
                <w:webHidden/>
                <w:rStyle w:val="IndexLink"/>
                <w:rtl w:val="true"/>
              </w:rPr>
              <w:t>اللمحة السادسة</w:t>
            </w:r>
            <w:r>
              <w:rPr>
                <w:rStyle w:val="IndexLink"/>
                <w:rtl w:val="true"/>
              </w:rPr>
              <w:t xml:space="preserve">: </w:t>
            </w:r>
            <w:r>
              <w:rPr>
                <w:rStyle w:val="IndexLink"/>
                <w:rtl w:val="true"/>
              </w:rPr>
              <w:t>الحكومة الإسلامية والمصالح العامّة</w:t>
            </w:r>
            <w:r>
              <w:rPr>
                <w:rStyle w:val="IndexLink"/>
                <w:rtl w:val="true"/>
              </w:rPr>
              <w:tab/>
            </w:r>
            <w:r>
              <w:rPr>
                <w:rStyle w:val="IndexLink"/>
              </w:rPr>
              <w:t>140</w:t>
            </w:r>
          </w:hyperlink>
        </w:p>
        <w:p>
          <w:pPr>
            <w:pStyle w:val="Contents4"/>
            <w:tabs>
              <w:tab w:val="clear" w:pos="8176"/>
              <w:tab w:val="right" w:pos="9026" w:leader="dot"/>
            </w:tabs>
            <w:rPr/>
          </w:pPr>
          <w:hyperlink w:anchor="__RefHeading___Toc2517494_653776707">
            <w:r>
              <w:rPr>
                <w:webHidden/>
                <w:rStyle w:val="IndexLink"/>
                <w:rtl w:val="true"/>
              </w:rPr>
              <w:t>اللمحة السابعة</w:t>
            </w:r>
            <w:r>
              <w:rPr>
                <w:rStyle w:val="IndexLink"/>
                <w:rtl w:val="true"/>
              </w:rPr>
              <w:t xml:space="preserve">: </w:t>
            </w:r>
            <w:r>
              <w:rPr>
                <w:rStyle w:val="IndexLink"/>
                <w:rtl w:val="true"/>
              </w:rPr>
              <w:t>موقع الدولة والتشريعات الاجتماعيّة في الإسلام</w:t>
            </w:r>
            <w:r>
              <w:rPr>
                <w:rStyle w:val="IndexLink"/>
                <w:rtl w:val="true"/>
              </w:rPr>
              <w:tab/>
            </w:r>
            <w:r>
              <w:rPr>
                <w:rStyle w:val="IndexLink"/>
              </w:rPr>
              <w:t>140</w:t>
            </w:r>
          </w:hyperlink>
        </w:p>
        <w:p>
          <w:pPr>
            <w:pStyle w:val="Contents4"/>
            <w:tabs>
              <w:tab w:val="clear" w:pos="8176"/>
              <w:tab w:val="right" w:pos="9026" w:leader="dot"/>
            </w:tabs>
            <w:rPr/>
          </w:pPr>
          <w:hyperlink w:anchor="__RefHeading___Toc2517496_653776707">
            <w:r>
              <w:rPr>
                <w:webHidden/>
                <w:rStyle w:val="IndexLink"/>
                <w:rtl w:val="true"/>
              </w:rPr>
              <w:t>اللمحة الثامنة</w:t>
            </w:r>
            <w:r>
              <w:rPr>
                <w:rStyle w:val="IndexLink"/>
                <w:rtl w:val="true"/>
              </w:rPr>
              <w:t xml:space="preserve">: </w:t>
            </w:r>
            <w:r>
              <w:rPr>
                <w:rStyle w:val="IndexLink"/>
                <w:rtl w:val="true"/>
              </w:rPr>
              <w:t>موقف كلّ من الإسلام والحكومة الإسلامية والأحكام الفقهية للآخر</w:t>
            </w:r>
            <w:r>
              <w:rPr>
                <w:rStyle w:val="IndexLink"/>
                <w:rtl w:val="true"/>
              </w:rPr>
              <w:tab/>
            </w:r>
            <w:r>
              <w:rPr>
                <w:rStyle w:val="IndexLink"/>
              </w:rPr>
              <w:t>141</w:t>
            </w:r>
          </w:hyperlink>
        </w:p>
        <w:p>
          <w:pPr>
            <w:pStyle w:val="Contents4"/>
            <w:tabs>
              <w:tab w:val="clear" w:pos="8176"/>
              <w:tab w:val="right" w:pos="9026" w:leader="dot"/>
            </w:tabs>
            <w:rPr/>
          </w:pPr>
          <w:hyperlink w:anchor="__RefHeading___Toc2517498_653776707">
            <w:r>
              <w:rPr>
                <w:webHidden/>
                <w:rStyle w:val="IndexLink"/>
                <w:rtl w:val="true"/>
              </w:rPr>
              <w:t>اللمحة التاسعة</w:t>
            </w:r>
            <w:r>
              <w:rPr>
                <w:rStyle w:val="IndexLink"/>
                <w:rtl w:val="true"/>
              </w:rPr>
              <w:t xml:space="preserve">: </w:t>
            </w:r>
            <w:r>
              <w:rPr>
                <w:rStyle w:val="IndexLink"/>
                <w:rtl w:val="true"/>
              </w:rPr>
              <w:t>موقع الدولة الإسلامية، بالقياس إلى الأحكام الأولية والأحكام الولائية</w:t>
            </w:r>
            <w:r>
              <w:rPr>
                <w:rStyle w:val="IndexLink"/>
                <w:rtl w:val="true"/>
              </w:rPr>
              <w:tab/>
            </w:r>
            <w:r>
              <w:rPr>
                <w:rStyle w:val="IndexLink"/>
              </w:rPr>
              <w:t>144</w:t>
            </w:r>
          </w:hyperlink>
        </w:p>
        <w:p>
          <w:pPr>
            <w:pStyle w:val="Contents4"/>
            <w:tabs>
              <w:tab w:val="clear" w:pos="8176"/>
              <w:tab w:val="right" w:pos="9026" w:leader="dot"/>
            </w:tabs>
            <w:rPr/>
          </w:pPr>
          <w:hyperlink w:anchor="__RefHeading___Toc2517500_653776707">
            <w:r>
              <w:rPr>
                <w:webHidden/>
                <w:rStyle w:val="IndexLink"/>
                <w:rtl w:val="true"/>
              </w:rPr>
              <w:t>اللمحة العاشرة</w:t>
            </w:r>
            <w:r>
              <w:rPr>
                <w:rStyle w:val="IndexLink"/>
                <w:rtl w:val="true"/>
              </w:rPr>
              <w:t xml:space="preserve">: </w:t>
            </w:r>
            <w:r>
              <w:rPr>
                <w:rStyle w:val="IndexLink"/>
                <w:rtl w:val="true"/>
              </w:rPr>
              <w:t>الحكومة الإسلامية وتأسيس الفقه الحكومی</w:t>
            </w:r>
            <w:r>
              <w:rPr>
                <w:rStyle w:val="IndexLink"/>
                <w:rtl w:val="true"/>
              </w:rPr>
              <w:tab/>
            </w:r>
            <w:r>
              <w:rPr>
                <w:rStyle w:val="IndexLink"/>
              </w:rPr>
              <w:t>146</w:t>
            </w:r>
          </w:hyperlink>
        </w:p>
        <w:p>
          <w:pPr>
            <w:pStyle w:val="Contents2"/>
            <w:tabs>
              <w:tab w:val="clear" w:pos="8743"/>
              <w:tab w:val="right" w:pos="9026" w:leader="dot"/>
            </w:tabs>
            <w:rPr/>
          </w:pPr>
          <w:hyperlink w:anchor="__RefHeading___Toc2517502_653776707">
            <w:r>
              <w:rPr>
                <w:webHidden/>
                <w:rStyle w:val="IndexLink"/>
                <w:rtl w:val="true"/>
              </w:rPr>
              <w:t>المرحلة الثانية</w:t>
            </w:r>
            <w:r>
              <w:rPr>
                <w:rStyle w:val="IndexLink"/>
                <w:rtl w:val="true"/>
              </w:rPr>
              <w:t>:</w:t>
            </w:r>
            <w:r>
              <w:rPr>
                <w:rStyle w:val="IndexLink"/>
                <w:rtl w:val="true"/>
              </w:rPr>
              <w:t>شروط الإمامة في عصر الغيبة</w:t>
            </w:r>
            <w:r>
              <w:rPr>
                <w:rStyle w:val="IndexLink"/>
                <w:rtl w:val="true"/>
              </w:rPr>
              <w:tab/>
            </w:r>
            <w:r>
              <w:rPr>
                <w:rStyle w:val="IndexLink"/>
              </w:rPr>
              <w:t>150</w:t>
            </w:r>
          </w:hyperlink>
        </w:p>
        <w:p>
          <w:pPr>
            <w:pStyle w:val="Contents3"/>
            <w:tabs>
              <w:tab w:val="clear" w:pos="8459"/>
              <w:tab w:val="right" w:pos="9026" w:leader="dot"/>
            </w:tabs>
            <w:rPr/>
          </w:pPr>
          <w:hyperlink w:anchor="__RefHeading___Toc2517504_653776707">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2517506_653776707">
            <w:r>
              <w:rPr>
                <w:webHidden/>
                <w:rStyle w:val="IndexLink"/>
                <w:rtl w:val="true"/>
              </w:rPr>
              <w:t>المرحلة الثانية</w:t>
            </w:r>
            <w:r>
              <w:rPr>
                <w:rStyle w:val="IndexLink"/>
                <w:rtl w:val="true"/>
              </w:rPr>
              <w:t>:</w:t>
            </w:r>
            <w:r>
              <w:rPr>
                <w:rStyle w:val="IndexLink"/>
                <w:rtl w:val="true"/>
              </w:rPr>
              <w:t>شروط الإمامة في عصر الغيبة</w:t>
            </w:r>
            <w:r>
              <w:rPr>
                <w:rStyle w:val="IndexLink"/>
                <w:rtl w:val="true"/>
              </w:rPr>
              <w:tab/>
            </w:r>
            <w:r>
              <w:rPr>
                <w:rStyle w:val="IndexLink"/>
              </w:rPr>
              <w:t>151</w:t>
            </w:r>
          </w:hyperlink>
        </w:p>
        <w:p>
          <w:pPr>
            <w:pStyle w:val="Contents3"/>
            <w:tabs>
              <w:tab w:val="clear" w:pos="8459"/>
              <w:tab w:val="right" w:pos="9026" w:leader="dot"/>
            </w:tabs>
            <w:rPr/>
          </w:pPr>
          <w:hyperlink w:anchor="__RefHeading___Toc2517508_653776707">
            <w:r>
              <w:rPr>
                <w:webHidden/>
                <w:rStyle w:val="IndexLink"/>
                <w:rtl w:val="true"/>
              </w:rPr>
              <w:t>لمحة تاريخية للإشارة إلى تاريخ البحث</w:t>
            </w:r>
            <w:r>
              <w:rPr>
                <w:rStyle w:val="IndexLink"/>
                <w:rtl w:val="true"/>
              </w:rPr>
              <w:tab/>
            </w:r>
            <w:r>
              <w:rPr>
                <w:rStyle w:val="IndexLink"/>
              </w:rPr>
              <w:t>153</w:t>
            </w:r>
          </w:hyperlink>
        </w:p>
        <w:p>
          <w:pPr>
            <w:pStyle w:val="Contents4"/>
            <w:tabs>
              <w:tab w:val="clear" w:pos="8176"/>
              <w:tab w:val="right" w:pos="9026" w:leader="dot"/>
            </w:tabs>
            <w:rPr/>
          </w:pPr>
          <w:hyperlink w:anchor="__RefHeading___Toc2517510_653776707">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2517512_653776707">
            <w:r>
              <w:rPr>
                <w:webHidden/>
                <w:rStyle w:val="IndexLink"/>
                <w:rtl w:val="true"/>
              </w:rPr>
              <w:t>أ</w:t>
            </w:r>
            <w:r>
              <w:rPr>
                <w:rStyle w:val="IndexLink"/>
                <w:rtl w:val="true"/>
              </w:rPr>
              <w:t xml:space="preserve">) </w:t>
            </w:r>
            <w:r>
              <w:rPr>
                <w:rStyle w:val="IndexLink"/>
                <w:rtl w:val="true"/>
              </w:rPr>
              <w:t>إشارة إلى رأي أهل السنّة</w:t>
            </w:r>
            <w:r>
              <w:rPr>
                <w:rStyle w:val="IndexLink"/>
                <w:rtl w:val="true"/>
              </w:rPr>
              <w:tab/>
            </w:r>
            <w:r>
              <w:rPr>
                <w:rStyle w:val="IndexLink"/>
              </w:rPr>
              <w:t>154</w:t>
            </w:r>
          </w:hyperlink>
        </w:p>
        <w:p>
          <w:pPr>
            <w:pStyle w:val="Contents4"/>
            <w:tabs>
              <w:tab w:val="clear" w:pos="8176"/>
              <w:tab w:val="right" w:pos="9026" w:leader="dot"/>
            </w:tabs>
            <w:rPr/>
          </w:pPr>
          <w:hyperlink w:anchor="__RefHeading___Toc2517514_653776707">
            <w:r>
              <w:rPr>
                <w:webHidden/>
                <w:rStyle w:val="IndexLink"/>
                <w:rtl w:val="true"/>
              </w:rPr>
              <w:t>ب</w:t>
            </w:r>
            <w:r>
              <w:rPr>
                <w:rStyle w:val="IndexLink"/>
                <w:rtl w:val="true"/>
              </w:rPr>
              <w:t xml:space="preserve">) </w:t>
            </w:r>
            <w:r>
              <w:rPr>
                <w:rStyle w:val="IndexLink"/>
                <w:rtl w:val="true"/>
              </w:rPr>
              <w:t>إشارة إلى كلمات فقهاء الإماميّة قبل انتصار الثورة</w:t>
            </w:r>
            <w:r>
              <w:rPr>
                <w:rStyle w:val="IndexLink"/>
                <w:rtl w:val="true"/>
              </w:rPr>
              <w:tab/>
            </w:r>
            <w:r>
              <w:rPr>
                <w:rStyle w:val="IndexLink"/>
              </w:rPr>
              <w:t>155</w:t>
            </w:r>
          </w:hyperlink>
        </w:p>
        <w:p>
          <w:pPr>
            <w:pStyle w:val="Contents4"/>
            <w:tabs>
              <w:tab w:val="clear" w:pos="8176"/>
              <w:tab w:val="right" w:pos="9026" w:leader="dot"/>
            </w:tabs>
            <w:rPr/>
          </w:pPr>
          <w:hyperlink w:anchor="__RefHeading___Toc2517516_653776707">
            <w:r>
              <w:rPr>
                <w:webHidden/>
                <w:rStyle w:val="IndexLink"/>
                <w:rtl w:val="true"/>
              </w:rPr>
              <w:t>ج</w:t>
            </w:r>
            <w:r>
              <w:rPr>
                <w:rStyle w:val="IndexLink"/>
                <w:rtl w:val="true"/>
              </w:rPr>
              <w:t xml:space="preserve">) </w:t>
            </w:r>
            <w:r>
              <w:rPr>
                <w:rStyle w:val="IndexLink"/>
                <w:rtl w:val="true"/>
              </w:rPr>
              <w:t>إشارة إلى كلمات فقهاء الإمامية بعد انتصار الثورة</w:t>
            </w:r>
            <w:r>
              <w:rPr>
                <w:rStyle w:val="IndexLink"/>
                <w:rtl w:val="true"/>
              </w:rPr>
              <w:tab/>
            </w:r>
            <w:r>
              <w:rPr>
                <w:rStyle w:val="IndexLink"/>
              </w:rPr>
              <w:t>157</w:t>
            </w:r>
          </w:hyperlink>
        </w:p>
        <w:p>
          <w:pPr>
            <w:pStyle w:val="Contents5"/>
            <w:tabs>
              <w:tab w:val="clear" w:pos="7892"/>
              <w:tab w:val="right" w:pos="9026" w:leader="dot"/>
            </w:tabs>
            <w:rPr/>
          </w:pPr>
          <w:hyperlink w:anchor="__RefHeading___Toc2517518_653776707">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2517520_653776707">
            <w:r>
              <w:rPr>
                <w:webHidden/>
                <w:rStyle w:val="IndexLink"/>
                <w:rtl w:val="true"/>
              </w:rPr>
              <w:t>الفصل الأول</w:t>
            </w:r>
            <w:r>
              <w:rPr>
                <w:rStyle w:val="IndexLink"/>
                <w:rtl w:val="true"/>
              </w:rPr>
              <w:t xml:space="preserve">: </w:t>
            </w:r>
            <w:r>
              <w:rPr>
                <w:rStyle w:val="IndexLink"/>
                <w:rtl w:val="true"/>
              </w:rPr>
              <w:t>في شرط الفقاهة</w:t>
            </w:r>
            <w:r>
              <w:rPr>
                <w:rStyle w:val="IndexLink"/>
                <w:rtl w:val="true"/>
              </w:rPr>
              <w:tab/>
            </w:r>
            <w:r>
              <w:rPr>
                <w:rStyle w:val="IndexLink"/>
              </w:rPr>
              <w:t>161</w:t>
            </w:r>
          </w:hyperlink>
        </w:p>
        <w:p>
          <w:pPr>
            <w:pStyle w:val="Contents6"/>
            <w:tabs>
              <w:tab w:val="clear" w:pos="7609"/>
              <w:tab w:val="right" w:pos="9026" w:leader="dot"/>
            </w:tabs>
            <w:rPr/>
          </w:pPr>
          <w:hyperlink w:anchor="__RefHeading___Toc2517522_653776707">
            <w:r>
              <w:rPr>
                <w:webHidden/>
                <w:rStyle w:val="IndexLink"/>
                <w:rtl w:val="true"/>
              </w:rPr>
              <w:t>إشارة إلى تحرير محلّ البحث</w:t>
            </w:r>
            <w:r>
              <w:rPr>
                <w:rStyle w:val="IndexLink"/>
                <w:rtl w:val="true"/>
              </w:rPr>
              <w:t>:</w:t>
              <w:tab/>
            </w:r>
            <w:r>
              <w:rPr>
                <w:rStyle w:val="IndexLink"/>
              </w:rPr>
              <w:t>161</w:t>
            </w:r>
          </w:hyperlink>
        </w:p>
        <w:p>
          <w:pPr>
            <w:pStyle w:val="Contents3"/>
            <w:tabs>
              <w:tab w:val="clear" w:pos="8459"/>
              <w:tab w:val="right" w:pos="9026" w:leader="dot"/>
            </w:tabs>
            <w:rPr/>
          </w:pPr>
          <w:hyperlink w:anchor="__RefHeading___Toc2517524_653776707">
            <w:r>
              <w:rPr>
                <w:webHidden/>
                <w:rStyle w:val="IndexLink"/>
                <w:rtl w:val="true"/>
              </w:rPr>
              <w:t>المسألة الأولى</w:t>
            </w:r>
            <w:r>
              <w:rPr>
                <w:rStyle w:val="IndexLink"/>
                <w:rtl w:val="true"/>
              </w:rPr>
              <w:t xml:space="preserve">: </w:t>
            </w:r>
            <w:r>
              <w:rPr>
                <w:rStyle w:val="IndexLink"/>
                <w:rtl w:val="true"/>
              </w:rPr>
              <w:t>الأدلّة العقلية لشرطية الفقاهة</w:t>
            </w:r>
            <w:r>
              <w:rPr>
                <w:rStyle w:val="IndexLink"/>
                <w:rtl w:val="true"/>
              </w:rPr>
              <w:t>:</w:t>
              <w:tab/>
            </w:r>
            <w:r>
              <w:rPr>
                <w:rStyle w:val="IndexLink"/>
              </w:rPr>
              <w:t>161</w:t>
            </w:r>
          </w:hyperlink>
        </w:p>
        <w:p>
          <w:pPr>
            <w:pStyle w:val="Contents4"/>
            <w:tabs>
              <w:tab w:val="clear" w:pos="8176"/>
              <w:tab w:val="right" w:pos="9026" w:leader="dot"/>
            </w:tabs>
            <w:rPr/>
          </w:pPr>
          <w:hyperlink w:anchor="__RefHeading___Toc2517526_653776707">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2517528_653776707">
            <w:r>
              <w:rPr>
                <w:webHidden/>
                <w:rStyle w:val="IndexLink"/>
                <w:rtl w:val="true"/>
              </w:rPr>
              <w:t>التقريب الأول</w:t>
            </w:r>
            <w:r>
              <w:rPr>
                <w:rStyle w:val="IndexLink"/>
                <w:rtl w:val="true"/>
              </w:rPr>
              <w:t xml:space="preserve">: </w:t>
            </w:r>
            <w:r>
              <w:rPr>
                <w:rStyle w:val="IndexLink"/>
                <w:rtl w:val="true"/>
              </w:rPr>
              <w:t>مقدّمية علم الوالي لتحقّق الحكومة الإسلامية</w:t>
            </w:r>
            <w:r>
              <w:rPr>
                <w:rStyle w:val="IndexLink"/>
                <w:rtl w:val="true"/>
              </w:rPr>
              <w:tab/>
            </w:r>
            <w:r>
              <w:rPr>
                <w:rStyle w:val="IndexLink"/>
              </w:rPr>
              <w:t>162</w:t>
            </w:r>
          </w:hyperlink>
        </w:p>
        <w:p>
          <w:pPr>
            <w:pStyle w:val="Contents4"/>
            <w:tabs>
              <w:tab w:val="clear" w:pos="8176"/>
              <w:tab w:val="right" w:pos="9026" w:leader="dot"/>
            </w:tabs>
            <w:rPr/>
          </w:pPr>
          <w:hyperlink w:anchor="__RefHeading___Toc2517530_653776707">
            <w:r>
              <w:rPr>
                <w:webHidden/>
                <w:rStyle w:val="IndexLink"/>
                <w:rtl w:val="true"/>
              </w:rPr>
              <w:t>التقريب الثاني</w:t>
            </w:r>
            <w:r>
              <w:rPr>
                <w:rStyle w:val="IndexLink"/>
                <w:rtl w:val="true"/>
              </w:rPr>
              <w:t xml:space="preserve">: </w:t>
            </w:r>
            <w:r>
              <w:rPr>
                <w:rStyle w:val="IndexLink"/>
                <w:rtl w:val="true"/>
              </w:rPr>
              <w:t>عدم شرعية ولاية الجاهل</w:t>
            </w:r>
            <w:r>
              <w:rPr>
                <w:rStyle w:val="IndexLink"/>
                <w:rtl w:val="true"/>
              </w:rPr>
              <w:tab/>
            </w:r>
            <w:r>
              <w:rPr>
                <w:rStyle w:val="IndexLink"/>
              </w:rPr>
              <w:t>164</w:t>
            </w:r>
          </w:hyperlink>
        </w:p>
        <w:p>
          <w:pPr>
            <w:pStyle w:val="Contents3"/>
            <w:tabs>
              <w:tab w:val="clear" w:pos="8459"/>
              <w:tab w:val="right" w:pos="9026" w:leader="dot"/>
            </w:tabs>
            <w:rPr/>
          </w:pPr>
          <w:hyperlink w:anchor="__RefHeading___Toc2517532_653776707">
            <w:r>
              <w:rPr>
                <w:webHidden/>
                <w:rStyle w:val="IndexLink"/>
                <w:rtl w:val="true"/>
              </w:rPr>
              <w:t>المسألة الثانية</w:t>
            </w:r>
            <w:r>
              <w:rPr>
                <w:rStyle w:val="IndexLink"/>
                <w:rtl w:val="true"/>
              </w:rPr>
              <w:t xml:space="preserve">: </w:t>
            </w:r>
            <w:r>
              <w:rPr>
                <w:rStyle w:val="IndexLink"/>
                <w:rtl w:val="true"/>
              </w:rPr>
              <w:t>شرطية الفقاهة في بناء العقلاء</w:t>
            </w:r>
            <w:r>
              <w:rPr>
                <w:rStyle w:val="IndexLink"/>
                <w:rtl w:val="true"/>
              </w:rPr>
              <w:tab/>
            </w:r>
            <w:r>
              <w:rPr>
                <w:rStyle w:val="IndexLink"/>
              </w:rPr>
              <w:t>164</w:t>
            </w:r>
          </w:hyperlink>
        </w:p>
        <w:p>
          <w:pPr>
            <w:pStyle w:val="Contents3"/>
            <w:tabs>
              <w:tab w:val="clear" w:pos="8459"/>
              <w:tab w:val="right" w:pos="9026" w:leader="dot"/>
            </w:tabs>
            <w:rPr/>
          </w:pPr>
          <w:hyperlink w:anchor="__RefHeading___Toc2517534_653776707">
            <w:r>
              <w:rPr>
                <w:webHidden/>
                <w:rStyle w:val="IndexLink"/>
                <w:rtl w:val="true"/>
              </w:rPr>
              <w:t>المسألة الثالثة</w:t>
            </w:r>
            <w:r>
              <w:rPr>
                <w:rStyle w:val="IndexLink"/>
                <w:rtl w:val="true"/>
              </w:rPr>
              <w:t xml:space="preserve">: </w:t>
            </w:r>
            <w:r>
              <w:rPr>
                <w:rStyle w:val="IndexLink"/>
                <w:rtl w:val="true"/>
              </w:rPr>
              <w:t>شرطية الفقاهة في القرآن الكريم</w:t>
            </w:r>
            <w:r>
              <w:rPr>
                <w:rStyle w:val="IndexLink"/>
                <w:rtl w:val="true"/>
              </w:rPr>
              <w:tab/>
            </w:r>
            <w:r>
              <w:rPr>
                <w:rStyle w:val="IndexLink"/>
              </w:rPr>
              <w:t>166</w:t>
            </w:r>
          </w:hyperlink>
        </w:p>
        <w:p>
          <w:pPr>
            <w:pStyle w:val="Contents4"/>
            <w:tabs>
              <w:tab w:val="clear" w:pos="8176"/>
              <w:tab w:val="right" w:pos="9026" w:leader="dot"/>
            </w:tabs>
            <w:rPr/>
          </w:pPr>
          <w:hyperlink w:anchor="__RefHeading___Toc2517536_653776707">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2517538_653776707">
            <w:r>
              <w:rPr>
                <w:webHidden/>
                <w:rStyle w:val="IndexLink"/>
                <w:rtl w:val="true"/>
              </w:rPr>
              <w:t>الآية الأولى</w:t>
            </w:r>
            <w:r>
              <w:rPr>
                <w:rStyle w:val="IndexLink"/>
                <w:rtl w:val="true"/>
              </w:rPr>
              <w:t xml:space="preserve">: </w:t>
            </w:r>
            <w:r>
              <w:rPr>
                <w:rStyle w:val="IndexLink"/>
                <w:rtl w:val="true"/>
              </w:rPr>
              <w:t>آية الهداية</w:t>
            </w:r>
            <w:r>
              <w:rPr>
                <w:rStyle w:val="IndexLink"/>
                <w:rtl w:val="true"/>
              </w:rPr>
              <w:tab/>
            </w:r>
            <w:r>
              <w:rPr>
                <w:rStyle w:val="IndexLink"/>
              </w:rPr>
              <w:t>166</w:t>
            </w:r>
          </w:hyperlink>
        </w:p>
        <w:p>
          <w:pPr>
            <w:pStyle w:val="Contents4"/>
            <w:tabs>
              <w:tab w:val="clear" w:pos="8176"/>
              <w:tab w:val="right" w:pos="9026" w:leader="dot"/>
            </w:tabs>
            <w:rPr/>
          </w:pPr>
          <w:hyperlink w:anchor="__RefHeading___Toc2517540_653776707">
            <w:r>
              <w:rPr>
                <w:webHidden/>
                <w:rStyle w:val="IndexLink"/>
                <w:rtl w:val="true"/>
              </w:rPr>
              <w:t>الآية الثانية</w:t>
            </w:r>
            <w:r>
              <w:rPr>
                <w:rStyle w:val="IndexLink"/>
                <w:rtl w:val="true"/>
              </w:rPr>
              <w:t xml:space="preserve">: </w:t>
            </w:r>
            <w:r>
              <w:rPr>
                <w:rStyle w:val="IndexLink"/>
                <w:rtl w:val="true"/>
              </w:rPr>
              <w:t>قصّة طالوت</w:t>
            </w:r>
            <w:r>
              <w:rPr>
                <w:rStyle w:val="IndexLink"/>
                <w:rtl w:val="true"/>
              </w:rPr>
              <w:tab/>
            </w:r>
            <w:r>
              <w:rPr>
                <w:rStyle w:val="IndexLink"/>
              </w:rPr>
              <w:t>168</w:t>
            </w:r>
          </w:hyperlink>
        </w:p>
        <w:p>
          <w:pPr>
            <w:pStyle w:val="Contents4"/>
            <w:tabs>
              <w:tab w:val="clear" w:pos="8176"/>
              <w:tab w:val="right" w:pos="9026" w:leader="dot"/>
            </w:tabs>
            <w:rPr/>
          </w:pPr>
          <w:hyperlink w:anchor="__RefHeading___Toc2517542_653776707">
            <w:r>
              <w:rPr>
                <w:webHidden/>
                <w:rStyle w:val="IndexLink"/>
                <w:rtl w:val="true"/>
              </w:rPr>
              <w:t>الآية الثالثة</w:t>
            </w:r>
            <w:r>
              <w:rPr>
                <w:rStyle w:val="IndexLink"/>
                <w:rtl w:val="true"/>
              </w:rPr>
              <w:t xml:space="preserve">: </w:t>
            </w:r>
            <w:r>
              <w:rPr>
                <w:rStyle w:val="IndexLink"/>
                <w:rtl w:val="true"/>
              </w:rPr>
              <w:t>آية إنزال التَّوْرَاةَ</w:t>
            </w:r>
            <w:r>
              <w:rPr>
                <w:rStyle w:val="IndexLink"/>
                <w:rtl w:val="true"/>
              </w:rPr>
              <w:tab/>
            </w:r>
            <w:r>
              <w:rPr>
                <w:rStyle w:val="IndexLink"/>
              </w:rPr>
              <w:t>170</w:t>
            </w:r>
          </w:hyperlink>
        </w:p>
        <w:p>
          <w:pPr>
            <w:pStyle w:val="Contents3"/>
            <w:tabs>
              <w:tab w:val="clear" w:pos="8459"/>
              <w:tab w:val="right" w:pos="9026" w:leader="dot"/>
            </w:tabs>
            <w:rPr/>
          </w:pPr>
          <w:hyperlink w:anchor="__RefHeading___Toc2517544_653776707">
            <w:r>
              <w:rPr>
                <w:webHidden/>
                <w:rStyle w:val="IndexLink"/>
                <w:rtl w:val="true"/>
              </w:rPr>
              <w:t>المسألة الرابعة</w:t>
            </w:r>
            <w:r>
              <w:rPr>
                <w:rStyle w:val="IndexLink"/>
                <w:rtl w:val="true"/>
              </w:rPr>
              <w:t xml:space="preserve">: </w:t>
            </w:r>
            <w:r>
              <w:rPr>
                <w:rStyle w:val="IndexLink"/>
                <w:rtl w:val="true"/>
              </w:rPr>
              <w:t>شرط الفقاهة في الروايات</w:t>
            </w:r>
            <w:r>
              <w:rPr>
                <w:rStyle w:val="IndexLink"/>
                <w:rtl w:val="true"/>
              </w:rPr>
              <w:tab/>
            </w:r>
            <w:r>
              <w:rPr>
                <w:rStyle w:val="IndexLink"/>
              </w:rPr>
              <w:t>175</w:t>
            </w:r>
          </w:hyperlink>
        </w:p>
        <w:p>
          <w:pPr>
            <w:pStyle w:val="Contents4"/>
            <w:tabs>
              <w:tab w:val="clear" w:pos="8176"/>
              <w:tab w:val="right" w:pos="9026" w:leader="dot"/>
            </w:tabs>
            <w:rPr/>
          </w:pPr>
          <w:hyperlink w:anchor="__RefHeading___Toc2517546_653776707">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2517548_653776707">
            <w:r>
              <w:rPr>
                <w:webHidden/>
                <w:rStyle w:val="IndexLink"/>
                <w:rtl w:val="true"/>
              </w:rPr>
              <w:t>الرواية الأولى</w:t>
            </w:r>
            <w:r>
              <w:rPr>
                <w:rStyle w:val="IndexLink"/>
                <w:rtl w:val="true"/>
              </w:rPr>
              <w:t xml:space="preserve">: </w:t>
            </w:r>
            <w:r>
              <w:rPr>
                <w:rStyle w:val="IndexLink"/>
                <w:rtl w:val="true"/>
              </w:rPr>
              <w:t>ما في نهج البلاغة</w:t>
            </w:r>
            <w:r>
              <w:rPr>
                <w:rStyle w:val="IndexLink"/>
                <w:rtl w:val="true"/>
              </w:rPr>
              <w:tab/>
            </w:r>
            <w:r>
              <w:rPr>
                <w:rStyle w:val="IndexLink"/>
              </w:rPr>
              <w:t>175</w:t>
            </w:r>
          </w:hyperlink>
        </w:p>
        <w:p>
          <w:pPr>
            <w:pStyle w:val="Contents4"/>
            <w:tabs>
              <w:tab w:val="clear" w:pos="8176"/>
              <w:tab w:val="right" w:pos="9026" w:leader="dot"/>
            </w:tabs>
            <w:rPr/>
          </w:pPr>
          <w:hyperlink w:anchor="__RefHeading___Toc2517550_653776707">
            <w:r>
              <w:rPr>
                <w:webHidden/>
                <w:rStyle w:val="IndexLink"/>
                <w:rtl w:val="true"/>
              </w:rPr>
              <w:t>الرواية الثانية</w:t>
            </w:r>
            <w:r>
              <w:rPr>
                <w:rStyle w:val="IndexLink"/>
                <w:rtl w:val="true"/>
              </w:rPr>
              <w:t xml:space="preserve">: </w:t>
            </w:r>
            <w:r>
              <w:rPr>
                <w:rStyle w:val="IndexLink"/>
                <w:rtl w:val="true"/>
              </w:rPr>
              <w:t>ما في نهج البلاغة ايضاً</w:t>
            </w:r>
            <w:r>
              <w:rPr>
                <w:rStyle w:val="IndexLink"/>
                <w:rtl w:val="true"/>
              </w:rPr>
              <w:tab/>
            </w:r>
            <w:r>
              <w:rPr>
                <w:rStyle w:val="IndexLink"/>
              </w:rPr>
              <w:t>176</w:t>
            </w:r>
          </w:hyperlink>
        </w:p>
        <w:p>
          <w:pPr>
            <w:pStyle w:val="Contents4"/>
            <w:tabs>
              <w:tab w:val="clear" w:pos="8176"/>
              <w:tab w:val="right" w:pos="9026" w:leader="dot"/>
            </w:tabs>
            <w:rPr/>
          </w:pPr>
          <w:hyperlink w:anchor="__RefHeading___Toc2517552_653776707">
            <w:r>
              <w:rPr>
                <w:webHidden/>
                <w:rStyle w:val="IndexLink"/>
                <w:rtl w:val="true"/>
              </w:rPr>
              <w:t>الرواية الثالثة</w:t>
            </w:r>
            <w:r>
              <w:rPr>
                <w:rStyle w:val="IndexLink"/>
                <w:rtl w:val="true"/>
              </w:rPr>
              <w:t xml:space="preserve">: </w:t>
            </w:r>
            <w:r>
              <w:rPr>
                <w:rStyle w:val="IndexLink"/>
                <w:rtl w:val="true"/>
              </w:rPr>
              <w:t>رواية تحف العقول</w:t>
            </w:r>
            <w:r>
              <w:rPr>
                <w:rStyle w:val="IndexLink"/>
                <w:rtl w:val="true"/>
              </w:rPr>
              <w:tab/>
            </w:r>
            <w:r>
              <w:rPr>
                <w:rStyle w:val="IndexLink"/>
              </w:rPr>
              <w:t>176</w:t>
            </w:r>
          </w:hyperlink>
        </w:p>
        <w:p>
          <w:pPr>
            <w:pStyle w:val="Contents4"/>
            <w:tabs>
              <w:tab w:val="clear" w:pos="8176"/>
              <w:tab w:val="right" w:pos="9026" w:leader="dot"/>
            </w:tabs>
            <w:rPr/>
          </w:pPr>
          <w:hyperlink w:anchor="__RefHeading___Toc2517554_653776707">
            <w:r>
              <w:rPr>
                <w:webHidden/>
                <w:rStyle w:val="IndexLink"/>
                <w:rtl w:val="true"/>
              </w:rPr>
              <w:t>الرواية الرابعة</w:t>
            </w:r>
            <w:r>
              <w:rPr>
                <w:rStyle w:val="IndexLink"/>
                <w:rtl w:val="true"/>
              </w:rPr>
              <w:t xml:space="preserve">: </w:t>
            </w:r>
            <w:r>
              <w:rPr>
                <w:rStyle w:val="IndexLink"/>
                <w:rtl w:val="true"/>
              </w:rPr>
              <w:t>صحيحة عبد الكريم بن عتبة الهاشمي</w:t>
            </w:r>
            <w:r>
              <w:rPr>
                <w:rStyle w:val="IndexLink"/>
                <w:rtl w:val="true"/>
              </w:rPr>
              <w:tab/>
            </w:r>
            <w:r>
              <w:rPr>
                <w:rStyle w:val="IndexLink"/>
              </w:rPr>
              <w:t>179</w:t>
            </w:r>
          </w:hyperlink>
        </w:p>
        <w:p>
          <w:pPr>
            <w:pStyle w:val="Contents4"/>
            <w:tabs>
              <w:tab w:val="clear" w:pos="8176"/>
              <w:tab w:val="right" w:pos="9026" w:leader="dot"/>
            </w:tabs>
            <w:rPr/>
          </w:pPr>
          <w:hyperlink w:anchor="__RefHeading___Toc2517556_653776707">
            <w:r>
              <w:rPr>
                <w:webHidden/>
                <w:rStyle w:val="IndexLink"/>
                <w:rtl w:val="true"/>
              </w:rPr>
              <w:t>الرواية الخامسة</w:t>
            </w:r>
            <w:r>
              <w:rPr>
                <w:rStyle w:val="IndexLink"/>
                <w:rtl w:val="true"/>
              </w:rPr>
              <w:t xml:space="preserve">: </w:t>
            </w:r>
            <w:r>
              <w:rPr>
                <w:rStyle w:val="IndexLink"/>
                <w:rtl w:val="true"/>
              </w:rPr>
              <w:t>صحيحة عيص بن القاسم</w:t>
            </w:r>
            <w:r>
              <w:rPr>
                <w:rStyle w:val="IndexLink"/>
                <w:rtl w:val="true"/>
              </w:rPr>
              <w:tab/>
            </w:r>
            <w:r>
              <w:rPr>
                <w:rStyle w:val="IndexLink"/>
              </w:rPr>
              <w:t>179</w:t>
            </w:r>
          </w:hyperlink>
        </w:p>
        <w:p>
          <w:pPr>
            <w:pStyle w:val="Contents4"/>
            <w:tabs>
              <w:tab w:val="clear" w:pos="8176"/>
              <w:tab w:val="right" w:pos="9026" w:leader="dot"/>
            </w:tabs>
            <w:rPr/>
          </w:pPr>
          <w:hyperlink w:anchor="__RefHeading___Toc2517558_653776707">
            <w:r>
              <w:rPr>
                <w:webHidden/>
                <w:rStyle w:val="IndexLink"/>
                <w:rtl w:val="true"/>
              </w:rPr>
              <w:t>المسألة الخامسة</w:t>
            </w:r>
            <w:r>
              <w:rPr>
                <w:rStyle w:val="IndexLink"/>
                <w:rtl w:val="true"/>
              </w:rPr>
              <w:t xml:space="preserve">: </w:t>
            </w:r>
            <w:r>
              <w:rPr>
                <w:rStyle w:val="IndexLink"/>
                <w:rtl w:val="true"/>
              </w:rPr>
              <w:t>عدم كفاية العلم التقليدي</w:t>
            </w:r>
            <w:r>
              <w:rPr>
                <w:rStyle w:val="IndexLink"/>
                <w:rtl w:val="true"/>
              </w:rPr>
              <w:tab/>
            </w:r>
            <w:r>
              <w:rPr>
                <w:rStyle w:val="IndexLink"/>
              </w:rPr>
              <w:t>180</w:t>
            </w:r>
          </w:hyperlink>
        </w:p>
        <w:p>
          <w:pPr>
            <w:pStyle w:val="Contents4"/>
            <w:tabs>
              <w:tab w:val="clear" w:pos="8176"/>
              <w:tab w:val="right" w:pos="9026" w:leader="dot"/>
            </w:tabs>
            <w:rPr/>
          </w:pPr>
          <w:hyperlink w:anchor="__RefHeading___Toc2517560_653776707">
            <w:r>
              <w:rPr>
                <w:webHidden/>
                <w:rStyle w:val="IndexLink"/>
                <w:rtl w:val="true"/>
              </w:rPr>
              <w:t>المسألة السادسة</w:t>
            </w:r>
            <w:r>
              <w:rPr>
                <w:rStyle w:val="IndexLink"/>
                <w:rtl w:val="true"/>
              </w:rPr>
              <w:t xml:space="preserve">: </w:t>
            </w:r>
            <w:r>
              <w:rPr>
                <w:rStyle w:val="IndexLink"/>
                <w:rtl w:val="true"/>
              </w:rPr>
              <w:t>اعتبار الاجتهاد المطلق</w:t>
            </w:r>
            <w:r>
              <w:rPr>
                <w:rStyle w:val="IndexLink"/>
                <w:rtl w:val="true"/>
              </w:rPr>
              <w:tab/>
            </w:r>
            <w:r>
              <w:rPr>
                <w:rStyle w:val="IndexLink"/>
              </w:rPr>
              <w:t>181</w:t>
            </w:r>
          </w:hyperlink>
        </w:p>
        <w:p>
          <w:pPr>
            <w:pStyle w:val="Contents4"/>
            <w:tabs>
              <w:tab w:val="clear" w:pos="8176"/>
              <w:tab w:val="right" w:pos="9026" w:leader="dot"/>
            </w:tabs>
            <w:rPr/>
          </w:pPr>
          <w:hyperlink w:anchor="__RefHeading___Toc2517562_653776707">
            <w:r>
              <w:rPr>
                <w:webHidden/>
                <w:rStyle w:val="IndexLink"/>
                <w:rtl w:val="true"/>
              </w:rPr>
              <w:t>المسألة السابعة</w:t>
            </w:r>
            <w:r>
              <w:rPr>
                <w:rStyle w:val="IndexLink"/>
                <w:rtl w:val="true"/>
              </w:rPr>
              <w:t xml:space="preserve">: </w:t>
            </w:r>
            <w:r>
              <w:rPr>
                <w:rStyle w:val="IndexLink"/>
                <w:rtl w:val="true"/>
              </w:rPr>
              <w:t>عدم اعتبار الاجتهاد بالفعل</w:t>
            </w:r>
            <w:r>
              <w:rPr>
                <w:rStyle w:val="IndexLink"/>
                <w:rtl w:val="true"/>
              </w:rPr>
              <w:tab/>
            </w:r>
            <w:r>
              <w:rPr>
                <w:rStyle w:val="IndexLink"/>
              </w:rPr>
              <w:t>182</w:t>
            </w:r>
          </w:hyperlink>
        </w:p>
        <w:p>
          <w:pPr>
            <w:pStyle w:val="Contents4"/>
            <w:tabs>
              <w:tab w:val="clear" w:pos="8176"/>
              <w:tab w:val="right" w:pos="9026" w:leader="dot"/>
            </w:tabs>
            <w:rPr/>
          </w:pPr>
          <w:hyperlink w:anchor="__RefHeading___Toc2517564_653776707">
            <w:r>
              <w:rPr>
                <w:webHidden/>
                <w:rStyle w:val="IndexLink"/>
                <w:rtl w:val="true"/>
              </w:rPr>
              <w:t>المسألة الثامنة</w:t>
            </w:r>
            <w:r>
              <w:rPr>
                <w:rStyle w:val="IndexLink"/>
                <w:rtl w:val="true"/>
              </w:rPr>
              <w:t xml:space="preserve">: </w:t>
            </w:r>
            <w:r>
              <w:rPr>
                <w:rStyle w:val="IndexLink"/>
                <w:rtl w:val="true"/>
              </w:rPr>
              <w:t>عدم اعتبار المرجعية</w:t>
            </w:r>
            <w:r>
              <w:rPr>
                <w:rStyle w:val="IndexLink"/>
                <w:rtl w:val="true"/>
              </w:rPr>
              <w:tab/>
            </w:r>
            <w:r>
              <w:rPr>
                <w:rStyle w:val="IndexLink"/>
              </w:rPr>
              <w:t>183</w:t>
            </w:r>
          </w:hyperlink>
        </w:p>
        <w:p>
          <w:pPr>
            <w:pStyle w:val="Contents4"/>
            <w:tabs>
              <w:tab w:val="clear" w:pos="8176"/>
              <w:tab w:val="right" w:pos="9026" w:leader="dot"/>
            </w:tabs>
            <w:rPr/>
          </w:pPr>
          <w:hyperlink w:anchor="__RefHeading___Toc2517566_653776707">
            <w:r>
              <w:rPr>
                <w:webHidden/>
                <w:rStyle w:val="IndexLink"/>
                <w:rtl w:val="true"/>
              </w:rPr>
              <w:t>المسألة التاسعة</w:t>
            </w:r>
            <w:r>
              <w:rPr>
                <w:rStyle w:val="IndexLink"/>
                <w:rtl w:val="true"/>
              </w:rPr>
              <w:t xml:space="preserve">: </w:t>
            </w:r>
            <w:r>
              <w:rPr>
                <w:rStyle w:val="IndexLink"/>
                <w:rtl w:val="true"/>
              </w:rPr>
              <w:t>دراسة اعتبار الأعلمية</w:t>
            </w:r>
            <w:r>
              <w:rPr>
                <w:rStyle w:val="IndexLink"/>
                <w:rtl w:val="true"/>
              </w:rPr>
              <w:tab/>
            </w:r>
            <w:r>
              <w:rPr>
                <w:rStyle w:val="IndexLink"/>
              </w:rPr>
              <w:t>183</w:t>
            </w:r>
          </w:hyperlink>
        </w:p>
        <w:p>
          <w:pPr>
            <w:pStyle w:val="Contents3"/>
            <w:tabs>
              <w:tab w:val="clear" w:pos="8459"/>
              <w:tab w:val="right" w:pos="9026" w:leader="dot"/>
            </w:tabs>
            <w:rPr/>
          </w:pPr>
          <w:hyperlink w:anchor="__RefHeading___Toc2517568_653776707">
            <w:r>
              <w:rPr>
                <w:webHidden/>
                <w:rStyle w:val="IndexLink"/>
                <w:rtl w:val="true"/>
              </w:rPr>
              <w:t>الفصل الثاني</w:t>
            </w:r>
            <w:r>
              <w:rPr>
                <w:rStyle w:val="IndexLink"/>
                <w:rtl w:val="true"/>
              </w:rPr>
              <w:t xml:space="preserve">: </w:t>
            </w:r>
            <w:r>
              <w:rPr>
                <w:rStyle w:val="IndexLink"/>
                <w:rtl w:val="true"/>
              </w:rPr>
              <w:t>في اشتراط العدالة في ولي الأمر</w:t>
            </w:r>
            <w:r>
              <w:rPr>
                <w:rStyle w:val="IndexLink"/>
                <w:rtl w:val="true"/>
              </w:rPr>
              <w:tab/>
            </w:r>
            <w:r>
              <w:rPr>
                <w:rStyle w:val="IndexLink"/>
              </w:rPr>
              <w:t>191</w:t>
            </w:r>
          </w:hyperlink>
        </w:p>
        <w:p>
          <w:pPr>
            <w:pStyle w:val="Contents4"/>
            <w:tabs>
              <w:tab w:val="clear" w:pos="8176"/>
              <w:tab w:val="right" w:pos="9026" w:leader="dot"/>
            </w:tabs>
            <w:rPr/>
          </w:pPr>
          <w:hyperlink w:anchor="__RefHeading___Toc2517570_653776707">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2517572_653776707">
            <w:r>
              <w:rPr>
                <w:webHidden/>
                <w:rStyle w:val="IndexLink"/>
                <w:rtl w:val="true"/>
              </w:rPr>
              <w:t>المسألة الأولى</w:t>
            </w:r>
            <w:r>
              <w:rPr>
                <w:rStyle w:val="IndexLink"/>
                <w:rtl w:val="true"/>
              </w:rPr>
              <w:t xml:space="preserve">: </w:t>
            </w:r>
            <w:r>
              <w:rPr>
                <w:rStyle w:val="IndexLink"/>
                <w:rtl w:val="true"/>
              </w:rPr>
              <w:t>حكم العقل باشتراط العدالة في الإمام</w:t>
            </w:r>
            <w:r>
              <w:rPr>
                <w:rStyle w:val="IndexLink"/>
                <w:rtl w:val="true"/>
              </w:rPr>
              <w:tab/>
            </w:r>
            <w:r>
              <w:rPr>
                <w:rStyle w:val="IndexLink"/>
              </w:rPr>
              <w:t>191</w:t>
            </w:r>
          </w:hyperlink>
        </w:p>
        <w:p>
          <w:pPr>
            <w:pStyle w:val="Contents5"/>
            <w:tabs>
              <w:tab w:val="clear" w:pos="7892"/>
              <w:tab w:val="right" w:pos="9026" w:leader="dot"/>
            </w:tabs>
            <w:rPr/>
          </w:pPr>
          <w:hyperlink w:anchor="__RefHeading___Toc2517574_653776707">
            <w:r>
              <w:rPr>
                <w:webHidden/>
                <w:rStyle w:val="IndexLink"/>
                <w:rtl w:val="true"/>
              </w:rPr>
              <w:t>التقريب الأول لحكم العقل</w:t>
            </w:r>
            <w:r>
              <w:rPr>
                <w:rStyle w:val="IndexLink"/>
                <w:rtl w:val="true"/>
              </w:rPr>
              <w:t>:</w:t>
              <w:tab/>
            </w:r>
            <w:r>
              <w:rPr>
                <w:rStyle w:val="IndexLink"/>
              </w:rPr>
              <w:t>191</w:t>
            </w:r>
          </w:hyperlink>
        </w:p>
        <w:p>
          <w:pPr>
            <w:pStyle w:val="Contents5"/>
            <w:tabs>
              <w:tab w:val="clear" w:pos="7892"/>
              <w:tab w:val="right" w:pos="9026" w:leader="dot"/>
            </w:tabs>
            <w:rPr/>
          </w:pPr>
          <w:hyperlink w:anchor="__RefHeading___Toc2517576_653776707">
            <w:r>
              <w:rPr>
                <w:webHidden/>
                <w:rStyle w:val="IndexLink"/>
                <w:rtl w:val="true"/>
              </w:rPr>
              <w:t>التقريب الثاني لحكم العقل</w:t>
            </w:r>
            <w:r>
              <w:rPr>
                <w:rStyle w:val="IndexLink"/>
                <w:rtl w:val="true"/>
              </w:rPr>
              <w:t>:</w:t>
              <w:tab/>
            </w:r>
            <w:r>
              <w:rPr>
                <w:rStyle w:val="IndexLink"/>
              </w:rPr>
              <w:t>193</w:t>
            </w:r>
          </w:hyperlink>
        </w:p>
        <w:p>
          <w:pPr>
            <w:pStyle w:val="Contents4"/>
            <w:tabs>
              <w:tab w:val="clear" w:pos="8176"/>
              <w:tab w:val="right" w:pos="9026" w:leader="dot"/>
            </w:tabs>
            <w:rPr/>
          </w:pPr>
          <w:hyperlink w:anchor="__RefHeading___Toc2517578_653776707">
            <w:r>
              <w:rPr>
                <w:webHidden/>
                <w:rStyle w:val="IndexLink"/>
                <w:rtl w:val="true"/>
              </w:rPr>
              <w:t>المسألة الثانية</w:t>
            </w:r>
            <w:r>
              <w:rPr>
                <w:rStyle w:val="IndexLink"/>
                <w:rtl w:val="true"/>
              </w:rPr>
              <w:t xml:space="preserve">: </w:t>
            </w:r>
            <w:r>
              <w:rPr>
                <w:rStyle w:val="IndexLink"/>
                <w:rtl w:val="true"/>
              </w:rPr>
              <w:t>الآيات القرآنية الدالّة على اشتراط العدالة</w:t>
            </w:r>
            <w:r>
              <w:rPr>
                <w:rStyle w:val="IndexLink"/>
                <w:rtl w:val="true"/>
              </w:rPr>
              <w:tab/>
            </w:r>
            <w:r>
              <w:rPr>
                <w:rStyle w:val="IndexLink"/>
              </w:rPr>
              <w:t>194</w:t>
            </w:r>
          </w:hyperlink>
        </w:p>
        <w:p>
          <w:pPr>
            <w:pStyle w:val="Contents4"/>
            <w:tabs>
              <w:tab w:val="clear" w:pos="8176"/>
              <w:tab w:val="right" w:pos="9026" w:leader="dot"/>
            </w:tabs>
            <w:rPr/>
          </w:pPr>
          <w:hyperlink w:anchor="__RefHeading___Toc2517580_653776707">
            <w:r>
              <w:rPr>
                <w:webHidden/>
                <w:rStyle w:val="IndexLink"/>
                <w:rtl w:val="true"/>
              </w:rPr>
              <w:t>المسألة الثالثة</w:t>
            </w:r>
            <w:r>
              <w:rPr>
                <w:rStyle w:val="IndexLink"/>
                <w:rtl w:val="true"/>
              </w:rPr>
              <w:t xml:space="preserve">: </w:t>
            </w:r>
            <w:r>
              <w:rPr>
                <w:rStyle w:val="IndexLink"/>
                <w:rtl w:val="true"/>
              </w:rPr>
              <w:t>الروايات الدالّة على اشتراط العدالة</w:t>
            </w:r>
            <w:r>
              <w:rPr>
                <w:rStyle w:val="IndexLink"/>
                <w:rtl w:val="true"/>
              </w:rPr>
              <w:tab/>
            </w:r>
            <w:r>
              <w:rPr>
                <w:rStyle w:val="IndexLink"/>
              </w:rPr>
              <w:t>201</w:t>
            </w:r>
          </w:hyperlink>
        </w:p>
        <w:p>
          <w:pPr>
            <w:pStyle w:val="Contents4"/>
            <w:tabs>
              <w:tab w:val="clear" w:pos="8176"/>
              <w:tab w:val="right" w:pos="9026" w:leader="dot"/>
            </w:tabs>
            <w:rPr/>
          </w:pPr>
          <w:hyperlink w:anchor="__RefHeading___Toc2517582_653776707">
            <w:r>
              <w:rPr>
                <w:webHidden/>
                <w:rStyle w:val="IndexLink"/>
                <w:rtl w:val="true"/>
              </w:rPr>
              <w:t>المسألة الرابعة</w:t>
            </w:r>
            <w:r>
              <w:rPr>
                <w:rStyle w:val="IndexLink"/>
                <w:rtl w:val="true"/>
              </w:rPr>
              <w:t xml:space="preserve">: </w:t>
            </w:r>
            <w:r>
              <w:rPr>
                <w:rStyle w:val="IndexLink"/>
                <w:rtl w:val="true"/>
              </w:rPr>
              <w:t>في تعريف العدالة</w:t>
            </w:r>
            <w:r>
              <w:rPr>
                <w:rStyle w:val="IndexLink"/>
                <w:rtl w:val="true"/>
              </w:rPr>
              <w:tab/>
            </w:r>
            <w:r>
              <w:rPr>
                <w:rStyle w:val="IndexLink"/>
              </w:rPr>
              <w:t>208</w:t>
            </w:r>
          </w:hyperlink>
        </w:p>
        <w:p>
          <w:pPr>
            <w:pStyle w:val="Contents5"/>
            <w:tabs>
              <w:tab w:val="clear" w:pos="7892"/>
              <w:tab w:val="right" w:pos="9026" w:leader="dot"/>
            </w:tabs>
            <w:rPr/>
          </w:pPr>
          <w:hyperlink w:anchor="__RefHeading___Toc2517584_653776707">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2517586_653776707">
            <w:r>
              <w:rPr>
                <w:webHidden/>
                <w:rStyle w:val="IndexLink"/>
                <w:rtl w:val="true"/>
              </w:rPr>
              <w:t>الأول</w:t>
            </w:r>
            <w:r>
              <w:rPr>
                <w:rStyle w:val="IndexLink"/>
                <w:rtl w:val="true"/>
              </w:rPr>
              <w:t xml:space="preserve">: </w:t>
            </w:r>
            <w:r>
              <w:rPr>
                <w:rStyle w:val="IndexLink"/>
                <w:rtl w:val="true"/>
              </w:rPr>
              <w:t>العدالة في اللغة والاصطلاح</w:t>
            </w:r>
            <w:r>
              <w:rPr>
                <w:rStyle w:val="IndexLink"/>
                <w:rtl w:val="true"/>
              </w:rPr>
              <w:t>:</w:t>
              <w:tab/>
            </w:r>
            <w:r>
              <w:rPr>
                <w:rStyle w:val="IndexLink"/>
              </w:rPr>
              <w:t>208</w:t>
            </w:r>
          </w:hyperlink>
        </w:p>
        <w:p>
          <w:pPr>
            <w:pStyle w:val="Contents5"/>
            <w:tabs>
              <w:tab w:val="clear" w:pos="7892"/>
              <w:tab w:val="right" w:pos="9026" w:leader="dot"/>
            </w:tabs>
            <w:rPr/>
          </w:pPr>
          <w:hyperlink w:anchor="__RefHeading___Toc2517588_653776707">
            <w:r>
              <w:rPr>
                <w:webHidden/>
                <w:rStyle w:val="IndexLink"/>
                <w:rtl w:val="true"/>
              </w:rPr>
              <w:t>الثاني</w:t>
            </w:r>
            <w:r>
              <w:rPr>
                <w:rStyle w:val="IndexLink"/>
                <w:rtl w:val="true"/>
              </w:rPr>
              <w:t xml:space="preserve">: </w:t>
            </w:r>
            <w:r>
              <w:rPr>
                <w:rStyle w:val="IndexLink"/>
                <w:rtl w:val="true"/>
              </w:rPr>
              <w:t>فلسفة اشتراط العدالة في المناصب الاجتماعية</w:t>
            </w:r>
            <w:r>
              <w:rPr>
                <w:rStyle w:val="IndexLink"/>
                <w:rtl w:val="true"/>
              </w:rPr>
              <w:tab/>
            </w:r>
            <w:r>
              <w:rPr>
                <w:rStyle w:val="IndexLink"/>
              </w:rPr>
              <w:t>209</w:t>
            </w:r>
          </w:hyperlink>
        </w:p>
        <w:p>
          <w:pPr>
            <w:pStyle w:val="Contents4"/>
            <w:tabs>
              <w:tab w:val="clear" w:pos="8176"/>
              <w:tab w:val="right" w:pos="9026" w:leader="dot"/>
            </w:tabs>
            <w:rPr/>
          </w:pPr>
          <w:hyperlink w:anchor="__RefHeading___Toc2517590_653776707">
            <w:r>
              <w:rPr>
                <w:webHidden/>
                <w:rStyle w:val="IndexLink"/>
                <w:rtl w:val="true"/>
              </w:rPr>
              <w:t>المسألة الخامسة</w:t>
            </w:r>
            <w:r>
              <w:rPr>
                <w:rStyle w:val="IndexLink"/>
                <w:rtl w:val="true"/>
              </w:rPr>
              <w:t xml:space="preserve">: </w:t>
            </w:r>
            <w:r>
              <w:rPr>
                <w:rStyle w:val="IndexLink"/>
                <w:rtl w:val="true"/>
              </w:rPr>
              <w:t>في مراتب العدالة</w:t>
            </w:r>
            <w:r>
              <w:rPr>
                <w:rStyle w:val="IndexLink"/>
                <w:rtl w:val="true"/>
              </w:rPr>
              <w:tab/>
            </w:r>
            <w:r>
              <w:rPr>
                <w:rStyle w:val="IndexLink"/>
              </w:rPr>
              <w:t>210</w:t>
            </w:r>
          </w:hyperlink>
        </w:p>
        <w:p>
          <w:pPr>
            <w:pStyle w:val="Contents4"/>
            <w:tabs>
              <w:tab w:val="clear" w:pos="8176"/>
              <w:tab w:val="right" w:pos="9026" w:leader="dot"/>
            </w:tabs>
            <w:rPr/>
          </w:pPr>
          <w:hyperlink w:anchor="__RefHeading___Toc2517592_653776707">
            <w:r>
              <w:rPr>
                <w:webHidden/>
                <w:rStyle w:val="IndexLink"/>
                <w:rtl w:val="true"/>
              </w:rPr>
              <w:t>المسألة السادسة</w:t>
            </w:r>
            <w:r>
              <w:rPr>
                <w:rStyle w:val="IndexLink"/>
                <w:rtl w:val="true"/>
              </w:rPr>
              <w:t xml:space="preserve">: </w:t>
            </w:r>
            <w:r>
              <w:rPr>
                <w:rStyle w:val="IndexLink"/>
                <w:rtl w:val="true"/>
              </w:rPr>
              <w:t>في العدالة المطلوبة في وليّ الأمر</w:t>
            </w:r>
            <w:r>
              <w:rPr>
                <w:rStyle w:val="IndexLink"/>
                <w:rtl w:val="true"/>
              </w:rPr>
              <w:tab/>
            </w:r>
            <w:r>
              <w:rPr>
                <w:rStyle w:val="IndexLink"/>
              </w:rPr>
              <w:t>211</w:t>
            </w:r>
          </w:hyperlink>
        </w:p>
        <w:p>
          <w:pPr>
            <w:pStyle w:val="Contents5"/>
            <w:tabs>
              <w:tab w:val="clear" w:pos="7892"/>
              <w:tab w:val="right" w:pos="9026" w:leader="dot"/>
            </w:tabs>
            <w:rPr/>
          </w:pPr>
          <w:hyperlink w:anchor="__RefHeading___Toc2517594_653776707">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2517596_653776707">
            <w:r>
              <w:rPr>
                <w:webHidden/>
                <w:rStyle w:val="IndexLink"/>
                <w:rtl w:val="true"/>
              </w:rPr>
              <w:t>والدليل على هذا المدّعى أمور</w:t>
            </w:r>
            <w:r>
              <w:rPr>
                <w:rStyle w:val="IndexLink"/>
                <w:rtl w:val="true"/>
              </w:rPr>
              <w:t>:</w:t>
              <w:tab/>
            </w:r>
            <w:r>
              <w:rPr>
                <w:rStyle w:val="IndexLink"/>
              </w:rPr>
              <w:t>213</w:t>
            </w:r>
          </w:hyperlink>
        </w:p>
        <w:p>
          <w:pPr>
            <w:pStyle w:val="Contents4"/>
            <w:tabs>
              <w:tab w:val="clear" w:pos="8176"/>
              <w:tab w:val="right" w:pos="9026" w:leader="dot"/>
            </w:tabs>
            <w:rPr/>
          </w:pPr>
          <w:hyperlink w:anchor="__RefHeading___Toc2517598_653776707">
            <w:r>
              <w:rPr>
                <w:webHidden/>
                <w:rStyle w:val="IndexLink"/>
                <w:rtl w:val="true"/>
              </w:rPr>
              <w:t>المسألة الثامنة</w:t>
            </w:r>
            <w:r>
              <w:rPr>
                <w:rStyle w:val="IndexLink"/>
                <w:rtl w:val="true"/>
              </w:rPr>
              <w:t xml:space="preserve">: </w:t>
            </w:r>
            <w:r>
              <w:rPr>
                <w:rStyle w:val="IndexLink"/>
                <w:rtl w:val="true"/>
              </w:rPr>
              <w:t>في اعتبار عدم الإقبال إلى الدنيا والحرص عليها</w:t>
            </w:r>
            <w:r>
              <w:rPr>
                <w:rStyle w:val="IndexLink"/>
                <w:rtl w:val="true"/>
              </w:rPr>
              <w:tab/>
            </w:r>
            <w:r>
              <w:rPr>
                <w:rStyle w:val="IndexLink"/>
              </w:rPr>
              <w:t>215</w:t>
            </w:r>
          </w:hyperlink>
        </w:p>
        <w:p>
          <w:pPr>
            <w:pStyle w:val="Contents3"/>
            <w:tabs>
              <w:tab w:val="clear" w:pos="8459"/>
              <w:tab w:val="right" w:pos="9026" w:leader="dot"/>
            </w:tabs>
            <w:rPr/>
          </w:pPr>
          <w:hyperlink w:anchor="__RefHeading___Toc2517600_653776707">
            <w:r>
              <w:rPr>
                <w:webHidden/>
                <w:rStyle w:val="IndexLink"/>
                <w:rtl w:val="true"/>
              </w:rPr>
              <w:t>الفصل الثالث</w:t>
            </w:r>
            <w:r>
              <w:rPr>
                <w:rStyle w:val="IndexLink"/>
                <w:rtl w:val="true"/>
              </w:rPr>
              <w:t xml:space="preserve">: </w:t>
            </w:r>
            <w:r>
              <w:rPr>
                <w:rStyle w:val="IndexLink"/>
                <w:rtl w:val="true"/>
              </w:rPr>
              <w:t>في شرطية الكفاءة وحسن الولاية</w:t>
            </w:r>
            <w:r>
              <w:rPr>
                <w:rStyle w:val="IndexLink"/>
                <w:rtl w:val="true"/>
              </w:rPr>
              <w:tab/>
            </w:r>
            <w:r>
              <w:rPr>
                <w:rStyle w:val="IndexLink"/>
              </w:rPr>
              <w:t>225</w:t>
            </w:r>
          </w:hyperlink>
        </w:p>
        <w:p>
          <w:pPr>
            <w:pStyle w:val="Contents4"/>
            <w:tabs>
              <w:tab w:val="clear" w:pos="8176"/>
              <w:tab w:val="right" w:pos="9026" w:leader="dot"/>
            </w:tabs>
            <w:rPr/>
          </w:pPr>
          <w:hyperlink w:anchor="__RefHeading___Toc2517602_653776707">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2517604_653776707">
            <w:r>
              <w:rPr>
                <w:webHidden/>
                <w:rStyle w:val="IndexLink"/>
                <w:rtl w:val="true"/>
              </w:rPr>
              <w:t>المسألة الأولى</w:t>
            </w:r>
            <w:r>
              <w:rPr>
                <w:rStyle w:val="IndexLink"/>
                <w:rtl w:val="true"/>
              </w:rPr>
              <w:t xml:space="preserve">: </w:t>
            </w:r>
            <w:r>
              <w:rPr>
                <w:rStyle w:val="IndexLink"/>
                <w:rtl w:val="true"/>
              </w:rPr>
              <w:t>في معنى الكفاءة وحسن الولاية وماهيتها</w:t>
            </w:r>
            <w:r>
              <w:rPr>
                <w:rStyle w:val="IndexLink"/>
                <w:rtl w:val="true"/>
              </w:rPr>
              <w:tab/>
            </w:r>
            <w:r>
              <w:rPr>
                <w:rStyle w:val="IndexLink"/>
              </w:rPr>
              <w:t>226</w:t>
            </w:r>
          </w:hyperlink>
        </w:p>
        <w:p>
          <w:pPr>
            <w:pStyle w:val="Contents4"/>
            <w:tabs>
              <w:tab w:val="clear" w:pos="8176"/>
              <w:tab w:val="right" w:pos="9026" w:leader="dot"/>
            </w:tabs>
            <w:rPr/>
          </w:pPr>
          <w:hyperlink w:anchor="__RefHeading___Toc2517606_653776707">
            <w:r>
              <w:rPr>
                <w:webHidden/>
                <w:rStyle w:val="IndexLink"/>
                <w:rtl w:val="true"/>
              </w:rPr>
              <w:t>المسألة الثانية</w:t>
            </w:r>
            <w:r>
              <w:rPr>
                <w:rStyle w:val="IndexLink"/>
                <w:rtl w:val="true"/>
              </w:rPr>
              <w:t xml:space="preserve">: </w:t>
            </w:r>
            <w:r>
              <w:rPr>
                <w:rStyle w:val="IndexLink"/>
                <w:rtl w:val="true"/>
              </w:rPr>
              <w:t xml:space="preserve">دراسة الأدلّة </w:t>
            </w:r>
            <w:r>
              <w:rPr>
                <w:rStyle w:val="IndexLink"/>
                <w:rtl w:val="true"/>
              </w:rPr>
              <w:t>(</w:t>
            </w:r>
            <w:r>
              <w:rPr>
                <w:rStyle w:val="IndexLink"/>
              </w:rPr>
              <w:t>1</w:t>
            </w:r>
            <w:r>
              <w:rPr>
                <w:rStyle w:val="IndexLink"/>
                <w:rtl w:val="true"/>
              </w:rPr>
              <w:t>)</w:t>
              <w:tab/>
            </w:r>
            <w:r>
              <w:rPr>
                <w:rStyle w:val="IndexLink"/>
              </w:rPr>
              <w:t>228</w:t>
            </w:r>
          </w:hyperlink>
        </w:p>
        <w:p>
          <w:pPr>
            <w:pStyle w:val="Contents5"/>
            <w:tabs>
              <w:tab w:val="clear" w:pos="7892"/>
              <w:tab w:val="right" w:pos="9026" w:leader="dot"/>
            </w:tabs>
            <w:rPr/>
          </w:pPr>
          <w:hyperlink w:anchor="__RefHeading___Toc2517608_653776707">
            <w:r>
              <w:rPr>
                <w:webHidden/>
                <w:rStyle w:val="IndexLink"/>
                <w:rtl w:val="true"/>
              </w:rPr>
              <w:t>حكمُ العقل والعقلاء باشتراط الكفاءة وحسن الولاية</w:t>
            </w:r>
            <w:r>
              <w:rPr>
                <w:rStyle w:val="IndexLink"/>
                <w:rtl w:val="true"/>
              </w:rPr>
              <w:tab/>
            </w:r>
            <w:r>
              <w:rPr>
                <w:rStyle w:val="IndexLink"/>
              </w:rPr>
              <w:t>228</w:t>
            </w:r>
          </w:hyperlink>
        </w:p>
        <w:p>
          <w:pPr>
            <w:pStyle w:val="Contents4"/>
            <w:tabs>
              <w:tab w:val="clear" w:pos="8176"/>
              <w:tab w:val="right" w:pos="9026" w:leader="dot"/>
            </w:tabs>
            <w:rPr/>
          </w:pPr>
          <w:hyperlink w:anchor="__RefHeading___Toc2517610_653776707">
            <w:r>
              <w:rPr>
                <w:webHidden/>
                <w:rStyle w:val="IndexLink"/>
                <w:rtl w:val="true"/>
              </w:rPr>
              <w:t>المسألة الثالثة</w:t>
            </w:r>
            <w:r>
              <w:rPr>
                <w:rStyle w:val="IndexLink"/>
                <w:rtl w:val="true"/>
              </w:rPr>
              <w:t xml:space="preserve">: </w:t>
            </w:r>
            <w:r>
              <w:rPr>
                <w:rStyle w:val="IndexLink"/>
                <w:rtl w:val="true"/>
              </w:rPr>
              <w:t>دراسة الأدلة</w:t>
            </w:r>
            <w:r>
              <w:rPr>
                <w:rStyle w:val="IndexLink"/>
                <w:rtl w:val="true"/>
              </w:rPr>
              <w:t>(</w:t>
            </w:r>
            <w:r>
              <w:rPr>
                <w:rStyle w:val="IndexLink"/>
              </w:rPr>
              <w:t>2</w:t>
            </w:r>
            <w:r>
              <w:rPr>
                <w:rStyle w:val="IndexLink"/>
                <w:rtl w:val="true"/>
              </w:rPr>
              <w:t>)</w:t>
              <w:tab/>
            </w:r>
            <w:r>
              <w:rPr>
                <w:rStyle w:val="IndexLink"/>
              </w:rPr>
              <w:t>229</w:t>
            </w:r>
          </w:hyperlink>
        </w:p>
        <w:p>
          <w:pPr>
            <w:pStyle w:val="Contents5"/>
            <w:tabs>
              <w:tab w:val="clear" w:pos="7892"/>
              <w:tab w:val="right" w:pos="9026" w:leader="dot"/>
            </w:tabs>
            <w:rPr/>
          </w:pPr>
          <w:hyperlink w:anchor="__RefHeading___Toc2517612_653776707">
            <w:r>
              <w:rPr>
                <w:webHidden/>
                <w:rStyle w:val="IndexLink"/>
                <w:rtl w:val="true"/>
              </w:rPr>
              <w:t>حكم الكتاب الحكيم باشتراط الكفاءة وحسن الولاية</w:t>
            </w:r>
            <w:r>
              <w:rPr>
                <w:rStyle w:val="IndexLink"/>
                <w:rtl w:val="true"/>
              </w:rPr>
              <w:tab/>
            </w:r>
            <w:r>
              <w:rPr>
                <w:rStyle w:val="IndexLink"/>
              </w:rPr>
              <w:t>229</w:t>
            </w:r>
          </w:hyperlink>
        </w:p>
        <w:p>
          <w:pPr>
            <w:pStyle w:val="Contents4"/>
            <w:tabs>
              <w:tab w:val="clear" w:pos="8176"/>
              <w:tab w:val="right" w:pos="9026" w:leader="dot"/>
            </w:tabs>
            <w:rPr/>
          </w:pPr>
          <w:hyperlink w:anchor="__RefHeading___Toc2517614_653776707">
            <w:r>
              <w:rPr>
                <w:webHidden/>
                <w:rStyle w:val="IndexLink"/>
                <w:rtl w:val="true"/>
              </w:rPr>
              <w:t>المسألة الرابعة</w:t>
            </w:r>
            <w:r>
              <w:rPr>
                <w:rStyle w:val="IndexLink"/>
                <w:rtl w:val="true"/>
              </w:rPr>
              <w:t xml:space="preserve">: </w:t>
            </w:r>
            <w:r>
              <w:rPr>
                <w:rStyle w:val="IndexLink"/>
                <w:rtl w:val="true"/>
              </w:rPr>
              <w:t>دراسة الأدلة</w:t>
            </w:r>
            <w:r>
              <w:rPr>
                <w:rStyle w:val="IndexLink"/>
                <w:rtl w:val="true"/>
              </w:rPr>
              <w:t>(</w:t>
            </w:r>
            <w:r>
              <w:rPr>
                <w:rStyle w:val="IndexLink"/>
              </w:rPr>
              <w:t>3</w:t>
            </w:r>
            <w:r>
              <w:rPr>
                <w:rStyle w:val="IndexLink"/>
                <w:rtl w:val="true"/>
              </w:rPr>
              <w:t>)</w:t>
              <w:tab/>
            </w:r>
            <w:r>
              <w:rPr>
                <w:rStyle w:val="IndexLink"/>
              </w:rPr>
              <w:t>231</w:t>
            </w:r>
          </w:hyperlink>
        </w:p>
        <w:p>
          <w:pPr>
            <w:pStyle w:val="Contents5"/>
            <w:tabs>
              <w:tab w:val="clear" w:pos="7892"/>
              <w:tab w:val="right" w:pos="9026" w:leader="dot"/>
            </w:tabs>
            <w:rPr/>
          </w:pPr>
          <w:hyperlink w:anchor="__RefHeading___Toc2517616_653776707">
            <w:r>
              <w:rPr>
                <w:webHidden/>
                <w:rStyle w:val="IndexLink"/>
                <w:rtl w:val="true"/>
              </w:rPr>
              <w:t>حكم السنّة باشتراط الكفاءة وحسن الولاية</w:t>
            </w:r>
            <w:r>
              <w:rPr>
                <w:rStyle w:val="IndexLink"/>
                <w:rtl w:val="true"/>
              </w:rPr>
              <w:tab/>
            </w:r>
            <w:r>
              <w:rPr>
                <w:rStyle w:val="IndexLink"/>
              </w:rPr>
              <w:t>231</w:t>
            </w:r>
          </w:hyperlink>
        </w:p>
        <w:p>
          <w:pPr>
            <w:pStyle w:val="Contents5"/>
            <w:tabs>
              <w:tab w:val="clear" w:pos="7892"/>
              <w:tab w:val="right" w:pos="9026" w:leader="dot"/>
            </w:tabs>
            <w:rPr/>
          </w:pPr>
          <w:hyperlink w:anchor="__RefHeading___Toc2517618_653776707">
            <w:r>
              <w:rPr>
                <w:webHidden/>
                <w:rStyle w:val="IndexLink"/>
                <w:rtl w:val="true"/>
              </w:rPr>
              <w:t>فالنتيجة</w:t>
            </w:r>
            <w:r>
              <w:rPr>
                <w:rStyle w:val="IndexLink"/>
                <w:rtl w:val="true"/>
              </w:rPr>
              <w:t>:</w:t>
              <w:tab/>
            </w:r>
            <w:r>
              <w:rPr>
                <w:rStyle w:val="IndexLink"/>
              </w:rPr>
              <w:t>233</w:t>
            </w:r>
          </w:hyperlink>
        </w:p>
        <w:p>
          <w:pPr>
            <w:pStyle w:val="Contents2"/>
            <w:tabs>
              <w:tab w:val="clear" w:pos="8743"/>
              <w:tab w:val="right" w:pos="9026" w:leader="dot"/>
            </w:tabs>
            <w:rPr/>
          </w:pPr>
          <w:hyperlink w:anchor="__RefHeading___Toc2517620_653776707">
            <w:r>
              <w:rPr>
                <w:webHidden/>
                <w:rStyle w:val="IndexLink"/>
                <w:rtl w:val="true"/>
              </w:rPr>
              <w:t>المرحلة الثالثة</w:t>
            </w:r>
            <w:r>
              <w:rPr>
                <w:rStyle w:val="IndexLink"/>
                <w:rtl w:val="true"/>
              </w:rPr>
              <w:t>:</w:t>
            </w:r>
            <w:r>
              <w:rPr>
                <w:rStyle w:val="IndexLink"/>
                <w:rtl w:val="true"/>
              </w:rPr>
              <w:t>کيفية تعيين ولي الامر فی عصر الغيبة</w:t>
            </w:r>
            <w:r>
              <w:rPr>
                <w:rStyle w:val="IndexLink"/>
                <w:rtl w:val="true"/>
              </w:rPr>
              <w:tab/>
            </w:r>
            <w:r>
              <w:rPr>
                <w:rStyle w:val="IndexLink"/>
              </w:rPr>
              <w:t>235</w:t>
            </w:r>
          </w:hyperlink>
        </w:p>
        <w:p>
          <w:pPr>
            <w:pStyle w:val="Contents3"/>
            <w:tabs>
              <w:tab w:val="clear" w:pos="8459"/>
              <w:tab w:val="right" w:pos="9026" w:leader="dot"/>
            </w:tabs>
            <w:rPr/>
          </w:pPr>
          <w:hyperlink w:anchor="__RefHeading___Toc2517622_653776707">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2517624_653776707">
            <w:r>
              <w:rPr>
                <w:webHidden/>
                <w:rStyle w:val="IndexLink"/>
                <w:rtl w:val="true"/>
              </w:rPr>
              <w:t>الفصل الأول</w:t>
            </w:r>
            <w:r>
              <w:rPr>
                <w:rStyle w:val="IndexLink"/>
                <w:rtl w:val="true"/>
              </w:rPr>
              <w:t xml:space="preserve">: </w:t>
            </w:r>
            <w:r>
              <w:rPr>
                <w:rStyle w:val="IndexLink"/>
                <w:rtl w:val="true"/>
              </w:rPr>
              <w:t>تعيين وليّ الأمر بالنصّ الشرعيّ والتنصيب الإلهي</w:t>
            </w:r>
            <w:r>
              <w:rPr>
                <w:rStyle w:val="IndexLink"/>
                <w:rtl w:val="true"/>
              </w:rPr>
              <w:tab/>
            </w:r>
            <w:r>
              <w:rPr>
                <w:rStyle w:val="IndexLink"/>
              </w:rPr>
              <w:t>239</w:t>
            </w:r>
          </w:hyperlink>
        </w:p>
        <w:p>
          <w:pPr>
            <w:pStyle w:val="Contents4"/>
            <w:tabs>
              <w:tab w:val="clear" w:pos="8176"/>
              <w:tab w:val="right" w:pos="9026" w:leader="dot"/>
            </w:tabs>
            <w:rPr/>
          </w:pPr>
          <w:hyperlink w:anchor="__RefHeading___Toc2517626_653776707">
            <w:r>
              <w:rPr>
                <w:webHidden/>
                <w:rStyle w:val="IndexLink"/>
                <w:rtl w:val="true"/>
              </w:rPr>
              <w:t>المسألة الأولى</w:t>
            </w:r>
            <w:r>
              <w:rPr>
                <w:rStyle w:val="IndexLink"/>
                <w:rtl w:val="true"/>
              </w:rPr>
              <w:t xml:space="preserve">: </w:t>
            </w:r>
            <w:r>
              <w:rPr>
                <w:rStyle w:val="IndexLink"/>
                <w:rtl w:val="true"/>
              </w:rPr>
              <w:t>إشارة إلى المباني المختلفة في مسألة تعيين وليّ الأمر</w:t>
            </w:r>
            <w:r>
              <w:rPr>
                <w:rStyle w:val="IndexLink"/>
                <w:rtl w:val="true"/>
              </w:rPr>
              <w:tab/>
            </w:r>
            <w:r>
              <w:rPr>
                <w:rStyle w:val="IndexLink"/>
              </w:rPr>
              <w:t>239</w:t>
            </w:r>
          </w:hyperlink>
        </w:p>
        <w:p>
          <w:pPr>
            <w:pStyle w:val="Contents4"/>
            <w:tabs>
              <w:tab w:val="clear" w:pos="8176"/>
              <w:tab w:val="right" w:pos="9026" w:leader="dot"/>
            </w:tabs>
            <w:rPr/>
          </w:pPr>
          <w:hyperlink w:anchor="__RefHeading___Toc2517628_653776707">
            <w:r>
              <w:rPr>
                <w:webHidden/>
                <w:rStyle w:val="IndexLink"/>
                <w:rtl w:val="true"/>
              </w:rPr>
              <w:t>المسألة الثانية</w:t>
            </w:r>
            <w:r>
              <w:rPr>
                <w:rStyle w:val="IndexLink"/>
                <w:rtl w:val="true"/>
              </w:rPr>
              <w:t xml:space="preserve">: </w:t>
            </w:r>
            <w:r>
              <w:rPr>
                <w:rStyle w:val="IndexLink"/>
                <w:rtl w:val="true"/>
              </w:rPr>
              <w:t>نظرة عابرة في كلمات الأصحاب في المسألة</w:t>
            </w:r>
            <w:r>
              <w:rPr>
                <w:rStyle w:val="IndexLink"/>
                <w:rtl w:val="true"/>
              </w:rPr>
              <w:tab/>
            </w:r>
            <w:r>
              <w:rPr>
                <w:rStyle w:val="IndexLink"/>
              </w:rPr>
              <w:t>242</w:t>
            </w:r>
          </w:hyperlink>
        </w:p>
        <w:p>
          <w:pPr>
            <w:pStyle w:val="Contents4"/>
            <w:tabs>
              <w:tab w:val="clear" w:pos="8176"/>
              <w:tab w:val="right" w:pos="9026" w:leader="dot"/>
            </w:tabs>
            <w:rPr/>
          </w:pPr>
          <w:hyperlink w:anchor="__RefHeading___Toc2517630_653776707">
            <w:r>
              <w:rPr>
                <w:webHidden/>
                <w:rStyle w:val="IndexLink"/>
                <w:rtl w:val="true"/>
              </w:rPr>
              <w:t>المسألة الثالثة</w:t>
            </w:r>
            <w:r>
              <w:rPr>
                <w:rStyle w:val="IndexLink"/>
                <w:rtl w:val="true"/>
              </w:rPr>
              <w:t>:</w:t>
            </w:r>
            <w:r>
              <w:rPr>
                <w:rStyle w:val="IndexLink"/>
                <w:rtl w:val="true"/>
              </w:rPr>
              <w:t xml:space="preserve">دراسة أدلة التنصيب العام للفقيه الجامع للشروط </w:t>
            </w:r>
            <w:r>
              <w:rPr>
                <w:rStyle w:val="IndexLink"/>
                <w:rtl w:val="true"/>
              </w:rPr>
              <w:t>(</w:t>
            </w:r>
            <w:r>
              <w:rPr>
                <w:rStyle w:val="IndexLink"/>
              </w:rPr>
              <w:t>1</w:t>
            </w:r>
            <w:r>
              <w:rPr>
                <w:rStyle w:val="IndexLink"/>
                <w:rtl w:val="true"/>
              </w:rPr>
              <w:t>)</w:t>
              <w:tab/>
            </w:r>
            <w:r>
              <w:rPr>
                <w:rStyle w:val="IndexLink"/>
              </w:rPr>
              <w:t>249</w:t>
            </w:r>
          </w:hyperlink>
        </w:p>
        <w:p>
          <w:pPr>
            <w:pStyle w:val="Contents5"/>
            <w:tabs>
              <w:tab w:val="clear" w:pos="7892"/>
              <w:tab w:val="right" w:pos="9026" w:leader="dot"/>
            </w:tabs>
            <w:rPr/>
          </w:pPr>
          <w:hyperlink w:anchor="__RefHeading___Toc2517632_653776707">
            <w:r>
              <w:rPr>
                <w:webHidden/>
                <w:rStyle w:val="IndexLink"/>
              </w:rPr>
              <w:t>1</w:t>
            </w:r>
            <w:r>
              <w:rPr>
                <w:rStyle w:val="IndexLink"/>
                <w:rtl w:val="true"/>
              </w:rPr>
              <w:t xml:space="preserve">) </w:t>
            </w:r>
            <w:r>
              <w:rPr>
                <w:rStyle w:val="IndexLink"/>
                <w:rtl w:val="true"/>
              </w:rPr>
              <w:t>دليل الإجماع</w:t>
            </w:r>
            <w:r>
              <w:rPr>
                <w:rStyle w:val="IndexLink"/>
                <w:rtl w:val="true"/>
              </w:rPr>
              <w:tab/>
            </w:r>
            <w:r>
              <w:rPr>
                <w:rStyle w:val="IndexLink"/>
              </w:rPr>
              <w:t>249</w:t>
            </w:r>
          </w:hyperlink>
        </w:p>
        <w:p>
          <w:pPr>
            <w:pStyle w:val="Contents4"/>
            <w:tabs>
              <w:tab w:val="clear" w:pos="8176"/>
              <w:tab w:val="right" w:pos="9026" w:leader="dot"/>
            </w:tabs>
            <w:rPr/>
          </w:pPr>
          <w:hyperlink w:anchor="__RefHeading___Toc2517634_653776707">
            <w:r>
              <w:rPr>
                <w:webHidden/>
                <w:rStyle w:val="IndexLink"/>
                <w:rtl w:val="true"/>
              </w:rPr>
              <w:t>المسألة الرابعة</w:t>
            </w:r>
            <w:r>
              <w:rPr>
                <w:rStyle w:val="IndexLink"/>
                <w:rtl w:val="true"/>
              </w:rPr>
              <w:t xml:space="preserve">: </w:t>
            </w:r>
            <w:r>
              <w:rPr>
                <w:rStyle w:val="IndexLink"/>
                <w:rtl w:val="true"/>
              </w:rPr>
              <w:t xml:space="preserve">دراسة أدلّة التنصيب العام للفقيه الجامع للشروط </w:t>
            </w:r>
            <w:r>
              <w:rPr>
                <w:rStyle w:val="IndexLink"/>
                <w:rtl w:val="true"/>
              </w:rPr>
              <w:t>(</w:t>
            </w:r>
            <w:r>
              <w:rPr>
                <w:rStyle w:val="IndexLink"/>
              </w:rPr>
              <w:t>2</w:t>
            </w:r>
            <w:r>
              <w:rPr>
                <w:rStyle w:val="IndexLink"/>
                <w:rtl w:val="true"/>
              </w:rPr>
              <w:t>)</w:t>
              <w:tab/>
            </w:r>
            <w:r>
              <w:rPr>
                <w:rStyle w:val="IndexLink"/>
              </w:rPr>
              <w:t>255</w:t>
            </w:r>
          </w:hyperlink>
        </w:p>
        <w:p>
          <w:pPr>
            <w:pStyle w:val="Contents5"/>
            <w:tabs>
              <w:tab w:val="clear" w:pos="7892"/>
              <w:tab w:val="right" w:pos="9026" w:leader="dot"/>
            </w:tabs>
            <w:rPr/>
          </w:pPr>
          <w:hyperlink w:anchor="__RefHeading___Toc2517636_653776707">
            <w:r>
              <w:rPr>
                <w:webHidden/>
                <w:rStyle w:val="IndexLink"/>
              </w:rPr>
              <w:t>2</w:t>
            </w:r>
            <w:r>
              <w:rPr>
                <w:rStyle w:val="IndexLink"/>
                <w:rtl w:val="true"/>
              </w:rPr>
              <w:t xml:space="preserve">) </w:t>
            </w:r>
            <w:r>
              <w:rPr>
                <w:rStyle w:val="IndexLink"/>
                <w:rtl w:val="true"/>
              </w:rPr>
              <w:t>دليل العقل</w:t>
            </w:r>
            <w:r>
              <w:rPr>
                <w:rStyle w:val="IndexLink"/>
                <w:rtl w:val="true"/>
              </w:rPr>
              <w:tab/>
            </w:r>
            <w:r>
              <w:rPr>
                <w:rStyle w:val="IndexLink"/>
              </w:rPr>
              <w:t>255</w:t>
            </w:r>
          </w:hyperlink>
        </w:p>
        <w:p>
          <w:pPr>
            <w:pStyle w:val="Contents4"/>
            <w:tabs>
              <w:tab w:val="clear" w:pos="8176"/>
              <w:tab w:val="right" w:pos="9026" w:leader="dot"/>
            </w:tabs>
            <w:rPr/>
          </w:pPr>
          <w:hyperlink w:anchor="__RefHeading___Toc2517638_653776707">
            <w:r>
              <w:rPr>
                <w:webHidden/>
                <w:rStyle w:val="IndexLink"/>
                <w:rtl w:val="true"/>
              </w:rPr>
              <w:t>المسألة الخامسة</w:t>
            </w:r>
            <w:r>
              <w:rPr>
                <w:rStyle w:val="IndexLink"/>
                <w:rtl w:val="true"/>
              </w:rPr>
              <w:t xml:space="preserve">: </w:t>
            </w:r>
            <w:r>
              <w:rPr>
                <w:rStyle w:val="IndexLink"/>
                <w:rtl w:val="true"/>
              </w:rPr>
              <w:t xml:space="preserve">دراسة أدلّة التنصيب العامّ للفقيه الجامع الشروط </w:t>
            </w:r>
            <w:r>
              <w:rPr>
                <w:rStyle w:val="IndexLink"/>
                <w:rtl w:val="true"/>
              </w:rPr>
              <w:t>(</w:t>
            </w:r>
            <w:r>
              <w:rPr>
                <w:rStyle w:val="IndexLink"/>
              </w:rPr>
              <w:t>3</w:t>
            </w:r>
            <w:r>
              <w:rPr>
                <w:rStyle w:val="IndexLink"/>
                <w:rtl w:val="true"/>
              </w:rPr>
              <w:t>)</w:t>
              <w:tab/>
            </w:r>
            <w:r>
              <w:rPr>
                <w:rStyle w:val="IndexLink"/>
              </w:rPr>
              <w:t>258</w:t>
            </w:r>
          </w:hyperlink>
        </w:p>
        <w:p>
          <w:pPr>
            <w:pStyle w:val="Contents5"/>
            <w:tabs>
              <w:tab w:val="clear" w:pos="7892"/>
              <w:tab w:val="right" w:pos="9026" w:leader="dot"/>
            </w:tabs>
            <w:rPr/>
          </w:pPr>
          <w:hyperlink w:anchor="__RefHeading___Toc2517640_653776707">
            <w:r>
              <w:rPr>
                <w:webHidden/>
                <w:rStyle w:val="IndexLink"/>
              </w:rPr>
              <w:t>3</w:t>
            </w:r>
            <w:r>
              <w:rPr>
                <w:rStyle w:val="IndexLink"/>
                <w:rtl w:val="true"/>
              </w:rPr>
              <w:t xml:space="preserve">) </w:t>
            </w:r>
            <w:r>
              <w:rPr>
                <w:rStyle w:val="IndexLink"/>
                <w:rtl w:val="true"/>
              </w:rPr>
              <w:t>سيرة المتشرعة ومؤسسة الوكالة</w:t>
            </w:r>
            <w:r>
              <w:rPr>
                <w:rStyle w:val="IndexLink"/>
                <w:rtl w:val="true"/>
              </w:rPr>
              <w:tab/>
            </w:r>
            <w:r>
              <w:rPr>
                <w:rStyle w:val="IndexLink"/>
              </w:rPr>
              <w:t>258</w:t>
            </w:r>
          </w:hyperlink>
        </w:p>
        <w:p>
          <w:pPr>
            <w:pStyle w:val="Contents6"/>
            <w:tabs>
              <w:tab w:val="clear" w:pos="7609"/>
              <w:tab w:val="right" w:pos="9026" w:leader="dot"/>
            </w:tabs>
            <w:rPr/>
          </w:pPr>
          <w:hyperlink w:anchor="__RefHeading___Toc2517642_653776707">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2517644_653776707">
            <w:r>
              <w:rPr>
                <w:webHidden/>
                <w:rStyle w:val="IndexLink"/>
                <w:rtl w:val="true"/>
              </w:rPr>
              <w:t>المبحث الأول</w:t>
            </w:r>
            <w:r>
              <w:rPr>
                <w:rStyle w:val="IndexLink"/>
                <w:rtl w:val="true"/>
              </w:rPr>
              <w:t xml:space="preserve">: </w:t>
            </w:r>
            <w:r>
              <w:rPr>
                <w:rStyle w:val="IndexLink"/>
                <w:rtl w:val="true"/>
              </w:rPr>
              <w:t>سيرة المتشرعة والمرجعية</w:t>
            </w:r>
            <w:r>
              <w:rPr>
                <w:rStyle w:val="IndexLink"/>
                <w:rtl w:val="true"/>
              </w:rPr>
              <w:tab/>
            </w:r>
            <w:r>
              <w:rPr>
                <w:rStyle w:val="IndexLink"/>
              </w:rPr>
              <w:t>258</w:t>
            </w:r>
          </w:hyperlink>
        </w:p>
        <w:p>
          <w:pPr>
            <w:pStyle w:val="Contents6"/>
            <w:tabs>
              <w:tab w:val="clear" w:pos="7609"/>
              <w:tab w:val="right" w:pos="9026" w:leader="dot"/>
            </w:tabs>
            <w:rPr/>
          </w:pPr>
          <w:hyperlink w:anchor="__RefHeading___Toc2517646_653776707">
            <w:r>
              <w:rPr>
                <w:webHidden/>
                <w:rStyle w:val="IndexLink"/>
                <w:rtl w:val="true"/>
              </w:rPr>
              <w:t>المبحث الثاني</w:t>
            </w:r>
            <w:r>
              <w:rPr>
                <w:rStyle w:val="IndexLink"/>
                <w:rtl w:val="true"/>
              </w:rPr>
              <w:t xml:space="preserve">: </w:t>
            </w:r>
            <w:r>
              <w:rPr>
                <w:rStyle w:val="IndexLink"/>
                <w:rtl w:val="true"/>
              </w:rPr>
              <w:t>مؤسسة الوكالة وأطروحة التنصيب</w:t>
            </w:r>
            <w:r>
              <w:rPr>
                <w:rStyle w:val="IndexLink"/>
                <w:rtl w:val="true"/>
              </w:rPr>
              <w:tab/>
            </w:r>
            <w:r>
              <w:rPr>
                <w:rStyle w:val="IndexLink"/>
              </w:rPr>
              <w:t>258</w:t>
            </w:r>
          </w:hyperlink>
        </w:p>
        <w:p>
          <w:pPr>
            <w:pStyle w:val="Contents4"/>
            <w:tabs>
              <w:tab w:val="clear" w:pos="8176"/>
              <w:tab w:val="right" w:pos="9026" w:leader="dot"/>
            </w:tabs>
            <w:rPr/>
          </w:pPr>
          <w:hyperlink w:anchor="__RefHeading___Toc2517648_653776707">
            <w:r>
              <w:rPr>
                <w:webHidden/>
                <w:rStyle w:val="IndexLink"/>
                <w:rtl w:val="true"/>
              </w:rPr>
              <w:t>المسألة السادسة</w:t>
            </w:r>
            <w:r>
              <w:rPr>
                <w:rStyle w:val="IndexLink"/>
                <w:rtl w:val="true"/>
              </w:rPr>
              <w:t xml:space="preserve">: </w:t>
            </w:r>
            <w:r>
              <w:rPr>
                <w:rStyle w:val="IndexLink"/>
                <w:rtl w:val="true"/>
              </w:rPr>
              <w:t xml:space="preserve">دراسة أدلّة التنصيب العام للفقيه الجامع للشروط </w:t>
            </w:r>
            <w:r>
              <w:rPr>
                <w:rStyle w:val="IndexLink"/>
                <w:rtl w:val="true"/>
              </w:rPr>
              <w:t>(</w:t>
            </w:r>
            <w:r>
              <w:rPr>
                <w:rStyle w:val="IndexLink"/>
              </w:rPr>
              <w:t>4</w:t>
            </w:r>
            <w:r>
              <w:rPr>
                <w:rStyle w:val="IndexLink"/>
                <w:rtl w:val="true"/>
              </w:rPr>
              <w:t>)</w:t>
              <w:tab/>
            </w:r>
            <w:r>
              <w:rPr>
                <w:rStyle w:val="IndexLink"/>
              </w:rPr>
              <w:t>259</w:t>
            </w:r>
          </w:hyperlink>
        </w:p>
        <w:p>
          <w:pPr>
            <w:pStyle w:val="Contents5"/>
            <w:tabs>
              <w:tab w:val="clear" w:pos="7892"/>
              <w:tab w:val="right" w:pos="9026" w:leader="dot"/>
            </w:tabs>
            <w:rPr/>
          </w:pPr>
          <w:hyperlink w:anchor="__RefHeading___Toc2517650_653776707">
            <w:r>
              <w:rPr>
                <w:webHidden/>
                <w:rStyle w:val="IndexLink"/>
              </w:rPr>
              <w:t>4</w:t>
            </w:r>
            <w:r>
              <w:rPr>
                <w:rStyle w:val="IndexLink"/>
                <w:rtl w:val="true"/>
              </w:rPr>
              <w:t xml:space="preserve">) </w:t>
            </w:r>
            <w:r>
              <w:rPr>
                <w:rStyle w:val="IndexLink"/>
                <w:rtl w:val="true"/>
              </w:rPr>
              <w:t>الأدلة النقلية</w:t>
            </w:r>
            <w:r>
              <w:rPr>
                <w:rStyle w:val="IndexLink"/>
                <w:rtl w:val="true"/>
              </w:rPr>
              <w:t xml:space="preserve">: </w:t>
            </w:r>
            <w:r>
              <w:rPr>
                <w:rStyle w:val="IndexLink"/>
                <w:rtl w:val="true"/>
              </w:rPr>
              <w:t>القرآن الحكيم</w:t>
            </w:r>
            <w:r>
              <w:rPr>
                <w:rStyle w:val="IndexLink"/>
                <w:rtl w:val="true"/>
              </w:rPr>
              <w:tab/>
            </w:r>
            <w:r>
              <w:rPr>
                <w:rStyle w:val="IndexLink"/>
              </w:rPr>
              <w:t>259</w:t>
            </w:r>
          </w:hyperlink>
        </w:p>
        <w:p>
          <w:pPr>
            <w:pStyle w:val="Contents4"/>
            <w:tabs>
              <w:tab w:val="clear" w:pos="8176"/>
              <w:tab w:val="right" w:pos="9026" w:leader="dot"/>
            </w:tabs>
            <w:rPr/>
          </w:pPr>
          <w:hyperlink w:anchor="__RefHeading___Toc2517652_653776707">
            <w:r>
              <w:rPr>
                <w:webHidden/>
                <w:rStyle w:val="IndexLink"/>
                <w:rtl w:val="true"/>
              </w:rPr>
              <w:t>المسألة السابعة</w:t>
            </w:r>
            <w:r>
              <w:rPr>
                <w:rStyle w:val="IndexLink"/>
                <w:rtl w:val="true"/>
              </w:rPr>
              <w:t xml:space="preserve">: </w:t>
            </w:r>
            <w:r>
              <w:rPr>
                <w:rStyle w:val="IndexLink"/>
                <w:rtl w:val="true"/>
              </w:rPr>
              <w:t xml:space="preserve">دراسة أدلة التنصيب العام للفقيه الجامع </w:t>
            </w:r>
            <w:r>
              <w:rPr>
                <w:rStyle w:val="IndexLink"/>
                <w:rtl w:val="true"/>
              </w:rPr>
              <w:t>(</w:t>
            </w:r>
            <w:r>
              <w:rPr>
                <w:rStyle w:val="IndexLink"/>
              </w:rPr>
              <w:t>5</w:t>
            </w:r>
            <w:r>
              <w:rPr>
                <w:rStyle w:val="IndexLink"/>
                <w:rtl w:val="true"/>
              </w:rPr>
              <w:t>)</w:t>
              <w:tab/>
            </w:r>
            <w:r>
              <w:rPr>
                <w:rStyle w:val="IndexLink"/>
              </w:rPr>
              <w:t>262</w:t>
            </w:r>
          </w:hyperlink>
        </w:p>
        <w:p>
          <w:pPr>
            <w:pStyle w:val="Contents5"/>
            <w:tabs>
              <w:tab w:val="clear" w:pos="7892"/>
              <w:tab w:val="right" w:pos="9026" w:leader="dot"/>
            </w:tabs>
            <w:rPr/>
          </w:pPr>
          <w:hyperlink w:anchor="__RefHeading___Toc2517654_653776707">
            <w:r>
              <w:rPr>
                <w:webHidden/>
                <w:rStyle w:val="IndexLink"/>
              </w:rPr>
              <w:t>5</w:t>
            </w:r>
            <w:r>
              <w:rPr>
                <w:rStyle w:val="IndexLink"/>
                <w:rtl w:val="true"/>
              </w:rPr>
              <w:t xml:space="preserve">) </w:t>
            </w:r>
            <w:r>
              <w:rPr>
                <w:rStyle w:val="IndexLink"/>
                <w:rtl w:val="true"/>
              </w:rPr>
              <w:t>الأدلّة النقلية</w:t>
            </w:r>
            <w:r>
              <w:rPr>
                <w:rStyle w:val="IndexLink"/>
                <w:rtl w:val="true"/>
              </w:rPr>
              <w:t xml:space="preserve">: </w:t>
            </w:r>
            <w:r>
              <w:rPr>
                <w:rStyle w:val="IndexLink"/>
                <w:rtl w:val="true"/>
              </w:rPr>
              <w:t>الحديث الأول</w:t>
            </w:r>
            <w:r>
              <w:rPr>
                <w:rStyle w:val="IndexLink"/>
                <w:rtl w:val="true"/>
              </w:rPr>
              <w:t xml:space="preserve">: </w:t>
            </w:r>
            <w:r>
              <w:rPr>
                <w:rStyle w:val="IndexLink"/>
                <w:rtl w:val="true"/>
              </w:rPr>
              <w:t>مقبولة عمر بن حنظلة</w:t>
            </w:r>
            <w:r>
              <w:rPr>
                <w:rStyle w:val="IndexLink"/>
                <w:rtl w:val="true"/>
              </w:rPr>
              <w:tab/>
            </w:r>
            <w:r>
              <w:rPr>
                <w:rStyle w:val="IndexLink"/>
              </w:rPr>
              <w:t>262</w:t>
            </w:r>
          </w:hyperlink>
        </w:p>
        <w:p>
          <w:pPr>
            <w:pStyle w:val="Contents6"/>
            <w:tabs>
              <w:tab w:val="clear" w:pos="7609"/>
              <w:tab w:val="right" w:pos="9026" w:leader="dot"/>
            </w:tabs>
            <w:rPr/>
          </w:pPr>
          <w:hyperlink w:anchor="__RefHeading___Toc2517656_653776707">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2517658_653776707">
            <w:r>
              <w:rPr>
                <w:webHidden/>
                <w:rStyle w:val="IndexLink"/>
                <w:rtl w:val="true"/>
              </w:rPr>
              <w:t>المبحث الأول</w:t>
            </w:r>
            <w:r>
              <w:rPr>
                <w:rStyle w:val="IndexLink"/>
                <w:rtl w:val="true"/>
              </w:rPr>
              <w:t xml:space="preserve">: </w:t>
            </w:r>
            <w:r>
              <w:rPr>
                <w:rStyle w:val="IndexLink"/>
                <w:rtl w:val="true"/>
              </w:rPr>
              <w:t>بحث سنديٌّ</w:t>
            </w:r>
            <w:r>
              <w:rPr>
                <w:rStyle w:val="IndexLink"/>
                <w:rtl w:val="true"/>
              </w:rPr>
              <w:tab/>
            </w:r>
            <w:r>
              <w:rPr>
                <w:rStyle w:val="IndexLink"/>
              </w:rPr>
              <w:t>263</w:t>
            </w:r>
          </w:hyperlink>
        </w:p>
        <w:p>
          <w:pPr>
            <w:pStyle w:val="Contents6"/>
            <w:tabs>
              <w:tab w:val="clear" w:pos="7609"/>
              <w:tab w:val="right" w:pos="9026" w:leader="dot"/>
            </w:tabs>
            <w:rPr/>
          </w:pPr>
          <w:hyperlink w:anchor="__RefHeading___Toc2517660_653776707">
            <w:r>
              <w:rPr>
                <w:webHidden/>
                <w:rStyle w:val="IndexLink"/>
                <w:rtl w:val="true"/>
              </w:rPr>
              <w:t>المبحث الثاني</w:t>
            </w:r>
            <w:r>
              <w:rPr>
                <w:rStyle w:val="IndexLink"/>
                <w:rtl w:val="true"/>
              </w:rPr>
              <w:t xml:space="preserve">: </w:t>
            </w:r>
            <w:r>
              <w:rPr>
                <w:rStyle w:val="IndexLink"/>
                <w:rtl w:val="true"/>
              </w:rPr>
              <w:t>بحث دلاليٌّ</w:t>
            </w:r>
            <w:r>
              <w:rPr>
                <w:rStyle w:val="IndexLink"/>
                <w:rtl w:val="true"/>
              </w:rPr>
              <w:tab/>
            </w:r>
            <w:r>
              <w:rPr>
                <w:rStyle w:val="IndexLink"/>
              </w:rPr>
              <w:t>265</w:t>
            </w:r>
          </w:hyperlink>
        </w:p>
        <w:p>
          <w:pPr>
            <w:pStyle w:val="Contents6"/>
            <w:tabs>
              <w:tab w:val="clear" w:pos="7609"/>
              <w:tab w:val="right" w:pos="9026" w:leader="dot"/>
            </w:tabs>
            <w:rPr/>
          </w:pPr>
          <w:hyperlink w:anchor="__RefHeading___Toc2517662_653776707">
            <w:r>
              <w:rPr>
                <w:webHidden/>
                <w:rStyle w:val="IndexLink"/>
                <w:rtl w:val="true"/>
              </w:rPr>
              <w:t>تقريب الاستدلال</w:t>
            </w:r>
            <w:r>
              <w:rPr>
                <w:rStyle w:val="IndexLink"/>
                <w:rtl w:val="true"/>
              </w:rPr>
              <w:t>:</w:t>
              <w:tab/>
            </w:r>
            <w:r>
              <w:rPr>
                <w:rStyle w:val="IndexLink"/>
              </w:rPr>
              <w:t>266</w:t>
            </w:r>
          </w:hyperlink>
        </w:p>
        <w:p>
          <w:pPr>
            <w:pStyle w:val="Contents4"/>
            <w:tabs>
              <w:tab w:val="clear" w:pos="8176"/>
              <w:tab w:val="right" w:pos="9026" w:leader="dot"/>
            </w:tabs>
            <w:rPr/>
          </w:pPr>
          <w:hyperlink w:anchor="__RefHeading___Toc2517664_653776707">
            <w:r>
              <w:rPr>
                <w:webHidden/>
                <w:rStyle w:val="IndexLink"/>
                <w:rtl w:val="true"/>
              </w:rPr>
              <w:t>المسألة الثامنة</w:t>
            </w:r>
            <w:r>
              <w:rPr>
                <w:rStyle w:val="IndexLink"/>
                <w:rtl w:val="true"/>
              </w:rPr>
              <w:t xml:space="preserve">: </w:t>
            </w:r>
            <w:r>
              <w:rPr>
                <w:rStyle w:val="IndexLink"/>
                <w:rtl w:val="true"/>
              </w:rPr>
              <w:t xml:space="preserve">دراسة أدلّة التنصيب العام للفقيه الجامع </w:t>
            </w:r>
            <w:r>
              <w:rPr>
                <w:rStyle w:val="IndexLink"/>
                <w:rtl w:val="true"/>
              </w:rPr>
              <w:t>(</w:t>
            </w:r>
            <w:r>
              <w:rPr>
                <w:rStyle w:val="IndexLink"/>
              </w:rPr>
              <w:t>6</w:t>
            </w:r>
            <w:r>
              <w:rPr>
                <w:rStyle w:val="IndexLink"/>
                <w:rtl w:val="true"/>
              </w:rPr>
              <w:t>)</w:t>
              <w:tab/>
            </w:r>
            <w:r>
              <w:rPr>
                <w:rStyle w:val="IndexLink"/>
              </w:rPr>
              <w:t>270</w:t>
            </w:r>
          </w:hyperlink>
        </w:p>
        <w:p>
          <w:pPr>
            <w:pStyle w:val="Contents5"/>
            <w:tabs>
              <w:tab w:val="clear" w:pos="7892"/>
              <w:tab w:val="right" w:pos="9026" w:leader="dot"/>
            </w:tabs>
            <w:rPr/>
          </w:pPr>
          <w:hyperlink w:anchor="__RefHeading___Toc2517666_653776707">
            <w:r>
              <w:rPr>
                <w:webHidden/>
                <w:rStyle w:val="IndexLink"/>
              </w:rPr>
              <w:t>6</w:t>
            </w:r>
            <w:r>
              <w:rPr>
                <w:rStyle w:val="IndexLink"/>
                <w:rtl w:val="true"/>
              </w:rPr>
              <w:t xml:space="preserve">) </w:t>
            </w:r>
            <w:r>
              <w:rPr>
                <w:rStyle w:val="IndexLink"/>
                <w:rtl w:val="true"/>
              </w:rPr>
              <w:t>الأدلّة النقلية؛ الحديث الثاني</w:t>
            </w:r>
            <w:r>
              <w:rPr>
                <w:rStyle w:val="IndexLink"/>
                <w:rtl w:val="true"/>
              </w:rPr>
              <w:t xml:space="preserve">: </w:t>
            </w:r>
            <w:r>
              <w:rPr>
                <w:rStyle w:val="IndexLink"/>
                <w:rtl w:val="true"/>
              </w:rPr>
              <w:t>التوقيع الشريف</w:t>
            </w:r>
            <w:r>
              <w:rPr>
                <w:rStyle w:val="IndexLink"/>
                <w:rtl w:val="true"/>
              </w:rPr>
              <w:tab/>
            </w:r>
            <w:r>
              <w:rPr>
                <w:rStyle w:val="IndexLink"/>
              </w:rPr>
              <w:t>270</w:t>
            </w:r>
          </w:hyperlink>
        </w:p>
        <w:p>
          <w:pPr>
            <w:pStyle w:val="Contents6"/>
            <w:tabs>
              <w:tab w:val="clear" w:pos="7609"/>
              <w:tab w:val="right" w:pos="9026" w:leader="dot"/>
            </w:tabs>
            <w:rPr/>
          </w:pPr>
          <w:hyperlink w:anchor="__RefHeading___Toc2517668_653776707">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2517670_653776707">
            <w:r>
              <w:rPr>
                <w:webHidden/>
                <w:rStyle w:val="IndexLink"/>
                <w:rtl w:val="true"/>
              </w:rPr>
              <w:t>المبحث الأول</w:t>
            </w:r>
            <w:r>
              <w:rPr>
                <w:rStyle w:val="IndexLink"/>
                <w:rtl w:val="true"/>
              </w:rPr>
              <w:t xml:space="preserve">: </w:t>
            </w:r>
            <w:r>
              <w:rPr>
                <w:rStyle w:val="IndexLink"/>
                <w:rtl w:val="true"/>
              </w:rPr>
              <w:t>بحث سنديٌّ</w:t>
            </w:r>
            <w:r>
              <w:rPr>
                <w:rStyle w:val="IndexLink"/>
                <w:rtl w:val="true"/>
              </w:rPr>
              <w:tab/>
            </w:r>
            <w:r>
              <w:rPr>
                <w:rStyle w:val="IndexLink"/>
              </w:rPr>
              <w:t>271</w:t>
            </w:r>
          </w:hyperlink>
        </w:p>
        <w:p>
          <w:pPr>
            <w:pStyle w:val="Contents6"/>
            <w:tabs>
              <w:tab w:val="clear" w:pos="7609"/>
              <w:tab w:val="right" w:pos="9026" w:leader="dot"/>
            </w:tabs>
            <w:rPr/>
          </w:pPr>
          <w:hyperlink w:anchor="__RefHeading___Toc2517672_653776707">
            <w:r>
              <w:rPr>
                <w:webHidden/>
                <w:rStyle w:val="IndexLink"/>
                <w:rtl w:val="true"/>
              </w:rPr>
              <w:t>المبحث الثاني</w:t>
            </w:r>
            <w:r>
              <w:rPr>
                <w:rStyle w:val="IndexLink"/>
                <w:rtl w:val="true"/>
              </w:rPr>
              <w:t xml:space="preserve">: </w:t>
            </w:r>
            <w:r>
              <w:rPr>
                <w:rStyle w:val="IndexLink"/>
                <w:rtl w:val="true"/>
              </w:rPr>
              <w:t>بحث دلاليٌّ في الفقرة الأولى من الحديث</w:t>
            </w:r>
            <w:r>
              <w:rPr>
                <w:rStyle w:val="IndexLink"/>
                <w:rtl w:val="true"/>
              </w:rPr>
              <w:tab/>
            </w:r>
            <w:r>
              <w:rPr>
                <w:rStyle w:val="IndexLink"/>
              </w:rPr>
              <w:t>273</w:t>
            </w:r>
          </w:hyperlink>
        </w:p>
        <w:p>
          <w:pPr>
            <w:pStyle w:val="Contents6"/>
            <w:tabs>
              <w:tab w:val="clear" w:pos="7609"/>
              <w:tab w:val="right" w:pos="9026" w:leader="dot"/>
            </w:tabs>
            <w:rPr/>
          </w:pPr>
          <w:hyperlink w:anchor="__RefHeading___Toc2517674_653776707">
            <w:r>
              <w:rPr>
                <w:webHidden/>
                <w:rStyle w:val="IndexLink"/>
                <w:rtl w:val="true"/>
              </w:rPr>
              <w:t>المبحث الثالث</w:t>
            </w:r>
            <w:r>
              <w:rPr>
                <w:rStyle w:val="IndexLink"/>
                <w:rtl w:val="true"/>
              </w:rPr>
              <w:t xml:space="preserve">: </w:t>
            </w:r>
            <w:r>
              <w:rPr>
                <w:rStyle w:val="IndexLink"/>
                <w:rtl w:val="true"/>
              </w:rPr>
              <w:t>بحثٌ دلاليٌّ في الفقرة الثانية من الحديث</w:t>
            </w:r>
            <w:r>
              <w:rPr>
                <w:rStyle w:val="IndexLink"/>
                <w:rtl w:val="true"/>
              </w:rPr>
              <w:tab/>
            </w:r>
            <w:r>
              <w:rPr>
                <w:rStyle w:val="IndexLink"/>
              </w:rPr>
              <w:t>274</w:t>
            </w:r>
          </w:hyperlink>
        </w:p>
        <w:p>
          <w:pPr>
            <w:pStyle w:val="Contents4"/>
            <w:tabs>
              <w:tab w:val="clear" w:pos="8176"/>
              <w:tab w:val="right" w:pos="9026" w:leader="dot"/>
            </w:tabs>
            <w:rPr/>
          </w:pPr>
          <w:hyperlink w:anchor="__RefHeading___Toc2517676_653776707">
            <w:r>
              <w:rPr>
                <w:webHidden/>
                <w:rStyle w:val="IndexLink"/>
                <w:rtl w:val="true"/>
              </w:rPr>
              <w:t>المسألة التاسعة</w:t>
            </w:r>
            <w:r>
              <w:rPr>
                <w:rStyle w:val="IndexLink"/>
                <w:rtl w:val="true"/>
              </w:rPr>
              <w:t xml:space="preserve">: </w:t>
            </w:r>
            <w:r>
              <w:rPr>
                <w:rStyle w:val="IndexLink"/>
                <w:rtl w:val="true"/>
              </w:rPr>
              <w:t xml:space="preserve">دراسة أدلة التنصيب العام للفقيه الجامع </w:t>
            </w:r>
            <w:r>
              <w:rPr>
                <w:rStyle w:val="IndexLink"/>
                <w:rtl w:val="true"/>
              </w:rPr>
              <w:t>(</w:t>
            </w:r>
            <w:r>
              <w:rPr>
                <w:rStyle w:val="IndexLink"/>
              </w:rPr>
              <w:t>7</w:t>
            </w:r>
            <w:r>
              <w:rPr>
                <w:rStyle w:val="IndexLink"/>
                <w:rtl w:val="true"/>
              </w:rPr>
              <w:t>)</w:t>
              <w:tab/>
            </w:r>
            <w:r>
              <w:rPr>
                <w:rStyle w:val="IndexLink"/>
              </w:rPr>
              <w:t>276</w:t>
            </w:r>
          </w:hyperlink>
        </w:p>
        <w:p>
          <w:pPr>
            <w:pStyle w:val="Contents5"/>
            <w:tabs>
              <w:tab w:val="clear" w:pos="7892"/>
              <w:tab w:val="right" w:pos="9026" w:leader="dot"/>
            </w:tabs>
            <w:rPr/>
          </w:pPr>
          <w:hyperlink w:anchor="__RefHeading___Toc2517678_653776707">
            <w:r>
              <w:rPr>
                <w:webHidden/>
                <w:rStyle w:val="IndexLink"/>
              </w:rPr>
              <w:t>7</w:t>
            </w:r>
            <w:r>
              <w:rPr>
                <w:rStyle w:val="IndexLink"/>
                <w:rtl w:val="true"/>
              </w:rPr>
              <w:t xml:space="preserve">) </w:t>
            </w:r>
            <w:r>
              <w:rPr>
                <w:rStyle w:val="IndexLink"/>
                <w:rtl w:val="true"/>
              </w:rPr>
              <w:t>الأدلة النقلية</w:t>
            </w:r>
            <w:r>
              <w:rPr>
                <w:rStyle w:val="IndexLink"/>
                <w:rtl w:val="true"/>
              </w:rPr>
              <w:t xml:space="preserve">: </w:t>
            </w:r>
            <w:r>
              <w:rPr>
                <w:rStyle w:val="IndexLink"/>
                <w:rtl w:val="true"/>
              </w:rPr>
              <w:t>الحديث الثالث</w:t>
            </w:r>
            <w:r>
              <w:rPr>
                <w:rStyle w:val="IndexLink"/>
                <w:rtl w:val="true"/>
              </w:rPr>
              <w:t xml:space="preserve">: </w:t>
            </w:r>
            <w:r>
              <w:rPr>
                <w:rStyle w:val="IndexLink"/>
                <w:rtl w:val="true"/>
              </w:rPr>
              <w:t>موثقة علي بن حمزة</w:t>
            </w:r>
            <w:r>
              <w:rPr>
                <w:rStyle w:val="IndexLink"/>
                <w:rtl w:val="true"/>
              </w:rPr>
              <w:tab/>
            </w:r>
            <w:r>
              <w:rPr>
                <w:rStyle w:val="IndexLink"/>
              </w:rPr>
              <w:t>276</w:t>
            </w:r>
          </w:hyperlink>
        </w:p>
        <w:p>
          <w:pPr>
            <w:pStyle w:val="Contents6"/>
            <w:tabs>
              <w:tab w:val="clear" w:pos="7609"/>
              <w:tab w:val="right" w:pos="9026" w:leader="dot"/>
            </w:tabs>
            <w:rPr/>
          </w:pPr>
          <w:hyperlink w:anchor="__RefHeading___Toc2517680_653776707">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2517682_653776707">
            <w:r>
              <w:rPr>
                <w:webHidden/>
                <w:rStyle w:val="IndexLink"/>
                <w:rtl w:val="true"/>
              </w:rPr>
              <w:t>المبحث الأول</w:t>
            </w:r>
            <w:r>
              <w:rPr>
                <w:rStyle w:val="IndexLink"/>
                <w:rtl w:val="true"/>
              </w:rPr>
              <w:t xml:space="preserve">: </w:t>
            </w:r>
            <w:r>
              <w:rPr>
                <w:rStyle w:val="IndexLink"/>
                <w:rtl w:val="true"/>
              </w:rPr>
              <w:t>بحث سندي</w:t>
            </w:r>
            <w:r>
              <w:rPr>
                <w:rStyle w:val="IndexLink"/>
                <w:rtl w:val="true"/>
              </w:rPr>
              <w:tab/>
            </w:r>
            <w:r>
              <w:rPr>
                <w:rStyle w:val="IndexLink"/>
              </w:rPr>
              <w:t>276</w:t>
            </w:r>
          </w:hyperlink>
        </w:p>
        <w:p>
          <w:pPr>
            <w:pStyle w:val="Contents6"/>
            <w:tabs>
              <w:tab w:val="clear" w:pos="7609"/>
              <w:tab w:val="right" w:pos="9026" w:leader="dot"/>
            </w:tabs>
            <w:rPr/>
          </w:pPr>
          <w:hyperlink w:anchor="__RefHeading___Toc2517684_653776707">
            <w:r>
              <w:rPr>
                <w:webHidden/>
                <w:rStyle w:val="IndexLink"/>
                <w:rtl w:val="true"/>
              </w:rPr>
              <w:t>المبحث الثاني</w:t>
            </w:r>
            <w:r>
              <w:rPr>
                <w:rStyle w:val="IndexLink"/>
                <w:rtl w:val="true"/>
              </w:rPr>
              <w:t xml:space="preserve">: </w:t>
            </w:r>
            <w:r>
              <w:rPr>
                <w:rStyle w:val="IndexLink"/>
                <w:rtl w:val="true"/>
              </w:rPr>
              <w:t>دراسة اختلاف نسخ الحديث</w:t>
            </w:r>
            <w:r>
              <w:rPr>
                <w:rStyle w:val="IndexLink"/>
                <w:rtl w:val="true"/>
              </w:rPr>
              <w:tab/>
            </w:r>
            <w:r>
              <w:rPr>
                <w:rStyle w:val="IndexLink"/>
              </w:rPr>
              <w:t>277</w:t>
            </w:r>
          </w:hyperlink>
        </w:p>
        <w:p>
          <w:pPr>
            <w:pStyle w:val="Contents6"/>
            <w:tabs>
              <w:tab w:val="clear" w:pos="7609"/>
              <w:tab w:val="right" w:pos="9026" w:leader="dot"/>
            </w:tabs>
            <w:rPr/>
          </w:pPr>
          <w:hyperlink w:anchor="__RefHeading___Toc2517686_653776707">
            <w:r>
              <w:rPr>
                <w:webHidden/>
                <w:rStyle w:val="IndexLink"/>
                <w:rtl w:val="true"/>
              </w:rPr>
              <w:t>المبحث الثالث</w:t>
            </w:r>
            <w:r>
              <w:rPr>
                <w:rStyle w:val="IndexLink"/>
                <w:rtl w:val="true"/>
              </w:rPr>
              <w:t xml:space="preserve">: </w:t>
            </w:r>
            <w:r>
              <w:rPr>
                <w:rStyle w:val="IndexLink"/>
                <w:rtl w:val="true"/>
              </w:rPr>
              <w:t>تقريب الاستدلال</w:t>
            </w:r>
            <w:r>
              <w:rPr>
                <w:rStyle w:val="IndexLink"/>
                <w:rtl w:val="true"/>
              </w:rPr>
              <w:tab/>
            </w:r>
            <w:r>
              <w:rPr>
                <w:rStyle w:val="IndexLink"/>
              </w:rPr>
              <w:t>278</w:t>
            </w:r>
          </w:hyperlink>
        </w:p>
        <w:p>
          <w:pPr>
            <w:pStyle w:val="Contents6"/>
            <w:tabs>
              <w:tab w:val="clear" w:pos="7609"/>
              <w:tab w:val="right" w:pos="9026" w:leader="dot"/>
            </w:tabs>
            <w:rPr/>
          </w:pPr>
          <w:hyperlink w:anchor="__RefHeading___Toc2517688_653776707">
            <w:r>
              <w:rPr>
                <w:webHidden/>
                <w:rStyle w:val="IndexLink"/>
                <w:rtl w:val="true"/>
              </w:rPr>
              <w:t>المبحث الرابع</w:t>
            </w:r>
            <w:r>
              <w:rPr>
                <w:rStyle w:val="IndexLink"/>
                <w:rtl w:val="true"/>
              </w:rPr>
              <w:t xml:space="preserve">: </w:t>
            </w:r>
            <w:r>
              <w:rPr>
                <w:rStyle w:val="IndexLink"/>
                <w:rtl w:val="true"/>
              </w:rPr>
              <w:t>دراسة بعض الملاحظات الواردة على الاستدلال</w:t>
            </w:r>
            <w:r>
              <w:rPr>
                <w:rStyle w:val="IndexLink"/>
                <w:rtl w:val="true"/>
              </w:rPr>
              <w:tab/>
            </w:r>
            <w:r>
              <w:rPr>
                <w:rStyle w:val="IndexLink"/>
              </w:rPr>
              <w:t>279</w:t>
            </w:r>
          </w:hyperlink>
        </w:p>
        <w:p>
          <w:pPr>
            <w:pStyle w:val="Contents4"/>
            <w:tabs>
              <w:tab w:val="clear" w:pos="8176"/>
              <w:tab w:val="right" w:pos="9026" w:leader="dot"/>
            </w:tabs>
            <w:rPr/>
          </w:pPr>
          <w:hyperlink w:anchor="__RefHeading___Toc2517690_653776707">
            <w:r>
              <w:rPr>
                <w:webHidden/>
                <w:rStyle w:val="IndexLink"/>
                <w:rtl w:val="true"/>
              </w:rPr>
              <w:t>المسألة العاشرة</w:t>
            </w:r>
            <w:r>
              <w:rPr>
                <w:rStyle w:val="IndexLink"/>
                <w:rtl w:val="true"/>
              </w:rPr>
              <w:t xml:space="preserve">: </w:t>
            </w:r>
            <w:r>
              <w:rPr>
                <w:rStyle w:val="IndexLink"/>
                <w:rtl w:val="true"/>
              </w:rPr>
              <w:t xml:space="preserve">دراسة أدلة التنصيب العام للفقيه الجامع </w:t>
            </w:r>
            <w:r>
              <w:rPr>
                <w:rStyle w:val="IndexLink"/>
                <w:rtl w:val="true"/>
              </w:rPr>
              <w:t>(</w:t>
            </w:r>
            <w:r>
              <w:rPr>
                <w:rStyle w:val="IndexLink"/>
              </w:rPr>
              <w:t>8</w:t>
            </w:r>
            <w:r>
              <w:rPr>
                <w:rStyle w:val="IndexLink"/>
                <w:rtl w:val="true"/>
              </w:rPr>
              <w:t>)</w:t>
              <w:tab/>
            </w:r>
            <w:r>
              <w:rPr>
                <w:rStyle w:val="IndexLink"/>
              </w:rPr>
              <w:t>280</w:t>
            </w:r>
          </w:hyperlink>
        </w:p>
        <w:p>
          <w:pPr>
            <w:pStyle w:val="Contents5"/>
            <w:tabs>
              <w:tab w:val="clear" w:pos="7892"/>
              <w:tab w:val="right" w:pos="9026" w:leader="dot"/>
            </w:tabs>
            <w:rPr/>
          </w:pPr>
          <w:hyperlink w:anchor="__RefHeading___Toc2517692_653776707">
            <w:r>
              <w:rPr>
                <w:webHidden/>
                <w:rStyle w:val="IndexLink"/>
              </w:rPr>
              <w:t>8</w:t>
            </w:r>
            <w:r>
              <w:rPr>
                <w:rStyle w:val="IndexLink"/>
                <w:rtl w:val="true"/>
              </w:rPr>
              <w:t xml:space="preserve">) </w:t>
            </w:r>
            <w:r>
              <w:rPr>
                <w:rStyle w:val="IndexLink"/>
                <w:rtl w:val="true"/>
              </w:rPr>
              <w:t>الأدلّة النقلية</w:t>
            </w:r>
            <w:r>
              <w:rPr>
                <w:rStyle w:val="IndexLink"/>
                <w:rtl w:val="true"/>
              </w:rPr>
              <w:t xml:space="preserve">: </w:t>
            </w:r>
            <w:r>
              <w:rPr>
                <w:rStyle w:val="IndexLink"/>
                <w:rtl w:val="true"/>
              </w:rPr>
              <w:t>الحديث الرابع</w:t>
            </w:r>
            <w:r>
              <w:rPr>
                <w:rStyle w:val="IndexLink"/>
                <w:rtl w:val="true"/>
              </w:rPr>
              <w:t>: (</w:t>
            </w:r>
            <w:r>
              <w:rPr>
                <w:rStyle w:val="IndexLink"/>
                <w:rtl w:val="true"/>
              </w:rPr>
              <w:t>موثقة السكوني</w:t>
            </w:r>
            <w:r>
              <w:rPr>
                <w:rStyle w:val="IndexLink"/>
                <w:rtl w:val="true"/>
              </w:rPr>
              <w:t>)</w:t>
              <w:tab/>
            </w:r>
            <w:r>
              <w:rPr>
                <w:rStyle w:val="IndexLink"/>
              </w:rPr>
              <w:t>280</w:t>
            </w:r>
          </w:hyperlink>
        </w:p>
        <w:p>
          <w:pPr>
            <w:pStyle w:val="Contents4"/>
            <w:tabs>
              <w:tab w:val="clear" w:pos="8176"/>
              <w:tab w:val="right" w:pos="9026" w:leader="dot"/>
            </w:tabs>
            <w:rPr/>
          </w:pPr>
          <w:hyperlink w:anchor="__RefHeading___Toc2517694_653776707">
            <w:r>
              <w:rPr>
                <w:webHidden/>
                <w:rStyle w:val="IndexLink"/>
                <w:rtl w:val="true"/>
              </w:rPr>
              <w:t>المسألة الحادية عشرة</w:t>
            </w:r>
            <w:r>
              <w:rPr>
                <w:rStyle w:val="IndexLink"/>
                <w:rtl w:val="true"/>
              </w:rPr>
              <w:t xml:space="preserve">: </w:t>
            </w:r>
            <w:r>
              <w:rPr>
                <w:rStyle w:val="IndexLink"/>
                <w:rtl w:val="true"/>
              </w:rPr>
              <w:t xml:space="preserve">دراسة أدلّة التنصيب </w:t>
            </w:r>
            <w:r>
              <w:rPr>
                <w:rStyle w:val="IndexLink"/>
                <w:rtl w:val="true"/>
              </w:rPr>
              <w:t>(</w:t>
            </w:r>
            <w:r>
              <w:rPr>
                <w:rStyle w:val="IndexLink"/>
              </w:rPr>
              <w:t>9</w:t>
            </w:r>
            <w:r>
              <w:rPr>
                <w:rStyle w:val="IndexLink"/>
                <w:rtl w:val="true"/>
              </w:rPr>
              <w:t>)</w:t>
              <w:tab/>
            </w:r>
            <w:r>
              <w:rPr>
                <w:rStyle w:val="IndexLink"/>
              </w:rPr>
              <w:t>282</w:t>
            </w:r>
          </w:hyperlink>
        </w:p>
        <w:p>
          <w:pPr>
            <w:pStyle w:val="Contents5"/>
            <w:tabs>
              <w:tab w:val="clear" w:pos="7892"/>
              <w:tab w:val="right" w:pos="9026" w:leader="dot"/>
            </w:tabs>
            <w:rPr/>
          </w:pPr>
          <w:hyperlink w:anchor="__RefHeading___Toc2517696_653776707">
            <w:r>
              <w:rPr>
                <w:webHidden/>
                <w:rStyle w:val="IndexLink"/>
              </w:rPr>
              <w:t>9</w:t>
            </w:r>
            <w:r>
              <w:rPr>
                <w:rStyle w:val="IndexLink"/>
                <w:rtl w:val="true"/>
              </w:rPr>
              <w:t xml:space="preserve">) </w:t>
            </w:r>
            <w:r>
              <w:rPr>
                <w:rStyle w:val="IndexLink"/>
                <w:rtl w:val="true"/>
              </w:rPr>
              <w:t>الأدلّة النقلية</w:t>
            </w:r>
            <w:r>
              <w:rPr>
                <w:rStyle w:val="IndexLink"/>
                <w:rtl w:val="true"/>
              </w:rPr>
              <w:t xml:space="preserve">: </w:t>
            </w:r>
            <w:r>
              <w:rPr>
                <w:rStyle w:val="IndexLink"/>
                <w:rtl w:val="true"/>
              </w:rPr>
              <w:t xml:space="preserve">الحديث الخامس </w:t>
            </w:r>
            <w:r>
              <w:rPr>
                <w:rStyle w:val="IndexLink"/>
                <w:rtl w:val="true"/>
              </w:rPr>
              <w:t>(</w:t>
            </w:r>
            <w:r>
              <w:rPr>
                <w:rStyle w:val="IndexLink"/>
                <w:rtl w:val="true"/>
              </w:rPr>
              <w:t>صحيحة القدّاح</w:t>
            </w:r>
            <w:r>
              <w:rPr>
                <w:rStyle w:val="IndexLink"/>
                <w:rtl w:val="true"/>
              </w:rPr>
              <w:t xml:space="preserve">) </w:t>
            </w:r>
            <w:r>
              <w:rPr>
                <w:rStyle w:val="IndexLink"/>
                <w:rtl w:val="true"/>
              </w:rPr>
              <w:t xml:space="preserve">والحديث السادس </w:t>
            </w:r>
            <w:r>
              <w:rPr>
                <w:rStyle w:val="IndexLink"/>
                <w:rtl w:val="true"/>
              </w:rPr>
              <w:t>(</w:t>
            </w:r>
            <w:r>
              <w:rPr>
                <w:rStyle w:val="IndexLink"/>
                <w:rtl w:val="true"/>
              </w:rPr>
              <w:t>مرسلة الصدوق</w:t>
            </w:r>
            <w:r>
              <w:rPr>
                <w:rStyle w:val="IndexLink"/>
                <w:rtl w:val="true"/>
              </w:rPr>
              <w:t>)</w:t>
              <w:tab/>
            </w:r>
            <w:r>
              <w:rPr>
                <w:rStyle w:val="IndexLink"/>
              </w:rPr>
              <w:t>282</w:t>
            </w:r>
          </w:hyperlink>
        </w:p>
        <w:p>
          <w:pPr>
            <w:pStyle w:val="Contents6"/>
            <w:tabs>
              <w:tab w:val="clear" w:pos="7609"/>
              <w:tab w:val="right" w:pos="9026" w:leader="dot"/>
            </w:tabs>
            <w:rPr/>
          </w:pPr>
          <w:hyperlink w:anchor="__RefHeading___Toc2517698_653776707">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2517700_653776707">
            <w:r>
              <w:rPr>
                <w:webHidden/>
                <w:rStyle w:val="IndexLink"/>
                <w:rtl w:val="true"/>
              </w:rPr>
              <w:t>تقريب الاستدلال</w:t>
            </w:r>
            <w:r>
              <w:rPr>
                <w:rStyle w:val="IndexLink"/>
                <w:rtl w:val="true"/>
              </w:rPr>
              <w:tab/>
            </w:r>
            <w:r>
              <w:rPr>
                <w:rStyle w:val="IndexLink"/>
              </w:rPr>
              <w:t>284</w:t>
            </w:r>
          </w:hyperlink>
        </w:p>
        <w:p>
          <w:pPr>
            <w:pStyle w:val="Contents4"/>
            <w:tabs>
              <w:tab w:val="clear" w:pos="8176"/>
              <w:tab w:val="right" w:pos="9026" w:leader="dot"/>
            </w:tabs>
            <w:rPr/>
          </w:pPr>
          <w:hyperlink w:anchor="__RefHeading___Toc2517702_653776707">
            <w:r>
              <w:rPr>
                <w:webHidden/>
                <w:rStyle w:val="IndexLink"/>
                <w:rtl w:val="true"/>
              </w:rPr>
              <w:t>المسألة الثانية عشرة</w:t>
            </w:r>
            <w:r>
              <w:rPr>
                <w:rStyle w:val="IndexLink"/>
                <w:rtl w:val="true"/>
              </w:rPr>
              <w:t xml:space="preserve">: </w:t>
            </w:r>
            <w:r>
              <w:rPr>
                <w:rStyle w:val="IndexLink"/>
                <w:rtl w:val="true"/>
              </w:rPr>
              <w:t xml:space="preserve">دراسة أدلّة التنصيب </w:t>
            </w:r>
            <w:r>
              <w:rPr>
                <w:rStyle w:val="IndexLink"/>
                <w:rtl w:val="true"/>
              </w:rPr>
              <w:t>(</w:t>
            </w:r>
            <w:r>
              <w:rPr>
                <w:rStyle w:val="IndexLink"/>
              </w:rPr>
              <w:t>10</w:t>
            </w:r>
            <w:r>
              <w:rPr>
                <w:rStyle w:val="IndexLink"/>
                <w:rtl w:val="true"/>
              </w:rPr>
              <w:t>)</w:t>
              <w:tab/>
            </w:r>
            <w:r>
              <w:rPr>
                <w:rStyle w:val="IndexLink"/>
              </w:rPr>
              <w:t>286</w:t>
            </w:r>
          </w:hyperlink>
        </w:p>
        <w:p>
          <w:pPr>
            <w:pStyle w:val="Contents5"/>
            <w:tabs>
              <w:tab w:val="clear" w:pos="7892"/>
              <w:tab w:val="right" w:pos="9026" w:leader="dot"/>
            </w:tabs>
            <w:rPr/>
          </w:pPr>
          <w:hyperlink w:anchor="__RefHeading___Toc2517704_653776707">
            <w:r>
              <w:rPr>
                <w:webHidden/>
                <w:rStyle w:val="IndexLink"/>
              </w:rPr>
              <w:t>10</w:t>
            </w:r>
            <w:r>
              <w:rPr>
                <w:rStyle w:val="IndexLink"/>
                <w:rtl w:val="true"/>
              </w:rPr>
              <w:t xml:space="preserve">) </w:t>
            </w:r>
            <w:r>
              <w:rPr>
                <w:rStyle w:val="IndexLink"/>
                <w:rtl w:val="true"/>
              </w:rPr>
              <w:t>الأدلة النقلية</w:t>
            </w:r>
            <w:r>
              <w:rPr>
                <w:rStyle w:val="IndexLink"/>
                <w:rtl w:val="true"/>
              </w:rPr>
              <w:t xml:space="preserve">: </w:t>
            </w:r>
            <w:r>
              <w:rPr>
                <w:rStyle w:val="IndexLink"/>
                <w:rtl w:val="true"/>
              </w:rPr>
              <w:t>الحديث السابع</w:t>
            </w:r>
            <w:r>
              <w:rPr>
                <w:rStyle w:val="IndexLink"/>
                <w:rtl w:val="true"/>
              </w:rPr>
              <w:t>: (</w:t>
            </w:r>
            <w:r>
              <w:rPr>
                <w:rStyle w:val="IndexLink"/>
                <w:rtl w:val="true"/>
              </w:rPr>
              <w:t>مرسلة تحف العقول</w:t>
            </w:r>
            <w:r>
              <w:rPr>
                <w:rStyle w:val="IndexLink"/>
                <w:rtl w:val="true"/>
              </w:rPr>
              <w:t xml:space="preserve">) </w:t>
            </w:r>
            <w:r>
              <w:rPr>
                <w:rStyle w:val="IndexLink"/>
                <w:rtl w:val="true"/>
              </w:rPr>
              <w:t>والحديث الثامن</w:t>
            </w:r>
            <w:r>
              <w:rPr>
                <w:rStyle w:val="IndexLink"/>
                <w:rtl w:val="true"/>
              </w:rPr>
              <w:t>: (</w:t>
            </w:r>
            <w:r>
              <w:rPr>
                <w:rStyle w:val="IndexLink"/>
                <w:rtl w:val="true"/>
              </w:rPr>
              <w:t>الخطبة الشقشقية</w:t>
            </w:r>
            <w:r>
              <w:rPr>
                <w:rStyle w:val="IndexLink"/>
                <w:rtl w:val="true"/>
              </w:rPr>
              <w:t>)</w:t>
              <w:tab/>
            </w:r>
            <w:r>
              <w:rPr>
                <w:rStyle w:val="IndexLink"/>
              </w:rPr>
              <w:t>286</w:t>
            </w:r>
          </w:hyperlink>
        </w:p>
        <w:p>
          <w:pPr>
            <w:pStyle w:val="Contents4"/>
            <w:tabs>
              <w:tab w:val="clear" w:pos="8176"/>
              <w:tab w:val="right" w:pos="9026" w:leader="dot"/>
            </w:tabs>
            <w:rPr/>
          </w:pPr>
          <w:hyperlink w:anchor="__RefHeading___Toc2517706_653776707">
            <w:r>
              <w:rPr>
                <w:webHidden/>
                <w:rStyle w:val="IndexLink"/>
                <w:rtl w:val="true"/>
              </w:rPr>
              <w:t>المسألة الثالثة عشرة</w:t>
            </w:r>
            <w:r>
              <w:rPr>
                <w:rStyle w:val="IndexLink"/>
                <w:rtl w:val="true"/>
              </w:rPr>
              <w:t xml:space="preserve">: </w:t>
            </w:r>
            <w:r>
              <w:rPr>
                <w:rStyle w:val="IndexLink"/>
                <w:rtl w:val="true"/>
              </w:rPr>
              <w:t>النظرة الجامعة الموحّدة لمجموع أخبار الباب</w:t>
            </w:r>
            <w:r>
              <w:rPr>
                <w:rStyle w:val="IndexLink"/>
                <w:rtl w:val="true"/>
              </w:rPr>
              <w:tab/>
            </w:r>
            <w:r>
              <w:rPr>
                <w:rStyle w:val="IndexLink"/>
              </w:rPr>
              <w:t>291</w:t>
            </w:r>
          </w:hyperlink>
        </w:p>
        <w:p>
          <w:pPr>
            <w:pStyle w:val="Contents4"/>
            <w:tabs>
              <w:tab w:val="clear" w:pos="8176"/>
              <w:tab w:val="right" w:pos="9026" w:leader="dot"/>
            </w:tabs>
            <w:rPr/>
          </w:pPr>
          <w:hyperlink w:anchor="__RefHeading___Toc2517708_653776707">
            <w:r>
              <w:rPr>
                <w:webHidden/>
                <w:rStyle w:val="IndexLink"/>
                <w:rtl w:val="true"/>
              </w:rPr>
              <w:t>المسألة الرابعة عشرة</w:t>
            </w:r>
            <w:r>
              <w:rPr>
                <w:rStyle w:val="IndexLink"/>
                <w:rtl w:val="true"/>
              </w:rPr>
              <w:t xml:space="preserve">: </w:t>
            </w:r>
            <w:r>
              <w:rPr>
                <w:rStyle w:val="IndexLink"/>
                <w:rtl w:val="true"/>
              </w:rPr>
              <w:t>إشارة إلى غاية ما يمكن أن يذكره المعارض في الباب</w:t>
            </w:r>
            <w:r>
              <w:rPr>
                <w:rStyle w:val="IndexLink"/>
                <w:rtl w:val="true"/>
              </w:rPr>
              <w:tab/>
            </w:r>
            <w:r>
              <w:rPr>
                <w:rStyle w:val="IndexLink"/>
              </w:rPr>
              <w:t>293</w:t>
            </w:r>
          </w:hyperlink>
        </w:p>
        <w:p>
          <w:pPr>
            <w:pStyle w:val="Contents3"/>
            <w:tabs>
              <w:tab w:val="clear" w:pos="8459"/>
              <w:tab w:val="right" w:pos="9026" w:leader="dot"/>
            </w:tabs>
            <w:rPr/>
          </w:pPr>
          <w:hyperlink w:anchor="__RefHeading___Toc2517710_653776707">
            <w:r>
              <w:rPr>
                <w:webHidden/>
                <w:rStyle w:val="IndexLink"/>
                <w:rtl w:val="true"/>
              </w:rPr>
              <w:t>الفصل الثاني</w:t>
            </w:r>
            <w:r>
              <w:rPr>
                <w:rStyle w:val="IndexLink"/>
                <w:rtl w:val="true"/>
              </w:rPr>
              <w:t xml:space="preserve">: </w:t>
            </w:r>
            <w:r>
              <w:rPr>
                <w:rStyle w:val="IndexLink"/>
                <w:rtl w:val="true"/>
              </w:rPr>
              <w:t>نظرية التنصيب وكيفية تعيين الفقيه الولي</w:t>
            </w:r>
            <w:r>
              <w:rPr>
                <w:rStyle w:val="IndexLink"/>
                <w:rtl w:val="true"/>
              </w:rPr>
              <w:tab/>
            </w:r>
            <w:r>
              <w:rPr>
                <w:rStyle w:val="IndexLink"/>
              </w:rPr>
              <w:t>297</w:t>
            </w:r>
          </w:hyperlink>
        </w:p>
        <w:p>
          <w:pPr>
            <w:pStyle w:val="Contents4"/>
            <w:tabs>
              <w:tab w:val="clear" w:pos="8176"/>
              <w:tab w:val="right" w:pos="9026" w:leader="dot"/>
            </w:tabs>
            <w:rPr/>
          </w:pPr>
          <w:hyperlink w:anchor="__RefHeading___Toc2517712_653776707">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2517714_653776707">
            <w:r>
              <w:rPr>
                <w:webHidden/>
                <w:rStyle w:val="IndexLink"/>
                <w:rtl w:val="true"/>
              </w:rPr>
              <w:t>المسألة الأولى</w:t>
            </w:r>
            <w:r>
              <w:rPr>
                <w:rStyle w:val="IndexLink"/>
                <w:rtl w:val="true"/>
              </w:rPr>
              <w:t xml:space="preserve">: </w:t>
            </w:r>
            <w:r>
              <w:rPr>
                <w:rStyle w:val="IndexLink"/>
                <w:rtl w:val="true"/>
              </w:rPr>
              <w:t>نظرة إلى جذور السؤال تاريخيًّا</w:t>
            </w:r>
            <w:r>
              <w:rPr>
                <w:rStyle w:val="IndexLink"/>
                <w:rtl w:val="true"/>
              </w:rPr>
              <w:tab/>
            </w:r>
            <w:r>
              <w:rPr>
                <w:rStyle w:val="IndexLink"/>
              </w:rPr>
              <w:t>298</w:t>
            </w:r>
          </w:hyperlink>
        </w:p>
        <w:p>
          <w:pPr>
            <w:pStyle w:val="Contents4"/>
            <w:tabs>
              <w:tab w:val="clear" w:pos="8176"/>
              <w:tab w:val="right" w:pos="9026" w:leader="dot"/>
            </w:tabs>
            <w:rPr/>
          </w:pPr>
          <w:hyperlink w:anchor="__RefHeading___Toc2517716_653776707">
            <w:r>
              <w:rPr>
                <w:webHidden/>
                <w:rStyle w:val="IndexLink"/>
                <w:rtl w:val="true"/>
              </w:rPr>
              <w:t>المسألة الثانية</w:t>
            </w:r>
            <w:r>
              <w:rPr>
                <w:rStyle w:val="IndexLink"/>
                <w:rtl w:val="true"/>
              </w:rPr>
              <w:t xml:space="preserve">: </w:t>
            </w:r>
            <w:r>
              <w:rPr>
                <w:rStyle w:val="IndexLink"/>
                <w:rtl w:val="true"/>
              </w:rPr>
              <w:t>تقريبٌ جديدٌ لبيان المشكل</w:t>
            </w:r>
            <w:r>
              <w:rPr>
                <w:rStyle w:val="IndexLink"/>
                <w:rtl w:val="true"/>
              </w:rPr>
              <w:tab/>
            </w:r>
            <w:r>
              <w:rPr>
                <w:rStyle w:val="IndexLink"/>
              </w:rPr>
              <w:t>301</w:t>
            </w:r>
          </w:hyperlink>
        </w:p>
        <w:p>
          <w:pPr>
            <w:pStyle w:val="Contents4"/>
            <w:tabs>
              <w:tab w:val="clear" w:pos="8176"/>
              <w:tab w:val="right" w:pos="9026" w:leader="dot"/>
            </w:tabs>
            <w:rPr/>
          </w:pPr>
          <w:hyperlink w:anchor="__RefHeading___Toc2517718_653776707">
            <w:r>
              <w:rPr>
                <w:webHidden/>
                <w:rStyle w:val="IndexLink"/>
                <w:rtl w:val="true"/>
              </w:rPr>
              <w:t>المسألة الثالثة</w:t>
            </w:r>
            <w:r>
              <w:rPr>
                <w:rStyle w:val="IndexLink"/>
                <w:rtl w:val="true"/>
              </w:rPr>
              <w:t xml:space="preserve">: </w:t>
            </w:r>
            <w:r>
              <w:rPr>
                <w:rStyle w:val="IndexLink"/>
                <w:rtl w:val="true"/>
              </w:rPr>
              <w:t xml:space="preserve">دراسة حلول مشكلة تعيين الفقيه الولي </w:t>
            </w:r>
            <w:r>
              <w:rPr>
                <w:rStyle w:val="IndexLink"/>
                <w:rtl w:val="true"/>
              </w:rPr>
              <w:t>(</w:t>
            </w:r>
            <w:r>
              <w:rPr>
                <w:rStyle w:val="IndexLink"/>
              </w:rPr>
              <w:t>1</w:t>
            </w:r>
            <w:r>
              <w:rPr>
                <w:rStyle w:val="IndexLink"/>
                <w:rtl w:val="true"/>
              </w:rPr>
              <w:t>)</w:t>
              <w:tab/>
            </w:r>
            <w:r>
              <w:rPr>
                <w:rStyle w:val="IndexLink"/>
              </w:rPr>
              <w:t>303</w:t>
            </w:r>
          </w:hyperlink>
        </w:p>
        <w:p>
          <w:pPr>
            <w:pStyle w:val="Contents5"/>
            <w:tabs>
              <w:tab w:val="clear" w:pos="7892"/>
              <w:tab w:val="right" w:pos="9026" w:leader="dot"/>
            </w:tabs>
            <w:rPr/>
          </w:pPr>
          <w:hyperlink w:anchor="__RefHeading___Toc2517720_653776707">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2517722_653776707">
            <w:r>
              <w:rPr>
                <w:webHidden/>
                <w:rStyle w:val="IndexLink"/>
                <w:rtl w:val="true"/>
              </w:rPr>
              <w:t>النظرية الأولى</w:t>
            </w:r>
            <w:r>
              <w:rPr>
                <w:rStyle w:val="IndexLink"/>
                <w:rtl w:val="true"/>
              </w:rPr>
              <w:t xml:space="preserve">: </w:t>
            </w:r>
            <w:r>
              <w:rPr>
                <w:rStyle w:val="IndexLink"/>
                <w:rtl w:val="true"/>
              </w:rPr>
              <w:t xml:space="preserve">شورى الفقهاء </w:t>
            </w:r>
            <w:r>
              <w:rPr>
                <w:rStyle w:val="IndexLink"/>
                <w:rtl w:val="true"/>
              </w:rPr>
              <w:t>(</w:t>
            </w:r>
            <w:r>
              <w:rPr>
                <w:rStyle w:val="IndexLink"/>
                <w:rtl w:val="true"/>
              </w:rPr>
              <w:t>مجلس القيادة</w:t>
            </w:r>
            <w:r>
              <w:rPr>
                <w:rStyle w:val="IndexLink"/>
                <w:rtl w:val="true"/>
              </w:rPr>
              <w:t>)</w:t>
              <w:tab/>
            </w:r>
            <w:r>
              <w:rPr>
                <w:rStyle w:val="IndexLink"/>
              </w:rPr>
              <w:t>303</w:t>
            </w:r>
          </w:hyperlink>
        </w:p>
        <w:p>
          <w:pPr>
            <w:pStyle w:val="Contents6"/>
            <w:tabs>
              <w:tab w:val="clear" w:pos="7609"/>
              <w:tab w:val="right" w:pos="9026" w:leader="dot"/>
            </w:tabs>
            <w:rPr/>
          </w:pPr>
          <w:hyperlink w:anchor="__RefHeading___Toc2517724_653776707">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2517726_653776707">
            <w:r>
              <w:rPr>
                <w:webHidden/>
                <w:rStyle w:val="IndexLink"/>
                <w:rtl w:val="true"/>
              </w:rPr>
              <w:t>المبحث الأول</w:t>
            </w:r>
            <w:r>
              <w:rPr>
                <w:rStyle w:val="IndexLink"/>
                <w:rtl w:val="true"/>
              </w:rPr>
              <w:t xml:space="preserve">) </w:t>
            </w:r>
            <w:r>
              <w:rPr>
                <w:rStyle w:val="IndexLink"/>
                <w:rtl w:val="true"/>
              </w:rPr>
              <w:t>نظرة إلى تاريخ الشورى في التراث الإسلامي</w:t>
            </w:r>
            <w:r>
              <w:rPr>
                <w:rStyle w:val="IndexLink"/>
                <w:rtl w:val="true"/>
              </w:rPr>
              <w:tab/>
            </w:r>
            <w:r>
              <w:rPr>
                <w:rStyle w:val="IndexLink"/>
              </w:rPr>
              <w:t>304</w:t>
            </w:r>
          </w:hyperlink>
        </w:p>
        <w:p>
          <w:pPr>
            <w:pStyle w:val="Contents6"/>
            <w:tabs>
              <w:tab w:val="clear" w:pos="7609"/>
              <w:tab w:val="right" w:pos="9026" w:leader="dot"/>
            </w:tabs>
            <w:rPr/>
          </w:pPr>
          <w:hyperlink w:anchor="__RefHeading___Toc2517728_653776707">
            <w:r>
              <w:rPr>
                <w:webHidden/>
                <w:rStyle w:val="IndexLink"/>
                <w:rtl w:val="true"/>
              </w:rPr>
              <w:t>المبحث الثاني</w:t>
            </w:r>
            <w:r>
              <w:rPr>
                <w:rStyle w:val="IndexLink"/>
                <w:rtl w:val="true"/>
              </w:rPr>
              <w:t xml:space="preserve">) </w:t>
            </w:r>
            <w:r>
              <w:rPr>
                <w:rStyle w:val="IndexLink"/>
                <w:rtl w:val="true"/>
              </w:rPr>
              <w:t>بيان نظرية شورى الفقهاء</w:t>
            </w:r>
            <w:r>
              <w:rPr>
                <w:rStyle w:val="IndexLink"/>
                <w:rtl w:val="true"/>
              </w:rPr>
              <w:tab/>
            </w:r>
            <w:r>
              <w:rPr>
                <w:rStyle w:val="IndexLink"/>
              </w:rPr>
              <w:t>305</w:t>
            </w:r>
          </w:hyperlink>
        </w:p>
        <w:p>
          <w:pPr>
            <w:pStyle w:val="Contents4"/>
            <w:tabs>
              <w:tab w:val="clear" w:pos="8176"/>
              <w:tab w:val="right" w:pos="9026" w:leader="dot"/>
            </w:tabs>
            <w:rPr/>
          </w:pPr>
          <w:hyperlink w:anchor="__RefHeading___Toc2517730_653776707">
            <w:r>
              <w:rPr>
                <w:webHidden/>
                <w:rStyle w:val="IndexLink"/>
                <w:rtl w:val="true"/>
              </w:rPr>
              <w:t>المسألة الرابعة</w:t>
            </w:r>
            <w:r>
              <w:rPr>
                <w:rStyle w:val="IndexLink"/>
                <w:rtl w:val="true"/>
              </w:rPr>
              <w:t xml:space="preserve">: </w:t>
            </w:r>
            <w:r>
              <w:rPr>
                <w:rStyle w:val="IndexLink"/>
                <w:rtl w:val="true"/>
              </w:rPr>
              <w:t>تقويم نظرية شورى الفقهاء</w:t>
            </w:r>
            <w:r>
              <w:rPr>
                <w:rStyle w:val="IndexLink"/>
                <w:rtl w:val="true"/>
              </w:rPr>
              <w:tab/>
            </w:r>
            <w:r>
              <w:rPr>
                <w:rStyle w:val="IndexLink"/>
              </w:rPr>
              <w:t>306</w:t>
            </w:r>
          </w:hyperlink>
        </w:p>
        <w:p>
          <w:pPr>
            <w:pStyle w:val="Contents4"/>
            <w:tabs>
              <w:tab w:val="clear" w:pos="8176"/>
              <w:tab w:val="right" w:pos="9026" w:leader="dot"/>
            </w:tabs>
            <w:rPr/>
          </w:pPr>
          <w:hyperlink w:anchor="__RefHeading___Toc2517732_653776707">
            <w:r>
              <w:rPr>
                <w:webHidden/>
                <w:rStyle w:val="IndexLink"/>
                <w:rtl w:val="true"/>
              </w:rPr>
              <w:t>المسألة الخامسة</w:t>
            </w:r>
            <w:r>
              <w:rPr>
                <w:rStyle w:val="IndexLink"/>
                <w:rtl w:val="true"/>
              </w:rPr>
              <w:t>:</w:t>
            </w:r>
            <w:r>
              <w:rPr>
                <w:rStyle w:val="IndexLink"/>
                <w:rtl w:val="true"/>
              </w:rPr>
              <w:t>دراسة النظريات لحل مشكلة تعيين الفقيه الولي</w:t>
            </w:r>
            <w:r>
              <w:rPr>
                <w:rStyle w:val="IndexLink"/>
                <w:rtl w:val="true"/>
              </w:rPr>
              <w:t>(</w:t>
            </w:r>
            <w:r>
              <w:rPr>
                <w:rStyle w:val="IndexLink"/>
              </w:rPr>
              <w:t>2</w:t>
            </w:r>
            <w:r>
              <w:rPr>
                <w:rStyle w:val="IndexLink"/>
                <w:rtl w:val="true"/>
              </w:rPr>
              <w:t>)</w:t>
              <w:tab/>
            </w:r>
            <w:r>
              <w:rPr>
                <w:rStyle w:val="IndexLink"/>
              </w:rPr>
              <w:t>309</w:t>
            </w:r>
          </w:hyperlink>
        </w:p>
        <w:p>
          <w:pPr>
            <w:pStyle w:val="Contents5"/>
            <w:tabs>
              <w:tab w:val="clear" w:pos="7892"/>
              <w:tab w:val="right" w:pos="9026" w:leader="dot"/>
            </w:tabs>
            <w:rPr/>
          </w:pPr>
          <w:hyperlink w:anchor="__RefHeading___Toc2517734_653776707">
            <w:r>
              <w:rPr>
                <w:webHidden/>
                <w:rStyle w:val="IndexLink"/>
                <w:rtl w:val="true"/>
              </w:rPr>
              <w:t>النظرية الثانية</w:t>
            </w:r>
            <w:r>
              <w:rPr>
                <w:rStyle w:val="IndexLink"/>
                <w:rtl w:val="true"/>
              </w:rPr>
              <w:t xml:space="preserve">: </w:t>
            </w:r>
            <w:r>
              <w:rPr>
                <w:rStyle w:val="IndexLink"/>
                <w:rtl w:val="true"/>
              </w:rPr>
              <w:t>نظرية التخيير الجمعي دراسةٌ ونقدٌ</w:t>
            </w:r>
            <w:r>
              <w:rPr>
                <w:rStyle w:val="IndexLink"/>
                <w:rtl w:val="true"/>
              </w:rPr>
              <w:tab/>
            </w:r>
            <w:r>
              <w:rPr>
                <w:rStyle w:val="IndexLink"/>
              </w:rPr>
              <w:t>309</w:t>
            </w:r>
          </w:hyperlink>
        </w:p>
        <w:p>
          <w:pPr>
            <w:pStyle w:val="Contents6"/>
            <w:tabs>
              <w:tab w:val="clear" w:pos="7609"/>
              <w:tab w:val="right" w:pos="9026" w:leader="dot"/>
            </w:tabs>
            <w:rPr/>
          </w:pPr>
          <w:hyperlink w:anchor="__RefHeading___Toc2517736_653776707">
            <w:r>
              <w:rPr>
                <w:webHidden/>
                <w:rStyle w:val="IndexLink"/>
                <w:rtl w:val="true"/>
              </w:rPr>
              <w:t>أ</w:t>
            </w:r>
            <w:r>
              <w:rPr>
                <w:rStyle w:val="IndexLink"/>
                <w:rtl w:val="true"/>
              </w:rPr>
              <w:t xml:space="preserve">) </w:t>
            </w:r>
            <w:r>
              <w:rPr>
                <w:rStyle w:val="IndexLink"/>
                <w:rtl w:val="true"/>
              </w:rPr>
              <w:t>دراسة نظرية التخيير الجمعي</w:t>
            </w:r>
            <w:r>
              <w:rPr>
                <w:rStyle w:val="IndexLink"/>
                <w:rtl w:val="true"/>
              </w:rPr>
              <w:tab/>
            </w:r>
            <w:r>
              <w:rPr>
                <w:rStyle w:val="IndexLink"/>
              </w:rPr>
              <w:t>309</w:t>
            </w:r>
          </w:hyperlink>
        </w:p>
        <w:p>
          <w:pPr>
            <w:pStyle w:val="Contents6"/>
            <w:tabs>
              <w:tab w:val="clear" w:pos="7609"/>
              <w:tab w:val="right" w:pos="9026" w:leader="dot"/>
            </w:tabs>
            <w:rPr/>
          </w:pPr>
          <w:hyperlink w:anchor="__RefHeading___Toc2517738_653776707">
            <w:r>
              <w:rPr>
                <w:webHidden/>
                <w:rStyle w:val="IndexLink"/>
                <w:rtl w:val="true"/>
              </w:rPr>
              <w:t>ب</w:t>
            </w:r>
            <w:r>
              <w:rPr>
                <w:rStyle w:val="IndexLink"/>
                <w:rtl w:val="true"/>
              </w:rPr>
              <w:t xml:space="preserve">) </w:t>
            </w:r>
            <w:r>
              <w:rPr>
                <w:rStyle w:val="IndexLink"/>
                <w:rtl w:val="true"/>
              </w:rPr>
              <w:t>تقويم نظرية التخيير الجمعي</w:t>
            </w:r>
            <w:r>
              <w:rPr>
                <w:rStyle w:val="IndexLink"/>
                <w:rtl w:val="true"/>
              </w:rPr>
              <w:tab/>
            </w:r>
            <w:r>
              <w:rPr>
                <w:rStyle w:val="IndexLink"/>
              </w:rPr>
              <w:t>310</w:t>
            </w:r>
          </w:hyperlink>
        </w:p>
        <w:p>
          <w:pPr>
            <w:pStyle w:val="Contents4"/>
            <w:tabs>
              <w:tab w:val="clear" w:pos="8176"/>
              <w:tab w:val="right" w:pos="9026" w:leader="dot"/>
            </w:tabs>
            <w:rPr/>
          </w:pPr>
          <w:hyperlink w:anchor="__RefHeading___Toc2517740_653776707">
            <w:r>
              <w:rPr>
                <w:webHidden/>
                <w:rStyle w:val="IndexLink"/>
                <w:rtl w:val="true"/>
              </w:rPr>
              <w:t>المسألة السادسة</w:t>
            </w:r>
            <w:r>
              <w:rPr>
                <w:rStyle w:val="IndexLink"/>
                <w:rtl w:val="true"/>
              </w:rPr>
              <w:t xml:space="preserve">: </w:t>
            </w:r>
            <w:r>
              <w:rPr>
                <w:rStyle w:val="IndexLink"/>
                <w:rtl w:val="true"/>
              </w:rPr>
              <w:t xml:space="preserve">دراسة الحلول لمشكلة تعيين الفقيه الولي </w:t>
            </w:r>
            <w:r>
              <w:rPr>
                <w:rStyle w:val="IndexLink"/>
                <w:rtl w:val="true"/>
              </w:rPr>
              <w:t>(</w:t>
            </w:r>
            <w:r>
              <w:rPr>
                <w:rStyle w:val="IndexLink"/>
              </w:rPr>
              <w:t>3</w:t>
            </w:r>
            <w:r>
              <w:rPr>
                <w:rStyle w:val="IndexLink"/>
                <w:rtl w:val="true"/>
              </w:rPr>
              <w:t>)</w:t>
              <w:tab/>
            </w:r>
            <w:r>
              <w:rPr>
                <w:rStyle w:val="IndexLink"/>
              </w:rPr>
              <w:t>312</w:t>
            </w:r>
          </w:hyperlink>
        </w:p>
        <w:p>
          <w:pPr>
            <w:pStyle w:val="Contents5"/>
            <w:tabs>
              <w:tab w:val="clear" w:pos="7892"/>
              <w:tab w:val="right" w:pos="9026" w:leader="dot"/>
            </w:tabs>
            <w:rPr/>
          </w:pPr>
          <w:hyperlink w:anchor="__RefHeading___Toc2517742_653776707">
            <w:r>
              <w:rPr>
                <w:webHidden/>
                <w:rStyle w:val="IndexLink"/>
                <w:rtl w:val="true"/>
              </w:rPr>
              <w:t>النظرية الثالثة</w:t>
            </w:r>
            <w:r>
              <w:rPr>
                <w:rStyle w:val="IndexLink"/>
                <w:rtl w:val="true"/>
              </w:rPr>
              <w:t xml:space="preserve">: </w:t>
            </w:r>
            <w:r>
              <w:rPr>
                <w:rStyle w:val="IndexLink"/>
                <w:rtl w:val="true"/>
              </w:rPr>
              <w:t>نظرية التزاحم دراسةٌ ونقدٌ</w:t>
            </w:r>
            <w:r>
              <w:rPr>
                <w:rStyle w:val="IndexLink"/>
                <w:rtl w:val="true"/>
              </w:rPr>
              <w:tab/>
            </w:r>
            <w:r>
              <w:rPr>
                <w:rStyle w:val="IndexLink"/>
              </w:rPr>
              <w:t>312</w:t>
            </w:r>
          </w:hyperlink>
        </w:p>
        <w:p>
          <w:pPr>
            <w:pStyle w:val="Contents6"/>
            <w:tabs>
              <w:tab w:val="clear" w:pos="7609"/>
              <w:tab w:val="right" w:pos="9026" w:leader="dot"/>
            </w:tabs>
            <w:rPr/>
          </w:pPr>
          <w:hyperlink w:anchor="__RefHeading___Toc2517744_653776707">
            <w:r>
              <w:rPr>
                <w:webHidden/>
                <w:rStyle w:val="IndexLink"/>
                <w:rtl w:val="true"/>
              </w:rPr>
              <w:t>أ</w:t>
            </w:r>
            <w:r>
              <w:rPr>
                <w:rStyle w:val="IndexLink"/>
                <w:rtl w:val="true"/>
              </w:rPr>
              <w:t xml:space="preserve">) </w:t>
            </w:r>
            <w:r>
              <w:rPr>
                <w:rStyle w:val="IndexLink"/>
                <w:rtl w:val="true"/>
              </w:rPr>
              <w:t>دراسة نظرية التزاحم</w:t>
            </w:r>
            <w:r>
              <w:rPr>
                <w:rStyle w:val="IndexLink"/>
                <w:rtl w:val="true"/>
              </w:rPr>
              <w:t>:</w:t>
              <w:tab/>
            </w:r>
            <w:r>
              <w:rPr>
                <w:rStyle w:val="IndexLink"/>
              </w:rPr>
              <w:t>312</w:t>
            </w:r>
          </w:hyperlink>
        </w:p>
        <w:p>
          <w:pPr>
            <w:pStyle w:val="Contents6"/>
            <w:tabs>
              <w:tab w:val="clear" w:pos="7609"/>
              <w:tab w:val="right" w:pos="9026" w:leader="dot"/>
            </w:tabs>
            <w:rPr/>
          </w:pPr>
          <w:hyperlink w:anchor="__RefHeading___Toc2517746_653776707">
            <w:r>
              <w:rPr>
                <w:webHidden/>
                <w:rStyle w:val="IndexLink"/>
                <w:rtl w:val="true"/>
              </w:rPr>
              <w:t>ب</w:t>
            </w:r>
            <w:r>
              <w:rPr>
                <w:rStyle w:val="IndexLink"/>
                <w:rtl w:val="true"/>
              </w:rPr>
              <w:t xml:space="preserve">) </w:t>
            </w:r>
            <w:r>
              <w:rPr>
                <w:rStyle w:val="IndexLink"/>
                <w:rtl w:val="true"/>
              </w:rPr>
              <w:t>تقويم نظرية التزاحم</w:t>
            </w:r>
            <w:r>
              <w:rPr>
                <w:rStyle w:val="IndexLink"/>
                <w:rtl w:val="true"/>
              </w:rPr>
              <w:tab/>
            </w:r>
            <w:r>
              <w:rPr>
                <w:rStyle w:val="IndexLink"/>
              </w:rPr>
              <w:t>313</w:t>
            </w:r>
          </w:hyperlink>
        </w:p>
        <w:p>
          <w:pPr>
            <w:pStyle w:val="Contents4"/>
            <w:tabs>
              <w:tab w:val="clear" w:pos="8176"/>
              <w:tab w:val="right" w:pos="9026" w:leader="dot"/>
            </w:tabs>
            <w:rPr/>
          </w:pPr>
          <w:hyperlink w:anchor="__RefHeading___Toc2517748_653776707">
            <w:r>
              <w:rPr>
                <w:webHidden/>
                <w:rStyle w:val="IndexLink"/>
                <w:rtl w:val="true"/>
              </w:rPr>
              <w:t>المسألة السابعة</w:t>
            </w:r>
            <w:r>
              <w:rPr>
                <w:rStyle w:val="IndexLink"/>
                <w:rtl w:val="true"/>
              </w:rPr>
              <w:t xml:space="preserve">: </w:t>
            </w:r>
            <w:r>
              <w:rPr>
                <w:rStyle w:val="IndexLink"/>
                <w:rtl w:val="true"/>
              </w:rPr>
              <w:t xml:space="preserve">دراسة الحلول لمشكلة تعيين الفقيه الولي </w:t>
            </w:r>
            <w:r>
              <w:rPr>
                <w:rStyle w:val="IndexLink"/>
                <w:rtl w:val="true"/>
              </w:rPr>
              <w:t>(</w:t>
            </w:r>
            <w:r>
              <w:rPr>
                <w:rStyle w:val="IndexLink"/>
              </w:rPr>
              <w:t>4</w:t>
            </w:r>
            <w:r>
              <w:rPr>
                <w:rStyle w:val="IndexLink"/>
                <w:rtl w:val="true"/>
              </w:rPr>
              <w:t>)</w:t>
              <w:tab/>
            </w:r>
            <w:r>
              <w:rPr>
                <w:rStyle w:val="IndexLink"/>
              </w:rPr>
              <w:t>314</w:t>
            </w:r>
          </w:hyperlink>
        </w:p>
        <w:p>
          <w:pPr>
            <w:pStyle w:val="Contents5"/>
            <w:tabs>
              <w:tab w:val="clear" w:pos="7892"/>
              <w:tab w:val="right" w:pos="9026" w:leader="dot"/>
            </w:tabs>
            <w:rPr/>
          </w:pPr>
          <w:hyperlink w:anchor="__RefHeading___Toc2517750_653776707">
            <w:r>
              <w:rPr>
                <w:webHidden/>
                <w:rStyle w:val="IndexLink"/>
                <w:rtl w:val="true"/>
              </w:rPr>
              <w:t>النظرية الرابعة</w:t>
            </w:r>
            <w:r>
              <w:rPr>
                <w:rStyle w:val="IndexLink"/>
                <w:rtl w:val="true"/>
              </w:rPr>
              <w:t xml:space="preserve">: </w:t>
            </w:r>
            <w:r>
              <w:rPr>
                <w:rStyle w:val="IndexLink"/>
                <w:rtl w:val="true"/>
              </w:rPr>
              <w:t>نظرية الوجوب الكفائي</w:t>
            </w:r>
            <w:r>
              <w:rPr>
                <w:rStyle w:val="IndexLink"/>
                <w:rtl w:val="true"/>
              </w:rPr>
              <w:tab/>
            </w:r>
            <w:r>
              <w:rPr>
                <w:rStyle w:val="IndexLink"/>
              </w:rPr>
              <w:t>314</w:t>
            </w:r>
          </w:hyperlink>
        </w:p>
        <w:p>
          <w:pPr>
            <w:pStyle w:val="Contents6"/>
            <w:tabs>
              <w:tab w:val="clear" w:pos="7609"/>
              <w:tab w:val="right" w:pos="9026" w:leader="dot"/>
            </w:tabs>
            <w:rPr/>
          </w:pPr>
          <w:hyperlink w:anchor="__RefHeading___Toc2517752_653776707">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2517754_653776707">
            <w:r>
              <w:rPr>
                <w:webHidden/>
                <w:rStyle w:val="IndexLink"/>
                <w:rtl w:val="true"/>
              </w:rPr>
              <w:t>بيان الركن الأول</w:t>
            </w:r>
            <w:r>
              <w:rPr>
                <w:rStyle w:val="IndexLink"/>
                <w:rtl w:val="true"/>
              </w:rPr>
              <w:t xml:space="preserve">: </w:t>
            </w:r>
            <w:r>
              <w:rPr>
                <w:rStyle w:val="IndexLink"/>
                <w:rtl w:val="true"/>
              </w:rPr>
              <w:t>ضرورة إقامة الحكم الإسلامي</w:t>
            </w:r>
            <w:r>
              <w:rPr>
                <w:rStyle w:val="IndexLink"/>
                <w:rtl w:val="true"/>
              </w:rPr>
              <w:tab/>
            </w:r>
            <w:r>
              <w:rPr>
                <w:rStyle w:val="IndexLink"/>
              </w:rPr>
              <w:t>315</w:t>
            </w:r>
          </w:hyperlink>
        </w:p>
        <w:p>
          <w:pPr>
            <w:pStyle w:val="Contents6"/>
            <w:tabs>
              <w:tab w:val="clear" w:pos="7609"/>
              <w:tab w:val="right" w:pos="9026" w:leader="dot"/>
            </w:tabs>
            <w:rPr/>
          </w:pPr>
          <w:hyperlink w:anchor="__RefHeading___Toc2517756_653776707">
            <w:r>
              <w:rPr>
                <w:webHidden/>
                <w:rStyle w:val="IndexLink"/>
                <w:rtl w:val="true"/>
              </w:rPr>
              <w:t>بيان الركن الثاني</w:t>
            </w:r>
            <w:r>
              <w:rPr>
                <w:rStyle w:val="IndexLink"/>
                <w:rtl w:val="true"/>
              </w:rPr>
              <w:t xml:space="preserve">: </w:t>
            </w:r>
            <w:r>
              <w:rPr>
                <w:rStyle w:val="IndexLink"/>
                <w:rtl w:val="true"/>
              </w:rPr>
              <w:t>سيادة الشعب</w:t>
            </w:r>
            <w:r>
              <w:rPr>
                <w:rStyle w:val="IndexLink"/>
                <w:rtl w:val="true"/>
              </w:rPr>
              <w:tab/>
            </w:r>
            <w:r>
              <w:rPr>
                <w:rStyle w:val="IndexLink"/>
              </w:rPr>
              <w:t>316</w:t>
            </w:r>
          </w:hyperlink>
        </w:p>
        <w:p>
          <w:pPr>
            <w:pStyle w:val="Contents3"/>
            <w:tabs>
              <w:tab w:val="clear" w:pos="8459"/>
              <w:tab w:val="right" w:pos="9026" w:leader="dot"/>
            </w:tabs>
            <w:rPr/>
          </w:pPr>
          <w:hyperlink w:anchor="__RefHeading___Toc2517758_653776707">
            <w:r>
              <w:rPr>
                <w:webHidden/>
                <w:rStyle w:val="IndexLink"/>
                <w:rtl w:val="true"/>
              </w:rPr>
              <w:t>الفصل الثالث</w:t>
            </w:r>
            <w:r>
              <w:rPr>
                <w:rStyle w:val="IndexLink"/>
                <w:rtl w:val="true"/>
              </w:rPr>
              <w:t xml:space="preserve">: </w:t>
            </w:r>
            <w:r>
              <w:rPr>
                <w:rStyle w:val="IndexLink"/>
                <w:rtl w:val="true"/>
              </w:rPr>
              <w:t>نظرية الانتخاب بين الدراسة والنقد</w:t>
            </w:r>
            <w:r>
              <w:rPr>
                <w:rStyle w:val="IndexLink"/>
                <w:rtl w:val="true"/>
              </w:rPr>
              <w:tab/>
            </w:r>
            <w:r>
              <w:rPr>
                <w:rStyle w:val="IndexLink"/>
              </w:rPr>
              <w:t>323</w:t>
            </w:r>
          </w:hyperlink>
        </w:p>
        <w:p>
          <w:pPr>
            <w:pStyle w:val="Contents4"/>
            <w:tabs>
              <w:tab w:val="clear" w:pos="8176"/>
              <w:tab w:val="right" w:pos="9026" w:leader="dot"/>
            </w:tabs>
            <w:rPr/>
          </w:pPr>
          <w:hyperlink w:anchor="__RefHeading___Toc2517760_653776707">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2517762_653776707">
            <w:r>
              <w:rPr>
                <w:webHidden/>
                <w:rStyle w:val="IndexLink"/>
                <w:rtl w:val="true"/>
              </w:rPr>
              <w:t>المسألة الأولى</w:t>
            </w:r>
            <w:r>
              <w:rPr>
                <w:rStyle w:val="IndexLink"/>
                <w:rtl w:val="true"/>
              </w:rPr>
              <w:t xml:space="preserve">: </w:t>
            </w:r>
            <w:r>
              <w:rPr>
                <w:rStyle w:val="IndexLink"/>
                <w:rtl w:val="true"/>
              </w:rPr>
              <w:t xml:space="preserve">دراسة أدلة الانتخاب </w:t>
            </w:r>
            <w:r>
              <w:rPr>
                <w:rStyle w:val="IndexLink"/>
                <w:rtl w:val="true"/>
              </w:rPr>
              <w:t>(</w:t>
            </w:r>
            <w:r>
              <w:rPr>
                <w:rStyle w:val="IndexLink"/>
              </w:rPr>
              <w:t>1</w:t>
            </w:r>
            <w:r>
              <w:rPr>
                <w:rStyle w:val="IndexLink"/>
                <w:rtl w:val="true"/>
              </w:rPr>
              <w:t>)</w:t>
              <w:tab/>
            </w:r>
            <w:r>
              <w:rPr>
                <w:rStyle w:val="IndexLink"/>
              </w:rPr>
              <w:t>324</w:t>
            </w:r>
          </w:hyperlink>
        </w:p>
        <w:p>
          <w:pPr>
            <w:pStyle w:val="Contents5"/>
            <w:tabs>
              <w:tab w:val="clear" w:pos="7892"/>
              <w:tab w:val="right" w:pos="9026" w:leader="dot"/>
            </w:tabs>
            <w:rPr/>
          </w:pPr>
          <w:hyperlink w:anchor="__RefHeading___Toc2517764_653776707">
            <w:r>
              <w:rPr>
                <w:webHidden/>
                <w:rStyle w:val="IndexLink"/>
                <w:rtl w:val="true"/>
              </w:rPr>
              <w:t>الدليل الأول</w:t>
            </w:r>
            <w:r>
              <w:rPr>
                <w:rStyle w:val="IndexLink"/>
                <w:rtl w:val="true"/>
              </w:rPr>
              <w:t xml:space="preserve">: </w:t>
            </w:r>
            <w:r>
              <w:rPr>
                <w:rStyle w:val="IndexLink"/>
                <w:rtl w:val="true"/>
              </w:rPr>
              <w:t>حكم العقل</w:t>
            </w:r>
            <w:r>
              <w:rPr>
                <w:rStyle w:val="IndexLink"/>
                <w:rtl w:val="true"/>
              </w:rPr>
              <w:tab/>
            </w:r>
            <w:r>
              <w:rPr>
                <w:rStyle w:val="IndexLink"/>
              </w:rPr>
              <w:t>324</w:t>
            </w:r>
          </w:hyperlink>
        </w:p>
        <w:p>
          <w:pPr>
            <w:pStyle w:val="Contents6"/>
            <w:tabs>
              <w:tab w:val="clear" w:pos="7609"/>
              <w:tab w:val="right" w:pos="9026" w:leader="dot"/>
            </w:tabs>
            <w:rPr/>
          </w:pPr>
          <w:hyperlink w:anchor="__RefHeading___Toc2517766_653776707">
            <w:r>
              <w:rPr>
                <w:webHidden/>
                <w:rStyle w:val="IndexLink"/>
                <w:rtl w:val="true"/>
              </w:rPr>
              <w:t>أ</w:t>
            </w:r>
            <w:r>
              <w:rPr>
                <w:rStyle w:val="IndexLink"/>
                <w:rtl w:val="true"/>
              </w:rPr>
              <w:t xml:space="preserve">) </w:t>
            </w:r>
            <w:r>
              <w:rPr>
                <w:rStyle w:val="IndexLink"/>
                <w:rtl w:val="true"/>
              </w:rPr>
              <w:t>تقريب الدليل الأول</w:t>
            </w:r>
            <w:r>
              <w:rPr>
                <w:rStyle w:val="IndexLink"/>
                <w:rtl w:val="true"/>
              </w:rPr>
              <w:tab/>
            </w:r>
            <w:r>
              <w:rPr>
                <w:rStyle w:val="IndexLink"/>
              </w:rPr>
              <w:t>324</w:t>
            </w:r>
          </w:hyperlink>
        </w:p>
        <w:p>
          <w:pPr>
            <w:pStyle w:val="Contents6"/>
            <w:tabs>
              <w:tab w:val="clear" w:pos="7609"/>
              <w:tab w:val="right" w:pos="9026" w:leader="dot"/>
            </w:tabs>
            <w:rPr/>
          </w:pPr>
          <w:hyperlink w:anchor="__RefHeading___Toc2517768_653776707">
            <w:r>
              <w:rPr>
                <w:webHidden/>
                <w:rStyle w:val="IndexLink"/>
                <w:rtl w:val="true"/>
              </w:rPr>
              <w:t>ب</w:t>
            </w:r>
            <w:r>
              <w:rPr>
                <w:rStyle w:val="IndexLink"/>
                <w:rtl w:val="true"/>
              </w:rPr>
              <w:t xml:space="preserve">) </w:t>
            </w:r>
            <w:r>
              <w:rPr>
                <w:rStyle w:val="IndexLink"/>
                <w:rtl w:val="true"/>
              </w:rPr>
              <w:t>تقويم الدليل الأول</w:t>
            </w:r>
            <w:r>
              <w:rPr>
                <w:rStyle w:val="IndexLink"/>
                <w:rtl w:val="true"/>
              </w:rPr>
              <w:t>:</w:t>
              <w:tab/>
            </w:r>
            <w:r>
              <w:rPr>
                <w:rStyle w:val="IndexLink"/>
              </w:rPr>
              <w:t>324</w:t>
            </w:r>
          </w:hyperlink>
        </w:p>
        <w:p>
          <w:pPr>
            <w:pStyle w:val="Contents4"/>
            <w:tabs>
              <w:tab w:val="clear" w:pos="8176"/>
              <w:tab w:val="right" w:pos="9026" w:leader="dot"/>
            </w:tabs>
            <w:rPr/>
          </w:pPr>
          <w:hyperlink w:anchor="__RefHeading___Toc2517770_653776707">
            <w:r>
              <w:rPr>
                <w:webHidden/>
                <w:rStyle w:val="IndexLink"/>
                <w:rtl w:val="true"/>
              </w:rPr>
              <w:t>المسألة الثانية</w:t>
            </w:r>
            <w:r>
              <w:rPr>
                <w:rStyle w:val="IndexLink"/>
                <w:rtl w:val="true"/>
              </w:rPr>
              <w:t xml:space="preserve">: </w:t>
            </w:r>
            <w:r>
              <w:rPr>
                <w:rStyle w:val="IndexLink"/>
                <w:rtl w:val="true"/>
              </w:rPr>
              <w:t xml:space="preserve">دراسة أدلة الانتخاب </w:t>
            </w:r>
            <w:r>
              <w:rPr>
                <w:rStyle w:val="IndexLink"/>
                <w:rtl w:val="true"/>
              </w:rPr>
              <w:t>(</w:t>
            </w:r>
            <w:r>
              <w:rPr>
                <w:rStyle w:val="IndexLink"/>
              </w:rPr>
              <w:t>2</w:t>
            </w:r>
            <w:r>
              <w:rPr>
                <w:rStyle w:val="IndexLink"/>
                <w:rtl w:val="true"/>
              </w:rPr>
              <w:t>)</w:t>
              <w:tab/>
            </w:r>
            <w:r>
              <w:rPr>
                <w:rStyle w:val="IndexLink"/>
              </w:rPr>
              <w:t>325</w:t>
            </w:r>
          </w:hyperlink>
        </w:p>
        <w:p>
          <w:pPr>
            <w:pStyle w:val="Contents5"/>
            <w:tabs>
              <w:tab w:val="clear" w:pos="7892"/>
              <w:tab w:val="right" w:pos="9026" w:leader="dot"/>
            </w:tabs>
            <w:rPr/>
          </w:pPr>
          <w:hyperlink w:anchor="__RefHeading___Toc2517772_653776707">
            <w:r>
              <w:rPr>
                <w:webHidden/>
                <w:rStyle w:val="IndexLink"/>
                <w:rtl w:val="true"/>
              </w:rPr>
              <w:t>الدليل الثاني</w:t>
            </w:r>
            <w:r>
              <w:rPr>
                <w:rStyle w:val="IndexLink"/>
                <w:rtl w:val="true"/>
              </w:rPr>
              <w:t xml:space="preserve">: </w:t>
            </w:r>
            <w:r>
              <w:rPr>
                <w:rStyle w:val="IndexLink"/>
                <w:rtl w:val="true"/>
              </w:rPr>
              <w:t>سيرة العقلاء</w:t>
            </w:r>
            <w:r>
              <w:rPr>
                <w:rStyle w:val="IndexLink"/>
                <w:rtl w:val="true"/>
              </w:rPr>
              <w:tab/>
            </w:r>
            <w:r>
              <w:rPr>
                <w:rStyle w:val="IndexLink"/>
              </w:rPr>
              <w:t>325</w:t>
            </w:r>
          </w:hyperlink>
        </w:p>
        <w:p>
          <w:pPr>
            <w:pStyle w:val="Contents6"/>
            <w:tabs>
              <w:tab w:val="clear" w:pos="7609"/>
              <w:tab w:val="right" w:pos="9026" w:leader="dot"/>
            </w:tabs>
            <w:rPr/>
          </w:pPr>
          <w:hyperlink w:anchor="__RefHeading___Toc2517774_653776707">
            <w:r>
              <w:rPr>
                <w:webHidden/>
                <w:rStyle w:val="IndexLink"/>
                <w:rtl w:val="true"/>
              </w:rPr>
              <w:t>أ</w:t>
            </w:r>
            <w:r>
              <w:rPr>
                <w:rStyle w:val="IndexLink"/>
                <w:rtl w:val="true"/>
              </w:rPr>
              <w:t xml:space="preserve">) </w:t>
            </w:r>
            <w:r>
              <w:rPr>
                <w:rStyle w:val="IndexLink"/>
                <w:rtl w:val="true"/>
              </w:rPr>
              <w:t>تقريب الدليل الثاني</w:t>
            </w:r>
            <w:r>
              <w:rPr>
                <w:rStyle w:val="IndexLink"/>
                <w:rtl w:val="true"/>
              </w:rPr>
              <w:tab/>
            </w:r>
            <w:r>
              <w:rPr>
                <w:rStyle w:val="IndexLink"/>
              </w:rPr>
              <w:t>325</w:t>
            </w:r>
          </w:hyperlink>
        </w:p>
        <w:p>
          <w:pPr>
            <w:pStyle w:val="Contents6"/>
            <w:tabs>
              <w:tab w:val="clear" w:pos="7609"/>
              <w:tab w:val="right" w:pos="9026" w:leader="dot"/>
            </w:tabs>
            <w:rPr/>
          </w:pPr>
          <w:hyperlink w:anchor="__RefHeading___Toc2517776_653776707">
            <w:r>
              <w:rPr>
                <w:webHidden/>
                <w:rStyle w:val="IndexLink"/>
                <w:rtl w:val="true"/>
              </w:rPr>
              <w:t>ب</w:t>
            </w:r>
            <w:r>
              <w:rPr>
                <w:rStyle w:val="IndexLink"/>
                <w:rtl w:val="true"/>
              </w:rPr>
              <w:t xml:space="preserve">) </w:t>
            </w:r>
            <w:r>
              <w:rPr>
                <w:rStyle w:val="IndexLink"/>
                <w:rtl w:val="true"/>
              </w:rPr>
              <w:t>تقويم الدليل الثاني</w:t>
            </w:r>
            <w:r>
              <w:rPr>
                <w:rStyle w:val="IndexLink"/>
                <w:rtl w:val="true"/>
              </w:rPr>
              <w:t>:</w:t>
              <w:tab/>
            </w:r>
            <w:r>
              <w:rPr>
                <w:rStyle w:val="IndexLink"/>
              </w:rPr>
              <w:t>326</w:t>
            </w:r>
          </w:hyperlink>
        </w:p>
        <w:p>
          <w:pPr>
            <w:pStyle w:val="Contents4"/>
            <w:tabs>
              <w:tab w:val="clear" w:pos="8176"/>
              <w:tab w:val="right" w:pos="9026" w:leader="dot"/>
            </w:tabs>
            <w:rPr/>
          </w:pPr>
          <w:hyperlink w:anchor="__RefHeading___Toc2517778_653776707">
            <w:r>
              <w:rPr>
                <w:webHidden/>
                <w:rStyle w:val="IndexLink"/>
                <w:rtl w:val="true"/>
              </w:rPr>
              <w:t>المسألة الثالثة</w:t>
            </w:r>
            <w:r>
              <w:rPr>
                <w:rStyle w:val="IndexLink"/>
                <w:rtl w:val="true"/>
              </w:rPr>
              <w:t xml:space="preserve">: </w:t>
            </w:r>
            <w:r>
              <w:rPr>
                <w:rStyle w:val="IndexLink"/>
                <w:rtl w:val="true"/>
              </w:rPr>
              <w:t xml:space="preserve">دراسة أدلة الانتخاب </w:t>
            </w:r>
            <w:r>
              <w:rPr>
                <w:rStyle w:val="IndexLink"/>
                <w:rtl w:val="true"/>
              </w:rPr>
              <w:t>(</w:t>
            </w:r>
            <w:r>
              <w:rPr>
                <w:rStyle w:val="IndexLink"/>
              </w:rPr>
              <w:t>3</w:t>
            </w:r>
            <w:r>
              <w:rPr>
                <w:rStyle w:val="IndexLink"/>
                <w:rtl w:val="true"/>
              </w:rPr>
              <w:t>)</w:t>
              <w:tab/>
            </w:r>
            <w:r>
              <w:rPr>
                <w:rStyle w:val="IndexLink"/>
              </w:rPr>
              <w:t>327</w:t>
            </w:r>
          </w:hyperlink>
        </w:p>
        <w:p>
          <w:pPr>
            <w:pStyle w:val="Contents5"/>
            <w:tabs>
              <w:tab w:val="clear" w:pos="7892"/>
              <w:tab w:val="right" w:pos="9026" w:leader="dot"/>
            </w:tabs>
            <w:rPr/>
          </w:pPr>
          <w:hyperlink w:anchor="__RefHeading___Toc2517780_653776707">
            <w:r>
              <w:rPr>
                <w:webHidden/>
                <w:rStyle w:val="IndexLink"/>
                <w:rtl w:val="true"/>
              </w:rPr>
              <w:t>الدليل الثالث</w:t>
            </w:r>
            <w:r>
              <w:rPr>
                <w:rStyle w:val="IndexLink"/>
                <w:rtl w:val="true"/>
              </w:rPr>
              <w:t xml:space="preserve">: </w:t>
            </w:r>
            <w:r>
              <w:rPr>
                <w:rStyle w:val="IndexLink"/>
                <w:rtl w:val="true"/>
              </w:rPr>
              <w:t>فحوى قاعدة السلطنة</w:t>
            </w:r>
            <w:r>
              <w:rPr>
                <w:rStyle w:val="IndexLink"/>
                <w:rtl w:val="true"/>
              </w:rPr>
              <w:tab/>
            </w:r>
            <w:r>
              <w:rPr>
                <w:rStyle w:val="IndexLink"/>
              </w:rPr>
              <w:t>327</w:t>
            </w:r>
          </w:hyperlink>
        </w:p>
        <w:p>
          <w:pPr>
            <w:pStyle w:val="Contents6"/>
            <w:tabs>
              <w:tab w:val="clear" w:pos="7609"/>
              <w:tab w:val="right" w:pos="9026" w:leader="dot"/>
            </w:tabs>
            <w:rPr/>
          </w:pPr>
          <w:hyperlink w:anchor="__RefHeading___Toc2517782_653776707">
            <w:r>
              <w:rPr>
                <w:webHidden/>
                <w:rStyle w:val="IndexLink"/>
                <w:rtl w:val="true"/>
              </w:rPr>
              <w:t>أ</w:t>
            </w:r>
            <w:r>
              <w:rPr>
                <w:rStyle w:val="IndexLink"/>
                <w:rtl w:val="true"/>
              </w:rPr>
              <w:t xml:space="preserve">) </w:t>
            </w:r>
            <w:r>
              <w:rPr>
                <w:rStyle w:val="IndexLink"/>
                <w:rtl w:val="true"/>
              </w:rPr>
              <w:t>تقريب الدليل الثالث</w:t>
            </w:r>
            <w:r>
              <w:rPr>
                <w:rStyle w:val="IndexLink"/>
                <w:rtl w:val="true"/>
              </w:rPr>
              <w:tab/>
            </w:r>
            <w:r>
              <w:rPr>
                <w:rStyle w:val="IndexLink"/>
              </w:rPr>
              <w:t>327</w:t>
            </w:r>
          </w:hyperlink>
        </w:p>
        <w:p>
          <w:pPr>
            <w:pStyle w:val="Contents6"/>
            <w:tabs>
              <w:tab w:val="clear" w:pos="7609"/>
              <w:tab w:val="right" w:pos="9026" w:leader="dot"/>
            </w:tabs>
            <w:rPr/>
          </w:pPr>
          <w:hyperlink w:anchor="__RefHeading___Toc2517784_653776707">
            <w:r>
              <w:rPr>
                <w:webHidden/>
                <w:rStyle w:val="IndexLink"/>
                <w:rtl w:val="true"/>
              </w:rPr>
              <w:t>ب</w:t>
            </w:r>
            <w:r>
              <w:rPr>
                <w:rStyle w:val="IndexLink"/>
                <w:rtl w:val="true"/>
              </w:rPr>
              <w:t xml:space="preserve">) </w:t>
            </w:r>
            <w:r>
              <w:rPr>
                <w:rStyle w:val="IndexLink"/>
                <w:rtl w:val="true"/>
              </w:rPr>
              <w:t>تقويم الدليل الثالث</w:t>
            </w:r>
            <w:r>
              <w:rPr>
                <w:rStyle w:val="IndexLink"/>
                <w:rtl w:val="true"/>
              </w:rPr>
              <w:t>:</w:t>
              <w:tab/>
            </w:r>
            <w:r>
              <w:rPr>
                <w:rStyle w:val="IndexLink"/>
              </w:rPr>
              <w:t>328</w:t>
            </w:r>
          </w:hyperlink>
        </w:p>
        <w:p>
          <w:pPr>
            <w:pStyle w:val="Contents4"/>
            <w:tabs>
              <w:tab w:val="clear" w:pos="8176"/>
              <w:tab w:val="right" w:pos="9026" w:leader="dot"/>
            </w:tabs>
            <w:rPr/>
          </w:pPr>
          <w:hyperlink w:anchor="__RefHeading___Toc2517786_653776707">
            <w:r>
              <w:rPr>
                <w:webHidden/>
                <w:rStyle w:val="IndexLink"/>
                <w:rtl w:val="true"/>
              </w:rPr>
              <w:t>المسألة الرابعة</w:t>
            </w:r>
            <w:r>
              <w:rPr>
                <w:rStyle w:val="IndexLink"/>
                <w:rtl w:val="true"/>
              </w:rPr>
              <w:t xml:space="preserve">: </w:t>
            </w:r>
            <w:r>
              <w:rPr>
                <w:rStyle w:val="IndexLink"/>
                <w:rtl w:val="true"/>
              </w:rPr>
              <w:t xml:space="preserve">دراسة أدلة الانتخاب </w:t>
            </w:r>
            <w:r>
              <w:rPr>
                <w:rStyle w:val="IndexLink"/>
                <w:rtl w:val="true"/>
              </w:rPr>
              <w:t>(</w:t>
            </w:r>
            <w:r>
              <w:rPr>
                <w:rStyle w:val="IndexLink"/>
              </w:rPr>
              <w:t>4</w:t>
            </w:r>
            <w:r>
              <w:rPr>
                <w:rStyle w:val="IndexLink"/>
                <w:rtl w:val="true"/>
              </w:rPr>
              <w:t>)</w:t>
              <w:tab/>
            </w:r>
            <w:r>
              <w:rPr>
                <w:rStyle w:val="IndexLink"/>
              </w:rPr>
              <w:t>329</w:t>
            </w:r>
          </w:hyperlink>
        </w:p>
        <w:p>
          <w:pPr>
            <w:pStyle w:val="Contents5"/>
            <w:tabs>
              <w:tab w:val="clear" w:pos="7892"/>
              <w:tab w:val="right" w:pos="9026" w:leader="dot"/>
            </w:tabs>
            <w:rPr/>
          </w:pPr>
          <w:hyperlink w:anchor="__RefHeading___Toc2517788_653776707">
            <w:r>
              <w:rPr>
                <w:webHidden/>
                <w:rStyle w:val="IndexLink"/>
                <w:rtl w:val="true"/>
              </w:rPr>
              <w:t>الدليل الرابع</w:t>
            </w:r>
            <w:r>
              <w:rPr>
                <w:rStyle w:val="IndexLink"/>
                <w:rtl w:val="true"/>
              </w:rPr>
              <w:t xml:space="preserve">: </w:t>
            </w:r>
            <w:r>
              <w:rPr>
                <w:rStyle w:val="IndexLink"/>
                <w:rtl w:val="true"/>
              </w:rPr>
              <w:t>أدلّة لزوم الوفاء بالعقد</w:t>
            </w:r>
            <w:r>
              <w:rPr>
                <w:rStyle w:val="IndexLink"/>
                <w:rtl w:val="true"/>
              </w:rPr>
              <w:tab/>
            </w:r>
            <w:r>
              <w:rPr>
                <w:rStyle w:val="IndexLink"/>
              </w:rPr>
              <w:t>329</w:t>
            </w:r>
          </w:hyperlink>
        </w:p>
        <w:p>
          <w:pPr>
            <w:pStyle w:val="Contents6"/>
            <w:tabs>
              <w:tab w:val="clear" w:pos="7609"/>
              <w:tab w:val="right" w:pos="9026" w:leader="dot"/>
            </w:tabs>
            <w:rPr/>
          </w:pPr>
          <w:hyperlink w:anchor="__RefHeading___Toc2517790_653776707">
            <w:r>
              <w:rPr>
                <w:webHidden/>
                <w:rStyle w:val="IndexLink"/>
                <w:rtl w:val="true"/>
              </w:rPr>
              <w:t>أ</w:t>
            </w:r>
            <w:r>
              <w:rPr>
                <w:rStyle w:val="IndexLink"/>
                <w:rtl w:val="true"/>
              </w:rPr>
              <w:t xml:space="preserve">) </w:t>
            </w:r>
            <w:r>
              <w:rPr>
                <w:rStyle w:val="IndexLink"/>
                <w:rtl w:val="true"/>
              </w:rPr>
              <w:t>تقريب الدليل الرابع</w:t>
            </w:r>
            <w:r>
              <w:rPr>
                <w:rStyle w:val="IndexLink"/>
                <w:rtl w:val="true"/>
              </w:rPr>
              <w:t>:</w:t>
              <w:tab/>
            </w:r>
            <w:r>
              <w:rPr>
                <w:rStyle w:val="IndexLink"/>
              </w:rPr>
              <w:t>329</w:t>
            </w:r>
          </w:hyperlink>
        </w:p>
        <w:p>
          <w:pPr>
            <w:pStyle w:val="Contents6"/>
            <w:tabs>
              <w:tab w:val="clear" w:pos="7609"/>
              <w:tab w:val="right" w:pos="9026" w:leader="dot"/>
            </w:tabs>
            <w:rPr/>
          </w:pPr>
          <w:hyperlink w:anchor="__RefHeading___Toc2517792_653776707">
            <w:r>
              <w:rPr>
                <w:webHidden/>
                <w:rStyle w:val="IndexLink"/>
                <w:rtl w:val="true"/>
              </w:rPr>
              <w:t>ب</w:t>
            </w:r>
            <w:r>
              <w:rPr>
                <w:rStyle w:val="IndexLink"/>
                <w:rtl w:val="true"/>
              </w:rPr>
              <w:t xml:space="preserve">) </w:t>
            </w:r>
            <w:r>
              <w:rPr>
                <w:rStyle w:val="IndexLink"/>
                <w:rtl w:val="true"/>
              </w:rPr>
              <w:t>تقويم الدليل الرابع</w:t>
            </w:r>
            <w:r>
              <w:rPr>
                <w:rStyle w:val="IndexLink"/>
                <w:rtl w:val="true"/>
              </w:rPr>
              <w:t>:</w:t>
              <w:tab/>
            </w:r>
            <w:r>
              <w:rPr>
                <w:rStyle w:val="IndexLink"/>
              </w:rPr>
              <w:t>329</w:t>
            </w:r>
          </w:hyperlink>
        </w:p>
        <w:p>
          <w:pPr>
            <w:pStyle w:val="Contents4"/>
            <w:tabs>
              <w:tab w:val="clear" w:pos="8176"/>
              <w:tab w:val="right" w:pos="9026" w:leader="dot"/>
            </w:tabs>
            <w:rPr/>
          </w:pPr>
          <w:hyperlink w:anchor="__RefHeading___Toc2517794_653776707">
            <w:r>
              <w:rPr>
                <w:webHidden/>
                <w:rStyle w:val="IndexLink"/>
                <w:rtl w:val="true"/>
              </w:rPr>
              <w:t>المسألة الخامسة</w:t>
            </w:r>
            <w:r>
              <w:rPr>
                <w:rStyle w:val="IndexLink"/>
                <w:rtl w:val="true"/>
              </w:rPr>
              <w:t xml:space="preserve">: </w:t>
            </w:r>
            <w:r>
              <w:rPr>
                <w:rStyle w:val="IndexLink"/>
                <w:rtl w:val="true"/>
              </w:rPr>
              <w:t xml:space="preserve">دراسة أدلّة الانتخاب </w:t>
            </w:r>
            <w:r>
              <w:rPr>
                <w:rStyle w:val="IndexLink"/>
                <w:rtl w:val="true"/>
              </w:rPr>
              <w:t>(</w:t>
            </w:r>
            <w:r>
              <w:rPr>
                <w:rStyle w:val="IndexLink"/>
              </w:rPr>
              <w:t>5</w:t>
            </w:r>
            <w:r>
              <w:rPr>
                <w:rStyle w:val="IndexLink"/>
                <w:rtl w:val="true"/>
              </w:rPr>
              <w:t>)</w:t>
              <w:tab/>
            </w:r>
            <w:r>
              <w:rPr>
                <w:rStyle w:val="IndexLink"/>
              </w:rPr>
              <w:t>330</w:t>
            </w:r>
          </w:hyperlink>
        </w:p>
        <w:p>
          <w:pPr>
            <w:pStyle w:val="Contents5"/>
            <w:tabs>
              <w:tab w:val="clear" w:pos="7892"/>
              <w:tab w:val="right" w:pos="9026" w:leader="dot"/>
            </w:tabs>
            <w:rPr/>
          </w:pPr>
          <w:hyperlink w:anchor="__RefHeading___Toc2517796_653776707">
            <w:r>
              <w:rPr>
                <w:webHidden/>
                <w:rStyle w:val="IndexLink"/>
                <w:rtl w:val="true"/>
              </w:rPr>
              <w:t>الدليل الخامس</w:t>
            </w:r>
            <w:r>
              <w:rPr>
                <w:rStyle w:val="IndexLink"/>
                <w:rtl w:val="true"/>
              </w:rPr>
              <w:t xml:space="preserve">: </w:t>
            </w:r>
            <w:r>
              <w:rPr>
                <w:rStyle w:val="IndexLink"/>
                <w:rtl w:val="true"/>
              </w:rPr>
              <w:t>عمومات الشورى</w:t>
            </w:r>
            <w:r>
              <w:rPr>
                <w:rStyle w:val="IndexLink"/>
                <w:rtl w:val="true"/>
              </w:rPr>
              <w:tab/>
            </w:r>
            <w:r>
              <w:rPr>
                <w:rStyle w:val="IndexLink"/>
              </w:rPr>
              <w:t>330</w:t>
            </w:r>
          </w:hyperlink>
        </w:p>
        <w:p>
          <w:pPr>
            <w:pStyle w:val="Contents6"/>
            <w:tabs>
              <w:tab w:val="clear" w:pos="7609"/>
              <w:tab w:val="right" w:pos="9026" w:leader="dot"/>
            </w:tabs>
            <w:rPr/>
          </w:pPr>
          <w:hyperlink w:anchor="__RefHeading___Toc2517798_653776707">
            <w:r>
              <w:rPr>
                <w:webHidden/>
                <w:rStyle w:val="IndexLink"/>
                <w:rtl w:val="true"/>
              </w:rPr>
              <w:t>أ</w:t>
            </w:r>
            <w:r>
              <w:rPr>
                <w:rStyle w:val="IndexLink"/>
                <w:rtl w:val="true"/>
              </w:rPr>
              <w:t xml:space="preserve">) </w:t>
            </w:r>
            <w:r>
              <w:rPr>
                <w:rStyle w:val="IndexLink"/>
                <w:rtl w:val="true"/>
              </w:rPr>
              <w:t>تقريب الدليل الخامس</w:t>
            </w:r>
            <w:r>
              <w:rPr>
                <w:rStyle w:val="IndexLink"/>
                <w:rtl w:val="true"/>
              </w:rPr>
              <w:t>:</w:t>
              <w:tab/>
            </w:r>
            <w:r>
              <w:rPr>
                <w:rStyle w:val="IndexLink"/>
              </w:rPr>
              <w:t>330</w:t>
            </w:r>
          </w:hyperlink>
        </w:p>
        <w:p>
          <w:pPr>
            <w:pStyle w:val="Contents6"/>
            <w:tabs>
              <w:tab w:val="clear" w:pos="7609"/>
              <w:tab w:val="right" w:pos="9026" w:leader="dot"/>
            </w:tabs>
            <w:rPr/>
          </w:pPr>
          <w:hyperlink w:anchor="__RefHeading___Toc2517800_653776707">
            <w:r>
              <w:rPr>
                <w:webHidden/>
                <w:rStyle w:val="IndexLink"/>
                <w:rtl w:val="true"/>
              </w:rPr>
              <w:t>ب</w:t>
            </w:r>
            <w:r>
              <w:rPr>
                <w:rStyle w:val="IndexLink"/>
                <w:rtl w:val="true"/>
              </w:rPr>
              <w:t xml:space="preserve">) </w:t>
            </w:r>
            <w:r>
              <w:rPr>
                <w:rStyle w:val="IndexLink"/>
                <w:rtl w:val="true"/>
              </w:rPr>
              <w:t>تقويم الدليل الخامس</w:t>
            </w:r>
            <w:r>
              <w:rPr>
                <w:rStyle w:val="IndexLink"/>
                <w:rtl w:val="true"/>
              </w:rPr>
              <w:t>:</w:t>
              <w:tab/>
            </w:r>
            <w:r>
              <w:rPr>
                <w:rStyle w:val="IndexLink"/>
              </w:rPr>
              <w:t>331</w:t>
            </w:r>
          </w:hyperlink>
        </w:p>
        <w:p>
          <w:pPr>
            <w:pStyle w:val="Contents4"/>
            <w:tabs>
              <w:tab w:val="clear" w:pos="8176"/>
              <w:tab w:val="right" w:pos="9026" w:leader="dot"/>
            </w:tabs>
            <w:rPr/>
          </w:pPr>
          <w:hyperlink w:anchor="__RefHeading___Toc2517802_653776707">
            <w:r>
              <w:rPr>
                <w:webHidden/>
                <w:rStyle w:val="IndexLink"/>
                <w:rtl w:val="true"/>
              </w:rPr>
              <w:t>المسألة السادسة</w:t>
            </w:r>
            <w:r>
              <w:rPr>
                <w:rStyle w:val="IndexLink"/>
                <w:rtl w:val="true"/>
              </w:rPr>
              <w:t xml:space="preserve">: </w:t>
            </w:r>
            <w:r>
              <w:rPr>
                <w:rStyle w:val="IndexLink"/>
                <w:rtl w:val="true"/>
              </w:rPr>
              <w:t xml:space="preserve">دراسة أدلة الانتخاب </w:t>
            </w:r>
            <w:r>
              <w:rPr>
                <w:rStyle w:val="IndexLink"/>
                <w:rtl w:val="true"/>
              </w:rPr>
              <w:t>(</w:t>
            </w:r>
            <w:r>
              <w:rPr>
                <w:rStyle w:val="IndexLink"/>
              </w:rPr>
              <w:t>6</w:t>
            </w:r>
            <w:r>
              <w:rPr>
                <w:rStyle w:val="IndexLink"/>
                <w:rtl w:val="true"/>
              </w:rPr>
              <w:t>)</w:t>
              <w:tab/>
            </w:r>
            <w:r>
              <w:rPr>
                <w:rStyle w:val="IndexLink"/>
              </w:rPr>
              <w:t>332</w:t>
            </w:r>
          </w:hyperlink>
        </w:p>
        <w:p>
          <w:pPr>
            <w:pStyle w:val="Contents5"/>
            <w:tabs>
              <w:tab w:val="clear" w:pos="7892"/>
              <w:tab w:val="right" w:pos="9026" w:leader="dot"/>
            </w:tabs>
            <w:rPr/>
          </w:pPr>
          <w:hyperlink w:anchor="__RefHeading___Toc2517804_653776707">
            <w:r>
              <w:rPr>
                <w:webHidden/>
                <w:rStyle w:val="IndexLink"/>
                <w:rtl w:val="true"/>
              </w:rPr>
              <w:t>الدليل السادس</w:t>
            </w:r>
            <w:r>
              <w:rPr>
                <w:rStyle w:val="IndexLink"/>
                <w:rtl w:val="true"/>
              </w:rPr>
              <w:t xml:space="preserve">: </w:t>
            </w:r>
            <w:r>
              <w:rPr>
                <w:rStyle w:val="IndexLink"/>
                <w:rtl w:val="true"/>
              </w:rPr>
              <w:t>الروايات الدالّة على انعقاد الولاية بالانتخاب</w:t>
            </w:r>
            <w:r>
              <w:rPr>
                <w:rStyle w:val="IndexLink"/>
                <w:rtl w:val="true"/>
              </w:rPr>
              <w:tab/>
            </w:r>
            <w:r>
              <w:rPr>
                <w:rStyle w:val="IndexLink"/>
              </w:rPr>
              <w:t>332</w:t>
            </w:r>
          </w:hyperlink>
        </w:p>
        <w:p>
          <w:pPr>
            <w:pStyle w:val="Contents6"/>
            <w:tabs>
              <w:tab w:val="clear" w:pos="7609"/>
              <w:tab w:val="right" w:pos="9026" w:leader="dot"/>
            </w:tabs>
            <w:rPr/>
          </w:pPr>
          <w:hyperlink w:anchor="__RefHeading___Toc2517806_653776707">
            <w:r>
              <w:rPr>
                <w:webHidden/>
                <w:rStyle w:val="IndexLink"/>
                <w:rtl w:val="true"/>
              </w:rPr>
              <w:t>أ</w:t>
            </w:r>
            <w:r>
              <w:rPr>
                <w:rStyle w:val="IndexLink"/>
                <w:rtl w:val="true"/>
              </w:rPr>
              <w:t xml:space="preserve">) </w:t>
            </w:r>
            <w:r>
              <w:rPr>
                <w:rStyle w:val="IndexLink"/>
                <w:rtl w:val="true"/>
              </w:rPr>
              <w:t>تقريب الدليل السادس</w:t>
            </w:r>
            <w:r>
              <w:rPr>
                <w:rStyle w:val="IndexLink"/>
                <w:rtl w:val="true"/>
              </w:rPr>
              <w:t>:</w:t>
              <w:tab/>
            </w:r>
            <w:r>
              <w:rPr>
                <w:rStyle w:val="IndexLink"/>
              </w:rPr>
              <w:t>332</w:t>
            </w:r>
          </w:hyperlink>
        </w:p>
        <w:p>
          <w:pPr>
            <w:pStyle w:val="Contents6"/>
            <w:tabs>
              <w:tab w:val="clear" w:pos="7609"/>
              <w:tab w:val="right" w:pos="9026" w:leader="dot"/>
            </w:tabs>
            <w:rPr/>
          </w:pPr>
          <w:hyperlink w:anchor="__RefHeading___Toc2517808_653776707">
            <w:r>
              <w:rPr>
                <w:webHidden/>
                <w:rStyle w:val="IndexLink"/>
                <w:rtl w:val="true"/>
              </w:rPr>
              <w:t>ب</w:t>
            </w:r>
            <w:r>
              <w:rPr>
                <w:rStyle w:val="IndexLink"/>
                <w:rtl w:val="true"/>
              </w:rPr>
              <w:t xml:space="preserve">) </w:t>
            </w:r>
            <w:r>
              <w:rPr>
                <w:rStyle w:val="IndexLink"/>
                <w:rtl w:val="true"/>
              </w:rPr>
              <w:t>تقويم الدليل السادس</w:t>
            </w:r>
            <w:r>
              <w:rPr>
                <w:rStyle w:val="IndexLink"/>
                <w:rtl w:val="true"/>
              </w:rPr>
              <w:t>:</w:t>
              <w:tab/>
            </w:r>
            <w:r>
              <w:rPr>
                <w:rStyle w:val="IndexLink"/>
              </w:rPr>
              <w:t>333</w:t>
            </w:r>
          </w:hyperlink>
        </w:p>
        <w:p>
          <w:pPr>
            <w:pStyle w:val="Contents4"/>
            <w:tabs>
              <w:tab w:val="clear" w:pos="8176"/>
              <w:tab w:val="right" w:pos="9026" w:leader="dot"/>
            </w:tabs>
            <w:rPr/>
          </w:pPr>
          <w:hyperlink w:anchor="__RefHeading___Toc2517810_653776707">
            <w:r>
              <w:rPr>
                <w:webHidden/>
                <w:rStyle w:val="IndexLink"/>
                <w:rtl w:val="true"/>
              </w:rPr>
              <w:t>المسألة السابعة</w:t>
            </w:r>
            <w:r>
              <w:rPr>
                <w:rStyle w:val="IndexLink"/>
                <w:rtl w:val="true"/>
              </w:rPr>
              <w:t xml:space="preserve">: </w:t>
            </w:r>
            <w:r>
              <w:rPr>
                <w:rStyle w:val="IndexLink"/>
                <w:rtl w:val="true"/>
              </w:rPr>
              <w:t xml:space="preserve">دراسة أدلّة الانتخاب </w:t>
            </w:r>
            <w:r>
              <w:rPr>
                <w:rStyle w:val="IndexLink"/>
                <w:rtl w:val="true"/>
              </w:rPr>
              <w:t>(</w:t>
            </w:r>
            <w:r>
              <w:rPr>
                <w:rStyle w:val="IndexLink"/>
              </w:rPr>
              <w:t>7</w:t>
            </w:r>
            <w:r>
              <w:rPr>
                <w:rStyle w:val="IndexLink"/>
                <w:rtl w:val="true"/>
              </w:rPr>
              <w:t>)</w:t>
              <w:tab/>
            </w:r>
            <w:r>
              <w:rPr>
                <w:rStyle w:val="IndexLink"/>
              </w:rPr>
              <w:t>334</w:t>
            </w:r>
          </w:hyperlink>
        </w:p>
        <w:p>
          <w:pPr>
            <w:pStyle w:val="Contents5"/>
            <w:tabs>
              <w:tab w:val="clear" w:pos="7892"/>
              <w:tab w:val="right" w:pos="9026" w:leader="dot"/>
            </w:tabs>
            <w:rPr/>
          </w:pPr>
          <w:hyperlink w:anchor="__RefHeading___Toc2517812_653776707">
            <w:r>
              <w:rPr>
                <w:webHidden/>
                <w:rStyle w:val="IndexLink"/>
                <w:rtl w:val="true"/>
              </w:rPr>
              <w:t>الدليل السابع</w:t>
            </w:r>
            <w:r>
              <w:rPr>
                <w:rStyle w:val="IndexLink"/>
                <w:rtl w:val="true"/>
              </w:rPr>
              <w:t xml:space="preserve">: </w:t>
            </w:r>
            <w:r>
              <w:rPr>
                <w:rStyle w:val="IndexLink"/>
                <w:rtl w:val="true"/>
              </w:rPr>
              <w:t>أدلّة البيعة</w:t>
            </w:r>
            <w:r>
              <w:rPr>
                <w:rStyle w:val="IndexLink"/>
                <w:rtl w:val="true"/>
              </w:rPr>
              <w:tab/>
            </w:r>
            <w:r>
              <w:rPr>
                <w:rStyle w:val="IndexLink"/>
              </w:rPr>
              <w:t>334</w:t>
            </w:r>
          </w:hyperlink>
        </w:p>
        <w:p>
          <w:pPr>
            <w:pStyle w:val="Contents6"/>
            <w:tabs>
              <w:tab w:val="clear" w:pos="7609"/>
              <w:tab w:val="right" w:pos="9026" w:leader="dot"/>
            </w:tabs>
            <w:rPr/>
          </w:pPr>
          <w:hyperlink w:anchor="__RefHeading___Toc2517814_653776707">
            <w:r>
              <w:rPr>
                <w:webHidden/>
                <w:rStyle w:val="IndexLink"/>
                <w:rtl w:val="true"/>
              </w:rPr>
              <w:t>أ</w:t>
            </w:r>
            <w:r>
              <w:rPr>
                <w:rStyle w:val="IndexLink"/>
                <w:rtl w:val="true"/>
              </w:rPr>
              <w:t xml:space="preserve">) </w:t>
            </w:r>
            <w:r>
              <w:rPr>
                <w:rStyle w:val="IndexLink"/>
                <w:rtl w:val="true"/>
              </w:rPr>
              <w:t>تقريب الدليل السابع</w:t>
            </w:r>
            <w:r>
              <w:rPr>
                <w:rStyle w:val="IndexLink"/>
                <w:rtl w:val="true"/>
              </w:rPr>
              <w:t>:</w:t>
              <w:tab/>
            </w:r>
            <w:r>
              <w:rPr>
                <w:rStyle w:val="IndexLink"/>
              </w:rPr>
              <w:t>334</w:t>
            </w:r>
          </w:hyperlink>
        </w:p>
        <w:p>
          <w:pPr>
            <w:pStyle w:val="Contents6"/>
            <w:tabs>
              <w:tab w:val="clear" w:pos="7609"/>
              <w:tab w:val="right" w:pos="9026" w:leader="dot"/>
            </w:tabs>
            <w:rPr/>
          </w:pPr>
          <w:hyperlink w:anchor="__RefHeading___Toc2517816_653776707">
            <w:r>
              <w:rPr>
                <w:webHidden/>
                <w:rStyle w:val="IndexLink"/>
                <w:rtl w:val="true"/>
              </w:rPr>
              <w:t>ب</w:t>
            </w:r>
            <w:r>
              <w:rPr>
                <w:rStyle w:val="IndexLink"/>
                <w:rtl w:val="true"/>
              </w:rPr>
              <w:t xml:space="preserve">) </w:t>
            </w:r>
            <w:r>
              <w:rPr>
                <w:rStyle w:val="IndexLink"/>
                <w:rtl w:val="true"/>
              </w:rPr>
              <w:t>تقويم الدليل السابع</w:t>
            </w:r>
            <w:r>
              <w:rPr>
                <w:rStyle w:val="IndexLink"/>
                <w:rtl w:val="true"/>
              </w:rPr>
              <w:t>:</w:t>
              <w:tab/>
            </w:r>
            <w:r>
              <w:rPr>
                <w:rStyle w:val="IndexLink"/>
              </w:rPr>
              <w:t>336</w:t>
            </w:r>
          </w:hyperlink>
        </w:p>
        <w:p>
          <w:pPr>
            <w:pStyle w:val="Contents2"/>
            <w:tabs>
              <w:tab w:val="clear" w:pos="8743"/>
              <w:tab w:val="right" w:pos="9026" w:leader="dot"/>
            </w:tabs>
            <w:rPr/>
          </w:pPr>
          <w:hyperlink w:anchor="__RefHeading___Toc2517818_653776707">
            <w:r>
              <w:rPr>
                <w:webHidden/>
                <w:rStyle w:val="IndexLink"/>
                <w:rtl w:val="true"/>
              </w:rPr>
              <w:t>الخاتمة</w:t>
            </w:r>
            <w:r>
              <w:rPr>
                <w:rStyle w:val="IndexLink"/>
                <w:rtl w:val="true"/>
              </w:rPr>
              <w:tab/>
            </w:r>
            <w:r>
              <w:rPr>
                <w:rStyle w:val="IndexLink"/>
              </w:rPr>
              <w:t>341</w:t>
            </w:r>
          </w:hyperlink>
        </w:p>
        <w:p>
          <w:pPr>
            <w:pStyle w:val="Contents2"/>
            <w:tabs>
              <w:tab w:val="clear" w:pos="8743"/>
              <w:tab w:val="right" w:pos="9026" w:leader="dot"/>
            </w:tabs>
            <w:rPr/>
          </w:pPr>
          <w:hyperlink w:anchor="__RefHeading___Toc2517820_653776707">
            <w:r>
              <w:rPr>
                <w:webHidden/>
                <w:rStyle w:val="IndexLink"/>
                <w:rtl w:val="true"/>
              </w:rPr>
              <w:t>المصادر والمراجع</w:t>
            </w:r>
            <w:r>
              <w:rPr>
                <w:rStyle w:val="IndexLink"/>
                <w:rtl w:val="true"/>
              </w:rPr>
              <w:t>:</w:t>
              <w:tab/>
            </w:r>
            <w:r>
              <w:rPr>
                <w:rStyle w:val="IndexLink"/>
              </w:rPr>
              <w:t>349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86_123267"/>
      <w:bookmarkStart w:id="1" w:name="pg8686_123267"/>
      <w:bookmarkEnd w:id="1"/>
    </w:p>
    <w:p>
      <w:pPr>
        <w:pStyle w:val="Heading2"/>
        <w:numPr>
          <w:ilvl w:val="1"/>
          <w:numId w:val="1"/>
        </w:numPr>
        <w:rPr/>
      </w:pPr>
      <w:bookmarkStart w:id="2" w:name="pg8686_123267"/>
      <w:bookmarkStart w:id="3" w:name="__RefHeading___Toc2517250_653776707"/>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جعفرپیشه فرد، مصطفی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مصطفی جعفرپیشه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احیاء امر طاها،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سلسله مباحث الفقه والسیاسه؛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2000000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92632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دانش حوزه،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Sovereignty (Islamic law)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حکومت دینی </w:t>
      </w:r>
      <w:r>
        <w:rPr>
          <w:rFonts w:eastAsia="Times New Roman" w:cs="Times New Roman" w:ascii="Times New Roman" w:hAnsi="Times New Roman"/>
          <w:color w:val="111111"/>
          <w:sz w:val="28"/>
          <w:szCs w:val="28"/>
          <w:lang w:val="en-US" w:bidi="en-US"/>
        </w:rPr>
        <w:t>Polity (Religion)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اسلام و دولت </w:t>
      </w:r>
      <w:r>
        <w:rPr>
          <w:rFonts w:eastAsia="Times New Roman" w:cs="Times New Roman" w:ascii="Times New Roman" w:hAnsi="Times New Roman"/>
          <w:color w:val="111111"/>
          <w:sz w:val="28"/>
          <w:szCs w:val="28"/>
          <w:lang w:val="en-US" w:bidi="en-US"/>
        </w:rPr>
        <w:t>Islam and state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اسلام و سیاست </w:t>
      </w:r>
      <w:r>
        <w:rPr>
          <w:rFonts w:eastAsia="Times New Roman" w:cs="Times New Roman" w:ascii="Times New Roman" w:hAnsi="Times New Roman"/>
          <w:color w:val="111111"/>
          <w:sz w:val="28"/>
          <w:szCs w:val="28"/>
          <w:lang w:val="en-US" w:bidi="en-US"/>
        </w:rPr>
        <w:t>Islam and politics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297/4832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9118272</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17252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الحمد لله رب العالمین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وصلی الله علی سیدنا محمد وآله الطیبین الطاهرین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فقه الدولة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جعفر پیشه فرد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686_123281"/>
      <w:bookmarkStart w:id="8" w:name="pg8686_123281"/>
      <w:bookmarkEnd w:id="8"/>
    </w:p>
    <w:p>
      <w:pPr>
        <w:pStyle w:val="Heading2"/>
        <w:numPr>
          <w:ilvl w:val="1"/>
          <w:numId w:val="1"/>
        </w:numPr>
        <w:rPr/>
      </w:pPr>
      <w:bookmarkStart w:id="9" w:name="pg8686_123281"/>
      <w:bookmarkStart w:id="10" w:name="__RefHeading___Toc2517254_653776707"/>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المرحلة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فی الفقه الإسلامي دراسة في المفهوم والضرورة والملامح</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والكلّيات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لغة واصطلاحًا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علم الفقه ودوره في حياة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لغةً واصطلاحًا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فقه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نظرة أخرى إلى ماهية فقه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التصديقية لفقه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المبدأ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استغناء المجتمع عن الدولة ونظام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المبدأ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الولاية في الله تبارك وتعالى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وملاك شرعيّتها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شرعية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شرعية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الأصل في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المستند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والروايات الواردة في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المستند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ضرورة العقل بتساوي آحاد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المستند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ضرورة العقل بالولاية الإلهية الانحصارية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ونظام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تاريخ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المشيرة إلى شؤون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 والاجتماعية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تدعو الرسول إلى تنفيذ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الطائفة الرابعة الآيات المرتبطة بالموارد المالية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تخاطب المؤمنين لتنفيذ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بعد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وملاك شرعيّتها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إشارة إلى إجماع المسلمين شيعةً وسنّةً على حكم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رأي الشيعة والسنّة في كيفية استمرار نظام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الكبروي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الصغروي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ومن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الغدير المتواتر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المنزلة المتواتر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محل النزاع في دولة عصر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 المختلفة لإقامة الدولة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المسلكين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المائز بين المسلكين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ضرورة إقامة الحكم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العقلية لضرورة إقامة الحكم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أدلة السيد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طبيعة التشريعات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الأحكام واستمرار التشريعات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تنفيذ الأحكام والتشريعات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تنفيذ التشريع على السلطة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حفظ النظام وحرمة الإخلال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حفظ ثغور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جعل كل ما يحتاج إليه وعلى ضرورة إقامة الحكم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الفضل بن شاذان وضرورة إقامة الحكم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البحث في دلالة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الفدكية وضرورة إقامة الحكم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دلالة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إلى الدولة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المعارضة لضرورة إقامة الحكم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الأدلة المتعرّضة لأمر قيام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الثانية لعيص بن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نتيجة الطائفة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الأدلة الواردة في من ادّعى الإمامة وليس بإمام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الفضيل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سورة بن كليب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أبي يعفور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الحسين بن 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الوليد بن صبيح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طلحة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الأدلة الدالّة على لزوم السكون وعدم التحرّك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جابر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النعماني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روايات الراية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صحيحة أبي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مالك بن أعين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ثانية لمالك بن أعين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ثالثة لمالك بن أعين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ملامح الدولة الإسلامية في كلمات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اللمحة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الحكومة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اللمحة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التشريعية في الحكومة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اللمحة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 الحكومة الإسلامية عن الترف والامتيازات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اللمحة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توسّلية الحكومة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اللمحة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الإسلامية والحرية والأمن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اللمحة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الإسلامية والمصالح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اللمحة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الدولة والتشريعات الاجتماعيّة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اللمحة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كلّ من الإسلام والحكومة الإسلامية والأحكام </w:t>
      </w:r>
    </w:p>
    <w:p>
      <w:pPr>
        <w:pStyle w:val="BookText"/>
        <w:rPr/>
      </w:pPr>
      <w:r>
        <w:rPr>
          <w:rFonts w:ascii="Amiri" w:hAnsi="Amiri" w:eastAsia="Amiri" w:cs="Amiri"/>
          <w:color w:val="111111"/>
          <w:sz w:val="28"/>
          <w:sz w:val="28"/>
          <w:szCs w:val="28"/>
          <w:rtl w:val="true"/>
          <w:lang w:bidi="ar-SA"/>
        </w:rPr>
        <w:t>الفقهية للآخر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اللمحة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الدولة الإسلامية، بالقياس إلى الأحكام الأولية والأحكام الولائية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اللمحة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الحكومة الإسلامية وتأسيس الفقه الحكومی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الإمامة في عصر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لمحة تاريخية للإشارة إلى تاريخ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رأي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كلمات فقهاء الإماميّة قبل انتصار الثورة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كلمات فقهاء الإمامية بعد انتصار الثورة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إشارة إلى تحرير محلّ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العقلية لشرطية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مقدّمية علم الوالي لتحقّق الحكومة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شرعية ولاية الجاهل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الفقاهة في بناء العقلاء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الفقاهة 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طالوت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إنزال التَّوْرَاةَ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الفقاهة في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نهج البلاغة ايضاً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الكريم بن عتبة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عيص بن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العلم التقليدي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الاجتهاد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الاجتهاد بالفعل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المرجعية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اعتبار الأعلمية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العدالة في ولي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باشتراط العدالة في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التقريب الأول لحكم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التقريب الثاني لحكم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القرآنية الدالّة على اشتراط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اشتراط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في اللغة والاصطلاح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اشتراط العدالة في المناصب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مراتب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العدالة المطلوبة في وليّ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والدليل على هذا المدّعى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عدم الإقبال إلى الدنيا والحرص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شرطية الكفاءة وحسن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الكفاءة وحسن الولاية وماهيتها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حكمُ العقل والعقلاء باشتراط الكفاءة وحسن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الأدلة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حكم الكتاب الحكيم باشتراط الكفاءة وحسن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الأدلة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حكم السنّة باشتراط الكفاءة وحسن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کيفية تعيين ولي الامر فی عصر الغيبة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وليّ الأمر بالنصّ الشرعيّ والتنصيب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المباني المختلفة في مسألة تعيين وليّ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عابرة في كلمات الأصحاب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أدلة التنصيب العام للفقيه الجامع للشروط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أدلّة التنصيب العام للفقيه الجامع للشروط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أدلّة التنصيب العامّ للفقيه الجامع الشروط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المتشرعة ومؤسسة الوكالة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 والمرجعية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الوكالة وأطروحة التنصيب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أدلّة التنصيب العام للفقيه الجامع للشروط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الأدلة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أدلة التنصيب العام للفقيه الجامع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لأدلّة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سنديٌّ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أدلّة التنصيب العام للفقيه الجامع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الأدلّة النقلية؛ 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سنديٌّ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دلاليٌّ في الفقرة الأولى من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دلاليٌّ في الفقرة الثانية من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أدلة التنصيب العام للفقيه الجامع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الأدلة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علي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سندي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اختلاف نسخ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بعض الملاحظات الواردة على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أدلة التنصيب العام للفقيه الجامع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الأدلّة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موثقة السكوني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أدلّة التنصيب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الأدلّة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أدلّة التنصيب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الأدلة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مرسلة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 الشقشقية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الجامعة الموحّدة لمجموع أخبار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غاية ما يمكن أن يذكره المعارض في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التنصيب وكيفية تعيين الفقيه الولي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إلى جذور السؤال تاريخيًّا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جديدٌ لبيان المشكل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حلول مشكلة تعيين الفقيه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النظرية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شورى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القيادة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إلى تاريخ الشورى في التراث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نظرية شورى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نظرية شورى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النظريات لحل مشكلة تعيين الفقيه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التخيير الجمعي دراسةٌ ونقدٌ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نظرية التخيير الجمعي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نظرية التخيير الجمعي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الحلول لمشكلة تعيين الفقيه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النظرية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التزاحم دراسةٌ ونقدٌ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نظرية التزاحم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نظرية التزاحم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الحلول لمشكلة تعيين الفقيه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النظرية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الوجوب الكفائي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بيان 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إقامة الحكم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بيان 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سيادة الشعب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الانتخاب بين الدراسة والنقد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أدلة الانتخاب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أدلة الانتخاب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أدلة الانتخاب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قاعدة السلطنة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أدلة الانتخاب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لزوم الوفاء بالعقد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أدلّة الانتخاب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الدليل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الدليل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أدلة الانتخاب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انعقاد الولاية بالانتخاب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الدليل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الدليل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أدلّة الانتخاب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الدليل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الدليل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686_123322"/>
      <w:bookmarkStart w:id="13" w:name="pg8686_123322"/>
      <w:bookmarkEnd w:id="13"/>
    </w:p>
    <w:p>
      <w:pPr>
        <w:pStyle w:val="BookText"/>
        <w:rPr/>
      </w:pPr>
      <w:bookmarkStart w:id="14" w:name="pg8686_123322"/>
      <w:bookmarkEnd w:id="14"/>
      <w:r>
        <w:rPr>
          <w:rFonts w:ascii="IRNazanin" w:hAnsi="IRNazanin" w:eastAsia="IRNazanin"/>
          <w:color w:val="111111"/>
          <w:sz w:val="28"/>
          <w:sz w:val="28"/>
          <w:szCs w:val="28"/>
          <w:rtl w:val="true"/>
          <w:lang w:bidi="fa-IR"/>
        </w:rPr>
        <w:t>باسمه تعالى</w:t>
      </w:r>
    </w:p>
    <w:p>
      <w:pPr>
        <w:pStyle w:val="Heading2"/>
        <w:numPr>
          <w:ilvl w:val="1"/>
          <w:numId w:val="1"/>
        </w:numPr>
        <w:rPr/>
      </w:pPr>
      <w:bookmarkStart w:id="15" w:name="__RefHeading___Toc2517256_653776707"/>
      <w:bookmarkStart w:id="16" w:name="_Toc4"/>
      <w:bookmarkEnd w:id="15"/>
      <w:r>
        <w:rPr>
          <w:rtl w:val="true"/>
        </w:rPr>
        <w:t>المقدمة</w:t>
      </w:r>
      <w:bookmarkEnd w:id="16"/>
    </w:p>
    <w:p>
      <w:pPr>
        <w:pStyle w:val="BookText"/>
        <w:rPr/>
      </w:pPr>
      <w:r>
        <w:rPr>
          <w:rFonts w:ascii="Amiri" w:hAnsi="Amiri" w:eastAsia="Amiri" w:cs="Amiri"/>
          <w:color w:val="111111"/>
          <w:sz w:val="28"/>
          <w:sz w:val="28"/>
          <w:szCs w:val="28"/>
          <w:rtl w:val="true"/>
          <w:lang w:bidi="ar-SA"/>
        </w:rPr>
        <w:t xml:space="preserve">من الموادّ الدراسية التي أُقِرّت في قائمة مقرّرات مجمع التعليم العالي للفقه وهو إحدى المؤسّسات التابعة لجامعة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هذه المادّة تعدّ من الموادّ الدراسية الحديثة، وقد أقِرّت بالنظر إلى كثرة الابتلاء بالمسائل والبحوث المطروحة فيها وكثرة الأسئلة والشبهات والردود عليها في الأوساط العلمية والحوزات والجامعات، وخاصّة بعد انتصار الثورة الإسلامية بقيادة قائدها ومفجّرها السيد الإمام روح الله الموسوي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والمادّة حسّاسة تمامًا ومرتبطة بالسلطة والسلطنة على الأموال والأعراض والنفوس ومقدّرات المسلمين هذا من جهة، ومن جهة أخرى فإنّ قضية فقه الدولة والفقه السياسيّ والمسائل والبحوث المرتبطة بها من الموضوعات التي تحتاج إلى الكثير من الكتب والمؤلّفات والمقالات العلمية التي تساعد الطالب على درس هذه القضية دراسة علميّة مطابقة للمعايير الأكاديمية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الدراسات المنشورة التي يمكن تصنيفها بأنّها علميّة أكاديمية قليلةٌ بالقياس إلى ما هو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مشكلة أخرى في هذا المجال هي أنّ هذا الموضوع يُعالج في الفقه في سياقات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ذلك كلّه اقترحت عليّ اللجنة الخاصّة بتدوين المتون الدراسية تدوينَ كتابٍ علمي استدلالي يصلح للاعتماد عليه في مرحلة الدراسات العليا، يمكن اعتماده مقرّرًا تعليميًّا أساسيًّا أو مساعدًا لطلاب الدراسات العليا الذين يُطالبون بدراسة هذه المادة في برامجهم التعليميّة</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فوافقت على الاقتراح بكلّ سرور ورغبة، مستعينًا بالله ومتوسٍّلًا بالنبيّ وأهل بيته، وأخصّ بالذكر منهم الحجة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والهدف الأساس لهذه الدراسة هو الجواب عن الأسئلة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مشروعية إقامة الدولة الإسلامية وضرورتها وفقًا للفقه الإسلامي؛</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المشروعية والضرورة، البحث في شروط القائم بهذا الأمر وقائده</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كيفية تعيين ولي الأمر في عصر الغيبة مقدمة لإعمال الولاية وتنفيذ الأحكام</w:t>
      </w:r>
    </w:p>
    <w:p>
      <w:pPr>
        <w:pStyle w:val="BookText"/>
        <w:rPr/>
      </w:pPr>
      <w:r>
        <w:rPr>
          <w:rFonts w:ascii="Amiri" w:hAnsi="Amiri" w:eastAsia="Amiri" w:cs="Amiri"/>
          <w:color w:val="111111"/>
          <w:sz w:val="28"/>
          <w:sz w:val="28"/>
          <w:szCs w:val="28"/>
          <w:rtl w:val="true"/>
          <w:lang w:bidi="ar-SA"/>
        </w:rPr>
        <w:t>فبناءً على ما ذكرنا، يشتمل هذا الكتاب، على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البحوث التمهيدية الخاصّة بشرح بعض المفاهيم المهمة كمفهوم الفقه، ومفهوم الدولة، وتفسير مصطلح فقه الدولة، وهذه المفاهيم من المبادئ التصورية للبحث، وعلى بيان بعض الكليات والأمور العامة الخاصّة بالموضوع؛ من قبيل العلاقة بين الإسلام والسياسة واستحالة انفكاكها، وتاريخ تأسيس الدولة في الإسلام، وتاريخ البحث في فقه الدولة، وأن الأصل في باب الولاية هو عدم الولاية إلا ما خرج بالدليل، وغير ذلك من الأمور المرتبطة بالعنوان والداخلة في حاقّ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خلال الأبحاث يظهر أن الدولة الإسلامية الأولى أسست في عصر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وبيده، كجزء من رسالته ودعوته الإلهية وأن دولة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كانت دولة مؤسسة وفق مباني الشريعة الإسلامية ومبادئها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سنشير خلال البحث إلى عقيدة الإمامية إلى قضية عصمة الإمام ووجوب نصبه الإلهي والنص عليه خلافًا للمذاهب والفرق الأخرى، ممّا هو من المبادئ التصديقية للبحث</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اكتمال الفصول والمسائل التمهيدية يبدأ الكتاب بالبحوث الأصلية بطي ثلاث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فالمرحلة الأولى خُصصت للبحث في مشروعية إقامة الحكم الإسلامي وضرورة تأسيس الدولة الإسلامية في عصر الغيبة </w:t>
      </w:r>
    </w:p>
    <w:p>
      <w:pPr>
        <w:pStyle w:val="BookText"/>
        <w:rPr/>
      </w:pPr>
      <w:r>
        <w:rPr>
          <w:rFonts w:ascii="Amiri" w:hAnsi="Amiri" w:eastAsia="Amiri" w:cs="Amiri"/>
          <w:color w:val="111111"/>
          <w:sz w:val="28"/>
          <w:sz w:val="28"/>
          <w:szCs w:val="28"/>
          <w:rtl w:val="true"/>
          <w:lang w:bidi="ar-SA"/>
        </w:rPr>
        <w:t xml:space="preserve">وزمن قبض يد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فبالأدلة العقلية والنقلية المتعددة في الفصل الأول سوف نثبت ضرورة إقامة الحكم الإسلامي ومشروعية الدولة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الفصل التالي تُناقَش الأدلة المعارضة الدالّة بحسب الظاهر على عدم مشروعية العمل على إقامة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ختام هذه المرحلة سوف نعرض لبعض ملامح الدولة الإسلامية في فكر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تدرس في المرحلة الثانية من البحث الشروط اللازمة لولاية الأمر في عصر غيبة الإمام وقبض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نبيّن أنّه بدلًا من اعتبار العصمة تُشترط العدالة والفقاهة والكفاءة اللازمة لولي الأمر وإمامة الأمة 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فبالأدلة المختلفة العقلية والنقلية من الكتاب والسنة يظهر أن الفقيه العادل الكفء هو المنصوب بالنصب العام لتدبير أمور الأمة الإسلامية وإدارة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المرحلة الثالثة للبحث سوف ندرس كيفية تعيين الفقيه الولي الجامع للشروط، ونبحث فيه المناقشات الواردة حول التنصيب العام ودعوى استحالته فيجاب عنها بشكل مستوفٍ فيظهر من خلالها أن الشعب له حقّ التشخيص ولاستيفاء هذا الحق وامتثال هذا التكليف يرجع إلى الخبرة وهو يرشده إلى الفقيه المتصف بالأوصاف اللازمة للقيادة والزعامة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يجاب عن بعض المناقشات والمداخلات الواردة حول الحكم الإسلامي في عصر الغيبة من أنه ينجرّ إلى الاستبداد بالرأي والدكتاتورية وسلب حرية الشعب، فيثبت في الفصول الأخيرة والمسائل المذكورة فيها أن للشعب سيادته وهي من الأمور القطعية والمسلّمة في الفكر الإسلامي الشيعي فلا يجوز إجبار الناس ولا إكراههم علي ولاية احد وإن كان معصومًا؛ فكيف بإجبارهم علىتولّي غير المعصوم؟ فالولاية مشروعة بالتنصيب الإلهي والجعل الشرعي؛ ولكن إعمال الولاية والأخذ بزمام الحكومة مشروط بالحضور وقيام الحجة بوجود الناصر وهذا أمر مشترك في الإمامة مطلقًا </w:t>
      </w:r>
    </w:p>
    <w:p>
      <w:pPr>
        <w:pStyle w:val="BookText"/>
        <w:rPr/>
      </w:pPr>
      <w:r>
        <w:rPr>
          <w:rFonts w:ascii="Amiri" w:hAnsi="Amiri" w:eastAsia="Amiri" w:cs="Amiri"/>
          <w:color w:val="111111"/>
          <w:sz w:val="28"/>
          <w:sz w:val="28"/>
          <w:szCs w:val="28"/>
          <w:rtl w:val="true"/>
          <w:lang w:bidi="ar-SA"/>
        </w:rPr>
        <w:t>للمعصوم وغيره، فلا مسؤولية ولا إدانة لأحدٍ مع عدم قيام الحجة بوجود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فارقٌ أساس بين ولاية المعصوم وغيره ألا وهو أنّ ولاية غير المعصوم موكولة إلى تشخيص الأوصاف اللازمة لولاية الأمر وثبوت توفّرها في المرشّح لهذه المسؤولية العظيمة فالقيام بالأمر موقوف على اقتناع الشعب بذلك وإلّا ما دام الناس غير مقتنعين بتوفّر الأوصاف في شخص؛ فيكف يجوز شرعًا إجبارهم على طاعته وإلزامهم بأوامره السياسية والقانونية؟</w:t>
      </w:r>
    </w:p>
    <w:p>
      <w:pPr>
        <w:pStyle w:val="BookText"/>
        <w:rPr/>
      </w:pPr>
      <w:r>
        <w:rPr>
          <w:rFonts w:ascii="Amiri" w:hAnsi="Amiri" w:eastAsia="Amiri" w:cs="Amiri"/>
          <w:color w:val="111111"/>
          <w:sz w:val="28"/>
          <w:sz w:val="28"/>
          <w:szCs w:val="28"/>
          <w:rtl w:val="true"/>
          <w:lang w:bidi="ar-SA"/>
        </w:rPr>
        <w:t>هذه حصيلة البحث في فصول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هناك بحوث أخرى بحاجة إلى دراسة في محلٍّ آخر، كالبحث عن كيفية إعمال الولاية والحاكمية في الدولة الإسلامية ودراسة أطروحة الفصل بين السلطات، ودراسة الأنظمة اللازمة المتولية للحكم بها أيضًا، والبحث عن حدود السلطة وشروطها في نظام الحكم الإسلامي وغير ذلك من الأمور العامّة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دراسة هذه البحوث بحاجة إلى تأليف كتاب آخر مستقل، نسأل الله التوفيق وحسن العاقبة فهو ولي التوفيق 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المظفر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المطابق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شمسي </w:t>
      </w:r>
      <w:bookmarkStart w:id="17" w:name="pg8686_123334"/>
    </w:p>
    <w:p>
      <w:pPr>
        <w:pStyle w:val="Heading2"/>
        <w:numPr>
          <w:ilvl w:val="1"/>
          <w:numId w:val="1"/>
        </w:numPr>
        <w:rPr/>
      </w:pPr>
      <w:bookmarkStart w:id="18" w:name="__RefHeading___Toc2517258_653776707"/>
      <w:bookmarkStart w:id="19" w:name="_Toc5"/>
      <w:bookmarkEnd w:id="17"/>
      <w:bookmarkEnd w:id="18"/>
      <w:r>
        <w:rPr>
          <w:rtl w:val="true"/>
        </w:rPr>
        <w:t>المرحلة الأولى</w:t>
      </w:r>
      <w:r>
        <w:rPr>
          <w:rtl w:val="true"/>
        </w:rPr>
        <w:t xml:space="preserve">: </w:t>
      </w:r>
      <w:r>
        <w:rPr>
          <w:rtl w:val="true"/>
        </w:rPr>
        <w:t>الدولة فی الفقه الإسلامي دراسة في المفهوم والضرورة والملامح</w:t>
      </w:r>
      <w:bookmarkEnd w:id="19"/>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2517260_653776707"/>
      <w:bookmarkStart w:id="21" w:name="_Toc6"/>
      <w:bookmarkEnd w:id="20"/>
      <w:r>
        <w:rPr>
          <w:rtl w:val="true"/>
        </w:rPr>
        <w:t>اشارة</w:t>
      </w:r>
      <w:bookmarkEnd w:id="21"/>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8686_123340"/>
      <w:bookmarkStart w:id="23" w:name="pg8686_123340"/>
      <w:bookmarkEnd w:id="23"/>
    </w:p>
    <w:p>
      <w:pPr>
        <w:pStyle w:val="Heading3"/>
        <w:numPr>
          <w:ilvl w:val="2"/>
          <w:numId w:val="1"/>
        </w:numPr>
        <w:rPr/>
      </w:pPr>
      <w:bookmarkStart w:id="24" w:name="pg8686_123340"/>
      <w:bookmarkStart w:id="25" w:name="__RefHeading___Toc2517262_653776707"/>
      <w:bookmarkStart w:id="26" w:name="_Toc7"/>
      <w:bookmarkEnd w:id="24"/>
      <w:bookmarkEnd w:id="25"/>
      <w:r>
        <w:rPr>
          <w:rtl w:val="true"/>
        </w:rPr>
        <w:t>الفصل الأول</w:t>
      </w:r>
      <w:r>
        <w:rPr>
          <w:rtl w:val="true"/>
        </w:rPr>
        <w:t xml:space="preserve">: </w:t>
      </w:r>
      <w:r>
        <w:rPr>
          <w:rtl w:val="true"/>
        </w:rPr>
        <w:t>المبادئ والكلّيات</w:t>
      </w:r>
      <w:bookmarkEnd w:id="26"/>
    </w:p>
    <w:p>
      <w:pPr>
        <w:pStyle w:val="Heading4"/>
        <w:numPr>
          <w:ilvl w:val="3"/>
          <w:numId w:val="1"/>
        </w:numPr>
        <w:rPr/>
      </w:pPr>
      <w:bookmarkStart w:id="27" w:name="__RefHeading___Toc2517264_653776707"/>
      <w:bookmarkStart w:id="28" w:name="_Toc8"/>
      <w:bookmarkEnd w:id="27"/>
      <w:r>
        <w:rPr>
          <w:rtl w:val="true"/>
        </w:rPr>
        <w:t>المسألة الأولى</w:t>
      </w:r>
      <w:r>
        <w:rPr>
          <w:rtl w:val="true"/>
        </w:rPr>
        <w:t xml:space="preserve">: </w:t>
      </w:r>
      <w:r>
        <w:rPr>
          <w:rtl w:val="true"/>
        </w:rPr>
        <w:t>الفقه لغة واصطلاحًا</w:t>
      </w:r>
      <w:bookmarkEnd w:id="28"/>
    </w:p>
    <w:p>
      <w:pPr>
        <w:pStyle w:val="BookText"/>
        <w:rPr/>
      </w:pP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 العلم بالشيء والفهم له، وغلب على علم الدين لسيادته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اشتقاقه من الشقّ والفتح، وقد جعله العُرفُ خاصًّا بعلم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غيره الفقه في الأصل الفهم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 فلان فقهًا في الدين أي فهمًا فيه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وقال في مقاييس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 والقاف والهاء أصلٌ واحدٌ صحيح، يدلّ على إدراك الشيء والعلم به،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فقهت الحديث أفقهه وكل علم بشيء، فهو فقه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يفقه ولا ينقه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وقال الراغب الأصفهاني في مفرداته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 هو التوصّل إلى علم غائب بعلمٍ شاهد، فهو أخصّ من العلم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فَمَالِ هَؤُلَاءِ الْقَوْمِ لَا يَكَادُونَ يَفْقَهُونَ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الْمُنَافِقِينَ لَا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بالتأمل في كلمات الفقهاء وكلمات أهل اللغة يظهر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الفقه في اللغة هو إدراك خاصّ ولا يكون مرادفًا للعلم كما توهم، ولا مرادفًا لإدراك الأشياء؛ بل هو کما يظهر من کلام الراغب عبارة عن فهم خاص وهو إدراك الأشياء الخفية الأمر الّذي قد يُسمى بالفهم العميق العابر من السطح إلى العمق ومن الظاهر إلى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موارد استعمال هذا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يَكَادُونَ يَفْقَهُونَ 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شُعَيْبُ مَا نَفْقَهُ كَثِيرًا مِمَّا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العلم والإدراك محتاج إلى متعلق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والمدرك فكذلك كلمة الفقه محتاجة إلى متعلّق،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الأشياء وفَقِهَ الكلام وفقه الحديث وغيرها وعلى هذا نرى في كثير من الاستعمالات، خاصّة في الآيات القرآنية وهكذا في الأخبار المروية عن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ذكر كمتعلق لهذا الأصل ومشتقاتها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فمتعلق التفقّه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والتفقّه مصدر باب التفعّل اشتقّ من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الآية عبارة عن الدين 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تفقّهوا في الدين فإنه من لم يتفقّه منكم في الدين، فهو أعرابي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softHyphen/>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فقّهه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فالفقه</w:t>
      </w:r>
      <w:r>
        <w:rPr>
          <w:rStyle w:val="FootnoteAnchor"/>
          <w:rtl w:val="true"/>
        </w:rPr>
        <w:footnoteReference w:id="6"/>
      </w:r>
      <w:r>
        <w:rPr>
          <w:rFonts w:ascii="Amiri" w:hAnsi="Amiri" w:eastAsia="Amiri" w:cs="Amiri"/>
          <w:color w:val="111111"/>
          <w:sz w:val="28"/>
          <w:sz w:val="28"/>
          <w:szCs w:val="28"/>
          <w:rtl w:val="true"/>
          <w:lang w:bidi="ar-SA"/>
        </w:rPr>
        <w:t xml:space="preserve">ومشتقاته، استُعمل في هذه الآيات والروايات في معناه اللغوي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متعلّقٌ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شيوع هذا الاستعمال وكثرته بين أهل اللغة، نرى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حُذف من الكلام لأجل كثرة الاستعمال والقرينة على الحذف فكان الفقه بعد أن كان في اللغة مطلقًامن حيث المتعلق غلب عليه الاستعمال في متعلَّق خاصٍّ وهو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خاصًّا بعلم الدِّين أعني الإسلام كمصطلح خاصٍّ عند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رواه ابان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 أصحابي ضُرِبت رؤوسهم بالسياط حتى يتفقّهوا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فالمراد من الفقه في هذا الاستعمال هو فقه الدِّين والمراد من الدِّين جميع المعارف الدينية المنزلة من السماء والمبيّنة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يختصّ الدِّين في هذا المعنى بالأحكام الشرعية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المعنى ما رُوِي عن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على أمّتي أربعين حديثًا بعثه الله فقيهًا عالمًا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فإنه لا شك في أن المراد من الفقيه في هذا الحديث ليس خصوص العالم بالأحكام الشرعية الفرعية؛ بل المراد منه هو الفقيه والعالم بأمر الدين كلّه أصوله وفروعه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أصبح الفقه بمعنى العلم بالدين مصطلحًا رائجًا في عرف المتشرِّعة، بل في لسان بعض الأدلّة الشرعية، تحوّل معنى الفقه إلى مصطلح جديد وهو العلم بالأحكام الشرعية الفرعية عن أدلّتها التفصيلية؛ فالفقه في هذا المصطلح الجديد صار معناه أخصّ من المصطلح السابق؛ لأنه لا يراد منه العلم بجميع المعارف الإلهية من العقائد والأخلاق والأحكام وغيرها؛ بل المراد منه خصوص الأحكام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يُستعمل الفقه في الاصطلاح الأوّل ويسمّى بالفقه الأكبر، ويستعمل بحسب الاصطلاح الثاني ويسمّى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من المعلوم أنّ النسبة بينهما عموم وخصوص 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فالمراد من الفقه في هذا المصطلح الخاصّ الثاني هو خصوص العلم بالأحكام الشرعية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الفقه في هذا المصطلح الجديد مقيَّد بالعلم الناشئ عن قوّة الاجتهاد وملكة الاستنباط فلا يسمّى علم المقلّد بالحكم الشرعي فقهًا والمقلّد لا يُسمّى فقيهًا فالشرط المهمّ والأساس، كي يسمّى أحدٌ فقيهًا هو فهمه العميق بالأحكام الشرعية المحصّلة بملكة الاجتهاد وعملية الاستنباط من المصادر الشرعية من الكتاب والسنة والإجماع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صار الفقه مصطلحًا رائجًا لعلم خاصٍّ يُسمى اليوم أيضًا بعلم الفقه وهو العلم بالشريعة الإسلامية عن اجتهاد وتتبّع في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المعنى للفقه شائعًا منذ القرون الأولى للإسلام إلى يومنا هذا، بين العامّة والخاصّة</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فالفقه هو علم عملية استنباط الأحكام الشرعية وقد اشتهر تعريفه بالعلم بالأحكام الشرعية الفرعية عن أدلتها التفصيلية</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والفقيه هو الذي يمارس هذه العملية ويقوم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المصطلح الثاني هو المراد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فقه الدولة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علم الفقه ودوره في حياة الإنسان الموضوع في كل علمٍ هو المحور الذي تدور حوله مسائل العلم وبما أنّ مسائل علم الفقه كلها تهدف إلى تحديد الموقف العملي الشرعي للمكلّف في أي واقعة يواجهها فموضوع علم الفقه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المكلّف من حيث هو 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يدخل في موضوع هذا العلم ونطاق مسائله جميع أفعال المكلّفين الاختيارية من العبادات والعقود والإيقاعات مما يرتبط بالأعضاء والجوارح الخارجية إلى وجوب الإيمان بالله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الشرك والرياء ممّا </w:t>
      </w:r>
    </w:p>
    <w:p>
      <w:pPr>
        <w:pStyle w:val="BookText"/>
        <w:rPr/>
      </w:pPr>
      <w:r>
        <w:rPr>
          <w:rFonts w:ascii="Amiri" w:hAnsi="Amiri" w:eastAsia="Amiri" w:cs="Amiri"/>
          <w:color w:val="111111"/>
          <w:sz w:val="28"/>
          <w:sz w:val="28"/>
          <w:szCs w:val="28"/>
          <w:rtl w:val="true"/>
          <w:lang w:bidi="ar-SA"/>
        </w:rPr>
        <w:t>يتعلّق بالقلب وضمير الإنسان أعني الجوانح حسب التعبير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فالفقه يتدخل في جميع أفعال الإنسان ويبدي رأيه في كلّ فعل يصدر منه هلهو جائز أم حرام؟ وعلى فرض جوازه هل هو واجب أو غير واجب؟ هذا من جهة الحكم التكليفي، ومن جهة الحكم الوضعي أيضًا فهل هو صحيح أو باطل؟</w:t>
      </w:r>
    </w:p>
    <w:p>
      <w:pPr>
        <w:pStyle w:val="BookText"/>
        <w:rPr/>
      </w:pPr>
      <w:r>
        <w:rPr>
          <w:rFonts w:ascii="Amiri" w:hAnsi="Amiri" w:eastAsia="Amiri" w:cs="Amiri"/>
          <w:color w:val="111111"/>
          <w:sz w:val="28"/>
          <w:sz w:val="28"/>
          <w:szCs w:val="28"/>
          <w:rtl w:val="true"/>
          <w:lang w:bidi="ar-SA"/>
        </w:rPr>
        <w:t>فبالتأمل في موضوع علم الفقه وتعريفه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الفقه الإسلامي هو الوحي الإلهي، المتمثّل في القرآن الكريم وسنة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يكشف عن الجانب التشريعي للربوبية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يُعرفأن الفقه ينشأ ويشرب من حاقّ التوحيد، ويرتوي من الربوبية الإلهية، فالاعتقاد بعلم الفقه وحجيته، والالتزام به يعتبر من نصاب التوحيد؛ لأنه من لوازم الإيمان بالرب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اللازم لمن آمن بالله تعالى وبالتوحيد الخالص واعتقد بالربوبية التشريعية الإلهية، وأنّ الحكم والقانون لا يجوز تشريعه إلا من الله تبارك وتعالى،أن يلتزم بالأحكام الشرعية الإلهية المتجسّدة في الفقه الإسلامي، وأما المخالفة للحكم الإلهي والتشريع الربوبي، مهما كانت فهي من وساوس الشيطان وتعتبر من خط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ومنهجه حيث عصى أمر ربّه حينما أمره وأمر جميع الملائكة بالسجود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فَسَجَدُوا إِلَّا إِبْلِيسَ أَبَى وَاسْتَكْبَرَ وَكَان مِنْ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هناك موجبًا لكفر إبليس وسبباً لاستكباره إلا عدم قبوله لحق التشريع الإلهي وعدم إيمانه واعتقاده بالربوبية التشريعية الإلهية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علم الفقه في الإسلام من جهة السعة يشمل جميع الأحكام المتعلقة بأفعال المكلّفين، فكما يشمل الأنشطة والأفعال المتعلقة بالجوارح، كذلك يشمل الأفعال الخاصّة بالجوانح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أخرى موضوع الفقه لا يختصّ بما يفعله الفرد من الإنسان بما هو فردٌ واحدٌ وشخصٌ خاصٌّ؛ بل يشمل ما يفعله المجتمع بما هو مجتمع فتدخل الأنشطة الاجتماعيّة في دائرة </w:t>
      </w:r>
    </w:p>
    <w:p>
      <w:pPr>
        <w:pStyle w:val="BookText"/>
        <w:rPr/>
      </w:pPr>
      <w:r>
        <w:rPr>
          <w:rFonts w:ascii="Amiri" w:hAnsi="Amiri" w:eastAsia="Amiri" w:cs="Amiri"/>
          <w:color w:val="111111"/>
          <w:sz w:val="28"/>
          <w:sz w:val="28"/>
          <w:szCs w:val="28"/>
          <w:rtl w:val="true"/>
          <w:lang w:bidi="ar-SA"/>
        </w:rPr>
        <w:t>علم الفقه أيضًا، وكما يشمل علم الفقه العبادات كالصلاة والصيام والحج، وكما يشمل المعاملات المالية التي تنشأ بين أفراد المجتمع من بيع وإجارة ومضاربة وشركة، كذلك يشمل العلاقات الاجتماعية التي تنظّم الأسرة من الزواجوالطلاق والنسب، ويشمل العلاقات السياسية التي تحدّد علاقة الدولة بالمواطنين وعلاقة المواطنين بالدولة وعلاقة الدولة بسائر الدول أيضا، من وجوب العدل والمساواة وحرمة التسلّط والظلم ونفي السبيل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العمل الخارج عن الإرادة والاختيار خارج عن موضوع علم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الفقه لا يختصّ بزمانٍ معيّنٍ من حياة المكلّف، فإنّه علم لإدارة حياة الفرد والمجتمع، وتنظيم الحياة من المهد إلى اللحد، وتحديد الموقف العملي الشرعي لكل واقعة من وقائع الحياة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فالفقه الإسلامي يضبط ويرتّب حياة الأفراد والجماعات وفق منهج إلهي موافق للكتاب والسنة بعيدٍ عن الأهواء والعقول الناقصة الجاهلة التابعة للشهوات والوساوس الشيطانية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مسؤولية الفقه الإسلامي تحديد الموقف العملي وبيان الحلول الشرعية للمشكلات والأزمات الفردية والجماعية وفي شتّی جوانب الحياة فبإمكانه أن يعالج القضايا المستحدَثة المستجدَّة التي تطرأ على حياة الإنسان ومجتمعه؛ فهو قابل للتطبيق في كل مكان وزمان، وقادرٌ على الاستيعاب الشرعي لتطورّات العصر ومعطيات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والسرّ في ذلك أنّ عنصري المكان والزمان من العناصر المؤثِّرة في الاستنباط الفقهي، واستكشاف الحكم عن الأدلّة الشرعية، كما صرح بذلك السيد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الإسلامي يشمل كل متطلبات الحياة ويتناول علاقات الإنسان جميعًا، علاقته بربّه وعلاقته بنفسه وعلاقته بمجتمعه؛ لأنه شُرِّع للدنيا </w:t>
      </w:r>
    </w:p>
    <w:p>
      <w:pPr>
        <w:pStyle w:val="BookText"/>
        <w:rPr/>
      </w:pPr>
      <w:r>
        <w:rPr>
          <w:rFonts w:ascii="Amiri" w:hAnsi="Amiri" w:eastAsia="Amiri" w:cs="Amiri"/>
          <w:color w:val="111111"/>
          <w:sz w:val="28"/>
          <w:sz w:val="28"/>
          <w:szCs w:val="28"/>
          <w:rtl w:val="true"/>
          <w:lang w:bidi="ar-SA"/>
        </w:rPr>
        <w:t>والآخرة، ولأنه دين ودولة، ولأنه عامٌّ للبشرية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رأي جميع فقهاء المسلمين، وهو متّفَقٌ عليه عند فقهاء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وفقهاء سائر المذاهب</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فيشمل أحكام العبادات من صلاة وصيام وحج، ممّا ينظّم علاقة الإنسان بربّه، وأحكام المعاملات من عقود وإيقاعات ممّاينظّم علاقات الناس بعضهم ببعض سواء كانوا أفرادًا أم جماعات، فيشمل أحكام الأحوال الشخصية وأحكام الأسرة مما يُقصَد به تنظيم علاقة الزوجين والأقارب بعضهم ببعض، والأحكام المدنية مما يتعلق بمعاملات الأفراد من بيع وإجارة وشركة وينظّم علاقات الأفراد المالية، ويشتمل أيضاً على الأحكام الجنائية مما يتعلق بالجرائم وعقوباتها التي يقصد بها حفظ حياة الإنسان وأموالهم وأعراضهم وحقوقهم من التعدّي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تشتمل الشريعة الإسلامية على أحكام القضاء، كذلك تشتمل على الأحكام المتعلّقة بنظام الحكم وأصوله وأحكام الدولة، وما يتعلق بتنظيم علاقات الدولة الإسلامية مع سائر الدول في حال السلم والحرب والأحكام الاقتصادية والمالية أيضًا مما ينظم العلاقات المالية بين الأغنياء والفقراء وبين الدولة والأفراد كالغنائم والأنفال والخراج والزكاة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الفقه برمجة حياة الإنسان إلى يوم القيامة؛ لأنه جيء به لإدارة حياة الإنسان، والمشرِّع له هو خالق العالَم وخالق الإنسان العالِم بحقيقته وكينونته وما يؤمّن سعادته ويدفع عنه الشقاء في الدنيا والآخرة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صحيحة زرارة، رواها الكليني عن علي بن إبراهيم، عن محمد بن عيسى بن عبيد عن يونس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الحلال والحرام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أبدًا إلى يوم القيامة وحرامه حرام أبدًا إلى يوم القيامة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فالفقه أسِّس كنظام كامل، وافٍ لحياة الإنسان، صالح للبقاء والتطبيق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للأحكام الشرعية ثوابت ومتغيرات</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فالثوابت هي الأصول الثابتة والقواعد الكلية التي تبتني عليها التفريعات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إلقاء الأصول وعليكم التفريع</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وأما المتغيرات وهي الأحكام الاجتهادية التي يمكن أن يعتريها التغيير والتبديل تبعًا لتغيير الظروف والأجواء الزمانية والمكانية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الأحكام الشرعية تنقسم إلى ثلاثة أقسام الأحكام الاولية والثانوية والأحكام الولائية فربما يكون لموضوع حكم على حسب الحكم الأولى ولكن يتغير حكمه بحسب تغير الموضوع أو لأجل طُرُوء العناوين الثانوية أو لأنشاء الأحكام الولائية الصادرة من ولي الأمر ومن بيده زمام إدارة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فالاجتهاد وهو ملكة الاستنباط واستفراع الوسع لتحصيل الحكم الشرعي وهو المؤمّن لهذه الصلاحية الموجودة في الفقه الإسلامي الخالد ذي التطبيق الدائم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الإسلامي هو المعبّر عن طريق العبودية والصراط المستقيم الذي دعا إليه القرآن الكريم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اعْبُدُونِي هَذَا 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الطريق للولاية الإلهية والسلوك للوصول إلى درجات القرب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المؤمّن لكمال الإنسان وسعادته في الدنيا والآخرة، على الصعيدين الفرديّ والاجتماعيّ، وإنّ غايته خير الإنسان وإسعاده في الدارين، لا يرى له 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غيره من القوانين الوضعية وكلها حصيلة عقل الإنسان الجاهل بسرّ الحياة </w:t>
      </w:r>
      <w:bookmarkStart w:id="29" w:name="pg8686_123364"/>
    </w:p>
    <w:p>
      <w:pPr>
        <w:pStyle w:val="BookText"/>
        <w:rPr/>
      </w:pPr>
      <w:bookmarkEnd w:id="29"/>
      <w:r>
        <w:rPr>
          <w:rFonts w:ascii="Amiri" w:hAnsi="Amiri" w:eastAsia="Amiri" w:cs="Amiri"/>
          <w:color w:val="111111"/>
          <w:sz w:val="28"/>
          <w:sz w:val="28"/>
          <w:szCs w:val="28"/>
          <w:rtl w:val="true"/>
          <w:lang w:bidi="ar-SA"/>
        </w:rPr>
        <w:t>وحقيقة الكون المحفوف بالشهوات والأهواء وتسويلات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الفقه كما ذكرنا في تعريفه هو العلم بالأحكام الشرعية الفرعية عن أدلتها التفصيلية، فمسائل علم الفقه تشمل جميع الأحكام الشرعية الفرعية وبما أنّ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عمل المكلف فتدخل فيه جمع الأحكام الشرعية الفرعية المرتبطة بأفعال الجوارح والجوانح للمكلف مطلقًا وعلى هذا فكل حكم من الأحكام الشرعية من باب الطهارة إلى باب القصاص والديات من الكتب الفقهية داخلٌ في مسائل علم الفقه وهذا ما يسمى بالفقه المطلق ولكن ربما يبحث عن قسمٍ خاصٍّ من هذه الأقسام والأبواب، كفقه الصلاة أو فقه الزكاة من أبواب العبادات أو فقه العقود من أبواب المعاملات وغيرها وهذا ما يسمّى بالفقه المضاف فالمراد منه الفقه الذي يبحث عن بابٍ خاصٍّ من أبواب الفقهالمطلق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العقود الأخيرة شاع البحث الخاص عن هذه الأقسام والأبواب كموضوع مستقل بل صار كل واحد من هذه الأقسام فرعًا خاصًّا من الفروع المختلفة الفقهية كفقه الأسرة، وفقه القضاء، وفقه السياسة، وفقه البيئة، وفقه الاقتصاد إلى غير ذلك من الاختصاصات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حسب هذا التقسيم، يكون المراد من فقه الدولة هو البحث عن المسائل والأحكام الشرعية الخاصّة بالدولة والحكومة</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2517266_653776707"/>
      <w:bookmarkStart w:id="31" w:name="_Toc9"/>
      <w:bookmarkEnd w:id="30"/>
      <w:r>
        <w:rPr>
          <w:rtl w:val="true"/>
        </w:rPr>
        <w:t>المسألة الثالثة</w:t>
      </w:r>
      <w:r>
        <w:rPr>
          <w:rtl w:val="true"/>
        </w:rPr>
        <w:t xml:space="preserve">: </w:t>
      </w:r>
      <w:r>
        <w:rPr>
          <w:rtl w:val="true"/>
        </w:rPr>
        <w:t>الدولة لغةً واصطلاحًا</w:t>
      </w:r>
      <w:bookmarkEnd w:id="31"/>
    </w:p>
    <w:p>
      <w:pPr>
        <w:pStyle w:val="Heading5"/>
        <w:numPr>
          <w:ilvl w:val="4"/>
          <w:numId w:val="1"/>
        </w:numPr>
        <w:rPr/>
      </w:pPr>
      <w:bookmarkStart w:id="32" w:name="__RefHeading___Toc2517268_653776707"/>
      <w:bookmarkStart w:id="33" w:name="_Toc10"/>
      <w:bookmarkEnd w:id="32"/>
      <w:r>
        <w:rPr/>
        <w:t>1</w:t>
      </w:r>
      <w:r>
        <w:rPr>
          <w:rtl w:val="true"/>
        </w:rPr>
        <w:t xml:space="preserve">- </w:t>
      </w:r>
      <w:r>
        <w:rPr>
          <w:rtl w:val="true"/>
        </w:rPr>
        <w:t>الدولة لغةً</w:t>
      </w:r>
      <w:bookmarkEnd w:id="33"/>
    </w:p>
    <w:p>
      <w:pPr>
        <w:pStyle w:val="BookText"/>
        <w:rPr/>
      </w:pPr>
      <w:r>
        <w:rPr>
          <w:rFonts w:ascii="Amiri" w:hAnsi="Amiri" w:eastAsia="Amiri" w:cs="Amiri"/>
          <w:color w:val="111111"/>
          <w:sz w:val="28"/>
          <w:sz w:val="28"/>
          <w:szCs w:val="28"/>
          <w:rtl w:val="true"/>
          <w:lang w:bidi="ar-SA"/>
        </w:rPr>
        <w:t>قال صاحب المقاييس في شرح مبدإ اشتقاق كلمة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والواو واللام، 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يدلّ على تحوّل شيء من مكانٍ إلى مكانٍ، والآخر يدلّ على ضعف واسترخاء</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الأول فقال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اندال القوم، إذا تحوّلوا من مكانٍ إلى مكانٍ، ومن هذا الباب تداوَل القوم الشيء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من بعضهم إلى بعض</w:t>
      </w:r>
      <w:r>
        <w:rPr>
          <w:rFonts w:eastAsia="Amiri" w:cs="Amiri" w:ascii="Amiri" w:hAnsi="Amiri"/>
          <w:color w:val="111111"/>
          <w:sz w:val="28"/>
          <w:szCs w:val="28"/>
          <w:rtl w:val="true"/>
          <w:lang w:bidi="ar-SA"/>
        </w:rPr>
        <w:t xml:space="preserve">. </w:t>
      </w:r>
      <w:bookmarkStart w:id="34" w:name="pg8686_123367"/>
    </w:p>
    <w:p>
      <w:pPr>
        <w:pStyle w:val="BookText"/>
        <w:rPr/>
      </w:pPr>
      <w:bookmarkEnd w:id="34"/>
      <w:r>
        <w:rPr>
          <w:rFonts w:ascii="Amiri" w:hAnsi="Amiri" w:eastAsia="Amiri" w:cs="Amiri"/>
          <w:color w:val="111111"/>
          <w:sz w:val="28"/>
          <w:sz w:val="28"/>
          <w:szCs w:val="28"/>
          <w:rtl w:val="true"/>
          <w:lang w:bidi="ar-SA"/>
        </w:rPr>
        <w:t>والدَّولة والدُّولة لغتان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في المال والدولة في الحرب وإنما سميا بذلك من قياس الباب؛ لأنه أمر يتداولونه فيتحول من هذا إلى ذاك ومن ذاك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الآخر فالدُّوَيل من النبت؛ ما يبس لعامه،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الثوب يدول إذا بلي</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وقال صاحب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والدُّولة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في المال والدُّولة في الحرب والجاه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اسم الشيء الذي يتداول بعينه، والدّولة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يَكُونَ دُولَةً بَيْنَ الْأَغْنِيَاءِ مِنْكُمْ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المقاييس وإن ذكر أصلين لمبدء اشتقاق الدولة ولكن بالتأمل فيهما يظهر إمكان إرجاعهما إلى أمر واحد؛ لأنّ الأول يدلّ على التحوّل وعدم الثبات، والثاني أيضًا يدلّ على الضعف والاسترخاء، ولا شكّ في أنّ هذين الأمرين يرجعان إلى أمرٍ واحد وهو الدلالة على عدم البقاء وعدم الدوام طويلًا فيُستفاد منه التحول والتغير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تطلق الدَّولة على المال أو الحرب أو الجاه والقدرة لسرعة تحوّلها وقصر عمرها وعدم استقرارها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مبدإ الاشتقاق اللغوي لكلمة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الاصطلاح فهو موضوع بحثنا الآتي</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2517270_653776707"/>
      <w:bookmarkStart w:id="36" w:name="_Toc11"/>
      <w:bookmarkEnd w:id="35"/>
      <w:r>
        <w:rPr/>
        <w:t>2</w:t>
      </w:r>
      <w:r>
        <w:rPr>
          <w:rtl w:val="true"/>
        </w:rPr>
        <w:t xml:space="preserve">- </w:t>
      </w:r>
      <w:r>
        <w:rPr>
          <w:rtl w:val="true"/>
        </w:rPr>
        <w:t>الدولة اصطلاحًا</w:t>
      </w:r>
      <w:bookmarkEnd w:id="3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استُعملت كلمة الدولة كمصطلحٍ عامٍّ من قديم الزمان عند أهل اللغة ومحاوراتهم؛ بل في الروايات والأدعية والزيارات بمعنى الحكومة والسلطة السياسية الحاكمة على البلد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الاستعمال، استعمالٌ متعارفٌ شائعٌ، بحيث صار هذا المعنى هو المعنى الذي ينصرف إليه الذهن عند سماع كلمة الدولة؛ بل كثرة الاستعمال أوجبت أن تصير هذه الكلمة منقولةً أو مرتجلةً من معناها اللغوي المذكور أعلاه إلى المعنى الجديد وهو الدولة؛ بحيث يكون استعمالها في معناها اللغوي بحاجة إلى القرينة ومع عدم القرينة تحمل كلمة الدولة على هذا المعنى الاصطلاحيّ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ولايخفى وجه استعمال كلمة الدولة، في المصطلح الجديد في الحكومة والسلطة السياسة؛ لأنّها تدلّ على التغيّر والتحوّل وعدم الاستمرار، والحكومات لم تزل ولاتزال دائمًا في طور التغير والمداولة والتداول من حاكم إلى حاكم ومن سلطة إلى 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الكليني في كتاب الإيمان والكفر من أصول الكافي؛ عن أبي خالد الكابلي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الدين دولتين دولة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دولة الله –ودولة إبليس، فإذا أراد الله أن يعبد علانية كانت دولة آدم وإذا أراد الله أن يعبد في السرّ، كانت دولة إبليس</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وذكر العلامة المجلسي في بيان معنى الدولة تفسيرًا لهذه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الدولة نوبة ظهور حكومة حاكمٍ، عادلًا كان أو جائرًا والمراد بدولة آدم، دولة الحق الظاهر الغالب كما كان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زمانه فإنّه غلب على الشيطان وأظهر الحق علانية، فكلّ دولة حق غالب ظاهر فهي دولة آدم وهي دولة الحكومة التي رضي الله لعباده، وفي مقابل دولة آدم دولة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ظهرت دولة إبليس وغلبت على الأمور فيظهر الباطل علانية وهي الدولة التي لا يرضى لعباده</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المعنى ما روي في كتاب سليم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قُتِل عثمان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التّقية من دين الله، ولا دين لمن لا تقيّة له، والله لولا التقيّة ما عُبِد الله في </w:t>
      </w:r>
    </w:p>
    <w:p>
      <w:pPr>
        <w:pStyle w:val="BookText"/>
        <w:rPr/>
      </w:pPr>
      <w:r>
        <w:rPr>
          <w:rFonts w:ascii="Amiri" w:hAnsi="Amiri" w:eastAsia="Amiri" w:cs="Amiri"/>
          <w:color w:val="111111"/>
          <w:sz w:val="28"/>
          <w:sz w:val="28"/>
          <w:szCs w:val="28"/>
          <w:rtl w:val="true"/>
          <w:lang w:bidi="ar-SA"/>
        </w:rPr>
        <w:t>الأرض في دولة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دولة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 الناسَ إمام ضلالة فهي دولة إبليس على آدم، وإذا وليهم إمام هدىً فهي دولة آدم على إبليس</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فالدولة في الاستعمال العرفيّ وكلمات عامّة أهل اللغة بمعنى استيلاء إمام وحاكمٍ على الأمر وولايته على أمور العامّة، حقًّا كان أو باطلًا وبرًّا أو فاجرًا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ما ورد في دعاء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تخرجني لرأفتك بي وَلُطْفِكَ لي وإحسانك إليّ في دَوْلَةِ أئمّة الْكُفْرِ الَّذينَ نَقَضُوا عَهْدَكَ وَكَذَّبُوا رُسُلَكَ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الباب أيضًا ما ورد في الزيارة المشهورة بزيارة الجامعة الكبيرة؛ في ما يزار به أحدٌ منأئمة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الزائر موّجها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منتظر لأمركم مرتقب لدولتكم آخذ بقولكم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وبهذا الخطاب يعلن الزائر أنّه منتظر لظهور أمر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ويرتقب دولتهم الحقّه لتأخذ هذه الدولة بزمام الأمور وتملأ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ورد في الدعاء المشهور بدعاء الافتتاح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وورد أيضًا في أدعية ليلة النصف من شعبان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وأدرك بنا أيّامه وظهوره وقيامه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وأحينا في دولته ناعمين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شك في أنّ الدولة في هذا الاستعمال بمعنى السلطة السياسية الآخذة بزمام الأمور فإذا كانت الدولة بيد أولياء الله فإنها توجب عزّ الإسلام وإذلال النفاق، </w:t>
      </w:r>
      <w:bookmarkStart w:id="37" w:name="pg8686_123376"/>
    </w:p>
    <w:p>
      <w:pPr>
        <w:pStyle w:val="BookText"/>
        <w:rPr/>
      </w:pPr>
      <w:bookmarkEnd w:id="37"/>
      <w:r>
        <w:rPr>
          <w:rFonts w:ascii="Amiri" w:hAnsi="Amiri" w:eastAsia="Amiri" w:cs="Amiri"/>
          <w:color w:val="111111"/>
          <w:sz w:val="28"/>
          <w:sz w:val="28"/>
          <w:szCs w:val="28"/>
          <w:rtl w:val="true"/>
          <w:lang w:bidi="ar-SA"/>
        </w:rPr>
        <w:t>ولهذا يدعو المؤمن الله ويرجو منه أن تدوم حياته إلى دولة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ويبين رغبته في ظهور هذه الدولة الكريمة مع ما فيها من الخصال والخصائص الأساسية لسعادة المجتمع في الدنيا والآخرة، ويطلب من الله أن يكون في هذه الدولة الحقّة من الداعين إلى طاعة الله؛ بل أن يكون في عداد قادة هذه الدولة حتى يكون هاديًا للناس إلى سبيل الحق والخير والرشاد، الموجب لكرامة الدنيا والآخرة</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2517272_653776707"/>
      <w:bookmarkStart w:id="39" w:name="_Toc12"/>
      <w:bookmarkEnd w:id="38"/>
      <w:r>
        <w:rPr/>
        <w:t>3</w:t>
      </w:r>
      <w:r>
        <w:rPr>
          <w:rtl w:val="true"/>
        </w:rPr>
        <w:t xml:space="preserve">- </w:t>
      </w:r>
      <w:r>
        <w:rPr>
          <w:rtl w:val="true"/>
        </w:rPr>
        <w:t>الدولة في علم السياسة</w:t>
      </w:r>
      <w:bookmarkEnd w:id="39"/>
    </w:p>
    <w:p>
      <w:pPr>
        <w:pStyle w:val="BookText"/>
        <w:rPr/>
      </w:pPr>
      <w:r>
        <w:rPr>
          <w:rFonts w:ascii="Amiri" w:hAnsi="Amiri" w:eastAsia="Amiri" w:cs="Amiri"/>
          <w:color w:val="111111"/>
          <w:sz w:val="28"/>
          <w:sz w:val="28"/>
          <w:szCs w:val="28"/>
          <w:rtl w:val="true"/>
          <w:lang w:bidi="ar-SA"/>
        </w:rPr>
        <w:t>في قاموس علم السياسة الحديث قد تطلق الدولة على الهيئة المكوّنة من ثلاثة عناصر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من الأرض يطلق عليه إقليم، وطائفة من الناس تسكن الإقليم يطلق عليهاالشعب، وسلطة يخضع لها الشعب في الإقليم يطلق عليها الحكومة؛ تدبّر علاقات الشعب الداخلية في ما بينهم، وتدبّر علاقاتهم الخارجية مع الأقاليم الأخرى، وتحمي حدود الإقليم ضد الأعداء المحتلّين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فالعناصر الأساسية لأي دولة في هذا المصطلح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الحكومة والشعب والإقليم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حول هذا المصطلح ودراسته وتقييمه موكول إلى محلّه</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40" w:name="__RefHeading___Toc2517274_653776707"/>
      <w:bookmarkStart w:id="41" w:name="_Toc13"/>
      <w:bookmarkEnd w:id="40"/>
      <w:r>
        <w:rPr/>
        <w:t>4</w:t>
      </w:r>
      <w:r>
        <w:rPr>
          <w:rtl w:val="true"/>
        </w:rPr>
        <w:t xml:space="preserve">- </w:t>
      </w:r>
      <w:r>
        <w:rPr>
          <w:rtl w:val="true"/>
        </w:rPr>
        <w:t>التمييز بين الدولة والمفاهيم المشابهة لها</w:t>
      </w:r>
      <w:r>
        <w:rPr>
          <w:rtl w:val="true"/>
        </w:rPr>
        <w:t>:</w:t>
      </w:r>
      <w:bookmarkEnd w:id="41"/>
    </w:p>
    <w:p>
      <w:pPr>
        <w:pStyle w:val="Heading6"/>
        <w:numPr>
          <w:ilvl w:val="5"/>
          <w:numId w:val="1"/>
        </w:numPr>
        <w:rPr/>
      </w:pPr>
      <w:bookmarkStart w:id="42" w:name="__RefHeading___Toc2517276_653776707"/>
      <w:bookmarkStart w:id="43" w:name="_Toc14"/>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من المهمّ في دراسة مفهوم الدولة تمييزها عن غيرها من الكلمات المشابهة لها بحسب المعنى المتعارف الرائج عند أهل اللغة</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2517278_653776707"/>
      <w:bookmarkStart w:id="45" w:name="_Toc15"/>
      <w:bookmarkEnd w:id="44"/>
      <w:r>
        <w:rPr>
          <w:rtl w:val="true"/>
        </w:rPr>
        <w:t>أ</w:t>
      </w:r>
      <w:r>
        <w:rPr>
          <w:rtl w:val="true"/>
        </w:rPr>
        <w:t xml:space="preserve">) </w:t>
      </w:r>
      <w:r>
        <w:rPr>
          <w:rtl w:val="true"/>
        </w:rPr>
        <w:t>الدولة والحكومة</w:t>
      </w:r>
      <w:bookmarkEnd w:id="4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الحكومة من المفاهيم المشابهة لكلمة الدولة؛ فإنّها وإن كان كثيرًا ما تُستخدم كمترادف لمفهوم الدولة، إلا أن مفهوم الدولة في مصطلح علم السياسة أكثر اتساعًا من الحكومة، أي أنّ النسبة بين الدولة والحكومة نسبة الكل والجزء؛ حيث إنّ الدولة كيان شامل يتضمن جميع أعضاء المجتمع والمواطنين، ويتضمن أيضا الإقليم وسائر المؤسسات العامة، والحكومة جزءٌ من الدولة، وهي الوسيلة التي </w:t>
      </w:r>
      <w:bookmarkStart w:id="46" w:name="pg8686_123379"/>
    </w:p>
    <w:p>
      <w:pPr>
        <w:pStyle w:val="BookText"/>
        <w:rPr/>
      </w:pPr>
      <w:bookmarkEnd w:id="46"/>
      <w:r>
        <w:rPr>
          <w:rFonts w:ascii="Amiri" w:hAnsi="Amiri" w:eastAsia="Amiri" w:cs="Amiri"/>
          <w:color w:val="111111"/>
          <w:sz w:val="28"/>
          <w:sz w:val="28"/>
          <w:szCs w:val="28"/>
          <w:rtl w:val="true"/>
          <w:lang w:bidi="ar-SA"/>
        </w:rPr>
        <w:t>تمارس من خلالها الدولة سلطتها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فإنّ الدولة اكثر ديمومة وبقاءً مقارنة بالحكومة المؤقتة بطبيعتها حيث يفترض بها ان تتداول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فالحكومة في مصطلح علم السياسية تنحصر بالسلطة والزعامة السياسية بخلاف الدولة حيث أنها مشكلّة من الحكومة والإقليم والشعب، نعم في المصطلح العام تستخدمان كمترادفين بمعنى القيادة السياسية وإدارة أمور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فإنّ ماهيةالحكومة والدولة هي السلطة على أمور المجتمع مع غضّ النظر عن شرعيّتها وكيفية سيطرتها على الحكم وجواز أخذها بزمام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الكتاب كثيرًا مّا يتبع هذا المصطلح</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2517280_653776707"/>
      <w:bookmarkStart w:id="48" w:name="_Toc16"/>
      <w:bookmarkEnd w:id="47"/>
      <w:r>
        <w:rPr>
          <w:rtl w:val="true"/>
        </w:rPr>
        <w:t>ب</w:t>
      </w:r>
      <w:r>
        <w:rPr>
          <w:rtl w:val="true"/>
        </w:rPr>
        <w:t xml:space="preserve">) </w:t>
      </w:r>
      <w:r>
        <w:rPr>
          <w:rtl w:val="true"/>
        </w:rPr>
        <w:t>الدولة والولاية</w:t>
      </w:r>
      <w:r>
        <w:rPr>
          <w:rtl w:val="true"/>
        </w:rPr>
        <w:t>:</w:t>
      </w:r>
      <w:bookmarkEnd w:id="48"/>
    </w:p>
    <w:p>
      <w:pPr>
        <w:pStyle w:val="BookText"/>
        <w:rPr/>
      </w:pPr>
      <w:r>
        <w:rPr>
          <w:rFonts w:ascii="Amiri" w:hAnsi="Amiri" w:eastAsia="Amiri" w:cs="Amiri"/>
          <w:color w:val="111111"/>
          <w:sz w:val="28"/>
          <w:sz w:val="28"/>
          <w:szCs w:val="28"/>
          <w:rtl w:val="true"/>
          <w:lang w:bidi="ar-SA"/>
        </w:rPr>
        <w:t>الولاية من المفاهيم المشابهة لكلمة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والولاية وإن كانت بحسب اللغة بمعنى القرابة الخاصّة التي توجب الأولوية في التصرف على حسب أنواع القرابة ولها مصاديق مختلفة بحسب نوعية الاتصال والربط والقرابة؛ ولكن المفهوم الرائج للولاية هو الإمارة والزعامة السياسية للمجتمع؛ بحيث إنّ كلمة الولاية تنصرف عند أهل اللغة إلى هذا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هذا المعنى قد تستخدم الدولة كمفهوم مرادف لمفهوم الولاية وحينئذٍ تكون حقيقة الحكومة والدولة عبارة عن الولاية السياسية على إدارة المجتمع التي قد تُستخدم كلمة الإمامة أو الخلافة كمرادف لها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المراد من الولاية هو الولاية الشرعية التي تعرّف بالسلطة الشرعية المسوِّغة للحقِّ في التصرف لصاحبها، أو تعرّف بالقرابة الخاصة الموجبة شرعًا لجواز التصرّف لمصلحة في أمور المولّى عليه؛ فالولاية في هذا المفهوم لا تنظر إلى التنفيذ بل تشير إلى الحقّ في التصرف وشرعيّته من دون نظر إلى فعلية التصرف وممارسة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المصطلح الشرعيّ يشير مفهوما الدولة والحكومة إلى الجانب التنفيذي للولاية السياسية الشرعية</w:t>
      </w:r>
      <w:r>
        <w:rPr>
          <w:rFonts w:eastAsia="Amiri" w:cs="Amiri" w:ascii="Amiri" w:hAnsi="Amiri"/>
          <w:color w:val="111111"/>
          <w:sz w:val="28"/>
          <w:szCs w:val="28"/>
          <w:rtl w:val="true"/>
          <w:lang w:bidi="ar-SA"/>
        </w:rPr>
        <w:t>.</w:t>
      </w:r>
      <w:r>
        <w:rPr>
          <w:rStyle w:val="FootnoteAnchor"/>
          <w:rtl w:val="true"/>
        </w:rPr>
        <w:footnoteReference w:id="24"/>
      </w:r>
      <w:bookmarkStart w:id="49" w:name="pg8686_123384"/>
    </w:p>
    <w:p>
      <w:pPr>
        <w:pStyle w:val="Heading6"/>
        <w:numPr>
          <w:ilvl w:val="5"/>
          <w:numId w:val="1"/>
        </w:numPr>
        <w:rPr/>
      </w:pPr>
      <w:bookmarkStart w:id="50" w:name="__RefHeading___Toc2517282_653776707"/>
      <w:bookmarkStart w:id="51" w:name="_Toc17"/>
      <w:bookmarkEnd w:id="49"/>
      <w:bookmarkEnd w:id="50"/>
      <w:r>
        <w:rPr>
          <w:rtl w:val="true"/>
        </w:rPr>
        <w:t>ج</w:t>
      </w:r>
      <w:r>
        <w:rPr>
          <w:rtl w:val="true"/>
        </w:rPr>
        <w:t xml:space="preserve">) </w:t>
      </w:r>
      <w:r>
        <w:rPr>
          <w:rtl w:val="true"/>
        </w:rPr>
        <w:t>الدولة والسياسة</w:t>
      </w:r>
      <w:bookmarkEnd w:id="51"/>
    </w:p>
    <w:p>
      <w:pPr>
        <w:pStyle w:val="BookText"/>
        <w:rPr/>
      </w:pPr>
      <w:r>
        <w:rPr>
          <w:rFonts w:ascii="Amiri" w:hAnsi="Amiri" w:eastAsia="Amiri" w:cs="Amiri"/>
          <w:color w:val="111111"/>
          <w:sz w:val="28"/>
          <w:sz w:val="28"/>
          <w:szCs w:val="28"/>
          <w:rtl w:val="true"/>
          <w:lang w:bidi="ar-SA"/>
        </w:rPr>
        <w:t>لعلّ التمييز بين الدولة والسياسة ليس بغامضٍ؛ حيث إنّ السياسة هي إدارة أمور المجتمع ورعاية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تتحقّق علي يد الدولة، فإنّها هي التي تباشر هذه الإدارةوالرعاية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السياسة بحسب معناها اللغوي مشتقّة من مادّة ساس يسوس سياسة، فالسياسة في اللغة بمعنى القيام على الشيء بما يصلحه وهي فعل السائس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يسوس الدوابّ إذا قام عليها وراضَها والوليّ يسوس رعيّته والسوس الطبع والخُلُق والسجّية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ومن ذلك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بنو إسرائيل تسوسهم الأنبياء كلّما هلك نبيٌّ خلفه نبيٌّ</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وفي الزيارة الجامعة الكبيرة يخاطب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سَاسَةَ الْعِبَادِ</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ومن هنا، نستخلص أنّ هناك وجوهًا من الاشتراك والتمايز بين مفاهيم الدولة والمفاهيم المشابهة لها من الحكومة والولاية والإمارة والخلافة والإمامة والسياسة فيجب على المحقّق المدّقق دراسة هذا المواضيع المشتركة والفارقة لئلا يختلط بعضها في بعض</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2517284_653776707"/>
      <w:bookmarkStart w:id="53" w:name="_Toc18"/>
      <w:bookmarkEnd w:id="52"/>
      <w:r>
        <w:rPr>
          <w:rtl w:val="true"/>
        </w:rPr>
        <w:t>المسألة الرابعة</w:t>
      </w:r>
      <w:r>
        <w:rPr>
          <w:rtl w:val="true"/>
        </w:rPr>
        <w:t xml:space="preserve">: </w:t>
      </w:r>
      <w:r>
        <w:rPr>
          <w:rtl w:val="true"/>
        </w:rPr>
        <w:t>تعريف فقه الدولة</w:t>
      </w:r>
      <w:bookmarkEnd w:id="53"/>
    </w:p>
    <w:p>
      <w:pPr>
        <w:pStyle w:val="Heading5"/>
        <w:numPr>
          <w:ilvl w:val="4"/>
          <w:numId w:val="1"/>
        </w:numPr>
        <w:rPr/>
      </w:pPr>
      <w:bookmarkStart w:id="54" w:name="__RefHeading___Toc2517286_653776707"/>
      <w:bookmarkStart w:id="55" w:name="_Toc19"/>
      <w:bookmarkEnd w:id="54"/>
      <w:r>
        <w:rPr>
          <w:rtl w:val="true"/>
        </w:rPr>
        <w:t>اشارة</w:t>
      </w:r>
      <w:bookmarkEnd w:id="5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المواضيع المذكورة أعلاه يظهر أنّ المراد من فقه الدولة،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بالأحكام الشرعية الفرعية من أدلتها التفصيلية الخاصّة بأمر الدولة والحكومة أو المرتبطة بها من هذه الحيثية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الدولة والحكومة والسياسة، موضوع كسائر الموضوعات التي تدخل في إطار أعمال الإنسان ويمارسها البشر ويفعلونها، فالدولة موضوعٌ له صلة بعمل المكلف، وله ربطٌ بقسمٍ خاصٍّ من أقسام أعمال </w:t>
      </w:r>
    </w:p>
    <w:p>
      <w:pPr>
        <w:pStyle w:val="BookText"/>
        <w:rPr/>
      </w:pPr>
      <w:r>
        <w:rPr>
          <w:rFonts w:ascii="Amiri" w:hAnsi="Amiri" w:eastAsia="Amiri" w:cs="Amiri"/>
          <w:color w:val="111111"/>
          <w:sz w:val="28"/>
          <w:sz w:val="28"/>
          <w:szCs w:val="28"/>
          <w:rtl w:val="true"/>
          <w:lang w:bidi="ar-SA"/>
        </w:rPr>
        <w:t>المكلفين؛ لذلك تدخل الدولة في ضمن مجموعة الأبواب الفقهية، هذا من جانبٍ، ومن جانبٍ آخر فإنّ للفقه الإسلامي حكم في كل واقعة من وقائع الحياة، ولا يخرج عن إطار أحكامه شيءٌ من أعمال الإنسان، وإن لجميع أفعالالمكلفين حكمٌ شرعيٌّ خاصٌّ به، فكيف يمكن لأحد إخراج الدولة عن دائرة النظر الشرعيّ، وأن يعتقد بأنّ التشريع الإلهي لا يكون له حكم في هذه الواقعة، مع ما لها من الأهمية الأساس في حياة الإنسان وسعادته؛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الدولة والحكومة من الموضوعات الضرورية في حياة الإنسان وأنها من الأمور التي لا بدّ منها في جميع الأعصار والأمصار</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لموضوع الدولة مسائل وأحكام فقهيةٌ كثيرةٌ جدًّا كضرورتها وملاك شرعيتها ووظائفها وحقوقها وأحكامها وأنظمتها الخاصة بها إلى غير ذلك من المسائل الشتّى المرتبطة بالحكومة ونظام السلطة؛</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المسائل بما أنّها من أعمال المكلفين أو مرتبطة بأعمالهم فللشارع الحكيم رأيٌ وحكمٌ فيها فإنّ هذا هو مقتضي الربوبية التشريعية الإلهية؛</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الفقيه أن يبذل جهده وطاقته لاستنباط الحكم الشرعي الخاصّة بهذه المسائل الحكومية والسياسية؛</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تُدوَّن وتُبوّب مجموعة الأجوبة المطروحة حول المسائل المرتبطة بالحكم والدولة، والمستكشفة من الأدلّة الشرعية، والتي استنبطها الفقيه عن طريق إعمال صناعة الاجتهاد؛ في فقه الدولة ويُبحث عنها في هذا القسم من الأبواب الفقهية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يجب الالتفات إليه ويلزم ذكره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فقه الدولة بهذا الاسم والعنوان وإن كان غير مذكور في تراثنا الفقهيّ القديم وخاصّة في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لا يخفى على المتتبّع الخبير بالأبواب الفقهية أنّ هناك عشرات بل مئات </w:t>
      </w:r>
      <w:bookmarkStart w:id="56" w:name="pg8686_123390"/>
    </w:p>
    <w:p>
      <w:pPr>
        <w:pStyle w:val="BookText"/>
        <w:rPr/>
      </w:pPr>
      <w:bookmarkEnd w:id="56"/>
      <w:r>
        <w:rPr>
          <w:rFonts w:ascii="Amiri" w:hAnsi="Amiri" w:eastAsia="Amiri" w:cs="Amiri"/>
          <w:color w:val="111111"/>
          <w:sz w:val="28"/>
          <w:sz w:val="28"/>
          <w:szCs w:val="28"/>
          <w:rtl w:val="true"/>
          <w:lang w:bidi="ar-SA"/>
        </w:rPr>
        <w:t>المسائل المتفرقة في أبواب فقهية شتّى من العبادات إلى الحدود والديات، كلّها لها صلة كاملة ووثيقة وتامّة بالدولة والحكومة، وهي بحاجة إلى التجميع والتبويب تحت باب خاصٍّ وإطارٍ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والسرّ في ذلك أنّ فقه أهل البيت وإن كان في القرون المتتالية الماضية بمعزلٍ عن نظام الحكم والسلطة لأجل الأجواء المستولية على أتباع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الظلم والإجحاف بحقّهم وضرورة التقية ولعوامل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 مجال دراستها والتعرض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الحاجة الملحّة العصرية ولزوم الإجابة عن الأسئلة الفقهية المطروحة في هذه الأرضية المرتبطة بالحكومة والسلطة، تقتضي تدوين كل هذه المسائل في بابٍ خاصٍّ لهذا الموضوع، وخاصّة بعد النهضة الإسلامية العالمية، واليقظة الإسلامية في العالم وسيطرة الحكم الإسلامي في إيران ما ترك مجالًا لتحمّل هذه المسؤولية العظيمة فإنّها من المسائل المبتلى بها في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البحث عنها وبذل الجهد لاستكشاف الرأي الشرعي فيها</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2517288_653776707"/>
      <w:bookmarkStart w:id="58" w:name="_Toc20"/>
      <w:bookmarkEnd w:id="57"/>
      <w:r>
        <w:rPr>
          <w:rtl w:val="true"/>
        </w:rPr>
        <w:t>نظرة أخرى إلى ماهية فقه الدولة</w:t>
      </w:r>
      <w:bookmarkEnd w:id="58"/>
    </w:p>
    <w:p>
      <w:pPr>
        <w:pStyle w:val="BookText"/>
        <w:rPr/>
      </w:pPr>
      <w:r>
        <w:rPr>
          <w:rFonts w:ascii="Amiri" w:hAnsi="Amiri" w:eastAsia="Amiri" w:cs="Amiri"/>
          <w:color w:val="111111"/>
          <w:sz w:val="28"/>
          <w:sz w:val="28"/>
          <w:szCs w:val="28"/>
          <w:rtl w:val="true"/>
          <w:lang w:bidi="ar-SA"/>
        </w:rPr>
        <w:t xml:space="preserve">ثم اعلم أنّ المعروف والمشهور من زمن صاحب شرائع الإسلام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الأبواب الفقهية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والعقود والإيقاعات والسياسات والأحكام، فباعتبار هذه الأبواب قد تضاف كلمة الفقه إلى كلّ واحدٍ منها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العبادة، فقه العقود، فقه الأسرة، فقه السياسة، فقه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فتُلاحظ أنواع مختلفة من الفقه المضاف، وكل واحد يبحث عن جزء خاصٍّ من الأحكام الشرعية المرتبطة بهذا الجزء فقط؛ ولذا قد يقال للمجتهد إنّه مجتهدٌ متجزِّئ لتحقّق ملكة الاجتهاد له في بابٍ خاصٍّ فقط من الأبواب الفقهية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يُقترح تقسيم الأبواب الفقهية إلى تخصّصات متعددّة لكلِّ منها مجتهدٌ خاصٌّ أعلم يبادر بالاجتهاد والاستنباط الخاص بهذا الباب دون بابٍ آخر؛ لأنّ المسائل الشرعية والأحكام الفرعية المستنبطة من أدلّتها قد توسّعت كثيراً إلى </w:t>
      </w:r>
    </w:p>
    <w:p>
      <w:pPr>
        <w:pStyle w:val="BookText"/>
        <w:rPr/>
      </w:pPr>
      <w:r>
        <w:rPr>
          <w:rFonts w:ascii="Amiri" w:hAnsi="Amiri" w:eastAsia="Amiri" w:cs="Amiri"/>
          <w:color w:val="111111"/>
          <w:sz w:val="28"/>
          <w:sz w:val="28"/>
          <w:szCs w:val="28"/>
          <w:rtl w:val="true"/>
          <w:lang w:bidi="ar-SA"/>
        </w:rPr>
        <w:t>آلاف المسائل عبر الأزمان ومرور الأعصار، وكل منها بحاجة إلى استفراغ الوسع لاستنباط الحكم الشرعي، ولأنه قد صَعُب على الشخص 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مجتهدًا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سعة وقته وشروطه وظروفه المتفاوتة أن يستنبط الأحكام الشرعية الخاصة لكل باب من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أهمّ هذه الأبواب التي تحتاج إلى دراسةٍ خاصّةٍ وبابٍ مستقلٍّ هو فقه الدولة والولاية؛ لأنّ العارف بأبواب الفقه يعلم أنّ الأحكام والأبواب المرتبطة بالسياسة وفقه الحكم والدولة والولاية تغطّي أكثر الأبواب، وتشمل أكثر المسائل الفقهية بحسب النسبة المئوية؛ بل نرى أحكامًا فقهية كثيرة كالأحكام الفردية مثل الطهارة والصلاة والصوم والحج تتضمّن موضوعات عديدة ذات صلة بالدولة والحكومة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إننا لا نرى بابا فقهيًّا إلّا ويُرى فيه أحكام شرعية كثيرة ذات علاقة بالدولة كالولاية على أمور تجهيز الميت والأحكام المرتبطة بصلاة الجمعة والعيدين ومسألة حكم الحاكم في رؤية الهلال وولاية الحج وولاية الزكاة ودور الإمام في أخذ الخمس وصرفه في مصارفه والجهاد والأمر بالمعروف والنهي عن المنكر وولاية سلطان الجور وولاية العدل والأحكام المرتبطة بالقضاء والشهادات وتنفيذ الأحكام ومسائل النكاح والطلاق وأبواب الميراث وإقامة الحدود والقصاص والديات ونظام الحكم القادر على تنفيذ هذه الأمور؛ وفقه الدولة متكفل للبحث والدراسة حول هذه المسائل والأبواب</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رؤية أخرى للفقه وهي أن جلّ الأحكام الفقهية؛ بل جميعها ربّما ينظر إليها من جهة مسؤولية الفرد الخاصة إزائها بما هو فرد، وتكليفه في امتثال هذا الحكم مثل وجوب الصلاة والصوم والأمر بالمعروف؛ ولكن ربما يُنظر إلى الأبواب الفقهية جميعها من جهة وظيفة المجتمع ومسؤولية الحكومة والدولة تجاهها فحينئذ يُنظر إلى الدولة والحكومة على أنّها مسؤولة عن إقامة الصلاة والصوم والزكاة والحج والأمر بالمعروف والنهي عن المنكر إلى غير ذلك من الأبواب الفقهية فعلى حسب هذه الرؤية يظهر أنّ جميع الأحكام الفقهية يدخل في دائرة وظائف الحكومة ومسؤوليات الدولة كما يعرف أنّ تمام الفقه </w:t>
      </w:r>
      <w:bookmarkStart w:id="59" w:name="pg8686_123396"/>
    </w:p>
    <w:p>
      <w:pPr>
        <w:pStyle w:val="BookText"/>
        <w:rPr/>
      </w:pPr>
      <w:bookmarkEnd w:id="59"/>
      <w:r>
        <w:rPr>
          <w:rFonts w:ascii="Amiri" w:hAnsi="Amiri" w:eastAsia="Amiri" w:cs="Amiri"/>
          <w:color w:val="111111"/>
          <w:sz w:val="28"/>
          <w:sz w:val="28"/>
          <w:szCs w:val="28"/>
          <w:rtl w:val="true"/>
          <w:lang w:bidi="ar-SA"/>
        </w:rPr>
        <w:t>من وجهة إدارة المجتمع ومن وجهة تكاليف الدولة يعدّ الفقه الحكومي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ووفقًا لهذا المنظار تكون جميع الأحكام والتشريعات الإسلامية حكومية والحكومة والدولة مسؤولتان عن تنفيذها وإقامتها، وتكون الأحكام والتشريعات عبارة عن برنامج لإدارة المجتمع ويجبعلى الدولة والنظام السياسي أن يتصدّى لإدارة المجتمع الإسلامي وفقاً لهذه البرامج ولا يجوز لهما تخطيها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وبحسب هذه الرؤية فالعارف بالفقه والذائق لحقيقته يعرف أنّ هناك امتزاجًا خاصًّا واختلاطًا معمّقًا بين الفقه والدولة ولا يمكن انفكاك أحدهما عن الآخر؛ فمن جانب نرى الفقه العاري عن الدولة والسياسة ليس بفقه الإسلام، ومن جانب آخر تخرج الدولة والحكومة عن إطار الإسلام وتصبح عارية عن الشرعية والاعتبار والحجية إذا لم تكن مطابقة للفقه الإسلامي وموافقة للشريعة الإسلامية؛ لأنّ الدولة والحكومة داخلة في حقيقة الفقه وتحسب جزء من ماهية الشريعة ولا يمكن خلوّها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بعد الإشارة إلى المبادئ التصورية لموضوع فقه الدولة نبدأ بدراسة المبادئ التصديقية للبحث في فقه الدولة، إن شاء الله</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2517290_653776707"/>
      <w:bookmarkStart w:id="61" w:name="_Toc21"/>
      <w:bookmarkEnd w:id="60"/>
      <w:r>
        <w:rPr>
          <w:rtl w:val="true"/>
        </w:rPr>
        <w:t>المسألة السادسة</w:t>
      </w:r>
      <w:r>
        <w:rPr>
          <w:rtl w:val="true"/>
        </w:rPr>
        <w:t xml:space="preserve">: </w:t>
      </w:r>
      <w:r>
        <w:rPr>
          <w:rtl w:val="true"/>
        </w:rPr>
        <w:t>المبادئ التصديقية لفقه الدولة</w:t>
      </w:r>
      <w:bookmarkEnd w:id="61"/>
    </w:p>
    <w:p>
      <w:pPr>
        <w:pStyle w:val="Heading5"/>
        <w:numPr>
          <w:ilvl w:val="4"/>
          <w:numId w:val="1"/>
        </w:numPr>
        <w:rPr/>
      </w:pPr>
      <w:bookmarkStart w:id="62" w:name="__RefHeading___Toc2517292_653776707"/>
      <w:bookmarkStart w:id="63" w:name="_Toc22"/>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تنقسم المبادئ التصديقية لفقه الدولة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عامٌّ لا يختصُّ ببابٍ خاصٍّ من الأبواب الفقهية، بل تحسب من المبادئ والمقدّمات العامّة لجميع أبواب الفقه كالإقرار بالتوحيد والشهادة برسالة 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 بحجّية القرآن والسنة وحجّية الأخبار المعتبرة الصادرة عن العترة الطاهرة، إلى غير ذلك من المبادئ التي تُدرس في مثل علم الكلام أو فلسفة الفقه وتحسب من الأصول الموضوعة لعلم الفقه والبحث عن هذه المبادئ موكول إلى محلّه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من المبادئ هي القضايا والأصول الموضوعة الّتي تحسب من المبادئ الخاصة لفقه الدولة، وتُعدّ من مقدمات الاستنباط في هذا الباب </w:t>
      </w:r>
      <w:bookmarkStart w:id="64" w:name="pg8686_123400"/>
    </w:p>
    <w:p>
      <w:pPr>
        <w:pStyle w:val="BookText"/>
        <w:rPr/>
      </w:pPr>
      <w:bookmarkEnd w:id="64"/>
      <w:r>
        <w:rPr>
          <w:rFonts w:ascii="Amiri" w:hAnsi="Amiri" w:eastAsia="Amiri" w:cs="Amiri"/>
          <w:color w:val="111111"/>
          <w:sz w:val="28"/>
          <w:sz w:val="28"/>
          <w:szCs w:val="28"/>
          <w:rtl w:val="true"/>
          <w:lang w:bidi="ar-SA"/>
        </w:rPr>
        <w:t>الخاص من الفقه وهذه القضايا وإن كانت من مسائل سائر العلوم كعلمي الكلام والفلسفة، وعلم الفقه لا يكون مسؤولاً لإثباتها ولكن لأهميتها ودورها الأساس في فقه الدولة والسياسة نذكرها على سبيل الإيجاز لتكون مقدمة وأساساً لدراسة مسائل فقه الدولة</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2517294_653776707"/>
      <w:bookmarkStart w:id="66" w:name="_Toc23"/>
      <w:bookmarkEnd w:id="65"/>
      <w:r>
        <w:rPr>
          <w:rtl w:val="true"/>
        </w:rPr>
        <w:t>المبدأ الأول</w:t>
      </w:r>
      <w:r>
        <w:rPr>
          <w:rtl w:val="true"/>
        </w:rPr>
        <w:t xml:space="preserve">: </w:t>
      </w:r>
      <w:r>
        <w:rPr>
          <w:rtl w:val="true"/>
        </w:rPr>
        <w:t>عدم استغناء المجتمع عن الدولة ونظام الحكم</w:t>
      </w:r>
      <w:bookmarkEnd w:id="66"/>
    </w:p>
    <w:p>
      <w:pPr>
        <w:pStyle w:val="BookText"/>
        <w:rPr/>
      </w:pPr>
      <w:r>
        <w:rPr>
          <w:rFonts w:ascii="IRNazanin" w:hAnsi="IRNazanin" w:eastAsia="IRNazanin"/>
          <w:color w:val="111111"/>
          <w:sz w:val="28"/>
          <w:sz w:val="28"/>
          <w:szCs w:val="28"/>
          <w:rtl w:val="true"/>
          <w:lang w:bidi="fa-IR"/>
        </w:rPr>
        <w:t>بحكم الوجدان والتجربة نجد أنّ من ضروريات حياة الإنسان، حاجته إلى نظام الحكم والدولة فإنّ كثيراً من أمور الحياة؛ بل أكثر شؤون الفرد والمجتمع بحاجة إلى مؤسّسة تدّبر أمورها وتأخذ بزمام إدارتها والشاهد على ذلك أنّ تفحّص التاريخ، يدلّ على عدم خلوّ مجتمع من المجتمعات البشرية في عصر من العصور من دولة ونظام متسلّط على الأمور يأخذ بنظام المجتمع ويمنع من الفوضى والهرج والمرج؛ ويهتم برعاية أمور اليتامى والأرامل ونظام الأسرة، إلى القضاء في الدعاوى والخصومات، فتجری الحدود وتمنع من الاعتداء والفساد والمنكر وتحمي الحدود والثغور والأمن وغيرها من الأمور المرتبطة بالدولة، التي يحتاج إليها الإنسان لاستمرار حياته بين الناس ولا يمكن إهمالها وتركها لحالها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القضية من المسائل الضرورية والواضحة التي تكشف للإنسان ويؤمن بها بأدنى تصور والتفات إلى مغزاها وحقيقتها وقد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للناس من أمير بَرّ أو فاجر</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أما ما ذهب إليه الخوارج من عدم الإمرة</w:t>
      </w:r>
      <w:r>
        <w:rPr>
          <w:rStyle w:val="FootnoteAnchor"/>
          <w:rtl w:val="true"/>
        </w:rPr>
        <w:footnoteReference w:id="30"/>
      </w:r>
      <w:r>
        <w:rPr>
          <w:rFonts w:ascii="IRNazanin" w:hAnsi="IRNazanin" w:eastAsia="IRNazanin"/>
          <w:color w:val="111111"/>
          <w:sz w:val="28"/>
          <w:sz w:val="28"/>
          <w:szCs w:val="28"/>
          <w:rtl w:val="true"/>
          <w:lang w:bidi="fa-IR"/>
        </w:rPr>
        <w:t xml:space="preserve">أو ما ادّعاه بعض في عقيدة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الانارشیسم</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واللاسلطوية وما ذهب إليه الفوضويون من إنكار الحاجة إلى الدولة ونظام الحكم، واتهامها بأنّها مخالِفةٌ للمبادئ الأخلاقية، فمن المستحيل تصديقه والإيمان به حقيقةً وذلك لعدم </w:t>
      </w:r>
      <w:bookmarkStart w:id="67" w:name="pg8686_123403"/>
    </w:p>
    <w:p>
      <w:pPr>
        <w:pStyle w:val="BookText"/>
        <w:rPr/>
      </w:pPr>
      <w:bookmarkEnd w:id="67"/>
      <w:r>
        <w:rPr>
          <w:rFonts w:ascii="Amiri" w:hAnsi="Amiri" w:eastAsia="Amiri" w:cs="Amiri"/>
          <w:color w:val="111111"/>
          <w:sz w:val="28"/>
          <w:sz w:val="28"/>
          <w:szCs w:val="28"/>
          <w:rtl w:val="true"/>
          <w:lang w:bidi="ar-SA"/>
        </w:rPr>
        <w:t>إمكان تنفيذه واستحالة تحققه في المجتمع، ويؤيّد ذلك ما حكي من الخوارج أنّهم قد رجعوا عن ذلك لمّا أمّروا عليهم عبد الله بن وهب الراسبي</w:t>
      </w:r>
      <w:r>
        <w:rPr>
          <w:rFonts w:eastAsia="Amiri" w:cs="Amiri" w:ascii="Amiri" w:hAnsi="Amiri"/>
          <w:color w:val="111111"/>
          <w:sz w:val="28"/>
          <w:szCs w:val="28"/>
          <w:rtl w:val="true"/>
          <w:lang w:bidi="ar-SA"/>
        </w:rPr>
        <w:t>.</w:t>
      </w:r>
      <w:r>
        <w:rPr>
          <w:rStyle w:val="FootnoteAnchor"/>
          <w:rtl w:val="true"/>
        </w:rPr>
        <w:footnoteReference w:id="32"/>
      </w:r>
    </w:p>
    <w:p>
      <w:pPr>
        <w:pStyle w:val="Heading5"/>
        <w:numPr>
          <w:ilvl w:val="4"/>
          <w:numId w:val="1"/>
        </w:numPr>
        <w:rPr/>
      </w:pPr>
      <w:bookmarkStart w:id="68" w:name="__RefHeading___Toc2517296_653776707"/>
      <w:bookmarkStart w:id="69" w:name="_Toc24"/>
      <w:bookmarkEnd w:id="68"/>
      <w:r>
        <w:rPr>
          <w:rtl w:val="true"/>
        </w:rPr>
        <w:t>المبدأ الثاني</w:t>
      </w:r>
      <w:r>
        <w:rPr>
          <w:rtl w:val="true"/>
        </w:rPr>
        <w:t xml:space="preserve">: </w:t>
      </w:r>
      <w:r>
        <w:rPr>
          <w:rtl w:val="true"/>
        </w:rPr>
        <w:t>انحصار الولاية في الله تبارك وتعالى</w:t>
      </w:r>
      <w:bookmarkEnd w:id="69"/>
    </w:p>
    <w:p>
      <w:pPr>
        <w:pStyle w:val="BookText"/>
        <w:rPr/>
      </w:pPr>
      <w:r>
        <w:rPr>
          <w:rFonts w:ascii="Amiri" w:hAnsi="Amiri" w:eastAsia="Amiri" w:cs="Amiri"/>
          <w:color w:val="111111"/>
          <w:sz w:val="28"/>
          <w:sz w:val="28"/>
          <w:szCs w:val="28"/>
          <w:rtl w:val="true"/>
          <w:lang w:bidi="ar-SA"/>
        </w:rPr>
        <w:t xml:space="preserve">بناءً على البراهين الضرورية العقلية والأدلة القطعية المتواترة من الآيات القرآنية والسنة النبوية وروايات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تبارك وتعالى هو المبدأ الوحيد للولاية ولشرعية إصدار الحكم والزام الناس بالأوامر والنواهي فإنّ الله هو الولي والحكم بيده، وهذه القضية من القضايا البديهية والضرورة العقلية وبناءً على هذه القضية فإنّ الله تبارك وتعالى بحكم خالقيّته ومالكيّته وربوبيّته التكوينية والتشريعية، له الحكم فقط ولا يكون لأحد ولاية أو حق طاعة، أو وجوب التبعية لأوامره والالتزام بأحكامه التشريعية غيره إلا إذا كان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وفقه الدولة في الشريعة الإسلامية يبتني على هذا المبدإ وأما دراسته وإثباته فلا يبحث عنه في فقه الدولة؛ لما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صريح الوجدان وضرورة العقل بها فلا حاجة لإثباته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يُدرس في علم أعلى من الكلام والفلسفة وليس من وظيفة الفقه بما هو فقه 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هذين المبدأين أي حصر الولاية في الله وضرورة تأسيس الدولة يعدّان من أهمّ المبادئ التصديقية لفقه الدولة ويعتبران كأصل موضوعي لاستنباط الأحكام الشرعية المرتبطة بالسياسة والإمامة ونظام الحكم</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8686_123409"/>
      <w:bookmarkStart w:id="71" w:name="pg8686_123409"/>
      <w:bookmarkEnd w:id="71"/>
    </w:p>
    <w:p>
      <w:pPr>
        <w:pStyle w:val="Heading3"/>
        <w:numPr>
          <w:ilvl w:val="2"/>
          <w:numId w:val="1"/>
        </w:numPr>
        <w:rPr/>
      </w:pPr>
      <w:bookmarkStart w:id="72" w:name="pg8686_123409"/>
      <w:bookmarkStart w:id="73" w:name="__RefHeading___Toc2517298_653776707"/>
      <w:bookmarkStart w:id="74" w:name="_Toc25"/>
      <w:bookmarkEnd w:id="72"/>
      <w:bookmarkEnd w:id="73"/>
      <w:r>
        <w:rPr>
          <w:rtl w:val="true"/>
        </w:rPr>
        <w:t>الفصل الثاني</w:t>
      </w:r>
      <w:r>
        <w:rPr>
          <w:rtl w:val="true"/>
        </w:rPr>
        <w:t xml:space="preserve">: </w:t>
      </w:r>
      <w:r>
        <w:rPr>
          <w:rtl w:val="true"/>
        </w:rPr>
        <w:t>الدولة وملاك شرعيّتها في الإسلام</w:t>
      </w:r>
      <w:bookmarkEnd w:id="74"/>
    </w:p>
    <w:p>
      <w:pPr>
        <w:pStyle w:val="Heading4"/>
        <w:numPr>
          <w:ilvl w:val="3"/>
          <w:numId w:val="1"/>
        </w:numPr>
        <w:rPr/>
      </w:pPr>
      <w:bookmarkStart w:id="75" w:name="__RefHeading___Toc2517300_653776707"/>
      <w:bookmarkStart w:id="76" w:name="_Toc26"/>
      <w:bookmarkEnd w:id="75"/>
      <w:r>
        <w:rPr>
          <w:rtl w:val="true"/>
        </w:rPr>
        <w:t>المسألة الأولى</w:t>
      </w:r>
      <w:r>
        <w:rPr>
          <w:rtl w:val="true"/>
        </w:rPr>
        <w:t xml:space="preserve">: </w:t>
      </w:r>
      <w:r>
        <w:rPr>
          <w:rtl w:val="true"/>
        </w:rPr>
        <w:t>ملاك شرعية الدولة</w:t>
      </w:r>
      <w:bookmarkEnd w:id="76"/>
    </w:p>
    <w:p>
      <w:pPr>
        <w:pStyle w:val="BookText"/>
        <w:rPr/>
      </w:pPr>
      <w:r>
        <w:rPr>
          <w:rFonts w:ascii="Amiri" w:hAnsi="Amiri" w:eastAsia="Amiri" w:cs="Amiri"/>
          <w:color w:val="111111"/>
          <w:sz w:val="28"/>
          <w:sz w:val="28"/>
          <w:szCs w:val="28"/>
          <w:rtl w:val="true"/>
          <w:lang w:bidi="ar-SA"/>
        </w:rPr>
        <w:t>إن السلطة السياسية والدولة مهما كانت، حينما تريد أن تتصرف في شؤون المواطنين، في أموالهم وأنفسهم؛ تلزمهم بأمور مختلفة وإن كانت خلافًا لإرادتهم واختيارهم فعليها أن تبيّن شرعية الزاماتها وتبرّر تصرفاتها وإلّا تعتبر دولة غير شرعية وغير قانونية لا اعتبار بتصرفاتها ولا حجِّية لإجراءاتها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آراء ومذاهب مختلفة في إثبات شرعية الأنظمة السياسية والدول كقول بعضهم إن منشأ الشرعية هو التوارث أو الاستخلاف، وقول بعضهم القهر والغلبة والاستيلاء على الحكم وقول بعضهم الآداب والثقافات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بعضهم العقد الاجتماعي والتبعية لرأي الأكثرية والأغلبية وقول بعضهم شخصية الحاكم وامتلاكه لنوع من الكاريزما، إلى غير ذلك من الآراء والأفكار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ودراسة كل هذه الآراء والعقائد وإن كانت موكولة إلى محلها؛ ولكن لا شك إجمالا في أنّ كل هذه الآراء مخالفةٌ للصواب ويرد عليها المناقشات والإشكاليات المهمّة ومن أهم الإشكالات الواردة عليها جميعًا هو أنّها مخالفة لحكم العقل ولضروره الفطرة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العقل لا يرى لأحد حقّ الولاية والتصرف في شؤون سائر الناس الذين يكونوا نظيره في الخلقة ويرى أن حق الولاية منحصر في ذات الله تبارك وتعالى </w:t>
      </w:r>
    </w:p>
    <w:p>
      <w:pPr>
        <w:pStyle w:val="BookText"/>
        <w:rPr/>
      </w:pPr>
      <w:r>
        <w:rPr>
          <w:rFonts w:ascii="Amiri" w:hAnsi="Amiri" w:eastAsia="Amiri" w:cs="Amiri"/>
          <w:color w:val="111111"/>
          <w:sz w:val="28"/>
          <w:sz w:val="28"/>
          <w:szCs w:val="28"/>
          <w:rtl w:val="true"/>
          <w:lang w:bidi="ar-SA"/>
        </w:rPr>
        <w:t xml:space="preserve">الذي له الربوبية المطلقة في التكوين والتشريع وهو رب العالمين وهو الخالق المالك للعالم وللإنسان؛ فالحكم والولاية له تعالى وهذا من الأحكام الصريحة ومن الضروريات النظرية العقلية المؤيدة بعشرات الأدلّة النصيّة من القرآن والسنّة المنقولة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هو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وَلِيُّ الَّذِينَ آمَنُوا يُخْرِجُهُمْ مِنْ الظُّلُمَاتِ إِلَى النُّورِ وَالَّذِينَ كَفَرُوا أَوْلِيَاؤُهُمْ الطَّاغُوتُ يُخْرِجُونَهُمْ مِنْ النُّورِ إِلَى الظُّلُمَاتِ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هذا الأساس فالمعايير المذكورة في كلمات القوم لبيان شرعية الدولة ومعيارها كلّها مخدوشة ومخالفة لصريح حكم 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حكمة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يأذن لبعض أوليائه في التصرّف في شؤون المسلمين ويأذن لهم بالحكم ويجعل لهم حقّ الأمر والنهي ويأمر الناس بطاعتهم واتّباعهم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يكون المعيار والملاك في شرعية حكم الدولة واعتباره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 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الدخول في إطار الإذن الإلهي ودائرة الإرادات السياسية المنتهية إلى الربوبية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هذا الملاك والمعيار؛ تنقسم الدول المستولية على الحكم والأنظمة السياسية الموجودة في العالم إلى أقسام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الشرعية؛ التي ثبت لها بالأدلة المعتبرة العقلية والنقلية الإذن في التصرف في شؤون الناس والولاية على أمورهم وهذه هي دولة عدل وحق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غير الشرعية؛ التي ثبت بالأدلة المعتبرة أنّها دولة باطل وطاغوت وجور قد منعت شرعاً عن التصرف في الأمور وحَرُمَتْ ولايتها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المشكوكة التي لا تكفي الأدلة الأولية لإثبات شرعيتها والإذن لها بالولاية والتصرّف فبعد الشك في شرعية هذه الدولة نرجع إلى الأصل </w:t>
      </w:r>
    </w:p>
    <w:p>
      <w:pPr>
        <w:pStyle w:val="BookText"/>
        <w:rPr/>
      </w:pPr>
      <w:r>
        <w:rPr>
          <w:rFonts w:ascii="Amiri" w:hAnsi="Amiri" w:eastAsia="Amiri" w:cs="Amiri"/>
          <w:color w:val="111111"/>
          <w:sz w:val="28"/>
          <w:sz w:val="28"/>
          <w:szCs w:val="28"/>
          <w:rtl w:val="true"/>
          <w:lang w:bidi="ar-SA"/>
        </w:rPr>
        <w:t>الأولي في الولايةوالتصرف في شؤون الغير والأصل كما سنشير إليه، هو عدم شرعية السلطة وحرمة 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ومحصّل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بحسب مقام الثبوت ونفس الأمر تنقسم اعنی مقام النظر فی الأدلّة والأمارات تنقسم الأنظمة السياسية والحكومات إلى الأقسام الثلاثة المذكورة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بحسب مقام العمل فالدولة منقسمة إلى قسمين دولة حق ودولة باطل، ودولة صلاح ودولة فساد، ودولة إسلام ودولة طاغوت، ودولة عدل ودولة جور، وإلى هذه النتيجة قد أشارت بعض الأحاديث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سُئِل عن معايش العباد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المعايش كلّها من وجوه المعاملات في ما بينهم ممّا يكون لهم فيه المكاسب أربع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فيها حلال من جهة وحرام من جهة فأول هذه الجهات الأربع 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فإحدى الجهتين من الولاية؛ ولاية ولاة العدل الذين أمر الله بولايتهم على الناس والجهة الأخرى ولاية ولاة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الحلال من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الوالي العادل وولاية ولاته بجهة ما أمر به الوالي العادل بلا زيادة ونقيصة، فالولاية له والعمل معه ومعونته وتقويته حلال 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وجه الحرام من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فولاية الوالي الجائر وولاية ولاته، فالعمل لهم والكسب معهم بجهة الولاية لهم حرام محرّم، معذّب فاعل ذلك على قليل من فعله أو كثير؛ لأن كل شيء من جهة المعونة له معصية كبيرة من الكبائر وذلك أنّ في ولاية الوالي الجائر دروس الحق كلّه فلذلك حرُم العمل معهم ومعونتهم والكسب معهم إلا بجهة الضرورة نظير الضرورة إلى الدم والميتة</w:t>
      </w:r>
      <w:r>
        <w:rPr>
          <w:rFonts w:eastAsia="Amiri" w:cs="Amiri" w:ascii="Amiri" w:hAnsi="Amiri"/>
          <w:color w:val="111111"/>
          <w:sz w:val="28"/>
          <w:szCs w:val="28"/>
          <w:rtl w:val="true"/>
          <w:lang w:bidi="ar-SA"/>
        </w:rPr>
        <w:t>».</w:t>
      </w:r>
      <w:r>
        <w:rPr>
          <w:rStyle w:val="FootnoteAnchor"/>
          <w:rtl w:val="true"/>
        </w:rPr>
        <w:footnoteReference w:id="33"/>
      </w:r>
      <w:bookmarkStart w:id="77" w:name="pg8686_123418"/>
    </w:p>
    <w:p>
      <w:pPr>
        <w:pStyle w:val="Heading4"/>
        <w:numPr>
          <w:ilvl w:val="3"/>
          <w:numId w:val="1"/>
        </w:numPr>
        <w:rPr/>
      </w:pPr>
      <w:bookmarkStart w:id="78" w:name="__RefHeading___Toc2517302_653776707"/>
      <w:bookmarkStart w:id="79" w:name="_Toc27"/>
      <w:bookmarkEnd w:id="77"/>
      <w:bookmarkEnd w:id="78"/>
      <w:r>
        <w:rPr>
          <w:rtl w:val="true"/>
        </w:rPr>
        <w:t>المسألة الثانية</w:t>
      </w:r>
      <w:r>
        <w:rPr>
          <w:rtl w:val="true"/>
        </w:rPr>
        <w:t xml:space="preserve">: </w:t>
      </w:r>
      <w:r>
        <w:rPr>
          <w:rtl w:val="true"/>
        </w:rPr>
        <w:t>الأصل في شرعية الدولة</w:t>
      </w:r>
      <w:bookmarkEnd w:id="79"/>
    </w:p>
    <w:p>
      <w:pPr>
        <w:pStyle w:val="Heading5"/>
        <w:numPr>
          <w:ilvl w:val="4"/>
          <w:numId w:val="1"/>
        </w:numPr>
        <w:rPr/>
      </w:pPr>
      <w:bookmarkStart w:id="80" w:name="__RefHeading___Toc2517304_653776707"/>
      <w:bookmarkStart w:id="81" w:name="_Toc28"/>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المهمة الرائجة في السيرة العلمية للفقهاء والأصوليين، أنّهم عندما يريدون البحث في موضوع أصولي، أو دراسة مسألة فقهيّة العمل على تأسيس الأصل في الموضوع أو المسألة؛ فعلى سبيل المثال في أصول الفقه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الأصل في حجية الظن هو عدم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ونتيجته عدم جواز التمسّك بالظنون التي لم يثبت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الفقه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العقود هو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الشك في جواز العقد أو لزومه وعدم توفّر الأدلّة لحسم النزاع، يُرجَع إلى هذا الأصل ويستنتج لزوم العقد وعدم جواز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ففائدة تأسيس الأصل في المسألة هي التمسك به في موارد الشك لرفع الحيرة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أهمّ مسألة من مسائل فقه الدولة هي البحث في شرعية الدولة وبيان ملاك هذه الشرعيّة ومعيارها؛ فمن المناسب أن يُبحث عن هذا الأصل في هذه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شرعية الدولة هنا، ليس هو الشرعية العرفية أو الشرعية الحاصلة عن طريق القوانين الوضعية العرفية؛ بل المراد منها الشرعية المستمدّة من الشارع الحكيم والمستندة إلى الربوبية الإلهية التي تكشف عنها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دولة محتاجة إلى مبرّرات ومستندات تبيّن وتشرح وجه شرعيّة تصرفاتها والتزاماتها السياسية، وتصرّفاتها في الأموال والأنفس ودعوتها الناس إلى طاعة أوامرها ونواهيها واتّباع قراراتها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ومجموع هذه القضايا هي ما يُسمّى في علم السياسة بمسألة المشروعية السياسية، فهناك عدّة مبررّات قد تعدّ لتوجيه الشرعية السياسية من الوراثة أو السلطة التقليدية القائمة على التاريخ والعادات والسلطة الكاريزمية القائمة على قوّة الشخصية إلى السلطة المبنية على القهر والغلبة والسلطة المبنية على العقد الاجتماعي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الأمور تذكر عادّة كمبرّر للشرعية السياسية في عداد السلطة السياسية </w:t>
      </w:r>
    </w:p>
    <w:p>
      <w:pPr>
        <w:pStyle w:val="BookText"/>
        <w:rPr/>
      </w:pPr>
      <w:r>
        <w:rPr>
          <w:rFonts w:ascii="Amiri" w:hAnsi="Amiri" w:eastAsia="Amiri" w:cs="Amiri"/>
          <w:color w:val="111111"/>
          <w:sz w:val="28"/>
          <w:sz w:val="28"/>
          <w:szCs w:val="28"/>
          <w:rtl w:val="true"/>
          <w:lang w:bidi="ar-SA"/>
        </w:rPr>
        <w:t>المبنية على الشرعية الإلهية في علم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الإسلام فالسلطة السياسية تستمدّ شرعيّتها من المصادر الشرعية الإسلامية؛ أعني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ما ذكرناه في المبادئ التصديقيّة لفقه الدولة من انحصار الولاية وحق الآمرّية بالله تبارك وتعالى، وبناءً على هذهالقضية لا يجوز لأيّ حاكم وأمير أن يُباشر الحكم والأمر والنهي إلا بأذن إلهيٍّ؛ فيجب أن تنال سلطته موافقة الشارع الحكيم وتأييده لالتزاماته وتصرفاته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المبدأ الأساس لشرعية الدولة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استطعنا حسم مسألة الشرعيّة، وأثبتنا بالأدلّة أنّ مصدر الشرعيّة هو هذا الأمر أو ذاك، فهو، وإلّا فإنّه عند الشكّ وعدم توفّر الأدلة لحسم المسألة، نتمسّك بالأصل في الشرعية؛ وبالتمسّك بالأصل نرفع الحيرة في العمل ونأخذ بنتيجة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الأصل وإن لم يكن مقرّرًا في تراثنا الفقهي بهذا الاسم والعنوان؛ ولكنه مبحوثٌ عنه في كثير من كتب أصحابنا ككاشف الغطاء وصاحب العناوين والسيد الإمام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باسم الأصل في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ألّا يكون لأحدٍ بعد الله تعالى سلطانٌ على أحدٍ؛ لتساويهم في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من العبيد التسلّط على أمثاله؛ بل ليس لغير المالك مطلقًا سلطانٌ على مملوك من دون إذن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أعاره السلطنة في نبوّة أو إمامة أو علم أو علقة نسب أو مصاهرة عقد أو توسط عقد أو إيقاع أو حيازة أو إرث أو نحوها كان له ذلك وإلّا فلا</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كاشف الغطاء في مقام بيان الأصل الذي نحن بصدد البحث عنه، وإن وسّع دائرة البحث إلى كل سلطةٍ من المالكية والولاية وغيرها، ولكن يشمل كلامه بعموميته وإطلاقه السلطة اللازمة لكل دولة تريد التصرف في الأموال والأنفس وتدعو الناس إلى الطاعة</w:t>
      </w:r>
      <w:r>
        <w:rPr>
          <w:rFonts w:eastAsia="Amiri" w:cs="Amiri" w:ascii="Amiri" w:hAnsi="Amiri"/>
          <w:color w:val="111111"/>
          <w:sz w:val="28"/>
          <w:szCs w:val="28"/>
          <w:rtl w:val="true"/>
          <w:lang w:bidi="ar-SA"/>
        </w:rPr>
        <w:t xml:space="preserve">. </w:t>
      </w:r>
      <w:bookmarkStart w:id="82" w:name="pg8686_123423"/>
    </w:p>
    <w:p>
      <w:pPr>
        <w:pStyle w:val="BookText"/>
        <w:rPr/>
      </w:pPr>
      <w:bookmarkEnd w:id="82"/>
      <w:r>
        <w:rPr>
          <w:rFonts w:ascii="Amiri" w:hAnsi="Amiri" w:eastAsia="Amiri" w:cs="Amiri"/>
          <w:color w:val="111111"/>
          <w:sz w:val="28"/>
          <w:sz w:val="28"/>
          <w:szCs w:val="28"/>
          <w:rtl w:val="true"/>
          <w:lang w:bidi="ar-SA"/>
        </w:rPr>
        <w:t xml:space="preserve">وقال صاحب العناوين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الأصل الأوليّ عدم ثبوت ولايةِ أحدٍ من الناس على غيره؛ لتساويهم في المخلوقية والمرتبة، ما لم يدلّ دليل على ثبوت الولاية، ولأنّ الولاية تقتضي أحكامًا توقيفيّةً لا ريب في أنّ الأصل عدمها إلا بدليل</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ولا ريب في أنّ الدولة لا تتحقّق إلا بالولاية السياسية على أمور الناس، وإنّها داخلة في ماهية الدولة، فشرعية السلطة الإسلامية بحاجة إلى ولاية إلهية، وإلّا فبحكم الأصل الأوليّ لا تثبت الولاية لأحد على غيره، فهذا الأصل يجري ويسري بالنسبة إلى الأنظمة السياسية والدول المختلفة التي تريد بولايتها وتسلّطها، السلطة والتصرف في شؤون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السيد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مختصة بالله تعالى، بحسب حكم العقل فهو تعالى مالك الأمر والولاية بالذات من غير جعلٍ وهي لغيره تعالى بجعله ونصبه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فالنتيجة هي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في شرعية السلطة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هو عدم شرعية الدولة؛ لأنّ الأصل هو عدم الولاية</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2517306_653776707"/>
      <w:bookmarkStart w:id="84" w:name="_Toc29"/>
      <w:bookmarkEnd w:id="83"/>
      <w:r>
        <w:rPr>
          <w:rtl w:val="true"/>
        </w:rPr>
        <w:t>مستند الأصل في الولاية</w:t>
      </w:r>
      <w:r>
        <w:rPr>
          <w:rtl w:val="true"/>
        </w:rPr>
        <w:t>:</w:t>
      </w:r>
      <w:bookmarkEnd w:id="84"/>
    </w:p>
    <w:p>
      <w:pPr>
        <w:pStyle w:val="Heading6"/>
        <w:numPr>
          <w:ilvl w:val="5"/>
          <w:numId w:val="1"/>
        </w:numPr>
        <w:rPr/>
      </w:pPr>
      <w:bookmarkStart w:id="85" w:name="__RefHeading___Toc2517308_653776707"/>
      <w:bookmarkStart w:id="86" w:name="_Toc30"/>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وأما في مقام الجواب عن السؤال حول دليل هذا الأصل المسمى بالأصل في الولاية ومستنده، فيمكن أن تُذكر أمور عدّة، بوصفها مدركًا ومستندًا لهذا الأصل؛ وهذا وبعض ما يمكن ذكره في هذا المجال</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2517310_653776707"/>
      <w:bookmarkStart w:id="88" w:name="_Toc31"/>
      <w:bookmarkEnd w:id="87"/>
      <w:r>
        <w:rPr>
          <w:rtl w:val="true"/>
        </w:rPr>
        <w:t>المستند الأول</w:t>
      </w:r>
      <w:r>
        <w:rPr>
          <w:rtl w:val="true"/>
        </w:rPr>
        <w:t xml:space="preserve">: </w:t>
      </w:r>
      <w:r>
        <w:rPr>
          <w:rtl w:val="true"/>
        </w:rPr>
        <w:t>الأصل العمليّ</w:t>
      </w:r>
      <w:bookmarkEnd w:id="8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الاستصحاب من الأصول العملية المعتبرة التي يُتمسَّك بها عند فقدان الأمارة وعدم الدليل من الكتاب والسنّة، إذا كان للمشكوك حالة سابقة فبحكم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ابقِ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المشكوكُ اللاحق حكم المتيقّن السابق</w:t>
      </w:r>
      <w:r>
        <w:rPr>
          <w:rFonts w:eastAsia="Amiri" w:cs="Amiri" w:ascii="Amiri" w:hAnsi="Amiri"/>
          <w:color w:val="111111"/>
          <w:sz w:val="28"/>
          <w:szCs w:val="28"/>
          <w:rtl w:val="true"/>
          <w:lang w:bidi="ar-SA"/>
        </w:rPr>
        <w:t xml:space="preserve">. </w:t>
      </w:r>
      <w:bookmarkStart w:id="89" w:name="pg8686_123426"/>
    </w:p>
    <w:p>
      <w:pPr>
        <w:pStyle w:val="BookText"/>
        <w:rPr/>
      </w:pPr>
      <w:bookmarkEnd w:id="89"/>
      <w:r>
        <w:rPr>
          <w:rFonts w:ascii="Amiri" w:hAnsi="Amiri" w:eastAsia="Amiri" w:cs="Amiri"/>
          <w:color w:val="111111"/>
          <w:sz w:val="28"/>
          <w:sz w:val="28"/>
          <w:szCs w:val="28"/>
          <w:rtl w:val="true"/>
          <w:lang w:bidi="ar-SA"/>
        </w:rPr>
        <w:t>فتطبيقًا للاستصحاب على المقام فعند الشك في شرعية دولة وسلطة، فبما أن ولايتها وتصرفاتها تحتاج إلى الإذن الشرعي فعند الشك في الإذن الشرعي وجعل الولاية لها يبقى ما بعد تصرّفها على حكمه السابق على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هذا التقرير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عدم شرعية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إلى الاستصحاب ومشروطٌ بتوفّر شروطه ومقيّدٌ بقيوده ويعامل معه معاملة الأصول العملية</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2517312_653776707"/>
      <w:bookmarkStart w:id="91" w:name="_Toc32"/>
      <w:bookmarkEnd w:id="90"/>
      <w:r>
        <w:rPr>
          <w:rtl w:val="true"/>
        </w:rPr>
        <w:t>المستند الثاني</w:t>
      </w:r>
      <w:r>
        <w:rPr>
          <w:rtl w:val="true"/>
        </w:rPr>
        <w:t xml:space="preserve">: </w:t>
      </w:r>
      <w:r>
        <w:rPr>
          <w:rtl w:val="true"/>
        </w:rPr>
        <w:t>الآيات والروايات الواردة في الولاية</w:t>
      </w:r>
      <w:bookmarkEnd w:id="91"/>
    </w:p>
    <w:p>
      <w:pPr>
        <w:pStyle w:val="BookText"/>
        <w:rPr/>
      </w:pPr>
      <w:r>
        <w:rPr>
          <w:rFonts w:ascii="Amiri" w:hAnsi="Amiri" w:eastAsia="Amiri" w:cs="Amiri"/>
          <w:color w:val="111111"/>
          <w:sz w:val="28"/>
          <w:sz w:val="28"/>
          <w:szCs w:val="28"/>
          <w:rtl w:val="true"/>
          <w:lang w:bidi="ar-SA"/>
        </w:rPr>
        <w:t>أصالة عدم شرعيّة السلطة والدولة إلا ما خرج بالدليل يمكن أن تقرّب بدلًا من الاستصحاب، بالأدلّة اللفظية الواردة في الكتاب والسنة، فإنّ ثمّة أدلة كثيرة تدلّ بوضوحٍ على هذا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ورد في آيات الذكر الحكيم حول الولاية والحكم وأنّهما منحصران في الله تبارك وتعالى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هُوَ الوَليّ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لَمْ يَحْكُمْ بما أنزَلَ اللَّهُ فَأُوْلَئِكَ هُمْ الظَّالِمُونَ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اللَّهُمَّ مَالِكَ الْمُلْكِ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 من الآيات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الأدلة تحصر الحق في الولاية والحكم والملك في الله جلّت عظمته وما دام لم يثبت حق الولاية والحكم والملك والسلطنة لغيره تعالى، فلا يجوز له التصرف في شؤون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الآيات التي اشتملت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أربعة آيات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يَأْمُرَكُمْ ان تَتَّخِذُوا الْمَلَائِكَةَ وَالنَّبِيِّينَ أربابا أَيَأْمُرُكُمْ بِالْكُفْرِ بَعْدَ إِذْ أَنْتُمْ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صَاحِبَيِ السِّجْنِ أَأَرْبَابٌ مُتَفَرِّقُونَ خَيْرٌ أَمْ اللَّهُ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الأرباب جمع الرّب والرّب 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ربّ كلّ شيء ومالكه وله الربوبيّة على جميع الخلق، وهو ربّ الأرباب ومالك الملوك والأملاك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بالألف واللام لغير الله وفي الأصل يدلّ على إصلاح الشيء والقيام عليه، فالربّ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والخالق والصاحب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فلان ضيعتَه إذا قام على إصلاحها</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وعلى هذا يقال الربّ لمن يدبّر أمور غيره ممّن هو تحت يده ومن تكون شؤونه موكولة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في هذه الآيات الأربع المذكورة أعلاه ينهى عن اتّخاذ الأرباب والتسلّيم لربوبية غيره تعالى، وفي الآية الأخيرة يذمّ اليهود والنصارى؛ لأنهم اتّخذوا أحبارهم ورهبانهم وعلماء السوء أربابًا لهم، وليس المراد من اتّخاذهم الأحبار والرهبان أربابًا لهم، أنّهم كانوا يعبدون الأحبار والرهبان؛ ولا يعني أنّ الرهبان كانوا يعتقدون لأنفسهم الحقّ في العبادة؛ بل المراد من ذلك على ما في بعض الروايات، أنّ الأحبار والرهبان إنّما حرّموا لهم حلالًا وأحلّوا لهم حرامًا واليهود والنصارى قبلوا منهم هذه الأحكام وأطاعوهم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يستحلّون ما يحلّون لهم ويحرّمون ما أحلّ الله لهم، والقرآن يذمّهم لهذه الطاعة ويصف هذه الطاعة بأنّها اتّخاذ الأرباب من دون الله</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فالطاعة والالتزام بالإلزامات السياسية الصادرة عن الأنظمة </w:t>
      </w:r>
      <w:bookmarkStart w:id="92" w:name="pg8686_123432"/>
    </w:p>
    <w:p>
      <w:pPr>
        <w:pStyle w:val="BookText"/>
        <w:rPr/>
      </w:pPr>
      <w:bookmarkEnd w:id="92"/>
      <w:r>
        <w:rPr>
          <w:rFonts w:ascii="Amiri" w:hAnsi="Amiri" w:eastAsia="Amiri" w:cs="Amiri"/>
          <w:color w:val="111111"/>
          <w:sz w:val="28"/>
          <w:sz w:val="28"/>
          <w:szCs w:val="28"/>
          <w:rtl w:val="true"/>
          <w:lang w:bidi="ar-SA"/>
        </w:rPr>
        <w:t>والسلطات السياسية في حكم اتّخاذها الأرباب فلا شرعية لها، وإذا حكموا بشيء فحكمهم بمثابة حكم الطاغوت ما لم يثبت لهم الحقّ في الحكم والولاية على شؤون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آمَنُوا يُخْرِجُهُمْ مِنْ الظُّلُمَاتِ إِلَى النُّورِ وَالَّذِينَ كَفَرُوا أَوْلِيَاؤُهُمْ الطَّاغُوتُ يُخْرِجُونَهُمْ مِنْ النُّورِ إِلَى الظُّلُمَاتِ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كانت الولاية والسلطة مستندة إلى ولاية الله فهذه ولاية أهل الإيمان وتوجب خروج الفرد والمجتمع من الظلماتإلى النور وأما إذا كانت السلطة على العكس والولاية مستندة إلى الطاغوت فهذه توجب الخروج من النور إلى الظلمات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فبناءً على هذا المستند ووفقًا لهذا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الأصل عدم ثبوت أي حقّ سلطة لأي نظام سياسي وعدم شرعية لأي دولة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بناءً على هذا التقريب وخلافًا للتقريب السابق، لا يكون هذا الأصل من الأصول العملية؛ بل يعتبر أمارة كسائر الأمارات التعبّدية المستفادة من الأدلّة الكاشفة عن الحكم الشرعيّ الواقعيّ، والأمارات حجّة في لوازمها</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2517314_653776707"/>
      <w:bookmarkStart w:id="94" w:name="_Toc33"/>
      <w:bookmarkEnd w:id="93"/>
      <w:r>
        <w:rPr>
          <w:rtl w:val="true"/>
        </w:rPr>
        <w:t>المستند الثالث</w:t>
      </w:r>
      <w:r>
        <w:rPr>
          <w:rtl w:val="true"/>
        </w:rPr>
        <w:t xml:space="preserve">: </w:t>
      </w:r>
      <w:r>
        <w:rPr>
          <w:rtl w:val="true"/>
        </w:rPr>
        <w:t>حكم ضرورة العقل بتساوي آحاد الإنسان</w:t>
      </w:r>
      <w:bookmarkEnd w:id="94"/>
    </w:p>
    <w:p>
      <w:pPr>
        <w:pStyle w:val="BookText"/>
        <w:rPr/>
      </w:pPr>
      <w:r>
        <w:rPr>
          <w:rFonts w:ascii="Amiri" w:hAnsi="Amiri" w:eastAsia="Amiri" w:cs="Amiri"/>
          <w:color w:val="111111"/>
          <w:sz w:val="28"/>
          <w:sz w:val="28"/>
          <w:szCs w:val="28"/>
          <w:rtl w:val="true"/>
          <w:lang w:bidi="ar-SA"/>
        </w:rPr>
        <w:t>إنّ الإنسان بحكم ضرورة العقل وبما يجده في فطرته، له الإرادة والاختيار والحرية فجميع أفراد الإنسان متساوون بحسب الجبلّة والخلقة في هذه الخصلة؛ فلكلّ إنسانٍ حريته وإرادته، ولا يجوز لأحدٍ أن يسلب غيره حرية إرادته واختياره أو يقيده ويحدّده ويتسلّط عليه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أبناء آدم كلهم كأسنان المشط لا فضل لعربي على أعجمي ولا لأعجمي على عربي ولا لأبيض على أسود ولا لأسود على أبيض</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بحكم هذا الأصل لا يجوز لأحد أن يفرض إرادته على إرادة آخرين ويسلّط نفسه على غيره من دون مبرّر لهذا الفرض والتسلط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كل نظام سياسيٍّ لا محالة فرض إرادته على المواطنين ويطلب منهم الخضوع لإرادته </w:t>
      </w:r>
      <w:bookmarkStart w:id="95" w:name="pg8686_123435"/>
    </w:p>
    <w:p>
      <w:pPr>
        <w:pStyle w:val="BookText"/>
        <w:rPr/>
      </w:pPr>
      <w:bookmarkEnd w:id="95"/>
      <w:r>
        <w:rPr>
          <w:rFonts w:ascii="Amiri" w:hAnsi="Amiri" w:eastAsia="Amiri" w:cs="Amiri"/>
          <w:color w:val="111111"/>
          <w:sz w:val="28"/>
          <w:sz w:val="28"/>
          <w:szCs w:val="28"/>
          <w:rtl w:val="true"/>
          <w:lang w:bidi="ar-SA"/>
        </w:rPr>
        <w:t>ويريد منهم سلب حريتهم أو تحديدها وتقييدها فالخضوع لإرادة أي نظام سياسي غير جائز عقلا وبحكم الفطرة، ما دام لم نجد عقلًا مبرّرًا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هذا الحكم العقليّ فالأصل في النظام السياسي عدم شرعية تصرّفاته والتزاماته ما دام لم يثبت له الحقّ فيها</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2517316_653776707"/>
      <w:bookmarkStart w:id="97" w:name="_Toc34"/>
      <w:bookmarkEnd w:id="96"/>
      <w:r>
        <w:rPr>
          <w:rtl w:val="true"/>
        </w:rPr>
        <w:t>المستند الرابع</w:t>
      </w:r>
      <w:r>
        <w:rPr>
          <w:rtl w:val="true"/>
        </w:rPr>
        <w:t xml:space="preserve">: </w:t>
      </w:r>
      <w:r>
        <w:rPr>
          <w:rtl w:val="true"/>
        </w:rPr>
        <w:t>حكم ضرورة العقل بالولاية الإلهية الانحصارية</w:t>
      </w:r>
      <w:bookmarkEnd w:id="97"/>
    </w:p>
    <w:p>
      <w:pPr>
        <w:pStyle w:val="BookText"/>
        <w:rPr/>
      </w:pPr>
      <w:r>
        <w:rPr>
          <w:rFonts w:ascii="Amiri" w:hAnsi="Amiri" w:eastAsia="Amiri" w:cs="Amiri"/>
          <w:color w:val="111111"/>
          <w:sz w:val="28"/>
          <w:sz w:val="28"/>
          <w:szCs w:val="28"/>
          <w:rtl w:val="true"/>
          <w:lang w:bidi="ar-SA"/>
        </w:rPr>
        <w:t>الإنسان مفطور على الاعتقاد بالولاية الإلهية وأنّها منحصرة فيه تعالى، فالعقل يحكم بالضرورة بأنّ حق السلطة والآمرية والإلزام تختصّ بالله تعالى ولا يكون لأحد سلطان على غيره فالأصل عدم الولاية وعدم جواز التصرف في شؤون الغير إلا إذا ثبت بدليل معتبر وهذا هو مقتضي التوحيد والإيمان بالله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هذا الإيمان والاعتقاد بأنّ الله مالك لكل شيء وأنّه قادر على كل شيء؛ فإنّ أي حكم وأمر وإلزام وأي ولاية وسلطة لا بدّ من أن تكون مستمدّةً منه تعالى وإلّا فهي سلطة عارية عن أي شرعية وحجيّة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الأصل هو الأساس للعدالة والقسط والحرية وردّ الظلم والرقية والعنصرية، فيثبت به عدم سلطة أحدٍ على غيره من بني نوعه؛ وفي النتيجة أيّ دولة ونظام سلطة، شرعيّتها مرهونةٌ بالاتصال بالمبدإ الأعلى للولايات والسلطات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يجري هذا وإليه ينتهي، وأما في غير هذه الصورة فيدُ السلطة قاصرة عن أي تبرير أو إثبات حقّ مشروع في الإلزام والتصرّف</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التقريب يظهر أن الأصل هو عدم شرعية السلطة السياسيّة وبناءً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أصل عدم الولاية من الأصول العملية ولا من الأمارات الظنية التعبدية؛ بل إن هذا الأصل وهو عدم الولاية يستندُ إلى المبادئ الاعتقادية الضرورية العقلية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الأصل معيار وملاك لجواز الالتزام بالتزامات أي دولة، ووجوب بل جواز الطاعة لأوامر أي نظام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والنظام السياسي إذا أخذ الشرعية من رأس هرم السلطة المنتهية وهو المبدأ الأعلى جلّت عظمته يجوز </w:t>
      </w:r>
      <w:bookmarkStart w:id="98" w:name="pg8686_123438"/>
    </w:p>
    <w:p>
      <w:pPr>
        <w:pStyle w:val="BookText"/>
        <w:rPr/>
      </w:pPr>
      <w:bookmarkEnd w:id="98"/>
      <w:r>
        <w:rPr>
          <w:rFonts w:ascii="Amiri" w:hAnsi="Amiri" w:eastAsia="Amiri" w:cs="Amiri"/>
          <w:color w:val="111111"/>
          <w:sz w:val="28"/>
          <w:sz w:val="28"/>
          <w:szCs w:val="28"/>
          <w:rtl w:val="true"/>
          <w:lang w:bidi="ar-SA"/>
        </w:rPr>
        <w:t>لها التصرف في شؤون المجتمع وتثبت لها السلطة على الأموال والأنفس وفق المعايير الشرعية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عند الشك في ذلك فلا دليل على شرعية الزاماته ولا دليل على جواز الالتزام بأوامره ونواهيه</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2517318_653776707"/>
      <w:bookmarkStart w:id="100" w:name="_Toc35"/>
      <w:bookmarkEnd w:id="99"/>
      <w:r>
        <w:rPr>
          <w:rtl w:val="true"/>
        </w:rPr>
        <w:t>المسألة الثالثة</w:t>
      </w:r>
      <w:r>
        <w:rPr>
          <w:rtl w:val="true"/>
        </w:rPr>
        <w:t xml:space="preserve">: </w:t>
      </w:r>
      <w:r>
        <w:rPr>
          <w:rtl w:val="true"/>
        </w:rPr>
        <w:t>الإسلام ونظام الحكم</w:t>
      </w:r>
      <w:bookmarkEnd w:id="100"/>
    </w:p>
    <w:p>
      <w:pPr>
        <w:pStyle w:val="Heading5"/>
        <w:numPr>
          <w:ilvl w:val="4"/>
          <w:numId w:val="1"/>
        </w:numPr>
        <w:rPr/>
      </w:pPr>
      <w:bookmarkStart w:id="101" w:name="__RefHeading___Toc2517320_653776707"/>
      <w:bookmarkStart w:id="102" w:name="_Toc36"/>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دراسة تاريخ السياسة والدولة في الإسلام تحكي وتبيّن بوضوح أن إقامة الدولة وتأسيس نظام الحكم كانت تعدّ جزءًا من الإسلام في طول التاريخ فيما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الأصول المسلّمة عند الفرق والمذاهب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مستنداتهم في هذا المجال بل أساسها التمسك بسيرة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هجرته حيث أخذ بالزعامة السياسية وتأسيس الحكم الإسلامي في المدينة المنورة، فإنّ هذه الأمور من المتفق عليها ومما أجمع عليه المسلمون ، على الرغم من اختلافهم في كثير من النواحي والمسائل المرتبطة بالأصول والفروع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العقود الأخيرة من التاريخ المعاصر قد تُذكر بعض الشبهات والمناقشات حول الدولة النبويةّ فإنّه قد يُسأل هل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دولة سياسية إسلامية؟ وهل كان رئيس حكومة دينية كما كان رسول دعوة دينية وزعيمها أم لا؛ بل كان زعيم دعوة دينية فقط؟</w:t>
      </w:r>
    </w:p>
    <w:p>
      <w:pPr>
        <w:pStyle w:val="BookText"/>
        <w:rPr/>
      </w:pPr>
      <w:r>
        <w:rPr>
          <w:rFonts w:ascii="Amiri" w:hAnsi="Amiri" w:eastAsia="Amiri" w:cs="Amiri"/>
          <w:color w:val="111111"/>
          <w:sz w:val="28"/>
          <w:sz w:val="28"/>
          <w:szCs w:val="28"/>
          <w:rtl w:val="true"/>
          <w:lang w:bidi="ar-SA"/>
        </w:rPr>
        <w:t>فيُبدي بعضُ الكتّاب في مقام الجواب لهذا السؤال رأيًا ونظرًا مخالفًا لإجماع المسلمين حاصله أن الحكومة النبوية لم تكن حكومة في الواقع ومن الأساس وإن كان فيها بعض ما يشبه مظاهرَ الحكومة والسياسة وآثار السلطة كمسألة الجهاد والغزوات فإنّ الجهاد ما كان للدعوة إلى الدين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بِمُسَيْطِرٍ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أَفَأَنْتَ تُكْرِهُ النَّاسَ حَتَّى يَكُونُوا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حسب زعمه تفيد هذه الآيات أنّ 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تعتمد على الإقناع وما كانت دعوته ونبوّته في سبيل تكوين الحكومة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التأمّل في هذه الآيات، يقترح أن ندرس الموضوع ونبحث المسألة من جديد ونجد جوابًا لسؤال آخر في هذا الموضوع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تأسيسه الدولة وتصرفه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الجانب كان شيئًا خارجًا عن حدود رسالته أم كان جزءًا مما بعثه الله له وأوحى به إليه؟ثم يستنتج من دراسة جوانب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وعيشه مع الناس من جانب، ودراسة حقيقة الحكومة وماهية السياسة من جانب آخر،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إلا رسولًا لدعوة دينية خاصّة، وأنه لم يكن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ملك ولا حكومة وأنه لم يقم بتأسيس دولة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حسب رؤيته وزعمه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العرب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وحدة إسلامية لا سياسية وزعامة الرسول كانت زعامة دينية لا 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بالرفيق الأعلى من غير أن يسمّي أحدًا يخلفه من بعده، ومن غير أن يشير إلى من يقوم في أمته مقامه، بعد أن أدّى رسالته الكاملة وكمل الدين وتمت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اختراع لقب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ولمن بعده من الخلفاء فهذا اللقب صار سببًا لأخطاء كثيرة؛ لأنّه ما كانت هناك خلافة حقيقية والحقّ أن الإسلام بريء من تلك الخلافة التي تعارف عليها المسلمون وإنما هي خطط سياسية صرفة</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ذكرناه أعلاه خلاصة شبهة ذكرها بعض الكتّاب من الذين ليس لهم أن يدخلوا في هذا المضمار لعدم استطاعتهم التمييز بين الصواب والخطإ، وبين الحق والباطل؛ والحق أنّهم خرجوا عن طريق السداد والإنصاف وذهبوا </w:t>
      </w:r>
    </w:p>
    <w:p>
      <w:pPr>
        <w:pStyle w:val="BookText"/>
        <w:rPr/>
      </w:pPr>
      <w:r>
        <w:rPr>
          <w:rFonts w:ascii="Amiri" w:hAnsi="Amiri" w:eastAsia="Amiri" w:cs="Amiri"/>
          <w:color w:val="111111"/>
          <w:sz w:val="28"/>
          <w:sz w:val="28"/>
          <w:szCs w:val="28"/>
          <w:rtl w:val="true"/>
          <w:lang w:bidi="ar-SA"/>
        </w:rPr>
        <w:t>يمينًا وشمالًا لأن ينكروا أمرًا يُحسب من ضروريات الإسلام، ومن إجماعات المسلمين عبر التاريخ ويبدوا رأيًا مخالفًا لآلاف الأدلّة من القرآن والسنة والسيرة والشواهد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كما نصّ عليه الشهرستاني في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خلاف بين الأمة خلاف الإمامة؛ إذ ما سُلّ سيف في الإسلام على قاعدة مثل ما سُلّ على الإمامة في كل زمان</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فمسألة الدولة والحكومة في الرتبة الأولى من المسائل التي نرى فيها كثرة الخلاف والشجار بين المسلمين من يومِ رحيل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 فالمسلمون اختلفوا في الخلافةوما هو الطريق الصواب الشرعي لأخذ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المؤسف نتيجة للفتن والمؤامرات القائمة في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ما بين الأحزاب وخاصة حزب النفاق وبقايا اليهود الذين استسلموا وما أسلموا، لم يُسلك الطريق المستقيم الذي رسمه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طول حياته، من يوم الإنذار إلى حجّة الوداع في غدير خم، من نصّه بالولاية والوزارة ونصبه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وخليفةً على الأمّة بأمر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كله من المهمّ أنّه ما أنكر أحد منهم أصل مسألة الخلافة والإمامة وضرورة الدولة بل كلّهم اتفقوا على أنها جزء من الإسلام وقسمٌ من دعوة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فالمستشكل وقع في هذه الشبهة لأسباب عدّة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عدم الإحاطة والتتبع الكامل في القرآن الكريم، وعدم دراسة الآيات المرتبطة بالدولة والسياسة؛</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إنجاز تحقيقٍ شاملٍ ومستوفٍ حول الحكومة النبوية والدولة التي أسسها والأنظمة الموجودة فيها؛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للجهل برأي الإمامية في أمر الخلافة والإمامة وأدلّتها فكأنّه 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يقال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مي‌خواهد آبرو را إصلاح كند چشمش را كور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إصلاح الحاجب ففقأ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والمعادل العربيّ لهذا المثل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أراد أن </w:t>
      </w:r>
      <w:bookmarkStart w:id="103" w:name="pg8686_123448"/>
    </w:p>
    <w:p>
      <w:pPr>
        <w:pStyle w:val="BookText"/>
        <w:rPr/>
      </w:pPr>
      <w:bookmarkEnd w:id="103"/>
      <w:r>
        <w:rPr>
          <w:rFonts w:ascii="Amiri" w:hAnsi="Amiri" w:eastAsia="Amiri" w:cs="Amiri"/>
          <w:color w:val="111111"/>
          <w:sz w:val="28"/>
          <w:sz w:val="28"/>
          <w:szCs w:val="28"/>
          <w:rtl w:val="true"/>
          <w:lang w:bidi="ar-SA"/>
        </w:rPr>
        <w:t>يكحلها فأعماها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سنشير إلى أهم الأدلة والمستندات المبطلة لهذا الزعم على نحو الاختصار؛ لعدم الحاجة إلى بسط الكلام ولوضوح بطلان الشبهة ومخالفتها للضرورة</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2517322_653776707"/>
      <w:bookmarkStart w:id="105" w:name="_Toc37"/>
      <w:bookmarkEnd w:id="104"/>
      <w:r>
        <w:rPr>
          <w:rtl w:val="true"/>
        </w:rPr>
        <w:t>الدليل الأول</w:t>
      </w:r>
      <w:r>
        <w:rPr>
          <w:rtl w:val="true"/>
        </w:rPr>
        <w:t xml:space="preserve">: </w:t>
      </w:r>
      <w:r>
        <w:rPr>
          <w:rtl w:val="true"/>
        </w:rPr>
        <w:t xml:space="preserve">دراسة تاريخ بعد الرسول </w:t>
      </w:r>
      <w:r>
        <w:rPr>
          <w:rtl w:val="true"/>
        </w:rPr>
        <w:t>(</w:t>
      </w:r>
      <w:r>
        <w:rPr>
          <w:rtl w:val="true"/>
        </w:rPr>
        <w:t>صَلَّى اَللَّهُ عَلَيْهِ وَ آلِهِ وَ سَلَّمْ</w:t>
      </w:r>
      <w:r>
        <w:rPr>
          <w:rtl w:val="true"/>
        </w:rPr>
        <w:t>)</w:t>
      </w:r>
      <w:bookmarkEnd w:id="105"/>
    </w:p>
    <w:p>
      <w:pPr>
        <w:pStyle w:val="BookText"/>
        <w:rPr/>
      </w:pPr>
      <w:r>
        <w:rPr>
          <w:rFonts w:ascii="Amiri" w:hAnsi="Amiri" w:eastAsia="Amiri" w:cs="Amiri"/>
          <w:color w:val="111111"/>
          <w:sz w:val="28"/>
          <w:sz w:val="28"/>
          <w:szCs w:val="28"/>
          <w:rtl w:val="true"/>
          <w:lang w:bidi="ar-SA"/>
        </w:rPr>
        <w:t xml:space="preserve">إنّ من القضايا الضرورية والمسلّمة تاريخيًّا أنّ المسلمين كافّة من أي رأي ونظر ومتعلّق بأي حزب وطائفة اعترفوا بضرورة الخليفة واستمرار الدولة الإسلامية التي أسسها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هجرته إلى المدينة وكان هو القائم بأمرها، فلمّا توفي بادر المسلمون إلى تعيين رئيس لهذه الدولة من بعده فكان المجمع عليه عندهم وجوب تعيين الإمام وضرورة البيعة له لعدم إمكان تعطيل هذه الدولة وضرورة استمرارها ولقب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هذه الحقيقة، ونعلم أنه كان هناك خلاف في ما بينهم في القيم بهذا الأمر فإنّ الخليفة الأول وإن أخذبالحكم وقام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 الكلام في استحقاقه لهذا المنصب ومخالفة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الصحابة؛ ولم يكن الكلام في صرف تسميته بخليفة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وتلقّبه بهذا اللقب فقط؛ بل كانوا يرون أن هذا الشخص الذي يلقّبونه بالخليفة لا يليق بالجلوس في هذا المكان وليس له حق التصدي لهذا المنصب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ما كان النزاع بينهم في أصل ضرورة الدولة ولا في ضرورة بقاء الدولة الإسلامية؟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الخلاف في المصداق والتطبيق، وأما مبدأ وجوب بقاء الدولة النبويّة كجزء من رسالته ودعوته، فلم يكن محلًّا للخلاف والنزاع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التي نخلص إليها بعد هذا العرض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الحقائق التاريخية التي حصلت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الشبهة وتبيّن 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الدولة الإسلامية وكان هذا الفعل جزءًا من دعوته ورسالته</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2517324_653776707"/>
      <w:bookmarkStart w:id="107" w:name="_Toc38"/>
      <w:bookmarkEnd w:id="106"/>
      <w:r>
        <w:rPr>
          <w:rtl w:val="true"/>
        </w:rPr>
        <w:t>الدليل الثاني</w:t>
      </w:r>
      <w:r>
        <w:rPr>
          <w:rtl w:val="true"/>
        </w:rPr>
        <w:t xml:space="preserve">: </w:t>
      </w:r>
      <w:r>
        <w:rPr>
          <w:rtl w:val="true"/>
        </w:rPr>
        <w:t>دراسة السيرة</w:t>
      </w:r>
      <w:bookmarkEnd w:id="10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الأدلّة الدالّة على أن الدولة كانت جزءًا من رسالة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ودخيلة </w:t>
      </w:r>
    </w:p>
    <w:p>
      <w:pPr>
        <w:pStyle w:val="BookText"/>
        <w:rPr/>
      </w:pPr>
      <w:r>
        <w:rPr>
          <w:rFonts w:ascii="Amiri" w:hAnsi="Amiri" w:eastAsia="Amiri" w:cs="Amiri"/>
          <w:color w:val="111111"/>
          <w:sz w:val="28"/>
          <w:sz w:val="28"/>
          <w:szCs w:val="28"/>
          <w:rtl w:val="true"/>
          <w:lang w:bidi="ar-SA"/>
        </w:rPr>
        <w:t xml:space="preserve">في ماهيّتها دراسةُ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زعامة الأمّة وقيادتها وصدرت عنه تصرّفات خاصّة في مجال إدارة شؤون المجتمع، وكانت هذه التصرفات جزءًا من مهامّه الرسالية ومرتبطةً بدعوته، ومن فرائضه الشرعية ولو لم تكن هذه الأمور الإدارية من شؤون رسالته وتكاليفه الإلهية، فما هو الوجه في تدخّله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الأمور وصرف وقته إمكانيًاته فيها؟ هل من الصحيح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كان متّصفًا به من الحكمة والعقل والتدبير أن يعمل أمورًا غير مرتبطة بمهامّه وشؤونه الوظيفية الإلهية؟ ومن أهم هذه الأمور تجهيزه الجيوش للجهاد كرّات ومرّات عدّة إلى حين وفاته ولحوقه بالمبدإ الأعلى، نعم إن جهاده ما كان ذريعة لنشر رسالته ودعوته تحت ظلال السيوف بل كان كما بين في محلّه دفاعًا عن دينه وأمّته وبلده وكيانه في مقابل عداوة الأعداء وفتنتهم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ترتيباته الحكومية ما كانت منحصرًا في الجهاد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نرى من سيرته الإقدام والعمل بالنسبة إلى كل شيء تحتاج إليه إدارة أمور المسلمين من القضاء والأمن والاستخبارات والصلح والعهود والاتفاقيات المتعددة مع اليهود والقبائل المختلفة والمشركين والعلاقات السياسية والديبلوماسية إلى غير ذلك من الأمور السياسية والاجتماعية التي تدخل في نطاق مسؤوليات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والطالب للتفاصيل بإمكانه أن يراجع الكتب المؤلّفة الخاصّة بهذا الموضوع منها ما ألّفه السيد محمد عبد الحي الكتاني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خصّصه للبحث في نظام الحكومة النبويّة وعنونه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التراتيب 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فيه المؤسّسات الإدارية المختلفة الخاصّة بالجهات المتفاوتة في الدولة النبوية مع المصادر والمستندات العلمية الدالّة على أن الحضارة الإسلامية قد وضعت اللَّبنة الأساس لها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يقول في مقدمة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يشغل منصب النبوة الديني على قاعدة جمع دينه القويم بين سياسة الدين والدنيا جميعًا، مزج بين السلطتين، بحيث كادا أن يدخلا تحت مسمًّى واحدًا وهو الدين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يصرح بأن ما يتعلق بالمراتب الإدارية من وزارة بأنواعها وكتابة </w:t>
      </w:r>
      <w:bookmarkStart w:id="108" w:name="pg8686_123454"/>
    </w:p>
    <w:p>
      <w:pPr>
        <w:pStyle w:val="BookText"/>
        <w:rPr/>
      </w:pPr>
      <w:bookmarkEnd w:id="108"/>
      <w:r>
        <w:rPr>
          <w:rFonts w:ascii="Amiri" w:hAnsi="Amiri" w:eastAsia="Amiri" w:cs="Amiri"/>
          <w:color w:val="111111"/>
          <w:sz w:val="28"/>
          <w:sz w:val="28"/>
          <w:szCs w:val="28"/>
          <w:rtl w:val="true"/>
          <w:lang w:bidi="ar-SA"/>
        </w:rPr>
        <w:t>بأنواعها والرسائل والإقطاعات وكتابة العهود والصلح والرسل والترجمان وكتّاب الجيش والقضاة وصاحب المظالم وفارض النفقات وفارض المواريث وصاحب العسس</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في المدينة والسجّان والعيون والجواسيس والمدارس ونصب الأوصياء والممرّضات وصاحب بيت المال ومتولّي خراج الأرض وحافر الخنادق وأنواع المتاجر والصناعات والحرف، فنجد أن في مدة زعامته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قصرها لم تخلُ عن هذه الأعمال والوظائف</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وعليه فإنّ دراسة السيرة تدلّ بوضوح على أن تأسيس الدولة وترتيباتها ومؤسستها شغلت جزءًا مهمًّا من رسالة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أو قرينة تدلّ على أن هذه الأمور المهمة كانت خارجة من مهامّه الرسالية</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2517326_653776707"/>
      <w:bookmarkStart w:id="110" w:name="_Toc39"/>
      <w:bookmarkEnd w:id="109"/>
      <w:r>
        <w:rPr>
          <w:rtl w:val="true"/>
        </w:rPr>
        <w:t>الدليل الثالث</w:t>
      </w:r>
      <w:r>
        <w:rPr>
          <w:rtl w:val="true"/>
        </w:rPr>
        <w:t xml:space="preserve">: </w:t>
      </w:r>
      <w:r>
        <w:rPr>
          <w:rtl w:val="true"/>
        </w:rPr>
        <w:t>القرآن</w:t>
      </w:r>
      <w:bookmarkEnd w:id="110"/>
    </w:p>
    <w:p>
      <w:pPr>
        <w:pStyle w:val="Heading6"/>
        <w:numPr>
          <w:ilvl w:val="5"/>
          <w:numId w:val="1"/>
        </w:numPr>
        <w:rPr/>
      </w:pPr>
      <w:bookmarkStart w:id="111" w:name="__RefHeading___Toc2517328_653776707"/>
      <w:bookmarkStart w:id="112" w:name="_Toc40"/>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 xml:space="preserve">ثمّة عدد هائل من الآيات القرآنية تدلّ بوضوحٍ على أن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والولاية على أمور المجتمع وكان واجبًا عليه القيام بهذه المناصب الإلهية ومن المعلوم أنّه لا يمكن له الإقدام والقيام بهذا التكليف إلا عبر الأنظمة السياسية الاجتماعية وتأسيس الدولة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نصنّف هذه الآيات إلى طوائف وندرسها وفق هذا التصنيف ونتوقّف قليلًا عند أهمّها إن شاء الله</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2517330_653776707"/>
      <w:bookmarkStart w:id="114" w:name="_Toc41"/>
      <w:bookmarkEnd w:id="113"/>
      <w:r>
        <w:rPr>
          <w:rtl w:val="true"/>
        </w:rPr>
        <w:t>الطائفة الأولى</w:t>
      </w:r>
      <w:r>
        <w:rPr>
          <w:rtl w:val="true"/>
        </w:rPr>
        <w:t xml:space="preserve">: </w:t>
      </w:r>
      <w:r>
        <w:rPr>
          <w:rtl w:val="true"/>
        </w:rPr>
        <w:t xml:space="preserve">الآيات المشيرة إلى شؤون النبي الأعظم </w:t>
      </w:r>
      <w:r>
        <w:rPr>
          <w:rtl w:val="true"/>
        </w:rPr>
        <w:t>(</w:t>
      </w:r>
      <w:r>
        <w:rPr>
          <w:rtl w:val="true"/>
        </w:rPr>
        <w:t>صَلَّى اَللَّهُ عَلَيْهِ وَ آلِهِ وَ سَلَّمْ</w:t>
      </w:r>
      <w:r>
        <w:rPr>
          <w:rtl w:val="true"/>
        </w:rPr>
        <w:t xml:space="preserve">) </w:t>
      </w:r>
      <w:r>
        <w:rPr>
          <w:rtl w:val="true"/>
        </w:rPr>
        <w:t>السياسية والاجتماعية</w:t>
      </w:r>
      <w:r>
        <w:rPr>
          <w:rtl w:val="true"/>
        </w:rPr>
        <w:t>:</w:t>
      </w:r>
      <w:bookmarkEnd w:id="114"/>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الآية دالّة على رجحان جانب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وأولويّته في كل </w:t>
      </w:r>
    </w:p>
    <w:p>
      <w:pPr>
        <w:pStyle w:val="BookText"/>
        <w:rPr/>
      </w:pPr>
      <w:r>
        <w:rPr>
          <w:rFonts w:ascii="Amiri" w:hAnsi="Amiri" w:eastAsia="Amiri" w:cs="Amiri"/>
          <w:color w:val="111111"/>
          <w:sz w:val="28"/>
          <w:sz w:val="28"/>
          <w:szCs w:val="28"/>
          <w:rtl w:val="true"/>
          <w:lang w:bidi="ar-SA"/>
        </w:rPr>
        <w:t>جوانب الحياة وتقدّم رأيه وحكمه وقراراته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تفيد هذه الآية ولايته المطلقة على شؤون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ان يَكُونَ لَهُمْ الْخِيَرَةُ مِنْ أَمْرِهِمْ وَمَنْ يَعْصِ اللَّهَ وَرَسُولَهُ فَقَدْ ضَلَّ ضَلَالًا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تدلّ على نفوذ قضائه وحكمه على المؤمنين كافّة وأنه فصل الخطاب في جميع أمور المسلمين وشؤونهم ولا شك في أنّ قضاءه يشمل أحكامه الصادرة في رفعالخصومات والمنازاعات وأحكامه الصادرة لإدارة المجتمع وولاية أمرهم ولا يكون للناس اختيار وخيرة من أمرهم في جنب حكم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وقضائه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وسائر الآيات الآمرة بالطاعة المطلقة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سريان أوامره إلى كل شيء بما يشمل أوامره الولائية والإدارية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ودلالتها على المدّعى من حيث إن الرسول جُعلت له الولاية المطلقة، ودلّت الآية على نفوذ حكمه على المجتمع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بعموميّتها تدلّ على وجوب الأخذ بكلّ ما يأتيه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السياسية والاجتماعية والانتهاء والاجتناب عن 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الأخذ بسيرته السياسية من تأسيس الحكومة لأنّها جزء من رسالته</w:t>
      </w:r>
      <w:r>
        <w:rPr>
          <w:rFonts w:eastAsia="Amiri" w:cs="Amiri" w:ascii="Amiri" w:hAnsi="Amiri"/>
          <w:color w:val="111111"/>
          <w:sz w:val="28"/>
          <w:szCs w:val="28"/>
          <w:rtl w:val="true"/>
          <w:lang w:bidi="ar-SA"/>
        </w:rPr>
        <w:t xml:space="preserve">. </w:t>
      </w:r>
      <w:bookmarkStart w:id="115" w:name="pg8686_123460"/>
    </w:p>
    <w:p>
      <w:pPr>
        <w:pStyle w:val="BookText"/>
        <w:rPr/>
      </w:pPr>
      <w:bookmarkEnd w:id="115"/>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حسنة مطلقًا، وينبغي أن يُتأسّى به في كل مجالات حياته وأبعاده بلا استثناء في كل الأمور من العبادات والمعاملات إلى الأمور السياسية والاجتماعية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الآيات نموذج من الآيات الدالة على نفوذ حكمه وقضائه ووجوب طاعته والتبعية المطلقة لأوامره، وحرمة التخلّف عن أحكامه وقراراته لأنه الوليّ المطلق، له الولاية العامّة والزعامة الكاملة والإمامة المطلقة والقيادة الشاملة في جميع شؤون الأمة فرديًّا أو اجتماعيًّا، فهو يتصرف في أموالهم وأنفسهم حسب ما يراه من المصلحة والحكمة ولا شك في أنّ هذه الولاية والإمامة الموهوبة والمطلقة والإلهية لا تتحقق في الخارج ولا تتكوّن إلا بتأسيس الدولة وتشكيل نظام الإدارة للمجتمع</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2517332_653776707"/>
      <w:bookmarkStart w:id="117" w:name="_Toc42"/>
      <w:bookmarkEnd w:id="116"/>
      <w:r>
        <w:rPr>
          <w:rtl w:val="true"/>
        </w:rPr>
        <w:t>الطائفة الثانية</w:t>
      </w:r>
      <w:r>
        <w:rPr>
          <w:rtl w:val="true"/>
        </w:rPr>
        <w:t xml:space="preserve">: </w:t>
      </w:r>
      <w:r>
        <w:rPr>
          <w:rtl w:val="true"/>
        </w:rPr>
        <w:t>الآيات التي تدعو الرسول إلى تنفيذ الأحكام</w:t>
      </w:r>
      <w:bookmarkEnd w:id="117"/>
    </w:p>
    <w:p>
      <w:pPr>
        <w:pStyle w:val="BookText"/>
        <w:rPr/>
      </w:pPr>
      <w:r>
        <w:rPr>
          <w:rFonts w:ascii="Amiri" w:hAnsi="Amiri" w:eastAsia="Amiri" w:cs="Amiri"/>
          <w:color w:val="111111"/>
          <w:sz w:val="28"/>
          <w:sz w:val="28"/>
          <w:szCs w:val="28"/>
          <w:rtl w:val="true"/>
          <w:lang w:bidi="ar-SA"/>
        </w:rPr>
        <w:t xml:space="preserve">ثمّة طائفة أخرى من الآيات غير الآيات المذكورة أعلاه توجّه الخطاب إلى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وتأمره بتنفيذ أحكام لا شك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تنفيذها والقيام بامتثال خطاباتها إلا بالاستعانة بالدولة وتأسيس الأنظمة المساعدة له على أداء هذه المهمّة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جَاهِدْ الْكُفَّارَ وَالْمُنَافِقِينَ وَاغْلُظْ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تفرض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غاية جهده في سبيل التشديد والغلظة على الكفار والمنافقين ولا شك في أن القيام بهذا الأمر وامتثاله يحتاج إلى قوّة تنفيذية وتخطيط برامج دقيقة لا يمكن القيام بها إلا بدولة قوّية ذات اقتدار وشوكة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اتَّخَذُوا مَسْجِدًا ضِرَارًا وَكُفْرًا وَتَفْرِيقًا بَيْنَ الْمُؤْمِنِينَ وَإِرْصَادًا لِمَنْ حَارَبَ اللهَ ورَسُولَهُ مِنْ قَبْلُ وَلَيَحْلِفُنَّ ان أَرَدْنَا إِلَّا الْحُسْنَى وَاللَّهُ يَشْهَدُ 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فِيهِ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التدقيق في مضمون الآيتين خاصّة بعد التأمّل في ما ورد في كتب التفسير حول شأن نزولهماوأنّهما نزلتا في الدعوة إلى القيام بدفع مكر المنافقين وتخطيطهم وحيلهم ومؤامراتهم مع الكفار والمشركين، تبيّن أن القيام بهذه التكاليف بحاجة ماسّة إلى الدولةبكل معنى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الكلمة وتأسيس أنظمة خاصّة مشكّلة من</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العيون والجواسيس وأنظمة الاستخبارات وقوى الأمن وغيرها؛ لأجل التوفيق والوصول إلى القيام بهذه الأمور الهامّة</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أَحَدٌ مِنْ الْمُشْرِكِينَ اسْتَجَارَكَ فَأَجِرْهُ حَتَّى يَسْمَعَ كَلَامَ اللَّهِ ثُمَّ أَبْلِغْهُ مَأْمَنَهُ ذَلِكَ بِأَنَّهُمْ قَوْمٌ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حَرِّضْ الْمُؤْمِنِينَ عَلَى الْقِتَالِ ان يَكُنْ مِنْكُمْ عِشْرُونَ صَابِرُونَ يَغْلِبُوا مِائَتَيْنِوَإنْ يَكُنْ مِنْكُمْ مِائَةٌ يَغْلِبُوا أَلْفًا مِنْ الَّذِينَ كَفَرُوا بِأَنَّهُمْ قَوْمٌ لَا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جَنَحُوا لِلسَّلْمِ فَاجْنَحْ لَهَا وَتَوَكَّلْ عَلَى اللَّهِ إِنَّهُ هُوَ السَّمِيعُ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هذه الآيات على المطلوب واضحة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عَاهَدْتَ مِنْهُمْ ثُمَّ يَنقُضُونَ عَهْدَهُمْ فِي كُلِّ مَرَّةٍ وَهُمْ لَا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تَثْقَفَنَّهُمْ فِي الْحَرْبِ فَشَرِّدْ بِهِمْ مَنْ خَلْفَهُمْ لَعَلَّهُمْ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w:t>
      </w:r>
      <w:bookmarkStart w:id="118" w:name="pg8686_123466"/>
    </w:p>
    <w:p>
      <w:pPr>
        <w:pStyle w:val="BookText"/>
        <w:rPr/>
      </w:pPr>
      <w:bookmarkEnd w:id="118"/>
      <w:r>
        <w:rPr>
          <w:rFonts w:ascii="Amiri" w:hAnsi="Amiri" w:eastAsia="Amiri" w:cs="Amiri"/>
          <w:color w:val="111111"/>
          <w:sz w:val="28"/>
          <w:sz w:val="28"/>
          <w:szCs w:val="28"/>
          <w:rtl w:val="true"/>
          <w:lang w:bidi="ar-SA"/>
        </w:rPr>
        <w:t>تَخَافَنَّ مِنْ قَوْمٍ خِيَانَةً فَانْبِذْ إليهمْ عَلَى سَوَاءٍ إنّ اللَّهَ لَا يُحِبُّ الْخَائِنِينَ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فالثقف الظفر والإدراك بسرعة، والتشريد من خلفهم ما يفعله بهم من الإكمال عليهم وتشتيتهم، والخيانة هي نقض العهد، ومعنى الخوف ظهور أمارات تدلّ على وقوع ما يجب الحذر منه، فهذه الآيات تخاطب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إن تخف من خيانتهم ونقضهم العهد فانبذ إليهم عهدهم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امتثال هذه الأوامر لا يمكن أن يتحقّق إلا بالأنظمة الخاصّة، ولا يستطيع أحد تحقيقها وامتثالها إلا بتأسيس بالدولة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الآيات الكثيرة التي تخاطب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وتدعوه إلى تنفيذ الأحكام والفرائض الإلهية ولا ريب في أنّ امتثالها بحاجة إلى أنظمة سياسية واجتماعية، وإلى دولة ذات اقتدار وشوكة لتحقق الأغراض والأهداف والغايات المترتبة على هذه الأوامر والنواهي وإلّا لو لم يكن القيام بتأسيس نظام الحكم وتشكيل المؤسسات الإدارية ضروريًّا وواجبًا؛ فإن تشريع هذه الأحكام والأوامر الحاسمة والخطابات الشديدة يكون لغوًا ومنافيًا للحكمة الإلهية</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2517334_653776707"/>
      <w:bookmarkStart w:id="120" w:name="_Toc43"/>
      <w:bookmarkEnd w:id="119"/>
      <w:r>
        <w:rPr>
          <w:rtl w:val="true"/>
        </w:rPr>
        <w:t>الطائفة الثالثة</w:t>
      </w:r>
      <w:r>
        <w:rPr>
          <w:rtl w:val="true"/>
        </w:rPr>
        <w:t xml:space="preserve">: </w:t>
      </w:r>
      <w:r>
        <w:rPr>
          <w:rtl w:val="true"/>
        </w:rPr>
        <w:t>آيات البيعة</w:t>
      </w:r>
      <w:bookmarkEnd w:id="120"/>
    </w:p>
    <w:p>
      <w:pPr>
        <w:pStyle w:val="BookText"/>
        <w:rPr/>
      </w:pPr>
      <w:r>
        <w:rPr>
          <w:rFonts w:ascii="Amiri" w:hAnsi="Amiri" w:eastAsia="Amiri" w:cs="Amiri"/>
          <w:color w:val="111111"/>
          <w:sz w:val="28"/>
          <w:sz w:val="28"/>
          <w:szCs w:val="28"/>
          <w:rtl w:val="true"/>
          <w:lang w:bidi="ar-SA"/>
        </w:rPr>
        <w:t>وفي القرآن الكريم آيات كثيرة مرتبطة بالبيعة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وكقوله تعالى في الحديث </w:t>
      </w:r>
      <w:bookmarkStart w:id="121" w:name="pg8686_123470"/>
    </w:p>
    <w:p>
      <w:pPr>
        <w:pStyle w:val="BookText"/>
        <w:rPr/>
      </w:pPr>
      <w:bookmarkEnd w:id="121"/>
      <w:r>
        <w:rPr>
          <w:rFonts w:ascii="Amiri" w:hAnsi="Amiri" w:eastAsia="Amiri" w:cs="Amiri"/>
          <w:color w:val="111111"/>
          <w:sz w:val="28"/>
          <w:sz w:val="28"/>
          <w:szCs w:val="28"/>
          <w:rtl w:val="true"/>
          <w:lang w:bidi="ar-SA"/>
        </w:rPr>
        <w:t>عن بيعة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الْمُؤْمِنَاتُ يُبَايِعْنَكَ عَلَى أَنْ لَا يُشْرِكْنَ بِاللَّهِ شَيْئًا وَلَا يَسْرِقْنَ وَلَا يَزْنِينَ وَلَا يَقْتُلْنَ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الممتحنة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الآيات تدلّ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بناءً قويًّا من النظام السياسي والحكم ووصولًا إلى أهدافه حيث أخذ البيعة منهم، كما فعل أيضًا في بيعة العقبة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البيعة من الأساس وبحسب الماهية أمرٌ اجتماعيٌّ سياسيٌّ تؤثّر في تقويم أساس الدولة أو تأسيسها وتكون مظهرًا لسيادتها</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2517336_653776707"/>
      <w:bookmarkStart w:id="123" w:name="_Toc44"/>
      <w:bookmarkEnd w:id="122"/>
      <w:r>
        <w:rPr>
          <w:rtl w:val="true"/>
        </w:rPr>
        <w:t>الطائفة الرابعة الآيات المرتبطة بالموارد المالية</w:t>
      </w:r>
      <w:bookmarkEnd w:id="123"/>
    </w:p>
    <w:p>
      <w:pPr>
        <w:pStyle w:val="BookText"/>
        <w:rPr/>
      </w:pPr>
      <w:r>
        <w:rPr>
          <w:rFonts w:ascii="Amiri" w:hAnsi="Amiri" w:eastAsia="Amiri" w:cs="Amiri"/>
          <w:color w:val="111111"/>
          <w:sz w:val="28"/>
          <w:sz w:val="28"/>
          <w:szCs w:val="28"/>
          <w:rtl w:val="true"/>
          <w:lang w:bidi="ar-SA"/>
        </w:rPr>
        <w:t>الآيات الدالة على الموارد المالية والأمر بأخذها من الناس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وَتُزَكِّيهِمْ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وصرّح بصرفها في مواردها المعينة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 وَاللَّهُ عَلِيمٌ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فإنّ لِلَّهِ خُمُسَهُ وَلِلرَّسُولِ وَلِذِي الْقُرْبَى وَالْيَتَامَى وَالْمَسَاكِينِ وَابْنِ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الأنفَالِ قُلْ الأنفَالُ لِلَّهِ وَالرَّسُولِ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ان اللَّهَ شَدِيدُ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الأموال الطائلة والغزيرة من الفيء والأنفال والخمس والزكاة وغيرها </w:t>
      </w:r>
      <w:bookmarkStart w:id="124" w:name="pg8686_123473"/>
    </w:p>
    <w:p>
      <w:pPr>
        <w:pStyle w:val="BookText"/>
        <w:rPr/>
      </w:pPr>
      <w:bookmarkEnd w:id="124"/>
      <w:r>
        <w:rPr>
          <w:rFonts w:ascii="Amiri" w:hAnsi="Amiri" w:eastAsia="Amiri" w:cs="Amiri"/>
          <w:color w:val="111111"/>
          <w:sz w:val="28"/>
          <w:sz w:val="28"/>
          <w:szCs w:val="28"/>
          <w:rtl w:val="true"/>
          <w:lang w:bidi="ar-SA"/>
        </w:rPr>
        <w:t xml:space="preserve">إمّا تعدّ من أموال الرسول أو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صرفها والتصرّف فيها بما يراه مصلحة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 تملك هذه الأموال وأخذها وإحصائها وحفظها وصرفها في مواردها وغير ذلك من الأعمال الكثيرة الخاصة والمرتبطة بها كلها تعتبر من شؤون الحكومة والدولة ولا يمكن أن يتفوّه أحد بأنّ هذه الأمور شخصية ومرتبطة بشخص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علاقة لها بإدارة المجتمع وإمامته وولايته</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2517338_653776707"/>
      <w:bookmarkStart w:id="126" w:name="_Toc45"/>
      <w:bookmarkEnd w:id="125"/>
      <w:r>
        <w:rPr>
          <w:rtl w:val="true"/>
        </w:rPr>
        <w:t>الطائفة الخامسة</w:t>
      </w:r>
      <w:r>
        <w:rPr>
          <w:rtl w:val="true"/>
        </w:rPr>
        <w:t xml:space="preserve">: </w:t>
      </w:r>
      <w:r>
        <w:rPr>
          <w:rtl w:val="true"/>
        </w:rPr>
        <w:t>الآيات التي تخاطب المؤمنين لتنفيذ الأحكام</w:t>
      </w:r>
      <w:bookmarkEnd w:id="12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كله الآيات المشيرة إلى أحكام مشتركة بين جميع المؤمنين وتخاطبهم جميعهم، والنبي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داخل ضمن المخاطبين لهذه الآيات بما أنّه واحد من المسلمين فيجب على الجميع ومنهم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المبادرة إلى تنفيذها ولا يمكن هذا إلا بتأسيس الدولة الإسلامية؛ كآية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النهي عن أكل الأموال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القتال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الدخول في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وآية النهي عن ولاية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الاعتصام بحبل الله وحرمة التفرقة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الأمر بالمعروف والنهي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النهي عن التحاكم إلى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تنفيذ الحدود كحد السرقة وحدّ المحاربة وحدّ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الدعوة إلى الإعداد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إبعاد المشركين عن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ظهور دين الحق على الدين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إقامة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 الكثيرة الدّالة على لزوم تأسيس نظام الحكم ووجوب إقامة الدولة على المسلمين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مسلم واحد وبما هو شخص بادرة إلى تأسيس الدولة التي تعدّ مقدّمة لتنفيذ هذه الأوامر ودعا سائر أفراد المجتمع الإسلاميّ لمساعدته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والنتيجة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الآيات المحكمات من القرآن الكريم تدلّ على مجموعة من الأمور،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ووجوب طاعته المطلقة ونفوذ حكمه وقضائه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الآيات تخاطب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وتدعوه إلى تنفيذ الأحكام السياسية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البيعة</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المرتبطة بالموارد المالية</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التي تخاطب المسلمين بتنفيذ الأحكام وإقامة الشريعة إلى غير ذلك من آيات كثيرة قرآنية تدلّ على 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بتأسيس الدولة الإسلامية كجزء من دعوته ورسالته، ودراسة هذه الآيات تدلّ على عدم إمكان انفكاك الرسالة عن إقامة الحكم وإدارة المجتمع؛ بل كانت الدولة الإسلامية جزءًا من الرسالة ووظيفته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إزاحة شبهة</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آياتٍ من القرآن الكريم تدلّ بظاهرها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شأنٌ في الملك السياسي والولاية السياسية وإن عمله الرسالي لا يتجاوز حدود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لسان هذه الآيات لسان حصر فتدلّ على أنّ عمله السياسي خارجٌ عن وظيفته الرساليّة فهذه الطائفة من الآيات نافية لدلالة الطوائف السابقة الدالة لولايته وإدارته وتدبيره، ومن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أَرْسَلْنَاكَ عَلَيْهِمْ حَفِيظًا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وَكَذَّبَ بِهِ قَوْمُكَ وَهُوَ الْحَقُّ قُلْ لَسْتُ عَلَيْكُمْ بِوَكِيلٍ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أَفَأَنْتَ تُكْرِهُ النَّاسَ حَتَّى يَكُونُوا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عَلَيْكُمْ بِوَكِيلٍ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عَلَيْهِمْ وَكِيلًا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عَلَيْهِمْ بِجَبَّارٍ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بِمُسَيْطِرٍ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الردّ على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الحصر الوارد في هذه الآيات ليس حصرًا حقيقيًّا حتى يسلب عن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شؤونه السياسية وزعامته الاجتماعية؛ بل الحصر فيها إضافي؛ فإنّها في مقام الإشارة إلى أمور خاصّة مرتبطة بالسياق، فعلى سبيل المثال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أَرْسَلْنَاكَ عَلَيْهِمْ حَفِيظًا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الآيات السابقة عليها ورد في سياق رد توهّم إسناد السيّئات، فالآية تبين أنّه ليس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وبما هو شخص خاصٌّ دخل في الحسناتوالسيئات، فإنّها من الأحكام الكونية وإن الحسنات من الله وإن السيئات التي تسوء الإنسان كالمرض والمسكنة والفتنة، كلّها تعود إلى الإنسان لا إليه سبحانه ولا شأن للرسول فيها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الآيات النافية للوكالة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منها نفي الوكالة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منعهم عن التكذيب الموجِب للعذاب فالحصر فيها أيضًا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أَفَأَنْتَ تُكْرِهُ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فيشير إلى أمرٍ تكوينيٍّ واقعيٍّ وهو أن الإيمان أمرٌ اختياريٌّ إراديٌّ لا يدخل في قلب الإنسان بالإكراه أو الإجبار، وكذلك 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عَلَيْهِمْ بِجَبَّارٍ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الإيمان لا يتحقّق بالإكراه، وهكذا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عَلَيْهِمْ بِمُسَيْطِرٍ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الأمور القلبية أمور إرادية واختيارية وهي غير داخلة في دائرة الولاية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هي أن هذه الآيات كلّها ترتبط بمسألة التكوين كالحسنة والسيئة، أو بمسألة العذاب والثواب، أو بقضيّة الإيمان والكفر والهداية والضلالة؛ فلا تدلّ أبدًا على الحصر الحقيقيّ، وبالتالي هي أجنبية بالكامل عن مسألة الدولة والسياسة ولا شان لها ولاربط لها بالحكومة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دلالة هذه الآيات على حصر دور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الدعوة والإنذار فقط؛ ولكن هذه الآيات لا تقاوِم في مقام المعارضة مئات الآيات التي ذكرنا نماذج منها الطوائف الخمسة في المبحث السابق، وهي دالّةٌ على ثبوت الولاية والحكم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تأسيس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هذه الآيات مشتملة بحسب الكميّة على طوائف مختلفة أكثر بكثيرٍ من هذه الآيات القليلة وتتضمّن بحسب الكيفية على دلالة نصيّةً واضحةً وقطعيةً، فيحب رفع اليد عن ظاهر الآيات الدالّة على حصر دور النبي، وتقديم الآيات الدالة على ثبوت الأدوار والوظائف السياسية والإداريّة والولائية 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فبحكم لزوم تقديم النص على الظاهر والأظهر على الظاهر يجب رفع اليد عن تلك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في التاريخ من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تأسيسه الدولة الإسلامية وأيضًا ما ثبت من إجماع المسلمين واتّفاقهم على ضرورة إقامة الحكم والدولة يوجب القول بأنّ المراد من هذه الآيات هو الحصر الإضافيّ، وأنّها لا تفيد حصر وظيفة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الدعوة والرسالة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فزعامته السياسية عين زعامته الإسلامية وأنهما معًا تستهدفان عمارة الدنيا وعمارة الآخرة؛ فإنّه بُعِث رسولًا وإمامًا لتعليم الكتاب والحكمة وأيضًا لتدبير مصالح العباد وسعادتهم ولتحقّق القسط، والهدف الأساس هو تمهيد الأرضية المناسبة للناس ورفع الموانع عن مسيرتهم لطيّ طريق العبودية وصراطه </w:t>
      </w:r>
      <w:bookmarkStart w:id="127" w:name="pg8686_123486"/>
    </w:p>
    <w:p>
      <w:pPr>
        <w:pStyle w:val="BookText"/>
        <w:rPr/>
      </w:pPr>
      <w:bookmarkEnd w:id="127"/>
      <w:r>
        <w:rPr>
          <w:rFonts w:ascii="Amiri" w:hAnsi="Amiri" w:eastAsia="Amiri" w:cs="Amiri"/>
          <w:color w:val="111111"/>
          <w:sz w:val="28"/>
          <w:sz w:val="28"/>
          <w:szCs w:val="28"/>
          <w:rtl w:val="true"/>
          <w:lang w:bidi="ar-SA"/>
        </w:rPr>
        <w:t>المستقيم بإرادتهم من دون إكراه وإجبار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ان يُتَّبَعَ أَمَّنْ لَا يَهِدِّي إِلَّا ان يُهْدَى فَمَا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إمامًا وزعيمًا للدعوة الدينية كان مأمورًا بتنفيذ دعوته ورسالته وكان هذا التنفيذ جزءًا من رسالته ووظيفته، فهو أخذ بزمام الحكم مع كل ما يلزمه من الإعداد والقوّة والاستعداد</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2517340_653776707"/>
      <w:bookmarkStart w:id="129" w:name="_Toc46"/>
      <w:bookmarkEnd w:id="128"/>
      <w:r>
        <w:rPr>
          <w:rtl w:val="true"/>
        </w:rPr>
        <w:t>المسألة الرابعة</w:t>
      </w:r>
      <w:r>
        <w:rPr>
          <w:rtl w:val="true"/>
        </w:rPr>
        <w:t xml:space="preserve">: </w:t>
      </w:r>
      <w:r>
        <w:rPr>
          <w:rtl w:val="true"/>
        </w:rPr>
        <w:t xml:space="preserve">الدولة بعد النبي الأعظم </w:t>
      </w:r>
      <w:r>
        <w:rPr>
          <w:rtl w:val="true"/>
        </w:rPr>
        <w:t>(</w:t>
      </w:r>
      <w:r>
        <w:rPr>
          <w:rtl w:val="true"/>
        </w:rPr>
        <w:t>صَلَّى اَللَّهُ عَلَيْهِ وَ آلِهِ وَ سَلَّمْ</w:t>
      </w:r>
      <w:r>
        <w:rPr>
          <w:rtl w:val="true"/>
        </w:rPr>
        <w:t xml:space="preserve">) </w:t>
      </w:r>
      <w:r>
        <w:rPr>
          <w:rtl w:val="true"/>
        </w:rPr>
        <w:t>وملاك شرعيّتها</w:t>
      </w:r>
      <w:bookmarkEnd w:id="129"/>
    </w:p>
    <w:p>
      <w:pPr>
        <w:pStyle w:val="Heading5"/>
        <w:numPr>
          <w:ilvl w:val="4"/>
          <w:numId w:val="1"/>
        </w:numPr>
        <w:rPr/>
      </w:pPr>
      <w:bookmarkStart w:id="130" w:name="__RefHeading___Toc2517342_653776707"/>
      <w:bookmarkStart w:id="131" w:name="_Toc47"/>
      <w:bookmarkEnd w:id="130"/>
      <w:r>
        <w:rPr>
          <w:rtl w:val="true"/>
        </w:rPr>
        <w:t>إشارة إلى إجماع المسلمين شيعةً وسنّةً على حكم المسألة</w:t>
      </w:r>
      <w:bookmarkEnd w:id="131"/>
    </w:p>
    <w:p>
      <w:pPr>
        <w:pStyle w:val="Heading6"/>
        <w:numPr>
          <w:ilvl w:val="5"/>
          <w:numId w:val="1"/>
        </w:numPr>
        <w:rPr/>
      </w:pPr>
      <w:bookmarkStart w:id="132" w:name="__RefHeading___Toc2517344_653776707"/>
      <w:bookmarkStart w:id="133" w:name="_Toc48"/>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 xml:space="preserve">بعد الفراغ عن دراسة نظام الحكم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النظام السياسيّ في المدينة المنورة بعد التمكّن من ذلك بعد الهجرة وأنّ هذا الحكم كان من صميم رسالته وجزءًا من نبوّته ودعوته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يجب أن ندرس الموضوع بالنسبة إلى ما بعد رحيله وبما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 مناصب مختلفة من النبوّة والرسالة والإمامة والقضاء ولا شك في أنّ النبوة والرسالة ختمت به كما نصّ عليه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 وَلَكِنْ رَسُولَ اللَّهِ وَخَاتَمَ النَّبِيِّينَ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النبوة وما كان لهخليفة لمنصب الرسالة والنبوة؛ ولكن الكلام في استمرار منصب إمامته ولزوم الخليفة لهذا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الإجماعات المتّفق عليه عند الشيعة والسنّة الإجماع على ضرورة بقاء النظام السياسي والإمامة الذي أسّسه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الدين كلّه على حكم الكفر والشرك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وسورة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الآية تبين الغاية المبتغاة من تأسيس الحكم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ظهور الدين كلّه في جميع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والمسلمون وصحابة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مقدّمهم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متّفقين على هذا الأصل، وهذا الأصل هو المبنى الأساس في سلوكهم وتَصَرُّفهم الاجتماعيّ، وحكمهم بوجوب استمرار دولة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وضرورة بقاء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ولانجد أحدًا منهم مخالفًا في هذه المسألة من الخاصّة والعامّة؛ أما بالنسبة إلى الخاصّة فالأمر واضح لأنّ إمامة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أصول مذهبهم وأساس اعتقادهم، وأما بالنسبة إلى أهل السنّة فإنّ تراثهم وكلمات مفكريهم قديمًا وحديثًا تفيد لزوم استمرار النظام السياسي للإسلام وضرورة إقامة الحكم الإسلامي ما أمكن ذلك في كافّة العالم، فلنذكر نموذجًا من كلمات أئمتهم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 والولايات الدينية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الإمامة موضوعةٌ لخلافة النبوّة في حراسة الدين وسياسة الدنيا، وعقدها لمن يقوم بها في الأمّة واجبٌ بالإجماع وإن شذّ عنهم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وجوبها هل وجبت بالعقل أو بالشرع؟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وجبت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طائفة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وجبت بالشرع لأنّ الإمام يقوم بأمور شرعيّة قد كان مجوّزًا في العقل ألّايرد التعبّد بها</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القاضي أبي يعلي الفرّاء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نصبة الإمام واجبة وقد قال أحمد في رواية محمد بن عوف بن سفيان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إذا لم يكن إمام يقوم بأمر الناس 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لما اختلفوا في السقيفة فقالت الأنصار منّا أمير ومنكم أمير ودفعهم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أن الإمامة واجبة لما ساغت تلك المحاورة والمناظرة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ويتابع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وطريق وجوبها السمع لا العقل، </w:t>
      </w:r>
    </w:p>
    <w:p>
      <w:pPr>
        <w:pStyle w:val="BookText"/>
        <w:rPr/>
      </w:pPr>
      <w:r>
        <w:rPr>
          <w:rFonts w:ascii="Amiri" w:hAnsi="Amiri" w:eastAsia="Amiri" w:cs="Amiri"/>
          <w:color w:val="111111"/>
          <w:sz w:val="28"/>
          <w:sz w:val="28"/>
          <w:szCs w:val="28"/>
          <w:rtl w:val="true"/>
          <w:lang w:bidi="ar-SA"/>
        </w:rPr>
        <w:t>لما ذكرناه في غير هذا الموضع وإن العقل لا يعلم به فَرْض شيءٍ ولا إباحته ولا تحليل شيء ولا تحريمه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وقال ابن حزم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اتّفق جميع أهل السنة وجميع المرجئة وجميع الشيعة وجميع الخوارج على وجوب الإمامة وأن الأمّة واجبٌ عليها الانقياد لإمام عدل يقيم فيهم أحكام الله، ويسوسهم بأحكام الشريعة الّتي أتى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وفي مقدمة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نصب الإمام واجب، قد عُرِف وجوبه في الشرع بإجماع الصحابة والتابعين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وقال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المتكلمون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واجبةٌ إلا ما يحكي عن أبي بكر الأصمّ من قدماء أصحابنا أنّها غير واجبة، إذا تناصفت الأمّة ولم تتظالم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المتأخرون من أصحابنا إنّ هذا القول منه غير مخالف لما عليه الأمّة؛ لأنه إذا كان لا يجوز في العادة أن تستقيم أمور الناس من دون رئيس يحكم بينهم، فقد قال بوجوب الرياسة على كل حال</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وعليه فإنّ لزوم الحكومة والإمامة وإقامة النظام الإسلامي بعد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القضايا التي أجمعت عليها الأمة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الخوارج في بداية أمرهم كما هو المرويّ في 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إلى القول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إمرة إلا لله</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لكن استقرّ رأيهم على الحاجة إلى الإمام بعد ما أفتوا في البداية بعدم الحاجة إلى الإمام والسلطة لمّا أمّروا عليهم عبد الله بن وهب الراسبي</w:t>
      </w:r>
      <w:r>
        <w:rPr>
          <w:rFonts w:eastAsia="Amiri" w:cs="Amiri" w:ascii="Amiri" w:hAnsi="Amiri"/>
          <w:color w:val="111111"/>
          <w:sz w:val="28"/>
          <w:szCs w:val="28"/>
          <w:rtl w:val="true"/>
          <w:lang w:bidi="ar-SA"/>
        </w:rPr>
        <w:t>.</w:t>
      </w:r>
      <w:r>
        <w:rPr>
          <w:rStyle w:val="FootnoteAnchor"/>
          <w:rtl w:val="true"/>
        </w:rPr>
        <w:footnoteReference w:id="51"/>
      </w:r>
      <w:bookmarkStart w:id="134" w:name="pg8686_123495"/>
    </w:p>
    <w:p>
      <w:pPr>
        <w:pStyle w:val="Heading6"/>
        <w:numPr>
          <w:ilvl w:val="5"/>
          <w:numId w:val="1"/>
        </w:numPr>
        <w:rPr/>
      </w:pPr>
      <w:bookmarkStart w:id="135" w:name="__RefHeading___Toc2517346_653776707"/>
      <w:bookmarkStart w:id="136" w:name="_Toc49"/>
      <w:bookmarkEnd w:id="134"/>
      <w:bookmarkEnd w:id="135"/>
      <w:r>
        <w:rPr/>
        <w:t>1</w:t>
      </w:r>
      <w:r>
        <w:rPr>
          <w:rtl w:val="true"/>
        </w:rPr>
        <w:t xml:space="preserve">- </w:t>
      </w:r>
      <w:r>
        <w:rPr>
          <w:rtl w:val="true"/>
        </w:rPr>
        <w:t>دراسة رأي الشيعة والسنّة في كيفية استمرار نظام الإمامة</w:t>
      </w:r>
      <w:bookmarkEnd w:id="136"/>
    </w:p>
    <w:p>
      <w:pPr>
        <w:pStyle w:val="Heading6"/>
        <w:numPr>
          <w:ilvl w:val="5"/>
          <w:numId w:val="1"/>
        </w:numPr>
        <w:rPr/>
      </w:pPr>
      <w:bookmarkStart w:id="137" w:name="__RefHeading___Toc2517348_653776707"/>
      <w:bookmarkStart w:id="138" w:name="_Toc50"/>
      <w:bookmarkEnd w:id="137"/>
      <w:r>
        <w:rPr>
          <w:rtl w:val="true"/>
        </w:rPr>
        <w:t>أ</w:t>
      </w:r>
      <w:r>
        <w:rPr>
          <w:rtl w:val="true"/>
        </w:rPr>
        <w:t xml:space="preserve">) </w:t>
      </w:r>
      <w:r>
        <w:rPr>
          <w:rtl w:val="true"/>
        </w:rPr>
        <w:t>البحث الكبروي</w:t>
      </w:r>
      <w:bookmarkEnd w:id="138"/>
    </w:p>
    <w:p>
      <w:pPr>
        <w:pStyle w:val="BookText"/>
        <w:rPr/>
      </w:pPr>
      <w:r>
        <w:rPr>
          <w:rFonts w:ascii="Amiri" w:hAnsi="Amiri" w:eastAsia="Amiri" w:cs="Amiri"/>
          <w:color w:val="111111"/>
          <w:sz w:val="28"/>
          <w:sz w:val="28"/>
          <w:szCs w:val="28"/>
          <w:rtl w:val="true"/>
          <w:lang w:bidi="ar-SA"/>
        </w:rPr>
        <w:t xml:space="preserve">ثمة خلاف شاسع بين السنّة والشيعة في كيفية استمرار النظام السياسي وبقاء الإمامة بعد اتفاقهم على اصل ضرورتها ولزوم استمرارها، فعلى رأي الخاصّة وتابعي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الإمامة مسألة كلامية وتدخل في موضوعات علم الكلام فإنّ الكلام يهتمّ بدراسة العقائد الإسلامية، وموضوعه ذات الله تبارك وتعالى وصفاته وأفعاله في الدنيا والآخرة وبما أنّ نصب الإمام من باب اللطف واجب، فالإمامة مسألة كلامية 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حسب رأي العامّة فالإمامة تدخل في الفروع والمسائل الفقهية الباحثة عن التكاليف الشرعية ومن تكاليف المجتمع تعيين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رأي جمهور العامّة أن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رياسة عامه في أمور الدين والدنيا وخلافة الرسول في إقامة الدين وحفظ حوزة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إلهية ولكن نصب الإمام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شرعي وتكليف على الأمةثانيًا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الإمام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الأصول والفروع ليقوم بأمور الدين، وأن يكون متمكنًا من إقامة الحجج وحلّ الشبه في العقائد الدينية مستقلًّا بالفتوى في النوازل والأحكام والوقائع نصًّا واستنباطًا</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الإمامة بالإجماع وببيعة أهل الحل والعقد</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ولكنّ الإماميّة خالفوا سائر المسلمين في جميع هذه الأمور الثلاثة استنادًا إلى البراهين العقلية والأدلة النقلية فهم ذهبوا إلى أنّ نصب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على الله تعالى لا على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شرطها العصمة دون الاجتهاد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ثبوتها بالنص دون الإجماع والبيعة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والمحور الأساس فيما بين هذه الأمور الثلاثة أعني النصب الإلهي والعصمة والنص هو العصمة، والدليل عليه كما بُيِّن في علم الكلام وجوهٌ كثيرة من العقل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حافظ للشرع فيجب أنّ يكون معصومًا، فلو جاز الخطأ عليه؛ لم يبق وثوق بما تعبّدنا الله تعالى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وقع منه الخطأ لوجب الإنكار عليه وذلك يضادّ أمر الطاعة 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لو وقع منه المعصية لزم نقض الغرض من نصب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فشرط الإمام العصمة والعصمة أمر خفيٌّ لا يعلمه إلا الله تعالى فيجب أن يكون نصبه من قبله تعالى ويجب النص على الإمام</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والسلطة والتصرف في الأموال والأنفس من شؤون الولاية، والولاية كما مرّ تفصيله منحصرة في ذاته تبارك وتعالى، فهو الولي المطلق على كافّة الناس والأمر والنهي والإلزام والتكليف على العباد حقّ طلق لله تعالى فإنّ جميع الأشياء ملك له تعالىحقيقةً، فالملكية بيده تعالى بحقيقة الملكية وبيده ملكوت كل شيء وليس لغيره الولاية اللهم إلا أن يعطي هو تعالى الولاية لمن شاء من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ثابت بحكم العقل وتأييد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تَعْبُدُونَ مِنْ دُونِهِ إِلَّا أَسْمَاءً سَمَّيْتُمُوهَا أَنْتُمْ وأباؤكم مَا أَنزَلَ اللَّهُ بِهَا مِنْ سُلْطَان إِنْ الْحُكْمُ إِلَّا لِلَّهِ أَمَرَ أَلَّا تَعْبُدُوا إِلَّا إِيَّاهُ ذَلِكَ الدِّينُ الْقَيِّمُ وَلَكِنَّ أَكْثَرَ النَّاسِ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فالآية تدلّ صراحةً على أن حقّ تشريع الأحكام منحصر به تعالى والمراد بالحكم هو التعبير عن الرأي، وجعل الواجبات، أو هو نفس النظر المُعبّر عنه، أو الواجبات المجعولة فلا ريب في أنّ جميع الإلزامات الصادرة عن النظام السياسي يصدق عليها الحكم فيجب أن يكون برضاه وإذنه والاّ لا</w:t>
      </w:r>
    </w:p>
    <w:p>
      <w:pPr>
        <w:pStyle w:val="BookText"/>
        <w:rPr/>
      </w:pPr>
      <w:r>
        <w:rPr>
          <w:rFonts w:ascii="Amiri" w:hAnsi="Amiri" w:eastAsia="Amiri" w:cs="Amiri"/>
          <w:color w:val="111111"/>
          <w:sz w:val="28"/>
          <w:sz w:val="28"/>
          <w:szCs w:val="28"/>
          <w:rtl w:val="true"/>
          <w:lang w:bidi="ar-SA"/>
        </w:rPr>
        <w:t>اعتبار به، ويكون من مصاديق العبودية لغيره تعالى؛ وقد أمر وحكم بأن لا نعبد إلا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فالمستفاد من الضرورة العقلية والأدلة المتواترة النقلية أن الولاية والإمامة وزعامة الأمة مشروطة بإذن من الله وجعل منه 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مشروط بالعصمة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البحث الصغروي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بحسب الصغرى والبحث المصداقي، فقد نبیِّنَ في محلّه أن النصوص المتواترة والمعتبرة سندًا والصريحة دلالة تدلّ على أنّ 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وإمامة الأمة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ولنشر إلى بعضها تيمّنا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الآيات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الأوصاف الثلاثة اجتمعت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الحصر وأنّ الوليّ يفيد الأولى بالتصرّف فالآية تدلّ على أنّ الولاية بعد الله تبارك وتعالى وبعد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إطلاق الطاعة المأمور بها في الآية المباركة دليلٌ واضحٌ على ثبوت حقّ الولاية للرسول وأولي الأمر، والرجوع إلى روايات كثيرة فيها صحاح معتبرة يعطي ويوضح أنّ المراد بهم أمير المؤمنين وأبنائه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5"/>
      </w:r>
      <w:bookmarkStart w:id="139" w:name="pg8686_123504"/>
    </w:p>
    <w:p>
      <w:pPr>
        <w:pStyle w:val="BookText"/>
        <w:rPr/>
      </w:pPr>
      <w:bookmarkEnd w:id="139"/>
      <w:r>
        <w:rPr>
          <w:rFonts w:ascii="IRNazanin" w:hAnsi="IRNazanin" w:eastAsia="IRNazanin"/>
          <w:color w:val="111111"/>
          <w:sz w:val="28"/>
          <w:sz w:val="28"/>
          <w:szCs w:val="28"/>
          <w:rtl w:val="true"/>
          <w:lang w:bidi="fa-IR"/>
        </w:rPr>
        <w:t>ومنها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أمر تعالى بالكون مع الصادقين أي الذين يضمن منهم الصدق ولا يتحقّق ذلك إلا في حقّ المعصوم؛ إذ غيره لا يضمن صدقه على نحو العلم واليقين، ولا معصوم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r>
        <w:rPr>
          <w:rStyle w:val="FootnoteAnchor"/>
          <w:rtl w:val="true"/>
        </w:rPr>
        <w:footnoteReference w:id="56"/>
      </w:r>
    </w:p>
    <w:p>
      <w:pPr>
        <w:pStyle w:val="Heading6"/>
        <w:numPr>
          <w:ilvl w:val="5"/>
          <w:numId w:val="1"/>
        </w:numPr>
        <w:rPr/>
      </w:pPr>
      <w:bookmarkStart w:id="140" w:name="__RefHeading___Toc2517350_653776707"/>
      <w:bookmarkStart w:id="141" w:name="_Toc51"/>
      <w:bookmarkEnd w:id="140"/>
      <w:r>
        <w:rPr>
          <w:rtl w:val="true"/>
        </w:rPr>
        <w:t>ومنها</w:t>
      </w:r>
      <w:r>
        <w:rPr>
          <w:rtl w:val="true"/>
        </w:rPr>
        <w:t xml:space="preserve">: </w:t>
      </w:r>
      <w:r>
        <w:rPr>
          <w:rtl w:val="true"/>
        </w:rPr>
        <w:t>حديث المنزلة المتواتر أيضًا</w:t>
      </w:r>
      <w:bookmarkEnd w:id="141"/>
    </w:p>
    <w:p>
      <w:pPr>
        <w:pStyle w:val="BookText"/>
        <w:rPr/>
      </w:pPr>
      <w:r>
        <w:rPr>
          <w:rFonts w:ascii="Amiri" w:hAnsi="Amiri" w:eastAsia="Amiri" w:cs="Amiri"/>
          <w:color w:val="111111"/>
          <w:sz w:val="28"/>
          <w:sz w:val="28"/>
          <w:szCs w:val="28"/>
          <w:rtl w:val="true"/>
          <w:lang w:bidi="ar-SA"/>
        </w:rPr>
        <w:t xml:space="preserve">حيث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وتواتر نقل هذا الحديث بين المسلمين جميعًا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وتفصيل سائر الأدلّة وشرح الاستدلال بها مذكورٌ في كتب الكلام</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هذا تمام الكلام في مسألة الإمامة، واستمرارها وكيفية بقاء الدولة الإسلامية بعد عصر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حسب رأي الطرفين من المسلمين شيعةً وسنّةً</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2517352_653776707"/>
      <w:bookmarkStart w:id="143" w:name="_Toc52"/>
      <w:bookmarkEnd w:id="142"/>
      <w:r>
        <w:rPr>
          <w:rtl w:val="true"/>
        </w:rPr>
        <w:t>ومن السنة</w:t>
      </w:r>
      <w:r>
        <w:rPr>
          <w:rtl w:val="true"/>
        </w:rPr>
        <w:t xml:space="preserve">: </w:t>
      </w:r>
      <w:r>
        <w:rPr>
          <w:rtl w:val="true"/>
        </w:rPr>
        <w:t>حديث الغدير المتواتر</w:t>
      </w:r>
      <w:bookmarkEnd w:id="143"/>
    </w:p>
    <w:p>
      <w:pPr>
        <w:pStyle w:val="BookText"/>
        <w:rPr/>
      </w:pP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رجوعه من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المسلمين ألست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المسلمون كافّة هذا الحديث نقلًا متواترًا</w:t>
      </w:r>
      <w:r>
        <w:rPr>
          <w:rFonts w:eastAsia="Amiri" w:cs="Amiri" w:ascii="Amiri" w:hAnsi="Amiri"/>
          <w:color w:val="111111"/>
          <w:sz w:val="28"/>
          <w:szCs w:val="28"/>
          <w:rtl w:val="true"/>
          <w:lang w:bidi="ar-SA"/>
        </w:rPr>
        <w:t>.</w:t>
      </w:r>
      <w:r>
        <w:rPr>
          <w:rStyle w:val="FootnoteAnchor"/>
          <w:rtl w:val="true"/>
        </w:rPr>
        <w:footnoteReference w:id="59"/>
      </w:r>
    </w:p>
    <w:p>
      <w:pPr>
        <w:pStyle w:val="Heading4"/>
        <w:numPr>
          <w:ilvl w:val="3"/>
          <w:numId w:val="1"/>
        </w:numPr>
        <w:rPr/>
      </w:pPr>
      <w:bookmarkStart w:id="144" w:name="__RefHeading___Toc2517354_653776707"/>
      <w:bookmarkStart w:id="145" w:name="_Toc53"/>
      <w:bookmarkEnd w:id="144"/>
      <w:r>
        <w:rPr>
          <w:rtl w:val="true"/>
        </w:rPr>
        <w:t>المسألة الخامسة</w:t>
      </w:r>
      <w:r>
        <w:rPr>
          <w:rtl w:val="true"/>
        </w:rPr>
        <w:t xml:space="preserve">: </w:t>
      </w:r>
      <w:r>
        <w:rPr>
          <w:rtl w:val="true"/>
        </w:rPr>
        <w:t>تحرير محل النزاع في دولة عصرالغيبة</w:t>
      </w:r>
      <w:bookmarkEnd w:id="145"/>
    </w:p>
    <w:p>
      <w:pPr>
        <w:pStyle w:val="Heading5"/>
        <w:numPr>
          <w:ilvl w:val="4"/>
          <w:numId w:val="1"/>
        </w:numPr>
        <w:rPr/>
      </w:pPr>
      <w:bookmarkStart w:id="146" w:name="__RefHeading___Toc2517356_653776707"/>
      <w:bookmarkStart w:id="147" w:name="_Toc54"/>
      <w:bookmarkEnd w:id="146"/>
      <w:r>
        <w:rPr>
          <w:rtl w:val="true"/>
        </w:rPr>
        <w:t>اشارة</w:t>
      </w:r>
      <w:bookmarkEnd w:id="14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ثبوت عدم صحّة الفصل بين الإسلام والسياسة، وثبوت أنّ جلّ أحكامه إن لم يكن كلّها على صلة بشأن المجتمع وإدارته؛ وبعد ثبوت الولاية 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بتنصيب إلهيٍّ؛ فوّض إليهم إدارة المجتمع؛ </w:t>
      </w:r>
    </w:p>
    <w:p>
      <w:pPr>
        <w:pStyle w:val="BookText"/>
        <w:rPr/>
      </w:pPr>
      <w:r>
        <w:rPr>
          <w:rFonts w:ascii="Amiri" w:hAnsi="Amiri" w:eastAsia="Amiri" w:cs="Amiri"/>
          <w:color w:val="111111"/>
          <w:sz w:val="28"/>
          <w:sz w:val="28"/>
          <w:szCs w:val="28"/>
          <w:rtl w:val="true"/>
          <w:lang w:bidi="ar-SA"/>
        </w:rPr>
        <w:t>فكانوا ساسة العباد، وجمع الله لهم رئاسة الدّين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شروط الإمامة العصمة والنصّ والتعيين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البحث في حكم إقامة الدولة وتأسيس النظام الإسلامي في صورة عدم إمكان التواصل مع المعصوم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فالمسألة هي أنّه إذا لم يتصدَّ المعصوم لإقامة الحكم الإسلامي، إما لعدم بسط يده، لأجل طروء العوائق المانعة من ذلك كما لو استبدّ ظالمٌ بالسلطة، وإما لضرورة غيبته ولزوم كونه مستورًا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أيٍّ من الاحتمالين أو غيرهما، فالسؤال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حكم إقامة النظام الإسلامي في تلك الظروف والأزمنة علمًا بأن أمد المانع الثاني طال حتّى استوعب حوالى اثنتي عشر قرنٍ في حالة الإمام الثاني عشر عَجَّلَ اَللَّهُ تَعَالَی فَرَجَهُ اَلشَّرِيفْ بل أكثر من ذلك إذا نظرنا إلى سائر الموانع التي كانت معاصرة لحياة سائر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الغيبة؛ حيث لم تكنأيديهم مسبوطةً، ولم يتمكّنوا من إقامة الدولة الشرعية إلا في سنوات قليلة من حياة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وشهور من حياة الإمام الحسن بن على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هذه الظروف والشروط التي لا يتمكّن المعصوم من إقامة النظام السياسيّ الإسلاميّ لعدم بسط يده أو لغيبته فما هو حكم الشارع الحكيم بالنسبة إلى هذه المهمة التي ليس ثمة ما هو أهم منها في حياة الإنسان الاجتماعي؟ والسؤال كما يظهر لا يختصّ بعصر الغيبة بل يشمل عصر الحضور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توسعة مصطلح الغيبة وتعميمه ليشمل عصر عدم بسط يد الإمام وعدم تمكّنه من إقامة القسط والعدل ونشر المعارف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هذا العصر في الحقيقة يعتبر من الغيبة؛ لأنّ جوهر السؤال هو البحث عن الحكم الشرعيّ لإقامة الدولة مع عدم تمكّن الإمام من إقامة العدل والنهوض بأعباء الإمامة وقيادة المجتمع، وعجز المؤمنين عن مدّ يد البيعة إلى الإمام ومعاونته على أداء مهمّته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فمسألتنا هي أنّ الشارع الحكيم هل اكتفى بجعله الإمامة والولاية للائمة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فمن جهةٍ كلّفهم بإقامة الحكم مع توفّر الظروف ووجود المقتضي وعدم المانع، ومن جهة أخرى كلّف الناس بنصرتهم </w:t>
      </w:r>
      <w:bookmarkStart w:id="148" w:name="pg8686_123511"/>
    </w:p>
    <w:p>
      <w:pPr>
        <w:pStyle w:val="BookText"/>
        <w:rPr/>
      </w:pPr>
      <w:bookmarkEnd w:id="148"/>
      <w:r>
        <w:rPr>
          <w:rFonts w:ascii="Amiri" w:hAnsi="Amiri" w:eastAsia="Amiri" w:cs="Amiri"/>
          <w:color w:val="111111"/>
          <w:sz w:val="28"/>
          <w:sz w:val="28"/>
          <w:szCs w:val="28"/>
          <w:rtl w:val="true"/>
          <w:lang w:bidi="ar-SA"/>
        </w:rPr>
        <w:t>وطاعتهم وبيعتهم وإعلان التبعية لهم؛ ولكن اكتفى بهذا المقدار وليس له حكمٌ آخر ولا تشريعٌ بديلٌ خاصٌّ بصورة عدم تحقق الظروف وعدم توفّر الشروط اللازمة لإقامة العدل الإسلامي على يد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رفع قلم التكليف عن ذمّة الناس ولم يطالبهم بإقامة السياسة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ثمّة احتمال آخر وهو أنّ الشارع الحكيم جعل على عاتق الأمة ولو بالعنوان الثانوي وظيفةً أخرى في فرض الاضطرار وظرف الضرورة وعدم إمكان تحقّق الإمامة بالأصالة والعدل المحض، فهناك طريقٌ آخر للوصول إلى الحكم الإسلامي وتحقق الولاية الشرعية وهي الإمامة بالنيابة؟ فدراسة هذين الاحتمالين هي محل البحث في هذه المسألةوهو كما ذكرنا لا يختصّ بعصر الغيبة؛ بل يشمل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وزمن قبض أيديهم وعدم تمكّنهم من إقامة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اتّضاح موضوع المسألة، وبعد تحرير محل النزاع يجب أن ندرس الموضوع على مراحل ثلاث</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2517358_653776707"/>
      <w:bookmarkStart w:id="150" w:name="_Toc55"/>
      <w:bookmarkEnd w:id="149"/>
      <w:r>
        <w:rPr>
          <w:rtl w:val="true"/>
        </w:rPr>
        <w:t>المرحلة الأولى</w:t>
      </w:r>
      <w:r>
        <w:rPr>
          <w:rtl w:val="true"/>
        </w:rPr>
        <w:t>:</w:t>
      </w:r>
      <w:bookmarkEnd w:id="150"/>
    </w:p>
    <w:p>
      <w:pPr>
        <w:pStyle w:val="BookText"/>
        <w:rPr/>
      </w:pPr>
      <w:r>
        <w:rPr>
          <w:rFonts w:ascii="Amiri" w:hAnsi="Amiri" w:eastAsia="Amiri" w:cs="Amiri"/>
          <w:color w:val="111111"/>
          <w:sz w:val="28"/>
          <w:sz w:val="28"/>
          <w:szCs w:val="28"/>
          <w:rtl w:val="true"/>
          <w:lang w:bidi="ar-SA"/>
        </w:rPr>
        <w:t>في جواز إقامة الدولة الإسلامية وشرعية تأسيس دولة العدل الإسلامي بل ضرورته ووجوبه في زمن قبض يد المعصوم كعصر الغيبة مع التمكّن من تأسيسه وإقامته في بعض النواحي من العالم</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2517360_653776707"/>
      <w:bookmarkStart w:id="152" w:name="_Toc56"/>
      <w:bookmarkEnd w:id="151"/>
      <w:r>
        <w:rPr>
          <w:rtl w:val="true"/>
        </w:rPr>
        <w:t>المرحلة الثانية</w:t>
      </w:r>
      <w:r>
        <w:rPr>
          <w:rtl w:val="true"/>
        </w:rPr>
        <w:t>:</w:t>
      </w:r>
      <w:bookmarkEnd w:id="152"/>
    </w:p>
    <w:p>
      <w:pPr>
        <w:pStyle w:val="BookText"/>
        <w:rPr/>
      </w:pPr>
      <w:r>
        <w:rPr>
          <w:rFonts w:ascii="Amiri" w:hAnsi="Amiri" w:eastAsia="Amiri" w:cs="Amiri"/>
          <w:color w:val="111111"/>
          <w:sz w:val="28"/>
          <w:sz w:val="28"/>
          <w:szCs w:val="28"/>
          <w:rtl w:val="true"/>
          <w:lang w:bidi="ar-SA"/>
        </w:rPr>
        <w:t>بعد الفراغ من دراسة المرحلة الأولى وإثبات الجواز؛ بل وجوب إقامة الحكم الإسلامي، يقع البحث في مقوّمات هذه الدولة وميزاتها ويجب البحث بشكل خاص عن شروط قائد هذه الدولة وإمامها الذي جعلت له ولاية أمر الأمة والذي نصّب لإقامة الحكم الإسلامي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هرم السلطة وتأسيس النظام في الإسلام يشبه من بعض الوجوه سائر الأحكام الشرعي كالصلاة مع الطهارة المائية ثمّ الطهارة الترابية </w:t>
      </w:r>
    </w:p>
    <w:p>
      <w:pPr>
        <w:pStyle w:val="BookText"/>
        <w:rPr/>
      </w:pPr>
      <w:r>
        <w:rPr>
          <w:rFonts w:ascii="Amiri" w:hAnsi="Amiri" w:eastAsia="Amiri" w:cs="Amiri"/>
          <w:color w:val="111111"/>
          <w:sz w:val="28"/>
          <w:sz w:val="28"/>
          <w:szCs w:val="28"/>
          <w:rtl w:val="true"/>
          <w:lang w:bidi="ar-SA"/>
        </w:rPr>
        <w:t>في صورة الاضطرار وعدم التمكّن من الماء، وأيضًا كالصلاة من قيام وجلوس التي لها نظامٌ خاصٌّ ومراتب مختلفة بحسب ظروف المصلّي وشروطه في 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المرتبة الأولى يجب عليه إقامة الصلاة عن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المرتبة الثانية وفي صورة الاضطرار يجب إقامة فريضة الصلاة عن قيام ولكن مستندًا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المرتبة الثالثة وفي صورة عدم التمكّن من القيام ولو مستندًا، تجب إقامتها عن جلوس ثم في المرتبة الرابعة وفي صورة عدم التمكن من المراتب السابقة تجب إقامتها مضطجعًا على الجانب الأيمن ثم على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إلى آخر مراتب الاضطرار كالصلاة مستلقيًا، فنرى وجود نظامٍ من الأحكام والحالات التنازلية على حسب المكلفين، ونواجه نظير هذه الأنظمة في كثير من الأحكام الشرعية كالصوم والحج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مسألتنا هذه أعني إقامة العدل وتأسيس النظام السياسي للإسلام يكون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لها نظامٌ ومراتب متنازلة بحسب ظروف الضرورة والاضطرار، فيكتفى بالحكم الظاهري بدلًا عن الحكم الواقعي ويكتفى بالفقيه العادل نيابةً عن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والصوم والحج؛ على حسب نظام الأيسر فالأيسر؟ أم لا بل ليس لها إلا مرتبة واحدة فقط وهي إقامة العدل المحض والحكم الإسلامي المطابق للواقع ببركة وجود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w:t>
      </w:r>
    </w:p>
    <w:p>
      <w:pPr>
        <w:pStyle w:val="BookText"/>
        <w:rPr/>
      </w:pPr>
      <w:r>
        <w:rPr>
          <w:rFonts w:ascii="Amiri" w:hAnsi="Amiri" w:eastAsia="Amiri" w:cs="Amiri"/>
          <w:color w:val="111111"/>
          <w:sz w:val="28"/>
          <w:sz w:val="28"/>
          <w:szCs w:val="28"/>
          <w:rtl w:val="true"/>
          <w:lang w:bidi="ar-SA"/>
        </w:rPr>
        <w:t>فعلى الاحتمال الأول يكون لإقامة النظام السياسي الإسلاميّ مراتب مختلفة؛ من مرتبة الحكم الأوليّ إلى مراتب أخرى وسلسلة هذه المراتب على النحو الآتي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العدل المحض والحكم الإسلامي الواقعي بإمامة المعصوم</w:t>
      </w:r>
      <w:r>
        <w:rPr>
          <w:rFonts w:eastAsia="Amiri" w:cs="Amiri" w:ascii="Amiri" w:hAnsi="Amiri"/>
          <w:color w:val="111111"/>
          <w:sz w:val="28"/>
          <w:szCs w:val="28"/>
          <w:rtl w:val="true"/>
          <w:lang w:bidi="ar-SA"/>
        </w:rPr>
        <w:t xml:space="preserve">. </w:t>
      </w:r>
      <w:bookmarkStart w:id="153" w:name="pg8686_123517"/>
    </w:p>
    <w:p>
      <w:pPr>
        <w:pStyle w:val="BookText"/>
        <w:rPr/>
      </w:pPr>
      <w:bookmarkEnd w:id="153"/>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العدل على حسب الميسور والحكم الإسلامي الظاهري بإمامة الفقيه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العدل على حسب الميسور والاكتفاء بالحكم الإسلامي الظاهري بإمامة المؤمن العادل بإذن الفقيه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العدل على حسب الميسور والاكتفاء بالحكم الظاهريّ الإسلامي بإمامة المؤمن العادل مع عدم التمكّن من الفقيه وعدم التمكن من تحصيل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للأمور الحسبيّة وتنفيذ بعض الأحكام ولو كان حكمًا واحدًا بقدر المستطاع للفقيه العادل إلى غير ذلك من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المسلك الذي سلكه السيد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وسنزيده شرحًا في المسألة التالية بعون الله وتوفيقه إن شاء الله</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2517362_653776707"/>
      <w:bookmarkStart w:id="155" w:name="_Toc57"/>
      <w:bookmarkEnd w:id="154"/>
      <w:r>
        <w:rPr>
          <w:rtl w:val="true"/>
        </w:rPr>
        <w:t>المرحلة الثالثة</w:t>
      </w:r>
      <w:r>
        <w:rPr>
          <w:rtl w:val="true"/>
        </w:rPr>
        <w:t>:</w:t>
      </w:r>
      <w:bookmarkEnd w:id="155"/>
    </w:p>
    <w:p>
      <w:pPr>
        <w:pStyle w:val="BookText"/>
        <w:rPr/>
      </w:pPr>
      <w:r>
        <w:rPr>
          <w:rFonts w:ascii="Amiri" w:hAnsi="Amiri" w:eastAsia="Amiri" w:cs="Amiri"/>
          <w:color w:val="111111"/>
          <w:sz w:val="28"/>
          <w:sz w:val="28"/>
          <w:szCs w:val="28"/>
          <w:rtl w:val="true"/>
          <w:lang w:bidi="ar-SA"/>
        </w:rPr>
        <w:t>ثم بعد الفراغ عن المرحلتين، يقع البحث في كيفية تعيين وليّ الأمر في عصر الغيبة</w:t>
      </w:r>
    </w:p>
    <w:p>
      <w:pPr>
        <w:pStyle w:val="Heading4"/>
        <w:numPr>
          <w:ilvl w:val="3"/>
          <w:numId w:val="1"/>
        </w:numPr>
        <w:rPr/>
      </w:pPr>
      <w:bookmarkStart w:id="156" w:name="__RefHeading___Toc2517364_653776707"/>
      <w:bookmarkStart w:id="157" w:name="_Toc58"/>
      <w:bookmarkEnd w:id="156"/>
      <w:r>
        <w:rPr>
          <w:rtl w:val="true"/>
        </w:rPr>
        <w:t>المسألة السادسة</w:t>
      </w:r>
      <w:r>
        <w:rPr>
          <w:rtl w:val="true"/>
        </w:rPr>
        <w:t xml:space="preserve">: </w:t>
      </w:r>
      <w:r>
        <w:rPr>
          <w:rtl w:val="true"/>
        </w:rPr>
        <w:t>المسالك المختلفة لإقامة الدولة الإسلامية</w:t>
      </w:r>
      <w:bookmarkEnd w:id="157"/>
    </w:p>
    <w:p>
      <w:pPr>
        <w:pStyle w:val="Heading5"/>
        <w:numPr>
          <w:ilvl w:val="4"/>
          <w:numId w:val="1"/>
        </w:numPr>
        <w:rPr/>
      </w:pPr>
      <w:bookmarkStart w:id="158" w:name="__RefHeading___Toc2517366_653776707"/>
      <w:bookmarkStart w:id="159" w:name="_Toc59"/>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للبحث عن حكم إقامة النظام السياسي للإسلام في زمن الغيبة وعدم التمكن من الإمام المعصوم لإقامة العدل الإسلامي؛ ثمّة منهجان وطريقان أساسيان لدراسة الموضوع وبيان الرأي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نسمّيهما مسلك المشهور ومسلك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2517368_653776707"/>
      <w:bookmarkStart w:id="161" w:name="_Toc60"/>
      <w:bookmarkEnd w:id="160"/>
      <w:r>
        <w:rPr>
          <w:rtl w:val="true"/>
        </w:rPr>
        <w:t>أ</w:t>
      </w:r>
      <w:r>
        <w:rPr>
          <w:rtl w:val="true"/>
        </w:rPr>
        <w:t xml:space="preserve">) </w:t>
      </w:r>
      <w:r>
        <w:rPr>
          <w:rtl w:val="true"/>
        </w:rPr>
        <w:t>بيان المسلكين</w:t>
      </w:r>
      <w:bookmarkEnd w:id="161"/>
    </w:p>
    <w:p>
      <w:pPr>
        <w:pStyle w:val="Heading6"/>
        <w:numPr>
          <w:ilvl w:val="5"/>
          <w:numId w:val="1"/>
        </w:numPr>
        <w:rPr/>
      </w:pPr>
      <w:bookmarkStart w:id="162" w:name="__RefHeading___Toc2517370_653776707"/>
      <w:bookmarkStart w:id="163" w:name="_Toc61"/>
      <w:bookmarkEnd w:id="162"/>
      <w:r>
        <w:rPr>
          <w:rtl w:val="true"/>
        </w:rPr>
        <w:t>المسلك الأول</w:t>
      </w:r>
      <w:r>
        <w:rPr>
          <w:rtl w:val="true"/>
        </w:rPr>
        <w:t xml:space="preserve">: </w:t>
      </w:r>
      <w:r>
        <w:rPr>
          <w:rtl w:val="true"/>
        </w:rPr>
        <w:t>مسلك المشهور</w:t>
      </w:r>
      <w:bookmarkEnd w:id="16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تثبت الولاية 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إلهي بالولاية </w:t>
      </w:r>
      <w:bookmarkStart w:id="164" w:name="pg8686_123520"/>
    </w:p>
    <w:p>
      <w:pPr>
        <w:pStyle w:val="BookText"/>
        <w:rPr/>
      </w:pPr>
      <w:bookmarkEnd w:id="164"/>
      <w:r>
        <w:rPr>
          <w:rFonts w:ascii="Amiri" w:hAnsi="Amiri" w:eastAsia="Amiri" w:cs="Amiri"/>
          <w:color w:val="111111"/>
          <w:sz w:val="28"/>
          <w:sz w:val="28"/>
          <w:szCs w:val="28"/>
          <w:rtl w:val="true"/>
          <w:lang w:bidi="ar-SA"/>
        </w:rPr>
        <w:t>على الأمّة وإمامتها، وبالنسبة إلى عصر الغيبة وعصر قبض يد المعصوم، بشكل عامٍّ المسلك</w:t>
      </w:r>
    </w:p>
    <w:p>
      <w:pPr>
        <w:pStyle w:val="BookText"/>
        <w:rPr/>
      </w:pPr>
      <w:r>
        <w:rPr>
          <w:rFonts w:ascii="Amiri" w:hAnsi="Amiri" w:eastAsia="Amiri" w:cs="Amiri"/>
          <w:color w:val="111111"/>
          <w:sz w:val="28"/>
          <w:sz w:val="28"/>
          <w:szCs w:val="28"/>
          <w:rtl w:val="true"/>
          <w:lang w:bidi="ar-SA"/>
        </w:rPr>
        <w:t xml:space="preserve">المشهور بين أصحابنا هو القول بثبوت الولاية للفقيه الجامع للشرائط نيابةً عن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حسب هذا المنهج يكون للفقيه حقّ الولاية الإلهية ويعمل على إقامة الدولة الإسلامية وتأسيس النظام السياسي الإسلاميّ في عصر الغيبة وقبض اليد، فكأنّهم لإثبات ضرورة الدولة ومراتب الولاية سلكوا قوس النزول حسب الترتيب من الأعلى إلى الأدنى</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2517372_653776707"/>
      <w:bookmarkStart w:id="166" w:name="_Toc62"/>
      <w:bookmarkEnd w:id="165"/>
      <w:r>
        <w:rPr>
          <w:rtl w:val="true"/>
        </w:rPr>
        <w:t>المسلك الثاني</w:t>
      </w:r>
      <w:r>
        <w:rPr>
          <w:rtl w:val="true"/>
        </w:rPr>
        <w:t xml:space="preserve">: </w:t>
      </w:r>
      <w:r>
        <w:rPr>
          <w:rtl w:val="true"/>
        </w:rPr>
        <w:t xml:space="preserve">مسلك الإمام الخميني </w:t>
      </w:r>
      <w:r>
        <w:rPr>
          <w:rtl w:val="true"/>
        </w:rPr>
        <w:t>(</w:t>
      </w:r>
      <w:r>
        <w:rPr>
          <w:rtl w:val="true"/>
        </w:rPr>
        <w:t>قُدّس سِرّه</w:t>
      </w:r>
      <w:r>
        <w:rPr>
          <w:rtl w:val="true"/>
        </w:rPr>
        <w:t>)</w:t>
      </w:r>
      <w:bookmarkEnd w:id="166"/>
    </w:p>
    <w:p>
      <w:pPr>
        <w:pStyle w:val="BookText"/>
        <w:rPr/>
      </w:pPr>
      <w:r>
        <w:rPr>
          <w:rFonts w:ascii="Amiri" w:hAnsi="Amiri" w:eastAsia="Amiri" w:cs="Amiri"/>
          <w:color w:val="111111"/>
          <w:sz w:val="28"/>
          <w:sz w:val="28"/>
          <w:szCs w:val="28"/>
          <w:rtl w:val="true"/>
          <w:lang w:bidi="ar-SA"/>
        </w:rPr>
        <w:t xml:space="preserve">علي حسب ما يُرى في كلمات السيد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لإثبات ضرورة الدولة الإسلامية يسلك قوس الصعود حيث إنّه في الخطوة الأولى يثبت أولًا ضرورة إقامة الدولة الإسلامية، ووجوب الاهتمام بشأنها في عصر حضور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وعصر حضور المعصوم؛ حيث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دولته في المدينة المنورة، وأيضًا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على تسنّم مقاليد الحكم بعد تمكنه لذلك وبيعة الناس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يثبت السيد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إقامة الدولة في عصر الغيبة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تكليف لا بدّ منه على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الخطوة الثانية يدرس شروط الحاكم الذي بيده ولاية أمر الأمة وزعامة إدارة المجتمع الإسلامي مع غياب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ضمن الشروط يتكلم عن الفقاهة والعدالة والكفاءة، ويصل أخيرًا إلى شرطية الفقاهة في الحاكم، ويستنتج أنّ الولاية ثابتة للفقيه العادل وأنّه منصوب لزعامة الأمّة وإقامة الحكم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المسلك الذي سلكه السيد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 الحكومة الإسلامية وولاية الفقيه</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2517374_653776707"/>
      <w:bookmarkStart w:id="168" w:name="_Toc63"/>
      <w:bookmarkEnd w:id="167"/>
      <w:r>
        <w:rPr>
          <w:rtl w:val="true"/>
        </w:rPr>
        <w:t>ب</w:t>
      </w:r>
      <w:r>
        <w:rPr>
          <w:rtl w:val="true"/>
        </w:rPr>
        <w:t xml:space="preserve">) </w:t>
      </w:r>
      <w:r>
        <w:rPr>
          <w:rtl w:val="true"/>
        </w:rPr>
        <w:t>المائز بين المسلكين</w:t>
      </w:r>
      <w:bookmarkEnd w:id="16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الفارق بينهما يظهر في أمور 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المشهور يهتمّ بمسألة الولاية ثم في أثناء البحث يدخل في مسألة الدولة، فبناءً على المسلك الأول ثبوت الولاية للفقيه لا يختصّ بصورة التمكّن من إقامة الحكومة الإسلامية في زمن من الأزمان، وفي ناحية من نواحي العالم؛ بل الولاية ثابتة للفقيه مطلقًا؛ سواء كانت يده مبسوطةً لإقامة النظام السياسي أو مقبوضةً، فإنّ الولاية مجعولة للفقيه، وبحكم ولايته يتصدّى للأمور الحسيبة، ويتصرّف في أموال الإمام ويقيم الحدود، ويقضيبين المتنازعين إلى غير ذلك من الأمور المرتبطة بشؤون الإمام المعصوم بالأصالة وبالذات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يتمكّن من تأسيس النظام السياسيّ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المسلك الثاني يهتمّ أولًا بمسألة الدولة والسلطة السياسية ثم أثناء البحث يأتي الكلام عن شروط الحاكم ولزوم فقاهته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المسلك الثاني، فالمسألة تختص بصورة تمكن الفقيه من إقامة النظام الإسلامي في ناحية من النواحي وفي عصر من الأعصار، فلا يهتمّ هذا المسلك لصورة قبض يد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المسلك الأوّل ثمّة من التزم بثبوت الولاية للفقيه في دائرة الأمور الحسبية فقط، ولم يوسّع دائرة الحسبة لتشمل إقامة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المسلك الثاني فإنّ ضرورة الحكومة الإسلامية تقتضي الحكم بالولاية المطلقة والعامّة للفقيه في شعاع أوسع من الأمور الحسيبة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يوسّع الأمور الحسيبة بحيث تشمل الدولة ونظام الحكم كما ذهب إليه عددٌ من الفقهاء ليتمكّن بها من تأسيس النظام الإسلامي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المسلك الأول الولاية الثابتة للفقيه هي حكمٌ شرعيٌّ مجعولٌ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الولاية المجعولة الاعتبارية تقع موضوعًا لأحكام شرعيّة مختلفة كجواز تصرّفه في الأموال والأنفس، ونفوذ حكمه وقضائه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المسلك الثاني فإنّ الدولة والنظام السياسي من المواضيع العرفية التي حكم الشارع بضرورة إيجادها كسائر التكاليف الواجبة التي يجب القيام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التمكّن من الإقامة يجب القيام بها على أساس الشريعة الإسلامية من الحكم بالعدل وتنفيذ الأحكام الإلهية وإجراء الحدود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المسلك الأول لا ملازمةَ قطعيةً بين ثبوت الولاية للفقيه وبين ضرورة إقامة الدولة الإسلامية، فلأحد أن يلتزم بثبوت الولاية للفقيه، دون أن يلتزم بوجوب إقامة الدولة الإسلامية في عصر الغيبة، أو يذهب إلى ضرورة إقامة الحكم الإسلامي؛ ولكن لايرى ثبوت الولاية للفقيه، أو لايرى الفقاهة شرطًا للحاكم، فكلٌّ من ضرورة الدولة الإسلامية وولاية الفقيه بحاجة إلى البرهان وإقامة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بناءً على المسلك الثاني أيضًا بحسب الرأي والنظر لا ملازمة بين القول بضرورة إقامة الدولة الإسلامية، وبين القول بثبوت الولاية للفقيه فلأحدٍ الالتزامُ بالأوّل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فكماإنّ الأول أعني ضرورة الحكم بحاجة إلى الاستدلال وإقامة الدليل، فكذلك الثاني أعني ثبوت الولاية للفقيه، واشتراط الفقاهة للحاكم محتاجين إلى البحث ودراسة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الحق والصواب كما سيأتي تفصيله هو القول بضرورة الدولة الإسلامية كما إن الأدلة تقضي بثبوت الولاية المطلقة للفقيه، وإن الفقاهة شرط لشرعية السلطة السياسية في عصر الغيبة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المسلك الأول في بداية مسيرته المنهج الكلامي وإن انتهى إلى المنهج الفقهي؛ بخلاف المسلك الثاني حيث إنه في البداية يسلك سلوكًا فقهيًّا؛ ولكن في النهاية يستعين بالأصول والقواعد الكلامية لتعيين الحاكم ولإثبات شرعية تصرّفاته</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8686_123532"/>
      <w:bookmarkStart w:id="170" w:name="pg8686_123532"/>
      <w:bookmarkEnd w:id="170"/>
    </w:p>
    <w:p>
      <w:pPr>
        <w:pStyle w:val="Heading3"/>
        <w:numPr>
          <w:ilvl w:val="2"/>
          <w:numId w:val="1"/>
        </w:numPr>
        <w:rPr/>
      </w:pPr>
      <w:bookmarkStart w:id="171" w:name="pg8686_123532"/>
      <w:bookmarkStart w:id="172" w:name="__RefHeading___Toc2517376_653776707"/>
      <w:bookmarkStart w:id="173" w:name="_Toc64"/>
      <w:bookmarkEnd w:id="171"/>
      <w:bookmarkEnd w:id="172"/>
      <w:r>
        <w:rPr>
          <w:rtl w:val="true"/>
        </w:rPr>
        <w:t>الفصل الثالث</w:t>
      </w:r>
      <w:r>
        <w:rPr>
          <w:rtl w:val="true"/>
        </w:rPr>
        <w:t xml:space="preserve">: </w:t>
      </w:r>
      <w:r>
        <w:rPr>
          <w:rtl w:val="true"/>
        </w:rPr>
        <w:t>في ضرورة إقامة الحكم الإسلامي</w:t>
      </w:r>
      <w:bookmarkEnd w:id="173"/>
    </w:p>
    <w:p>
      <w:pPr>
        <w:pStyle w:val="Heading4"/>
        <w:numPr>
          <w:ilvl w:val="3"/>
          <w:numId w:val="1"/>
        </w:numPr>
        <w:rPr/>
      </w:pPr>
      <w:bookmarkStart w:id="174" w:name="__RefHeading___Toc2517378_653776707"/>
      <w:bookmarkStart w:id="175" w:name="_Toc65"/>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لايخفى أن هناك طائفة من الأدلة العقلية والنقلية قد أقيمت لإثبات ضرورة إقامة النظام السياسي الإسلامي، والاستدلال على وجوب تأسيس الدولة الإسلامية في عصر الغيبة وزمن عدم بسط يد 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فلنبدأ بدراسة هذه الأدلة ولنشرع في بيان الوجه العقلي المذكور في كلمات السيد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المسألة</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2517380_653776707"/>
      <w:bookmarkStart w:id="177" w:name="_Toc66"/>
      <w:bookmarkEnd w:id="176"/>
      <w:r>
        <w:rPr>
          <w:rtl w:val="true"/>
        </w:rPr>
        <w:t>المسألة الأولى</w:t>
      </w:r>
      <w:r>
        <w:rPr>
          <w:rtl w:val="true"/>
        </w:rPr>
        <w:t xml:space="preserve">: </w:t>
      </w:r>
      <w:r>
        <w:rPr>
          <w:rtl w:val="true"/>
        </w:rPr>
        <w:t xml:space="preserve">الوجوه العقلية لضرورة إقامة الحكم الإسلامي </w:t>
      </w:r>
      <w:r>
        <w:rPr>
          <w:rtl w:val="true"/>
        </w:rPr>
        <w:t>(</w:t>
      </w:r>
      <w:r>
        <w:rPr>
          <w:rtl w:val="true"/>
        </w:rPr>
        <w:t xml:space="preserve">أدلة السيد الإمام الخميني </w:t>
      </w:r>
      <w:r>
        <w:rPr>
          <w:rtl w:val="true"/>
        </w:rPr>
        <w:t>(</w:t>
      </w:r>
      <w:r>
        <w:rPr>
          <w:rtl w:val="true"/>
        </w:rPr>
        <w:t>قُدّس سِرّه</w:t>
      </w:r>
      <w:r>
        <w:rPr>
          <w:rtl w:val="true"/>
        </w:rPr>
        <w:t>)</w:t>
      </w:r>
      <w:bookmarkEnd w:id="177"/>
    </w:p>
    <w:p>
      <w:pPr>
        <w:pStyle w:val="Heading5"/>
        <w:numPr>
          <w:ilvl w:val="4"/>
          <w:numId w:val="1"/>
        </w:numPr>
        <w:rPr/>
      </w:pPr>
      <w:bookmarkStart w:id="178" w:name="__RefHeading___Toc2517382_653776707"/>
      <w:bookmarkStart w:id="179" w:name="_Toc67"/>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يظهر من تراث أصحابنا وسيرتهم وتاريخ حياتهم أمورٌ نعرضها في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النظر وبيان الفكرة فإنّ أول من تعرّض لإثبات وجوب إقامة الدولة الإسلامية بشكلٍ صريحٍ وواضحٍ واستدلّ عليه، هو السيد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الإقدام والتوفيق فأوّل فقيهٍ وفّق لأداء هذه الفريضة واجتهد لتحقيق حُلُم الأنبياء على حسب التعبير المنقول عن الشهيد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انتصار الثورة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وأسّس الحكم السياسي المبتني على الشريعة الإسلامية ومدرسة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السيد الإمام روح الله الموسوي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180" w:name="pg8686_123535"/>
    </w:p>
    <w:p>
      <w:pPr>
        <w:pStyle w:val="BookText"/>
        <w:rPr/>
      </w:pPr>
      <w:bookmarkEnd w:id="180"/>
      <w:r>
        <w:rPr>
          <w:rFonts w:ascii="IRNazanin" w:hAnsi="IRNazanin" w:eastAsia="IRNazanin"/>
          <w:color w:val="111111"/>
          <w:sz w:val="28"/>
          <w:sz w:val="28"/>
          <w:szCs w:val="28"/>
          <w:rtl w:val="true"/>
          <w:lang w:bidi="fa-IR"/>
        </w:rPr>
        <w:t>وفي مقام تقريب الوجوه العقلية للمسألة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الأحكام الإلهية سواء الأحكام المربوطة بالماليات والسياسيات، أو الحقوق لم تنسخ؛ بل تبقى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بقاء تلك الأحكام يقضي بضرورة الحكومةِ وولايةٍ تضمن حفظ سيادة القانون الإلهي وتتكفّل لإجرائه ولا يمكن إجراء أحكام الله إلا بها لئلاّ يلزم الهرج والمرج، مع أن حفظ النظام من الواجبات الأكيدة واختلال أمور المسلمين من الأمور المبغوضة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يقوم ذا ولا يسّد عن هذا إلا بوالٍ وحكومةٍ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 حفظ ثغور المسلمين عن التهاجم، وبلادهم عن غلبة المعتدين واجبٌ عقلًا وشرعًا، ولا يمكن ذلك إلا بتشكيل 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ذلك من أوضح ما يحتاج إليه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يعقل ترك ذلك من الحكيم الصانع، فما هو دليلُ الإمامة بعينه دليلٌ على لزوم الحكومة بعد غيبة ولي الأمر 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 مع هذه السنين المتمادية ولعلها تطول إلى آلاف من السنين والعلم عنده تعالى</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وفي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الحكومة لبسط العدالة والتعليم والتربية، وحفظ النظام، ورفع الظلم وسدّ الثغور والمنع عن اعتداء الأجانب من أوضح أحكام العقول من غير فرق بين عصر وعصر أو مصر ومصر</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مجمل يشير فيه إلى وجوه مختلفة من الأدلّة الدالّة على المدّعى، وبحاجة إلى شرح وتفسير فلنشر إلى شرح هذه الوجوه وتقريب الاستدلال بها</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2517384_653776707"/>
      <w:bookmarkStart w:id="182" w:name="_Toc68"/>
      <w:bookmarkEnd w:id="181"/>
      <w:r>
        <w:rPr>
          <w:rtl w:val="true"/>
        </w:rPr>
        <w:t>الدليل الأول</w:t>
      </w:r>
      <w:r>
        <w:rPr>
          <w:rtl w:val="true"/>
        </w:rPr>
        <w:t xml:space="preserve">: </w:t>
      </w:r>
      <w:r>
        <w:rPr>
          <w:rtl w:val="true"/>
        </w:rPr>
        <w:t>التأمّل في طبيعة التشريعات الإسلامية</w:t>
      </w:r>
      <w:bookmarkEnd w:id="182"/>
    </w:p>
    <w:p>
      <w:pPr>
        <w:pStyle w:val="Heading6"/>
        <w:numPr>
          <w:ilvl w:val="5"/>
          <w:numId w:val="1"/>
        </w:numPr>
        <w:rPr/>
      </w:pPr>
      <w:bookmarkStart w:id="183" w:name="__RefHeading___Toc2517386_653776707"/>
      <w:bookmarkStart w:id="184" w:name="_Toc69"/>
      <w:bookmarkEnd w:id="183"/>
      <w:r>
        <w:rPr>
          <w:rtl w:val="true"/>
        </w:rPr>
        <w:t>اشارة</w:t>
      </w:r>
      <w:bookmarkEnd w:id="18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الدليل مذكورٌ في صدر كلام السيد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بحسب التحليل مؤلّفٌ من مقدمات عدّة</w:t>
      </w:r>
      <w:r>
        <w:rPr>
          <w:rFonts w:eastAsia="Amiri" w:cs="Amiri" w:ascii="Amiri" w:hAnsi="Amiri"/>
          <w:color w:val="111111"/>
          <w:sz w:val="28"/>
          <w:szCs w:val="28"/>
          <w:rtl w:val="true"/>
          <w:lang w:bidi="ar-SA"/>
        </w:rPr>
        <w:t xml:space="preserve">: </w:t>
      </w:r>
      <w:bookmarkStart w:id="185" w:name="pg8686_123538"/>
    </w:p>
    <w:p>
      <w:pPr>
        <w:pStyle w:val="Heading6"/>
        <w:numPr>
          <w:ilvl w:val="5"/>
          <w:numId w:val="1"/>
        </w:numPr>
        <w:rPr/>
      </w:pPr>
      <w:bookmarkStart w:id="186" w:name="__RefHeading___Toc2517388_653776707"/>
      <w:bookmarkStart w:id="187" w:name="_Toc70"/>
      <w:bookmarkEnd w:id="185"/>
      <w:bookmarkEnd w:id="186"/>
      <w:r>
        <w:rPr>
          <w:rtl w:val="true"/>
        </w:rPr>
        <w:t>المقدمة الأولى</w:t>
      </w:r>
      <w:r>
        <w:rPr>
          <w:rtl w:val="true"/>
        </w:rPr>
        <w:t xml:space="preserve">: </w:t>
      </w:r>
      <w:r>
        <w:rPr>
          <w:rtl w:val="true"/>
        </w:rPr>
        <w:t>بقاء الأحكام واستمرار التشريعات الإسلامية</w:t>
      </w:r>
      <w:bookmarkEnd w:id="187"/>
    </w:p>
    <w:p>
      <w:pPr>
        <w:pStyle w:val="BookText"/>
        <w:rPr/>
      </w:pPr>
      <w:r>
        <w:rPr>
          <w:rFonts w:ascii="Amiri" w:hAnsi="Amiri" w:eastAsia="Amiri" w:cs="Amiri"/>
          <w:color w:val="111111"/>
          <w:sz w:val="28"/>
          <w:sz w:val="28"/>
          <w:szCs w:val="28"/>
          <w:rtl w:val="true"/>
          <w:lang w:bidi="ar-SA"/>
        </w:rPr>
        <w:t xml:space="preserve">الأحكام الإلهية والتشريعات الإسلامية في شتّى المجالات، بدءًا من الأمور المرتبطة بالأموال والسياسة والأُسرة وانتهاءً إلى القضاء والحدود والجهاد، ومن أوّل الأبواب الفقهية بحسب ترتيب الفقه الإسلاميّ إلى آخر أبوابه، هذه التشريعات المقرّرة والمسائل التي يبحث عنها الفقهاء غير منسوخة؛ بل كلها أحكامٌ حيّة باقية، وقامت الحجج المعتبرة على ثباتها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يسع أحدًا أن يدّعي نسخها في عصر الغيبة، أو القول بأنّها كانت أحكامًا موقتةً مرهونة بأوقات خاصّة انتهى أمدها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الدعاوى خلاف الضرورة ممّا عُلِم من خطابات هذه الأحكام وأدلّتها الموجودة في الكتاب السنه الموجِهّة خطاباتها إلى كافّة المسلمين في جميع الأزمنة والأمكنة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على ذلك أن هذه التشريعات كانت محلّ بحثٍ في تراثنا الفقهي من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 وقد تعرّض جميع الفقهاء وعلماء المذاهب الإسلامية للبحث في هذه التشريعات، وما تفوّه أحد منهم بنسخها، ولا احتمل عدم بقائها، وما توهّم أنّها كانت مؤقتةً؛ بل اتّفق الجميع بحكم الضرورة والبداهة الفقهيّة، بأن حلال محمد حلال إلى يوم القيامة وحرامه حرام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الأنبياء وشريعته خالدة وما دام لم يثبت بالحجة والبينة القطعية نسخ حكم أو توقيته يحكم بعمومه الأزماني</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2517390_653776707"/>
      <w:bookmarkStart w:id="189" w:name="_Toc71"/>
      <w:bookmarkEnd w:id="188"/>
      <w:r>
        <w:rPr>
          <w:rtl w:val="true"/>
        </w:rPr>
        <w:t>المقدمة الثانية</w:t>
      </w:r>
      <w:r>
        <w:rPr>
          <w:rtl w:val="true"/>
        </w:rPr>
        <w:t xml:space="preserve">: </w:t>
      </w:r>
      <w:r>
        <w:rPr>
          <w:rtl w:val="true"/>
        </w:rPr>
        <w:t>لزوم تنفيذ الأحكام والتشريعات الإسلامية</w:t>
      </w:r>
      <w:bookmarkEnd w:id="18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شكفي أنّ الغرض من التشريعات الإسلامية ليس إلا تنفيذها وتطبيقها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من حكمة الباري الحكيم أن يشرِّع الأحكام، ويقنن القوانين المختلفة، ولا يريد تنفيذها وتطبيقها؛ فإنّ التشريع بنفسه لا قيمة له ولا يُطلب لنفسه؛ بل هو مقدمة وخطوةٌ أولى في طريق التطبيق والعمل، حتى تتحقق الأغراض والأهداف والغايات المتوقعة منه، ومن هذه الغايات المرجوّة إقامة العدل والقسط ورفع الظلم والإجحاف وبسط المعروف وسدّ أبواب المنكر والفحشاء والفساد</w:t>
      </w:r>
      <w:r>
        <w:rPr>
          <w:rFonts w:eastAsia="Amiri" w:cs="Amiri" w:ascii="Amiri" w:hAnsi="Amiri"/>
          <w:color w:val="111111"/>
          <w:sz w:val="28"/>
          <w:szCs w:val="28"/>
          <w:rtl w:val="true"/>
          <w:lang w:bidi="ar-SA"/>
        </w:rPr>
        <w:t xml:space="preserve">. </w:t>
      </w:r>
      <w:bookmarkStart w:id="190" w:name="pg8686_123541"/>
    </w:p>
    <w:p>
      <w:pPr>
        <w:pStyle w:val="Heading6"/>
        <w:numPr>
          <w:ilvl w:val="5"/>
          <w:numId w:val="1"/>
        </w:numPr>
        <w:rPr/>
      </w:pPr>
      <w:bookmarkStart w:id="191" w:name="__RefHeading___Toc2517392_653776707"/>
      <w:bookmarkStart w:id="192" w:name="_Toc72"/>
      <w:bookmarkEnd w:id="190"/>
      <w:bookmarkEnd w:id="191"/>
      <w:r>
        <w:rPr>
          <w:rtl w:val="true"/>
        </w:rPr>
        <w:t>المقدمة الثالثة</w:t>
      </w:r>
      <w:r>
        <w:rPr>
          <w:rtl w:val="true"/>
        </w:rPr>
        <w:t xml:space="preserve">: </w:t>
      </w:r>
      <w:r>
        <w:rPr>
          <w:rtl w:val="true"/>
        </w:rPr>
        <w:t>توقّف تنفيذ التشريع على السلطة</w:t>
      </w:r>
      <w:bookmarkEnd w:id="192"/>
    </w:p>
    <w:p>
      <w:pPr>
        <w:pStyle w:val="BookText"/>
        <w:rPr/>
      </w:pPr>
      <w:r>
        <w:rPr>
          <w:rFonts w:ascii="Amiri" w:hAnsi="Amiri" w:eastAsia="Amiri" w:cs="Amiri"/>
          <w:color w:val="111111"/>
          <w:sz w:val="28"/>
          <w:sz w:val="28"/>
          <w:szCs w:val="28"/>
          <w:rtl w:val="true"/>
          <w:lang w:bidi="ar-SA"/>
        </w:rPr>
        <w:t>إنّ التشريعات الإسلامية وإنْ سلّمنا بأنّ تنفيذ قسم منها وامتثال بعضها ليس بحاجة إلى الأجهزة والمؤسّسات والسلطات كالتكاليف الموجّهة إلى الأفراد التي تطالبهم بالصلاة والصوم؛ ولكن أكثر التشريعات الإسلامية؛ بل جلّ الأحكام الشرعية يستحيل تنفيذها وتحقيقها وامتثالها في الخارج وفي وسط المجتمع إلا بالاستعانة بالأنظمة السياسية والدولة والحكومة، وأمثلة هذا النوع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وإقامة الحدود والتعزيرات، والأمر بالمعروف والنهي عن المنكر، والقضاء بين المتخاصمين، ورفع الظلم، ودفع الفساد، وإحقاق الحقوق المالية وغير الماليّة، وحماية المجتمع من الفحشاء، بل حتّى إقامة الصلاة وتحويلها إلى ظاهرة اجتماعيّة، وغيرها من الأحكام الاجتماعية والسياسية المرتبطة بإدارة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الأحكام والقوانين لا يمكن تطبيقها وتنفيذها، إلا تحت لواء نظامٍ سياسيٍّ صالح عادل يستطيع أن يحققها حسب ما هو المطلوب شرعًا وعقلًا والمقررّ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إقامة الدولة الإسلامية مقدّمة لتنفيذ الأحكام الإلهية والتشريعات الإسلامية المحتاجة إلى السلطة والقوّة وتمهيدًا لتحقق الحكمة المكنونة في هذه التشريعات التابعة للمصالح والمفاسد الواقعية فيها وإطاعة للأوامر واحترازًا عن النواهي والمكروهات وتلبية للإرادات الربوبية</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2517394_653776707"/>
      <w:bookmarkStart w:id="194" w:name="_Toc73"/>
      <w:bookmarkEnd w:id="193"/>
      <w:r>
        <w:rPr>
          <w:rtl w:val="true"/>
        </w:rPr>
        <w:t>الدليل الثاني</w:t>
      </w:r>
      <w:r>
        <w:rPr>
          <w:rtl w:val="true"/>
        </w:rPr>
        <w:t xml:space="preserve">: </w:t>
      </w:r>
      <w:r>
        <w:rPr>
          <w:rtl w:val="true"/>
        </w:rPr>
        <w:t>ضرورة حفظ النظام وحرمة الإخلال به</w:t>
      </w:r>
      <w:bookmarkEnd w:id="194"/>
    </w:p>
    <w:p>
      <w:pPr>
        <w:pStyle w:val="BookText"/>
        <w:rPr/>
      </w:pPr>
      <w:r>
        <w:rPr>
          <w:rFonts w:ascii="Amiri" w:hAnsi="Amiri" w:eastAsia="Amiri" w:cs="Amiri"/>
          <w:color w:val="111111"/>
          <w:sz w:val="28"/>
          <w:sz w:val="28"/>
          <w:szCs w:val="28"/>
          <w:rtl w:val="true"/>
          <w:lang w:bidi="ar-SA"/>
        </w:rPr>
        <w:t xml:space="preserve">يشير السيد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طيّات كلامه الشريف إلى الدليل الثاني، وهذا الدليل أيضًا يتشكّل من مقدّمات هي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حفظ نظام المجتمع الإسلامي من الواجبات الأكيدة في التشريع الإسلامي وإن الإخلال بأمور المسلمين، وما يترتّب عليه من الهرج والمرج، من المحرمات المبغوضة التي لا يرضى الشارع الحكيم بتحقّقها في 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فالمراد من حفظ النظام في هذا الدليل ليس حفظ النظام السياسي؛ بل المراد منه ما يقابل الهرج والمرج مما يوجب اختلال نظام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حفظ النظام الاجتماعي ولا يسدّ باب الاختلال، إلا بحكومة 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إقامة الدولة لحفظ نظام المجتمع الإسلامي، والمنع من اختلال أمور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الدليل وإن كان يستشكل عليه بحسب ظاهره، ويرد عليه بأنّه أعمّ من المدّعى لأنّ حفظ نظام المسلمين والمنع عن اختلال أمورهم وإن كان أمرًا ضروريًّا ولا يتحقّق ذاك ولا يسدّ باب الاختلال إلا بوجود دولة وسلطة سياسية؛ لكنّ هذا الدليل لا يثبت وجوب كونها إسلاميّة، فالنظام قد يتحقّق بدولة غير إسلامية، فإنّ الدولة القوية القادرة بالأخذ بزمام الأمور تستطيع أن تحفظ النظام وتمنع من اختلال الأمور؛ فالمستنتج من هذا الدليل هو ضرورة إقامة الدولة ولو لم تكن إسلامية مع أنّ هدف الاستدلال هو إثبات وجوب إقامة الدولة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نردّ هذا الإشكال؛ بالقول بأنّ المطلوب في الإسلام ليس حفظ نظام المجتمع الإسلامي وسدّ باب اختلال الأمور وفقًا لأيّ قاعدة عرفية أو قانون وضعيّ، أو طريقة تابعة لأيّ إرادة سياسية منبعثة عن أيّ حاكم ووالٍ، برٍّ أو فاسقٍ؛ بل ما يطلبه الشارع الحكيم هو أن يحفظ النظام وفق قواعد التشريع الإسلامي، وعلى أساس مراعاةحدودها وشروطها وبأسلوب موافقٍ للحكمة والعدل والإنصاف ومطابقٍ للقيم ومكارم الأخلاق، ومنسجمٍ مع سيرة الأنبياء وآداب الأولياء</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أن تحقّق هذا النظام الاجتماعي غير ميسّر، إلا تحت ظلال الدولة الكريمة الإسلامية المتخلِّقة بأخلاق الأنبياء والمتربية بتربية الأولياء</w:t>
      </w:r>
      <w:r>
        <w:rPr>
          <w:rFonts w:eastAsia="Amiri" w:cs="Amiri" w:ascii="Amiri" w:hAnsi="Amiri"/>
          <w:color w:val="111111"/>
          <w:sz w:val="28"/>
          <w:szCs w:val="28"/>
          <w:rtl w:val="true"/>
          <w:lang w:bidi="ar-SA"/>
        </w:rPr>
        <w:t xml:space="preserve">. </w:t>
      </w:r>
      <w:bookmarkStart w:id="195" w:name="pg8686_123547"/>
    </w:p>
    <w:p>
      <w:pPr>
        <w:pStyle w:val="BookText"/>
        <w:rPr/>
      </w:pPr>
      <w:bookmarkEnd w:id="195"/>
      <w:r>
        <w:rPr>
          <w:rFonts w:ascii="Amiri" w:hAnsi="Amiri" w:eastAsia="Amiri" w:cs="Amiri"/>
          <w:color w:val="111111"/>
          <w:sz w:val="28"/>
          <w:sz w:val="28"/>
          <w:szCs w:val="28"/>
          <w:rtl w:val="true"/>
          <w:lang w:bidi="ar-SA"/>
        </w:rPr>
        <w:t>فالعقل وإن حكم بضرورة النظام والوقوف في وجه الإخلال به؛ ولكن العقل 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يجب أن يكون موافقًا للربوبية التشريعية الإلهية، ومطابقًا للحدود التشريعية الإسلامية؛ فإنّ العقل لا يرتضي استقرار النظام والقضاء على الاختلال والهرج والمرج بالاستعانة بطرقٍ غير مشروعةٍ واعتماد الوسائل المحرّمة كالظلم والتعدّي والإجحاف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الدولة التي تأخذ بزمام الحكم وولاية الأمر لاستقرار النظام بالاستناد إلى طرق غير مشروعة، هي دولةٌ لا شرعية لها، ولا يجوز الإصغاء إليها، ولا تولّيها، ولا الالتزام بأوامرها ونواهيها؛ لأن ولايتها تعدّ من ولاية الشيطان والطاغوت التي يجب الكفر بها والوقوف أمامها بحكم العقل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فمراد السيد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من دليل حفظ النظام لإثبات ضرورة الدولة ليس النظام بما هو هو؛ بل النظام المبنيّ على المقررات والقوانين الشرعية، والدولة التي تستمدّ ولايتها من مبدأ الولايات الإلهية</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2517396_653776707"/>
      <w:bookmarkStart w:id="197" w:name="_Toc74"/>
      <w:bookmarkEnd w:id="196"/>
      <w:r>
        <w:rPr>
          <w:rtl w:val="true"/>
        </w:rPr>
        <w:t>الدليل الثالث</w:t>
      </w:r>
      <w:r>
        <w:rPr>
          <w:rtl w:val="true"/>
        </w:rPr>
        <w:t xml:space="preserve">: </w:t>
      </w:r>
      <w:r>
        <w:rPr>
          <w:rtl w:val="true"/>
        </w:rPr>
        <w:t>ضرورة حفظ ثغور المسلمين</w:t>
      </w:r>
      <w:bookmarkEnd w:id="197"/>
    </w:p>
    <w:p>
      <w:pPr>
        <w:pStyle w:val="BookText"/>
        <w:rPr/>
      </w:pPr>
      <w:r>
        <w:rPr>
          <w:rFonts w:ascii="Amiri" w:hAnsi="Amiri" w:eastAsia="Amiri" w:cs="Amiri"/>
          <w:color w:val="111111"/>
          <w:sz w:val="28"/>
          <w:sz w:val="28"/>
          <w:szCs w:val="28"/>
          <w:rtl w:val="true"/>
          <w:lang w:bidi="ar-SA"/>
        </w:rPr>
        <w:t>هذا الدليل أيضًا مركّبٌ من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ثغور المسلمين من اعتداء المعتدين وهجومهم واجبٌ عقلًا وشرعًا</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حفظ الثغور إلا بتأسيس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تأسيس الدولة تمهيدًا لحفظ ثغور بلاد المسلمين، ومنعًا لتغلّب الأعداء على أعراضهم وأموالهم وأنفسهم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الدليل أيضًا وإن كان يبدو من ظاهره أنّه أعم من المدّعى؛ لأنه لا يُستنتج منه إلا ضرورة إقامة نظامٍ سياسيٍّ ذي شوكة يستطيع الأخذ بزمام الأمور </w:t>
      </w:r>
    </w:p>
    <w:p>
      <w:pPr>
        <w:pStyle w:val="BookText"/>
        <w:rPr/>
      </w:pPr>
      <w:r>
        <w:rPr>
          <w:rFonts w:ascii="Amiri" w:hAnsi="Amiri" w:eastAsia="Amiri" w:cs="Amiri"/>
          <w:color w:val="111111"/>
          <w:sz w:val="28"/>
          <w:sz w:val="28"/>
          <w:szCs w:val="28"/>
          <w:rtl w:val="true"/>
          <w:lang w:bidi="ar-SA"/>
        </w:rPr>
        <w:t>وحفظ ثغور المسلمين وحدود البلاد، ولا يستفاد منه وجوب أن يكون النظام الحامي لثغور المسلمين دولة 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كما مرّ في الجواب عن الإشكال الوارد على الدليل الثاني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يحكم بحفظ ثغور المسلمين؛ ولكن من الطرق المشروعة ووفقًا للتشريعات الإلهية، فالدولة المتولّية حفظ ثغورها يجب أن تحفظ الحدود والثغور بالتمسك بالشريعة الإسلامية، ويجب أن تكون دولةً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التي تأخذ بزمام الحكم وتمارس حفظ الثغور يجب أن تكون مأذونةً في تصرّفاتها وولايتها من قِبل صاحب الولايات، كما ذكرنا في الأبحاث السابقة فإنّ الولاية والسلطة 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وملاك شرعية الدولة موقوفٌ على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تكون هذه الدولة طاغوتًا يجب الكفر به، ولا تجوز الطاعة والبيعة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الأدلة الثلاثة المذكورة في كلام السيد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ضرورة تشكيل الدولة وتأسيس الحكم الإسلامي مع تحليل وتقريب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يجب أن نلفت النظر إلى أن مغزى هذه الأدلة والحدّ الوسط لهذه البراهين بحسب مصطلح أهل المنطق هو التمسك بالحكمة الإلهية فإنّ الحكمة واللطف الإلهي كما تحكم بضرورة إمامة المعصوم والنصّ عليه ونصبه، فكذلك في عصر الغيبة وعدم بسط يد المعصوم فإنّها تحكم بضرورة إقامة الدولة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هذه الوجوه العقلية المذكورة في كلام السيد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تُبَيِّن شروط الحاكم ولا تتعرّض لمواصفات الولي الذي يأخذ بولاية الأمر، ولا تشير إلى أنه هل يجب أن يكون فقيهًا عادلًا أم لا؟ بل تثبت أصل ضرورة إقامة الدولة الإسلامية من دون نظر إلى سائر الأمور والشروط</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ودراسة هذه الأمور موكولةٌ إلى المرحلة الثانية من البحث، وستأتي في القسم الثاني إن شاء الله تعالى</w:t>
      </w:r>
      <w:r>
        <w:rPr>
          <w:rFonts w:eastAsia="Amiri" w:cs="Amiri" w:ascii="Amiri" w:hAnsi="Amiri"/>
          <w:color w:val="111111"/>
          <w:sz w:val="28"/>
          <w:szCs w:val="28"/>
          <w:rtl w:val="true"/>
          <w:lang w:bidi="ar-SA"/>
        </w:rPr>
        <w:t xml:space="preserve">. </w:t>
      </w:r>
      <w:bookmarkStart w:id="198" w:name="pg8686_123553"/>
    </w:p>
    <w:p>
      <w:pPr>
        <w:pStyle w:val="Heading4"/>
        <w:numPr>
          <w:ilvl w:val="3"/>
          <w:numId w:val="1"/>
        </w:numPr>
        <w:rPr/>
      </w:pPr>
      <w:bookmarkStart w:id="199" w:name="__RefHeading___Toc2517398_653776707"/>
      <w:bookmarkStart w:id="200" w:name="_Toc75"/>
      <w:bookmarkEnd w:id="198"/>
      <w:bookmarkEnd w:id="199"/>
      <w:r>
        <w:rPr>
          <w:rtl w:val="true"/>
        </w:rPr>
        <w:t>المسألة الثانية</w:t>
      </w:r>
      <w:r>
        <w:rPr>
          <w:rtl w:val="true"/>
        </w:rPr>
        <w:t xml:space="preserve">: </w:t>
      </w:r>
      <w:r>
        <w:rPr>
          <w:rtl w:val="true"/>
        </w:rPr>
        <w:t>الروايات الدالّة على جعل كل ما يحتاج إليه وضرورة إقامة الحكم الإسلامي</w:t>
      </w:r>
      <w:bookmarkEnd w:id="200"/>
    </w:p>
    <w:p>
      <w:pPr>
        <w:pStyle w:val="Heading5"/>
        <w:numPr>
          <w:ilvl w:val="4"/>
          <w:numId w:val="1"/>
        </w:numPr>
        <w:rPr/>
      </w:pPr>
      <w:bookmarkStart w:id="201" w:name="__RefHeading___Toc2517400_653776707"/>
      <w:bookmarkStart w:id="202" w:name="_Toc76"/>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 xml:space="preserve">قد عقد 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الكافي بابًا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الردّ إلى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ليس شيء من الحلال والحرام وجميع ما يحتاج الناس إليه إلا وقد جاء فيه كتاب أو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هذا الباب أخبارًا كثيرة لا يبعد دعوى بلوغها حدّ التواتر، فلنذكر أوّلًا بعضها تيمّنًا ثم نشير إلى تقريب الاستدلال بها لضرورة إقامة الحكم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مرازم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أنزل في القرآن تبيان كل شيء، حتى والله ما ترك شيئًا يحتاج إليه العباد، حتى لا يستطيع 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أنزل في القرآن؟ إلا وقد أنزله الله فيه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عمرو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لم يدع شيئًا يحتاج إليه الأمة إلا أنزله في كتابه وبيّنه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لكلّ شيء حدًّا وجعل عليه دليلًا يدلّ عليه وجعل على من تعدّى ذلك الحدّ حدًّا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يخرجني من الدنيا حتى بيّنت للأمّة جميع ما تحتاج إليه</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عندنا صحيفة طولها سبعون ذراعًا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03" w:name="pg8686_123556"/>
    </w:p>
    <w:p>
      <w:pPr>
        <w:pStyle w:val="BookText"/>
        <w:rPr/>
      </w:pPr>
      <w:bookmarkEnd w:id="203"/>
      <w:r>
        <w:rPr>
          <w:rFonts w:ascii="Amiri" w:hAnsi="Amiri" w:eastAsia="Amiri" w:cs="Amiri"/>
          <w:color w:val="111111"/>
          <w:sz w:val="28"/>
          <w:sz w:val="28"/>
          <w:szCs w:val="28"/>
          <w:rtl w:val="true"/>
          <w:lang w:bidi="ar-SA"/>
        </w:rPr>
        <w:t>بيده وإن فيها لجميع ما يحتاج إليه الناس حتى أرش الخدش</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موثقه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والله ما من شيء يقرّبكم إلى الجنّة ويباعدكم من النار، إلا وقد أمرتكم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شيء يقرّبكم من النار ويباعدكم من الجنة، إلا وقد نهيتكم عنه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هذه جملة من الروايات الكثيرة المتواترة الدالّة على هذا المضمون</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2517402_653776707"/>
      <w:bookmarkStart w:id="205" w:name="_Toc77"/>
      <w:bookmarkEnd w:id="204"/>
      <w:r>
        <w:rPr>
          <w:rtl w:val="true"/>
        </w:rPr>
        <w:t>تقريب الاستدلال</w:t>
      </w:r>
      <w:r>
        <w:rPr>
          <w:rtl w:val="true"/>
        </w:rPr>
        <w:t>:</w:t>
      </w:r>
      <w:bookmarkEnd w:id="205"/>
    </w:p>
    <w:p>
      <w:pPr>
        <w:pStyle w:val="BookText"/>
        <w:rPr/>
      </w:pPr>
      <w:r>
        <w:rPr>
          <w:rFonts w:ascii="Amiri" w:hAnsi="Amiri" w:eastAsia="Amiri" w:cs="Amiri"/>
          <w:color w:val="111111"/>
          <w:sz w:val="28"/>
          <w:sz w:val="28"/>
          <w:szCs w:val="28"/>
          <w:rtl w:val="true"/>
          <w:lang w:bidi="ar-SA"/>
        </w:rPr>
        <w:t>بيان الاستدلال بهذه الأخبار متوقّفٌ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تدلّ بصراحة ووضوح على أنّ كل ما يحتاج إليه الناس والأمة في أيّ زمن كان، إلى يوم القيامة قد جاء فيه حكم عن الله في الكتاب والسنّة كما يدلّ على هذا المضمون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الدين تامًّا غير ناقص وما انتهى إلى حدّ لا يحتاج إلى شيء خارج عنه ولم يكن كاملًا وما وصل إلى مرتبه يحصل الغرض منه؛</w:t>
      </w:r>
      <w:r>
        <w:rPr>
          <w:rStyle w:val="FootnoteAnchor"/>
          <w:rtl w:val="true"/>
        </w:rPr>
        <w:footnoteReference w:id="67"/>
      </w:r>
      <w:r>
        <w:rPr>
          <w:rFonts w:ascii="Amiri" w:hAnsi="Amiri" w:eastAsia="Amiri" w:cs="Amiri"/>
          <w:color w:val="111111"/>
          <w:sz w:val="28"/>
          <w:sz w:val="28"/>
          <w:szCs w:val="28"/>
          <w:rtl w:val="true"/>
          <w:lang w:bidi="ar-SA"/>
        </w:rPr>
        <w:t>ما احتجّ الله على عباده به كما ورد في بعض الأخبار</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وعلى أساس هذا الأصل تكون النسبة بين التشريع الإسلامي وحاجة الأمّة نسبة التساوي، كلّ حاجة لها تشريعٌ، وكلّ تشريع يرفع حاجةً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الحاجات الضرورية الملحّة للبشر في جميع الأعصار والأزمنة ومنها عصر الغيبة، جعل ولاية شرعية تكون بديلًا عن ولاية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يُرِيدُونَ أَنْ يَتَحَاكَمُوا إِلَى الطَّاغُوتِ وَقَدْ أُمِرُوا أَنْ يَكْفُرُوا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ascii="Amiri" w:hAnsi="Amiri" w:eastAsia="Amiri" w:cs="Amiri"/>
          <w:color w:val="111111"/>
          <w:sz w:val="28"/>
          <w:sz w:val="28"/>
          <w:szCs w:val="28"/>
          <w:rtl w:val="true"/>
          <w:lang w:bidi="ar-SA"/>
        </w:rPr>
        <w:t>فالناس في عصر الغيبة من جهة يجب عليهم التولّيلله تعالى ويحرم عليهم تولّي الطاغوت؛ بل الواجب هو الكفر به ومن جهة أخرى تكون زعامة المعصوم وتصدّيه للأمور في عصر الغيبة منتفية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المجتمع والأمة الإسلامية لا تُقضى إلّا بجعل ولاية أخرى شرعية لتكون بديلًا اضطراريًّا عن ولاية المعصوم وفي طول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الأخبار بعمومها تدلّ على جعل ولاية شرعية أخرى ترتفع الحاجة بها ولا يجوز للحكيم اللطيف إهمال هذه المهمّة، وعدم جعله ولاية شرعيّة ترفع حاجة الأمة الإسلامية بها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الأخبار ناظرةٌ إلى مقام الثبوت والواقع، ومقام جعل الأحكام، وأما بحسب مقام الإثبات ودراسة الأدلّة فهذه الأحكام المحتاج إليها على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موجود عند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 للناس، أو بُيِّن ولكن خفي عليهم لظلم الظالمين وكيد الخائنين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القسم يُترك علمه لأهله ولا مجال للبحث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ثابتٌ ومعلومٌ بالأدلّة القطعية العقلية أو النقلية، تتداوله أيدي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ثابتٌ ومعلومٌ؛ ولكن بالأدلّة الاجتهاديّة والفقاهتيّة، وثبت بواسطة الأحكام الظاهرية عن طريق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شك في أنّ مسألة الدولة الإسلامية، وكونها ضرورةً وواجبةً يعدّ 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أحكامها الفرعية وما يتشعّب منها يدخل في القسم الثالث</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الاستنتاج من هذه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وأيّة حاجة </w:t>
      </w:r>
      <w:bookmarkStart w:id="206" w:name="pg8686_123562"/>
    </w:p>
    <w:p>
      <w:pPr>
        <w:pStyle w:val="BookText"/>
        <w:rPr/>
      </w:pPr>
      <w:bookmarkEnd w:id="206"/>
      <w:r>
        <w:rPr>
          <w:rFonts w:ascii="Amiri" w:hAnsi="Amiri" w:eastAsia="Amiri" w:cs="Amiri"/>
          <w:color w:val="111111"/>
          <w:sz w:val="28"/>
          <w:sz w:val="28"/>
          <w:szCs w:val="28"/>
          <w:rtl w:val="true"/>
          <w:lang w:bidi="ar-SA"/>
        </w:rPr>
        <w:t>كالحاجة إلى تعيين من يدبِّر أمر الأمة، ويحفظ نظام بلاد المسلمين طيلة الزمان ومدى الدهر في عصر الغيبة، مع بقاء أحكام الإسلام التي لا يمكن بسطها إلا بيد والي المسلمين وسائس الأمة والعباد؟</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نعم لا شك في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يدبّر أمر الأمة ويحفظ نظام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فردًا معيّنًا وشخصًا خاصًّا جُعِل له هذا المنصب؛ بل المراد هو أصل شرعية الدولة وضرورة إقامة الحكم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ستأتي الإشارة إلى أمر في الأبحاث القادمة، وهو أنّه لا شك في أنّ هذه الولاية تحتاج إلى وليّ وأنّ هذا الوليّ يجب أن ييتّصف بأوصاف معلومة مبينة، ويجب أن يكون منصوبًا من قبل الشارع لتولّي هذه المسؤولية العظيمة، وهو الفقيه المدير المدبّر العادل الشجاع</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2517404_653776707"/>
      <w:bookmarkStart w:id="208" w:name="_Toc78"/>
      <w:bookmarkEnd w:id="207"/>
      <w:r>
        <w:rPr>
          <w:rtl w:val="true"/>
        </w:rPr>
        <w:t>المسألة الثالثة</w:t>
      </w:r>
      <w:r>
        <w:rPr>
          <w:rtl w:val="true"/>
        </w:rPr>
        <w:t xml:space="preserve">: </w:t>
      </w:r>
      <w:r>
        <w:rPr>
          <w:rtl w:val="true"/>
        </w:rPr>
        <w:t>رواية الفضل بن شاذان وضرورة إقامة الحكم الإسلامي</w:t>
      </w:r>
      <w:bookmarkEnd w:id="208"/>
    </w:p>
    <w:p>
      <w:pPr>
        <w:pStyle w:val="Heading5"/>
        <w:numPr>
          <w:ilvl w:val="4"/>
          <w:numId w:val="1"/>
        </w:numPr>
        <w:rPr/>
      </w:pPr>
      <w:bookmarkStart w:id="209" w:name="__RefHeading___Toc2517406_653776707"/>
      <w:bookmarkStart w:id="210" w:name="_Toc79"/>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 xml:space="preserve">من الوجوه المستدلّ بها على ضرورة إقامة الحكم الإسلامي رواية الفضل بن شاذان المروية في علل الشرائع وعيون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فيها لبيان علل تعيين أولي الأمر، ومبرّرات الأمر بطاعتهم</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2517408_653776707"/>
      <w:bookmarkStart w:id="212" w:name="_Toc80"/>
      <w:bookmarkEnd w:id="211"/>
      <w:r>
        <w:rPr>
          <w:rtl w:val="true"/>
        </w:rPr>
        <w:t>سند الحديث</w:t>
      </w:r>
      <w:r>
        <w:rPr>
          <w:rtl w:val="true"/>
        </w:rPr>
        <w:t>:</w:t>
      </w:r>
      <w:bookmarkEnd w:id="212"/>
    </w:p>
    <w:p>
      <w:pPr>
        <w:pStyle w:val="BookText"/>
        <w:rPr/>
      </w:pPr>
      <w:r>
        <w:rPr>
          <w:rFonts w:ascii="Amiri" w:hAnsi="Amiri" w:eastAsia="Amiri" w:cs="Amiri"/>
          <w:color w:val="111111"/>
          <w:sz w:val="28"/>
          <w:sz w:val="28"/>
          <w:szCs w:val="28"/>
          <w:rtl w:val="true"/>
          <w:lang w:bidi="ar-SA"/>
        </w:rPr>
        <w:t>قال الصدوق في علل الشرائع حدّثني عبد الواحد بن محمد بن عبدوس النيسابوري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محمد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الفضل بن شاذان النيسابوري</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في العيون بالسند نفسه، كما رواه بسندٍ آخر عن أبي محمد جعفر بن نعيم بن شاذان، عن أبي عبد الله محمد بن شاذان، عن الفضل بن شاذان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هذه العلل عن مولاي أبي الحسن ابن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فجمعتها متفرّقة وألفّتها</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والحديث طويل، نذكر منه موضع الحاجة وهو وجوه ثلاثة يبيّن ويشرح فيها أدلة تدلّ على أنّها لا تختصّ بإمامة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العلل المذكورة فيها عامّة لكل زمان، تشمل عصر الغيبة؛ بل تشمل زمن عدم بسط يد المعصوم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أولي الأمر وأمر بطاعتهم؟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كثيرة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الخلق لمِّا وقفوا على حدٍّ محدود وأُمِروا أن لا يتعدَّوا تلك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فيه من فسادهم لم يكن يثبت ذلك ولا يقوم إلا بأن يجعل عليهم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أمينًا يأخذهم بالوقف عند ما أُبيح لهم، ويمنعهم من التعدّي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والدخول فيما –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حُظِر عليهم؛ لأنّه لو لم يكن ذلك لكان أحدٌ لا يَتْرُك لذّته ومنفعته لفساد غيره، فجُعِل عليهم 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 –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يمنعهم من الفساد ويقيم فيهم الحدود والأحكام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أنّا لا نجد فرقة من الفرق ولا ملّة من الملل بقوا وعاشوا، إلا بقيّم ورئيس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لهم منه في أمر الدين والدنيا، فلم يَجُز في حكمة الحكيم أن يترك الخلق ممّا يعلم أنه لا بدّ لهم منه ولا قوام لهم إلاّ به، فيقاتلون به عدوّهم ويقسمون به فيئهم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يقسمون فيئهم –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ويقيمون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ويقيم لهم –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جمعتهم وجماعتهم، ويمنع ظالمهم من مظلومهم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أنه لو لم يجعل لهم إمامًا قيمًا أمينًا حافظًا مستودعًا لدُرست الملّة، وذهب الدين وغُيرت السنن والأحكام، ولزاد فيه المبتدعون ونقص منه الملحدون وشبّهوا ذلك على المسلمين؛ إذ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 العيون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وجدنا الخلق منقوصين محتاجين غير كاملين، مع اختلافهم واختلاف أهوائهم وتشتّت حالاتهم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أنحائهم –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لم يجعل لهم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قيمًا حافظًا لما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لفسدوا على نحو ما بينّاه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وغُيِّرت الشرائع والسنن والأحكام والإيمان، وكان في ذلك فساد الخلق أجمعين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بحث في 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إلى اعتبار الحديث عددٌ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جهة الطريق الأول فإنّ عبد الواحد بن محمد بن عبدوس وإن كان مجهولًا، بحسب وجهة نظر السيد الخوئي</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ولكنّه من مشايخ الصدوق، وهو يروي عنه كثيرًا، ويترضّى عليه، فهذه القرائن تدلّ على ثقته به واعتماده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 بأن نقل الرواية عن الشخص لا يدل على وثاقته ولا على توثيقه؛ لأنّ الراوي قد يستند إلى أصالة العدالة فيروي عمّن لا يعرف وثاقته، فهذا محلّ منع ونقاش 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نرى أنّ كثرة النقل عن شخصٍ دليلٌ كافٍ لإثبات وثاقته عند من يكثر النقل عنه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أمّا علي بن محمد بن قتيبة النيسابوري فعدّه النجاشي صاحب الفضل بن شاذان وراوي كتبه، وقال في ترجمته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أبو عمرو الكشي عليه في كتاب الرجال،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فهو من العلماء في نقل الحديث، وتلميذ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تلميذ الفضل بن شاذان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العلامة بصحة روايته، فلا يبعد أن ذلك كله يكشف عن وثاقته؛</w:t>
      </w:r>
      <w:r>
        <w:rPr>
          <w:rStyle w:val="FootnoteAnchor"/>
          <w:rtl w:val="true"/>
        </w:rPr>
        <w:footnoteReference w:id="76"/>
      </w:r>
      <w:r>
        <w:rPr>
          <w:rFonts w:ascii="IRNazanin" w:hAnsi="IRNazanin" w:eastAsia="IRNazanin"/>
          <w:color w:val="111111"/>
          <w:sz w:val="28"/>
          <w:sz w:val="28"/>
          <w:szCs w:val="28"/>
          <w:rtl w:val="true"/>
          <w:lang w:bidi="fa-IR"/>
        </w:rPr>
        <w:t>بل جلالته وإن ذهب بعض إلى عدم اعتباره</w:t>
      </w:r>
      <w:r>
        <w:rPr>
          <w:rFonts w:eastAsia="IRNazanin" w:cs="IRNazanin"/>
          <w:color w:val="111111"/>
          <w:sz w:val="28"/>
          <w:szCs w:val="28"/>
          <w:rtl w:val="true"/>
          <w:lang w:bidi="fa-IR"/>
        </w:rPr>
        <w:t>.</w:t>
      </w:r>
      <w:r>
        <w:rPr>
          <w:rStyle w:val="FootnoteAnchor"/>
          <w:rtl w:val="true"/>
        </w:rPr>
        <w:footnoteReference w:id="7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جهة الطريق الثاني فإنّ في سند 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نعيم </w:t>
      </w:r>
      <w:bookmarkStart w:id="213" w:name="pg8686_123571"/>
    </w:p>
    <w:p>
      <w:pPr>
        <w:pStyle w:val="BookText"/>
        <w:rPr/>
      </w:pPr>
      <w:bookmarkEnd w:id="213"/>
      <w:r>
        <w:rPr>
          <w:rFonts w:ascii="Amiri" w:hAnsi="Amiri" w:eastAsia="Amiri" w:cs="Amiri"/>
          <w:color w:val="111111"/>
          <w:sz w:val="28"/>
          <w:sz w:val="28"/>
          <w:szCs w:val="28"/>
          <w:rtl w:val="true"/>
          <w:lang w:bidi="ar-SA"/>
        </w:rPr>
        <w:t>بن شاذان، وهو من مشايخ الصدوق يروي عنه مترضيًا عليه، كما عن الوحيد البهبهاني ومحمد بن شاذان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مرجعًا للناس، قد عدّه ابن طاووس من وكلاء الناحيه، كان يعيش في زمانالغيبة الصغرى وقد يروي عنه الكشي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كون الرجل شيعيًّا إماميًّا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جهة الوثاقة، فلا يبعد إمكان الاعتماد على هذه القرائن والحكم بالوثاقة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ذهب بعض أصحابنا الرجاليّين إلى خلاف هذا الرأي</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وأمّا الفضل بن شاذان النيسابوري الراوي الأوّل للحديث، فهو من الأجلّة ومن عظماء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قدره أشهر من أن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صنّف مئة وثمانين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شيء وهو أنّ الفضل على ما ذكره الشيخ في رجاله من أصحاب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يروي هذا الحديث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يُجاب بأنّه أدرك عصر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شبابه، وكان ممّن يحضر مجلسه في خراسان، فلا مانع يمنع من روايته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تُوفِّي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سنة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Style w:val="FootnoteAnchor"/>
          <w:rtl w:val="true"/>
        </w:rPr>
        <w:footnoteReference w:id="79"/>
      </w:r>
    </w:p>
    <w:p>
      <w:pPr>
        <w:pStyle w:val="Heading5"/>
        <w:numPr>
          <w:ilvl w:val="4"/>
          <w:numId w:val="1"/>
        </w:numPr>
        <w:rPr/>
      </w:pPr>
      <w:bookmarkStart w:id="214" w:name="__RefHeading___Toc2517410_653776707"/>
      <w:bookmarkStart w:id="215" w:name="_Toc81"/>
      <w:bookmarkEnd w:id="214"/>
      <w:r>
        <w:rPr>
          <w:rtl w:val="true"/>
        </w:rPr>
        <w:t>البحث في دلالة الحديث</w:t>
      </w:r>
      <w:r>
        <w:rPr>
          <w:rtl w:val="true"/>
        </w:rPr>
        <w:t>:</w:t>
      </w:r>
      <w:bookmarkEnd w:id="215"/>
    </w:p>
    <w:p>
      <w:pPr>
        <w:pStyle w:val="BookText"/>
        <w:rPr/>
      </w:pPr>
      <w:r>
        <w:rPr>
          <w:rFonts w:ascii="Amiri" w:hAnsi="Amiri" w:eastAsia="Amiri" w:cs="Amiri"/>
          <w:color w:val="111111"/>
          <w:sz w:val="28"/>
          <w:sz w:val="28"/>
          <w:szCs w:val="28"/>
          <w:rtl w:val="true"/>
          <w:lang w:bidi="ar-SA"/>
        </w:rPr>
        <w:t xml:space="preserve">هذا الحديث وإن كان بظاهره في مقام بيان أدلّة الإمامة وولاية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العلل والوجوه المذكورة فيه لا تختص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بزمن حضورهم وبسط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تشمل عصر غيبتهم وحصرهم وحبسهم في جميع الأعصار، فيدلّ الحديث على لزوم الدولة الإسلامية وضرورة وجودها في عصر الغيبة أيضًا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حاصل الوجه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لزوم التحفّظ على الأحكام </w:t>
      </w:r>
    </w:p>
    <w:p>
      <w:pPr>
        <w:pStyle w:val="BookText"/>
        <w:rPr/>
      </w:pPr>
      <w:r>
        <w:rPr>
          <w:rFonts w:ascii="IRNazanin" w:hAnsi="IRNazanin" w:eastAsia="IRNazanin"/>
          <w:color w:val="111111"/>
          <w:sz w:val="28"/>
          <w:sz w:val="28"/>
          <w:szCs w:val="28"/>
          <w:rtl w:val="true"/>
          <w:lang w:bidi="fa-IR"/>
        </w:rPr>
        <w:t>الإلزامية، وإعطاء كلّ ذي حقّ حقّه، وتأديب من يريد التعدّي عن حدّه ومنعه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العلّة بعينها موجودة في زمن الغيبة، فيجب الحكم بضرورة الدولة الإسلامية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وحاصل الوجه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المسلمين كسائر الفرق محتاجون في أمر دينهم وديناهم إلى قيّم ورئيس يقاتلون عدوّهم تحت لوائه، ويقيم هذا القيّم جُمعتهم وجماعتهم فلم يجز في حكمة الحكيم أن يُترك المسلمون، مما يعلم أنّه لا بدّ لهم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العلة بعينها محقّقة في زمن الغيبة فلا بدّ في حكمة الله الحكيم أن لا يتركهم ممّا لا بدّ لهم منه، وهو جعل الحكومة والولاية الإلهية لهم وعليهم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وحاصل 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يكن الإمام لدرست الملّة، وذهب الدين، وغُيِّرت الشريعة وشبّه أمر الدين على المسلمين، وكان في مثل ذلك فساد الناس، فالإمام حافظ للدين من التغيير والتحريف والاندراس والبدعة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العلة بعينها تقضي بضرورة الإمامة والنظام السياسي الإسلامي لئلا يقع هذا الفساد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فبالتأمّل في هذه العلل والأسرار الثابتة والعامّة والشاملة لكل الأعصار والأمصار يظهر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لاحتمال أن يُقال هذه العلل خاصّة بعصر حضور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وزمان بسط أيديهم، ولا تتعدّى إلى غيره من الأزمان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هذه العلل والحِكم ترجع إلى أمور مستمرّة باقية في المجتمع البشري وأمور لا بدّ منها كحفظ الأحكام وتنفيذها ومنع الظالمين والعاصين والأعداء من الفساد والتعدّي والعداوة، فهذه العلل الدائمة والباقية مقتضية للولاية، فلا وجه بعد الغيبة الكبرى أن لا يشرع الشارع الحكيم الولايةَ، وأن لا يدعو إلى إقامة الدولة ولو على يد 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هذه العلل واستمرارها في عصر الغيبة؛ فلا بدّ من القول على نحو المنفصلة الحقيقية بحسب اصطلاح المناطقة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القول بضرورة إقامة الدولة الإسلامية ولو بيد غير المعصوم، وهذا هو مقتضى الحكمة الإلهية، وإمّا من الاعتقاد بترك هذه العلل وتجاهلها فيُفسح المجال للطواغيت وعبدة الشيطان والضالّين المضلّين؛ليحكموا الخلق ويهلِكوا الحرث والنسل ويفسدوا في الأرض، ويظلموا عباد الله ويخرّبوا المساجد ويبثّوا الرذائل والفواحش والمنكرات، ويتعدّوا حدود الله ويسفكوا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للحكيم أن يرضى بالثاني ويترك الأول؟ مع أن ضرورة العقل تراه منافيًا للحكمة الإلهية ومنافيًا لكثير من آيات القرآن الدالّة على وجوب الكفر بالطاغوت، والنهي عن الفحشاء والمنكر، والمنع عن البغي والفساد، والناهية عن الركون إلى الظالمين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يرى العقل إلّا وجوب الاختيار بين أحد هذين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اعتماد الخيار الأوّل والحُكم بأنّ ما لا يدرك كلّه لا يترك جلّه، والميسور لا يسقط بالمعسور، والضرورات تقدّر بقدرها كما بُيِّن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افتراض أنّ الناس بأنفسهم عاملون بالوظائف الإسلامية حافظين لها، لا يتعدّون ولا يظلمون، وقد بلغت قدرتهم إلى حدّ لا يتجرّأ عدوّهم على الهجوم عليهم، وبالتالي هم مستغنون عن الدولة ولا يحتاجون إليها، وهذا كما هو واضحٌ توهّم محض، وهو فرضٌ خيالي لا واقع له، فإنّ الإنسان بحسب طبعه وفطرته وجبلّته وغرائزه بحاجة إلى الحكومة وإلى قيّمٍ وأمينٍ يقوم بهذه الوظائف الأساسية ويُشرف على حفظها والالتزام بها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لاريب في تمامية الحديث ودلالته على المدّعى، أضف إلى ذلك كلّه أن مدلول هذا الحديث والعلل المذكورة فيها يتوافق بالكامل مع ما يحكم به العقل، ومع البراهين العقلية الدالّة على ضرورة إقامة الدولة الإسلامية، فمضمون الحديث إرشاد إلى حكم العقل فيجب الأخذ به، ولو نوقش في سند الحديث أو قيل إنّه ورد في شأن الأئمة الهداة المهديّين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216" w:name="pg8686_123580"/>
    </w:p>
    <w:p>
      <w:pPr>
        <w:pStyle w:val="BookText"/>
        <w:rPr/>
      </w:pPr>
      <w:bookmarkEnd w:id="216"/>
      <w:r>
        <w:rPr>
          <w:rFonts w:ascii="Amiri" w:hAnsi="Amiri" w:eastAsia="Amiri" w:cs="Amiri"/>
          <w:color w:val="111111"/>
          <w:sz w:val="28"/>
          <w:sz w:val="28"/>
          <w:szCs w:val="28"/>
          <w:rtl w:val="true"/>
          <w:lang w:bidi="ar-SA"/>
        </w:rPr>
        <w:t>فإنّ هذه المناقشات لا تمنع عن التمسك بمضمونه والاستفادة منه، فإنه يخبر عن الضرورات العقلية في المسألة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2517412_653776707"/>
      <w:bookmarkStart w:id="218" w:name="_Toc82"/>
      <w:bookmarkEnd w:id="217"/>
      <w:r>
        <w:rPr>
          <w:rtl w:val="true"/>
        </w:rPr>
        <w:t>المسألة الرابعة</w:t>
      </w:r>
      <w:r>
        <w:rPr>
          <w:rtl w:val="true"/>
        </w:rPr>
        <w:t xml:space="preserve">: </w:t>
      </w:r>
      <w:r>
        <w:rPr>
          <w:rtl w:val="true"/>
        </w:rPr>
        <w:t>الخطبة الفدكية وضرورة إقامة الحكم الإسلامي</w:t>
      </w:r>
      <w:bookmarkEnd w:id="218"/>
    </w:p>
    <w:p>
      <w:pPr>
        <w:pStyle w:val="Heading5"/>
        <w:numPr>
          <w:ilvl w:val="4"/>
          <w:numId w:val="1"/>
        </w:numPr>
        <w:rPr/>
      </w:pPr>
      <w:bookmarkStart w:id="219" w:name="__RefHeading___Toc2517414_653776707"/>
      <w:bookmarkStart w:id="220" w:name="_Toc83"/>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الفدكية وضرورة إقامة الحكم الإسلامي</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من المبرّرات التي يُستند إليها لإثبات ضرورة إقامة الدولة الإسلامية، النظر في علّة تشريع الإمامة بحسب الخطبة الفدكية المنسوبة إلى الصديقة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إنّ المضمون نفسه يمكن ملاحظته في في بعض حكم نهج البلاغة المنقولة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الخطبة الفدكية فهي 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رواها الصدوق</w:t>
      </w:r>
      <w:r>
        <w:rPr>
          <w:rStyle w:val="FootnoteAnchor"/>
          <w:rtl w:val="true"/>
        </w:rPr>
        <w:footnoteReference w:id="81"/>
      </w:r>
      <w:r>
        <w:rPr>
          <w:rFonts w:ascii="Amiri" w:hAnsi="Amiri" w:eastAsia="Amiri" w:cs="Amiri"/>
          <w:color w:val="111111"/>
          <w:sz w:val="28"/>
          <w:sz w:val="28"/>
          <w:szCs w:val="28"/>
          <w:rtl w:val="true"/>
          <w:lang w:bidi="ar-SA"/>
        </w:rPr>
        <w:t xml:space="preserve">عن محمد بن موسى بن المتوكل عن علي بن الحسين السعد آبادي عن أحمد بن أبي عبد الله البرقي عن أبيه عن إسماعيل بن مهران عن أحمد بن محمد الخزاعي، عن محمد بن جابر عن عبّاد العامري عن زينب بنت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خطبتها في معنى فدك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قدّمه إليكم وبقية استخلفها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بينة بصائره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الله الإيمان تطهيرًا من الشرك، والصلاة تنزيهًا عن الكبر، والزكاة زيادة في الرزق، والصيام تبيينًا للإخلاص، والحج تسنية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تشييدًا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والعدل تسكينًا للقلوب، والطاعة نظامًا للملّة، والإمامة لَمًّا من الفرقة، والجهاد عزًّا للإسلام</w:t>
      </w:r>
      <w:r>
        <w:rPr>
          <w:rFonts w:eastAsia="Amiri" w:cs="Amiri" w:ascii="Amiri" w:hAnsi="Amiri"/>
          <w:color w:val="111111"/>
          <w:sz w:val="28"/>
          <w:szCs w:val="28"/>
          <w:rtl w:val="true"/>
          <w:lang w:bidi="ar-SA"/>
        </w:rPr>
        <w:t>».</w:t>
      </w:r>
      <w:r>
        <w:rPr>
          <w:rStyle w:val="FootnoteAnchor"/>
          <w:rtl w:val="true"/>
        </w:rPr>
        <w:footnoteReference w:id="82"/>
      </w:r>
    </w:p>
    <w:p>
      <w:pPr>
        <w:pStyle w:val="Heading5"/>
        <w:numPr>
          <w:ilvl w:val="4"/>
          <w:numId w:val="1"/>
        </w:numPr>
        <w:rPr/>
      </w:pPr>
      <w:bookmarkStart w:id="221" w:name="__RefHeading___Toc2517416_653776707"/>
      <w:bookmarkStart w:id="222" w:name="_Toc84"/>
      <w:bookmarkEnd w:id="221"/>
      <w:r>
        <w:rPr>
          <w:rtl w:val="true"/>
        </w:rPr>
        <w:t>سند الخطبة</w:t>
      </w:r>
      <w:r>
        <w:rPr>
          <w:rtl w:val="true"/>
        </w:rPr>
        <w:t>:</w:t>
      </w:r>
      <w:bookmarkEnd w:id="22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رجال السند لا بأس بهم إلى إسماعيل بن مهران، وأمّا إسماعيل بن مهران بن أبي نصر السكوني أيضًا نفسه، فثقة معتمدٌ عليه، وبحسب </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روايته عن الضعفاء كان لاعتبار كتبهم كالسكوني والأقوى عندي الاعتماد على روايته</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وأما أحمد بن محمد الخزاعي ومحمد بن جابر فغير مذكورين في كتبنا الرجاليّة واستظهر المحقق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روضة المتّقين ويرى أنهما من رجال العامّة وأن إسماعيل بن مهران روى هذا الخبر من طرقهم لإثبات جواز اللعن، واعتراض ابن الغضائري عليه فوجهه ظاهر وهو النقل عنهم فلا بأس به فالخبر قويٌّ لاحتمال كونهما عنده ثقتين لكن لا نعرف حالهما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احتمال الوثاقة لا يكفي لإثباتها وقوّة الخبر،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إن اعتماد الأجلّاء على الرواية يكفي لإثبات الاعتبار، ثانيًا إن الأصل عند العقلاء خاصة في الأمور المهمة هو إمّا نقل الثقة عن الثقات وإمّا الاطمئنان والاعتماد بالخبر لاحتفافه بالقرائن، ولا يخرج عن هذا الأصل إلا مع وجود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كلّه أن الخطبة الفدكية عند الطائفة وصلت إلى حدّ من الشهرة والاعتبار، بحيث يُستغنى بشهرتها عن المناقشة في سندها، حتّى إنّه يمكن عدّها من العقائد الإمامية، ومضامينها ومداليلها مؤيّدة بسائر الأدلّة النقلية والعقلية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ما رُوي في نهج البلاغة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المضمون وهو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الإيمان تطهيرًا من الشرك والصلاة تنزيهًا عن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والإمامة نظامًا للأمة والطاعة تعظيمًا للإمامة</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بعض نسخ نهج البلاغة، وردت هذه العبارة على هذا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والأمانة نظامًا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النسخة يكون الحديث أجنبيًّا عن المقام؛ ولكن القرائن المتوفّرة في نفس الحديث تؤيّد النقل الأول كما لا يخفى</w:t>
      </w:r>
      <w:r>
        <w:rPr>
          <w:rFonts w:eastAsia="Amiri" w:cs="Amiri" w:ascii="Amiri" w:hAnsi="Amiri"/>
          <w:color w:val="111111"/>
          <w:sz w:val="28"/>
          <w:szCs w:val="28"/>
          <w:rtl w:val="true"/>
          <w:lang w:bidi="ar-SA"/>
        </w:rPr>
        <w:t xml:space="preserve">. </w:t>
      </w:r>
      <w:bookmarkStart w:id="223" w:name="pg8686_123586"/>
    </w:p>
    <w:p>
      <w:pPr>
        <w:pStyle w:val="Heading5"/>
        <w:numPr>
          <w:ilvl w:val="4"/>
          <w:numId w:val="1"/>
        </w:numPr>
        <w:rPr/>
      </w:pPr>
      <w:bookmarkStart w:id="224" w:name="__RefHeading___Toc2517418_653776707"/>
      <w:bookmarkStart w:id="225" w:name="_Toc85"/>
      <w:bookmarkEnd w:id="223"/>
      <w:bookmarkEnd w:id="224"/>
      <w:r>
        <w:rPr>
          <w:rtl w:val="true"/>
        </w:rPr>
        <w:t>دلالة الخطبة</w:t>
      </w:r>
      <w:r>
        <w:rPr>
          <w:rtl w:val="true"/>
        </w:rPr>
        <w:t>:</w:t>
      </w:r>
      <w:bookmarkEnd w:id="225"/>
    </w:p>
    <w:p>
      <w:pPr>
        <w:pStyle w:val="BookText"/>
        <w:rPr/>
      </w:pPr>
      <w:r>
        <w:rPr>
          <w:rFonts w:ascii="Amiri" w:hAnsi="Amiri" w:eastAsia="Amiri" w:cs="Amiri"/>
          <w:color w:val="111111"/>
          <w:sz w:val="28"/>
          <w:sz w:val="28"/>
          <w:szCs w:val="28"/>
          <w:rtl w:val="true"/>
          <w:lang w:bidi="ar-SA"/>
        </w:rPr>
        <w:t>تعدُّ الصدّيقة الكبرى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واحدة من الفرائض الإلهية؛ وتقول في بيان علّة هذه الفريضة إن الله جعل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الإمامة لمًّا من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بفتح اللام تدلّ على اجتماع ومقاربة ومضامّة،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لمُمتُ شَعَثهُ إذا ضَممتَ ما كان من حاله متشعّثًا منتشرًا</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فبمقتضى هذا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الموجب والباعث والعلّة الأساس لفرض الإمامة وتشريعها هو أنّها تجمع أمر الأمّة وتلمّ شعثها وترفع عنها التشتت والتفرّق الموجود بين الطوائف والأحزاب والتّيارات في المجتمع الإسلامي وتغيّرها إلى الوحدة وتجعلها أمة واحدة فلَمُّ الأمة علّة لفرض الإمامة وتشريعها، وهذه العلّة لا تختصّ بعصر حضور المعصوم وبسط يده؛ بل الأمّة في عصر الغيبة وقبض اليد بحاجة ملّحة إلى الوحدة وعدم الافتراق أيضًا، فإنّها من المصالح الملزمة المطلوبة للشارع الحكيم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ريب في أنّ الوصول إلى الاجتماع والوحدة وتجنّب الفرقة والتشعّب بحاجة إلى دولة قوية تقوم بهذه المهمّة، وتكون ولايتها وإمامة أمرها أولا وبالذات بيد الإمام المعصوم فهو المطلوب الأول، وإن لم يمكن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لمصلحة الغيبة أو لمنع الظلمة والغاصبين، يجب على الشارع سدّ هذه الحاجة بدولة أخرى تكون زعامتها تحت راية غير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يلخّص الاستدلال في مقدّمات،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الإسلامية في كل زمان ومكان محتاجة إلى اللَمّ والوحدة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اللمّ والوحدة الإسلامية لا تتحقق إلا بالدولة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إقامة الدولة الإسلامية في جميع الأزمنة والأمكنة، ولو كانت بزعامة غير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للإمامة وضرورتها علل وحِكم أخرى بعضها يختصّ بالمعصوم وحده </w:t>
      </w:r>
      <w:bookmarkStart w:id="226" w:name="pg8686_123589"/>
    </w:p>
    <w:p>
      <w:pPr>
        <w:pStyle w:val="BookText"/>
        <w:rPr/>
      </w:pPr>
      <w:bookmarkEnd w:id="226"/>
      <w:r>
        <w:rPr>
          <w:rFonts w:ascii="Amiri" w:hAnsi="Amiri" w:eastAsia="Amiri" w:cs="Amiri"/>
          <w:color w:val="111111"/>
          <w:sz w:val="28"/>
          <w:sz w:val="28"/>
          <w:szCs w:val="28"/>
          <w:rtl w:val="true"/>
          <w:lang w:bidi="ar-SA"/>
        </w:rPr>
        <w:t>من دونٍ بديل له؛ لأنّ غير المعصوم لا يستطيع القيام بها كتفسير باطن القرآن وبيان جميع الأحكام الواقعية والتشريعات الإلهية؛ ولكن محلّ البحث هو في العلل والحِكم التي يستحيل تعطيلها، فمع عدم التمكّن من المعصوم يجب على غيره القيام به وبما أنّ لزوم الوحدة وحرمة الافتراق، وضرورة إقامة الدولة مقدّمة لتحقّق الوحدة من الأحكام الواضحة للعقل العملي، فيكون ما ورد في هذا الحديث إرشادًا إلى هذا الحكم العقلي ولا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مصلحة الوحدة ومفسدة التفرّق والتشعّب من الأمور الضرورية الواضحة؛ ولكن تحقّق هذه الوحدة لا تنحصر بالدولة الإسلامية فإنّ كل مجتمع وكل أمة بحاجة إلى الوحدة، وهذه المصلحة تتحقّق بأيّ نظامٍ سياسيٍّ يؤمّن الوحدة ويجنّب الأمّة الفرقة؛ حتّى لو لم يكن دولةً إسلاميّةً، وبناء على هذا الاعتراض يكون الدليل أعمّ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الردّ على هذا الاعتراض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المطلوب تحقّق الوحدة أيًّا ما كانت، وكيفما كانت، وبأي طريق وآلة وصلنا إليها، ولو كانت تحت ظلال السيوف وارتكاب المظالم والمفاسد؛ بل المراد الوحدة المطلوبة في الأمّة الإسلامية وفقًا للحدود الإلهية وبطريقة وأسلوب منسجمٍ مع التشريعات الإسلامية، وهذا أمر لا يمكن لأيّ دولةٍ القيام بها إلا إذا كانت دولة شرعية لها ولاية معطاةٌ من الله تعالى، وهذا الحديث يشير إلى هذه النكتة بقولها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محلّ الكلام هو الإمامة التي تعدّ من الفرائض الإلهية، لا إمامة الطواغيت والشياطين وعبدة الأوثان والأهواء القائلين بالعلمانية، وعدم تدخل الدين في السياسية المنكرين للربوبية التشريعية الإلهية</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2517420_653776707"/>
      <w:bookmarkStart w:id="228" w:name="_Toc86"/>
      <w:bookmarkEnd w:id="227"/>
      <w:r>
        <w:rPr>
          <w:rtl w:val="true"/>
        </w:rPr>
        <w:t>المسألة الخامسة</w:t>
      </w:r>
      <w:r>
        <w:rPr>
          <w:rtl w:val="true"/>
        </w:rPr>
        <w:t xml:space="preserve">: </w:t>
      </w:r>
      <w:r>
        <w:rPr>
          <w:rtl w:val="true"/>
        </w:rPr>
        <w:t xml:space="preserve">الحاجة إلى الدولة في كلام أمير المؤمنين </w:t>
      </w:r>
      <w:r>
        <w:rPr>
          <w:rtl w:val="true"/>
        </w:rPr>
        <w:t>(</w:t>
      </w:r>
      <w:r>
        <w:rPr>
          <w:rtl w:val="true"/>
        </w:rPr>
        <w:t>عَلَيْهِ السَّلاَمُ</w:t>
      </w:r>
      <w:r>
        <w:rPr>
          <w:rtl w:val="true"/>
        </w:rPr>
        <w:t xml:space="preserve">) </w:t>
      </w:r>
      <w:r>
        <w:rPr>
          <w:rtl w:val="true"/>
        </w:rPr>
        <w:t>في الردّ على الخوارج</w:t>
      </w:r>
      <w:bookmarkEnd w:id="22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سمع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مقام الردّ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كلمة حقٍّ يُراد بها الباطل، نعم إنّه لا حكم إلا </w:t>
      </w:r>
    </w:p>
    <w:p>
      <w:pPr>
        <w:pStyle w:val="BookText"/>
        <w:rPr/>
      </w:pPr>
      <w:r>
        <w:rPr>
          <w:rFonts w:ascii="Amiri" w:hAnsi="Amiri" w:eastAsia="Amiri" w:cs="Amiri"/>
          <w:color w:val="111111"/>
          <w:sz w:val="28"/>
          <w:sz w:val="28"/>
          <w:szCs w:val="28"/>
          <w:rtl w:val="true"/>
          <w:lang w:bidi="ar-SA"/>
        </w:rPr>
        <w:t>لله؛ ولكنّ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 إلا لله وإنّه لا بدّ للناس من أمير برّ أو فاجر</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يبيّن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المنقول عنه في الردّ على شعار الخوارج أنّ الناس لا بدّ لهم في معيشتهم من أمير برّ أو فاجر؛ لكي يقوم بالوظائف والمصالح، وهذه اللابدّية عامّةٌ لجميع الأزمنة والأمكنة، تشمل زمن الغيبة أيضًا وبما أنّ إمارة الفاجر، غير مشروعة ويمنع عنها الكتاب والسنة وتحسب من الطاغوت التي أمر القرآن بالكفر بها، فلا يبقى إلا أمارة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تعبير آخر عن الدولة المشروعة الإسلامية وإن كانت ولايتها تحت أمر غير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اخر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هذا الحديث وطريقته في التعبير بحسب مصطلحات المناطقة، لسان القضية المنفصلة الحقيقيّة، ويبيّن بعد ضرورة أصل السلطة السياسية أن الإمارة إمّا برّة وإمّا فاجرة؛ لكنّ الإمارة الفاجرة غير شرعية، ولا مشروعة لا في العقل ولا عند الشرع ولا يقرّ العقلاء لها بأهلية التصرّف وممارسة السلطة، فيبقى الخيار الآخر وهو إمارة البرّ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منضمًّا إلى سائر الأدلة من الكتاب والسنّة وإن كان يفيد أنّ الإمارة المشروعة منحصرة في إمارة البرّ؛ ولكنّ لسان الحديث لسان إخبار والجملة جملة خبريّة، وليس فيها إنشاء حكمٍ شرعيٍّ يقضي بضرورة تأمير البرّ، وتأسيس 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ينفع في الاستدلال هو استفادة الإنشاء والطلب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هذا الحديث وسائر الأدلة من الكتاب والسنة أن الدولة الفاجرة محرّمة منهيٌّ عنها شرعًا؛ بل يجب الوقوف في وجهها لأنّها طاغوت، وولاية الطاغوت غير معترفٍ بها، ولا يجوز الركون إليها، ولا تجوز </w:t>
      </w:r>
    </w:p>
    <w:p>
      <w:pPr>
        <w:pStyle w:val="BookText"/>
        <w:rPr/>
      </w:pPr>
      <w:r>
        <w:rPr>
          <w:rFonts w:ascii="Amiri" w:hAnsi="Amiri" w:eastAsia="Amiri" w:cs="Amiri"/>
          <w:color w:val="111111"/>
          <w:sz w:val="28"/>
          <w:sz w:val="28"/>
          <w:szCs w:val="28"/>
          <w:rtl w:val="true"/>
          <w:lang w:bidi="ar-SA"/>
        </w:rPr>
        <w:t>طاعتها، وبين الإمارتين تضادٌّ بين ضدّين لا يخلو الواقع من أحدهما، ونفي أحد الضدّين يعني في هذه الحالة ثبوت الضدّ الآخر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هناك وجوهًا أخرى كصحيحة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والحج والصوم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من ذلك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أفضل؛ لأنّها مفتاحهنّ والوالي هو الدليل عليهنّ </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واستُدلّ بها لإثبات المدّعي وهي بحاجة إلى الدراسة والتأمّل في مفادها ولا نتعرّض لها لعدم البناء على التفصيل، ومن أراد المزيد يمكنه مراجعة سائر المصادر</w:t>
      </w:r>
      <w:r>
        <w:rPr>
          <w:rFonts w:eastAsia="Amiri" w:cs="Amiri" w:ascii="Amiri" w:hAnsi="Amiri"/>
          <w:color w:val="111111"/>
          <w:sz w:val="28"/>
          <w:szCs w:val="28"/>
          <w:rtl w:val="true"/>
          <w:lang w:bidi="ar-SA"/>
        </w:rPr>
        <w:t>.</w:t>
      </w:r>
      <w:r>
        <w:rPr>
          <w:rStyle w:val="FootnoteAnchor"/>
          <w:rtl w:val="true"/>
        </w:rPr>
        <w:footnoteReference w:id="89"/>
      </w:r>
      <w:bookmarkStart w:id="229" w:name="pg8686_123598"/>
    </w:p>
    <w:p>
      <w:pPr>
        <w:pStyle w:val="Heading3"/>
        <w:numPr>
          <w:ilvl w:val="2"/>
          <w:numId w:val="1"/>
        </w:numPr>
        <w:rPr/>
      </w:pPr>
      <w:bookmarkStart w:id="230" w:name="__RefHeading___Toc2517422_653776707"/>
      <w:bookmarkStart w:id="231" w:name="_Toc87"/>
      <w:bookmarkEnd w:id="229"/>
      <w:bookmarkEnd w:id="230"/>
      <w:r>
        <w:rPr>
          <w:rtl w:val="true"/>
        </w:rPr>
        <w:t>الفصل الرابع</w:t>
      </w:r>
      <w:r>
        <w:rPr>
          <w:rtl w:val="true"/>
        </w:rPr>
        <w:t xml:space="preserve">: </w:t>
      </w:r>
      <w:r>
        <w:rPr>
          <w:rtl w:val="true"/>
        </w:rPr>
        <w:t>الأدلة المعارضة لضرورة إقامة الحكم الإسلامي</w:t>
      </w:r>
      <w:bookmarkEnd w:id="231"/>
    </w:p>
    <w:p>
      <w:pPr>
        <w:pStyle w:val="Heading4"/>
        <w:numPr>
          <w:ilvl w:val="3"/>
          <w:numId w:val="1"/>
        </w:numPr>
        <w:rPr/>
      </w:pPr>
      <w:bookmarkStart w:id="232" w:name="__RefHeading___Toc2517424_653776707"/>
      <w:bookmarkStart w:id="233" w:name="_Toc88"/>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 xml:space="preserve">ثمّة أدلّةٌ نقليّةٌ من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توهم حرمة إقامة الحكم الإسلامي، ووجوب السكوت في قبال مظالم الأعداء في عصر الغيبة ولزوم عدم التدخل في الشؤون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الأدلة على فرض تماميّتها تكون معارضة للأدلّة السابقة الدالّة على ضرورة إقامة الدولة العادلة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الفصل سوف ندرس هذه الأدلّة على طوائفها المختلفة</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2517426_653776707"/>
      <w:bookmarkStart w:id="235" w:name="_Toc89"/>
      <w:bookmarkEnd w:id="234"/>
      <w:r>
        <w:rPr>
          <w:rtl w:val="true"/>
        </w:rPr>
        <w:t>المسألة الأولى</w:t>
      </w:r>
      <w:r>
        <w:rPr>
          <w:rtl w:val="true"/>
        </w:rPr>
        <w:t xml:space="preserve">: </w:t>
      </w:r>
      <w:r>
        <w:rPr>
          <w:rtl w:val="true"/>
        </w:rPr>
        <w:t>دراسة الأدلة المتعرّضة لأمر قيام زيد بن علي</w:t>
      </w:r>
      <w:r>
        <w:rPr>
          <w:rtl w:val="true"/>
        </w:rPr>
        <w:t>(</w:t>
      </w:r>
      <w:r>
        <w:rPr>
          <w:rtl w:val="true"/>
        </w:rPr>
        <w:t>عَلَيْهِ السَّلاَمُ</w:t>
      </w:r>
      <w:r>
        <w:rPr>
          <w:rtl w:val="true"/>
        </w:rPr>
        <w:t>)</w:t>
      </w:r>
      <w:bookmarkEnd w:id="235"/>
    </w:p>
    <w:p>
      <w:pPr>
        <w:pStyle w:val="Heading5"/>
        <w:numPr>
          <w:ilvl w:val="4"/>
          <w:numId w:val="1"/>
        </w:numPr>
        <w:rPr/>
      </w:pPr>
      <w:bookmarkStart w:id="236" w:name="__RefHeading___Toc2517428_653776707"/>
      <w:bookmarkStart w:id="237" w:name="_Toc90"/>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 xml:space="preserve">طائفة من الروايات المانعة عن القيام والخروج لإقامة الحكم الإسلامي ناظرة إلى قضية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وقيامه على السلطة الحاكمة،</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الأولى لعيص بن القاسم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عن على بن إبراهيم عن أبيه عن صفوان بن يحيى عن عيص بن القاسم،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بتقوى الله وحده لا شريك له وانظروالأنفسكم فوالله إنّ الرجل ليكون له الغنم فيها الراعي، فإذا وجد رجلًا هو أعلم بغنمه من الذي هو فيها يخرجه ويجيء بذلك الرجل الذي هو أعلم بغنمه من الذي 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كانت لأحدكم نفسان يقاتل بواحدة يجرّب بها ثم كانت الأخرى باقية يعمل على ما قد استبان لها ولكن له نفس </w:t>
      </w:r>
    </w:p>
    <w:p>
      <w:pPr>
        <w:pStyle w:val="BookText"/>
        <w:rPr/>
      </w:pPr>
      <w:r>
        <w:rPr>
          <w:rFonts w:ascii="Amiri" w:hAnsi="Amiri" w:eastAsia="Amiri" w:cs="Amiri"/>
          <w:color w:val="111111"/>
          <w:sz w:val="28"/>
          <w:sz w:val="28"/>
          <w:szCs w:val="28"/>
          <w:rtl w:val="true"/>
          <w:lang w:bidi="ar-SA"/>
        </w:rPr>
        <w:t xml:space="preserve">واحدة إذا ذهبت فقد والله ذهبت التوبة فأنتم أحقّ أن تختاروا لأنفسكم، إن أتاكم آتٍ منّا فانظروا على أيّ شيء تخرجون ولا تقولوا خرج زيد، فإنّ زيدًا كان عالمًا وكان صدوقًا، ولم يدعُكم إلى نفسه، وإنما دعاكم إلى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ظهر لوفى بما دعاكم إليه، إنما خرج إلى سلطانٍ مجتمعٍ لينقضَه، فالخارج منّا اليوم إلى أي شيء يدعوكم، إلى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نشهدكم أنّا لسنا نرضى به وهو يعصينا اليوم وليس معه أحد وهو إذا كانت الرايات والألوية أجدر أن لا يسمع منّا إلّا من اجتمعت بنو فاطمة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صاحبكم إلا من اجتمعوا عليه إذا كان رجب فأقبلوا على اسم الله وإن أحببتم أن تتأخّروا إلى شعبان فلا ضير وإن أحببتم أن تصوموا في أهاليكم فلعلّ ذلك يكون أقوى لكم وكفاكم بالسفياني علامة</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الحديث بتقوى الله ولا سيما في التبعية لمن يخرج على السلطان الجائر، ويحذّر من أن يدخل الموالي لأهل البيت نفسه تحت زعامة أيّ داعٍ؛ لأنّه ليس للإنسان إلا نفس واحدة، يجب أن ينظر أين يجعلها، لئلا يهدر دمه في سبيل الطغاة الجائرين،وعليه تفيد هذه الصحيحة أن لا خيار أمام الإنسان سوى الانقياد لإمام الحقّ</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هذا التمهيد المؤيّد بحكم العقل؛ بل بالفطرة السليمة الإنسانية، ينهى الحديث عن الخروج إلا مع من اجتمعت بنو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هو الإمام الثاني عشر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الحديث وكفاكم بالسفياني علامة؛ حيث إنّ خروج السفياني منالعلامات القطعية لظهور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مفاد الحديث النهي عن اتّباع أي أحد على طريق السالبة الكلية إلا اتّباع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فيُستفاد منه أن الخروج لإقامة الدولة الإسلامية والحكم الإسلامي غير مجاز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مناقشة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الصحيحة تدلّ على أن الخروج والقيام على السلطان الجائر قد يكون باطلًا؛ لأنّ الخارج قد يدعو الناس إلى نفسه مع عدم استحقاقه لما يدّعيه، وقد يكون محقًّا كدعوة زيد بن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دعا الناس لنقض السلطنة الجائرة وتسليم الحق إلى أهله وإلى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على الّذين أن ينظروا ويتأمّلوا ويتريّثوا في المسألة حتى لا يختلط عليهم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يظهر من الحديث أنّ خروج زيد كان خروجًا مأذونًا فيه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مشروعيّته الأساس، هو كون زيدٍ عالمًا بأحكام الإسلام، على معرفة بالحلال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الثاني هو أنّه كان صدوقًا في دعواه فيعمل وفقًا لعلمه، فلم يكن يدعو الناس إلى نفسه؛ بل كان يرى أنّ الحقّ في الإمامة والولاية هو للإمام المنصوب الإلهي المعبّر عنه بالرضا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يدعو الناس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إلى ذلك أنّه قام لنقض السلطان الجائر وكفّ يده عن المجتمع لكي تتيسّر سبل إقامة العدل وتمكين الإمام العادل المنصوب من الله من ممارسة سلطته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الأسباب مجتمعةً هي التي جعلت من ثورته ثورةً شرعيّةً ممضاةً من الإمام المفترض الطاعة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أن الحكم بشرعية القيام أو حرمته دائر مدار هذه العلّة، فهذا المعيار والملاك إذا تحقّق في أيّ زمانٍ ومكانٍ وبالنسبة إلى أيّ خارجٍ فالقيام مشروعٌ وممضًى لتابعي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الغرض من القيام، إقامة الحكم الإسلامي وتنفيذ التشريعات الإلهية فهذا القيام يكون من سنخ قيام زيد ويكون جائزًا ومؤيّدًا بتأييد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هناك فرق بين قيام زيد والقيام في محلّ الكلام أي القيام في عصر الغيبة فإنّ الهدف من قيام زيد كان تسليم الأمر بعد الظفر والفتح إلى الإمام المعصوم لا تصدّيه بنفسه، بخلاف محلّ البحث فإنّ الهدفَ من القيام في هذا العصر هو تصدّي الثائر وقائد الحركة للأمور بنفسه إلى أن يظهر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bookmarkStart w:id="238" w:name="pg8686_123608"/>
    </w:p>
    <w:p>
      <w:pPr>
        <w:pStyle w:val="BookText"/>
        <w:rPr/>
      </w:pPr>
      <w:bookmarkEnd w:id="238"/>
      <w:r>
        <w:rPr>
          <w:rFonts w:ascii="Amiri" w:hAnsi="Amiri" w:eastAsia="Amiri" w:cs="Amiri"/>
          <w:color w:val="111111"/>
          <w:sz w:val="28"/>
          <w:sz w:val="28"/>
          <w:szCs w:val="28"/>
          <w:rtl w:val="true"/>
          <w:lang w:bidi="ar-SA"/>
        </w:rPr>
        <w:t xml:space="preserve">ولكن هذا الفرق لا يوجب فارقًا بين القيامين في الحكم، فإنّ في عصر الغيبة أيضًا الهدف هو تسليم الأمور إلى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والقيام ممهّد لدولة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بما أنّ إقامة الأحكام والحدود الإلهية في زمن الغيبة غير ممكنة إلا بتصدّي شخص واجدٍ للشروط فلا محالة تبقى زعامة الأمور بأيدي غير المعصوم حتى يفرّج الله الغمّ عن الأمة ويظهر وليّ الأمر ويسلّم الأمور إليه</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2517430_653776707"/>
      <w:bookmarkStart w:id="240" w:name="_Toc91"/>
      <w:bookmarkEnd w:id="239"/>
      <w:r>
        <w:rPr>
          <w:rtl w:val="true"/>
        </w:rPr>
        <w:t>ومنها</w:t>
      </w:r>
      <w:r>
        <w:rPr>
          <w:rtl w:val="true"/>
        </w:rPr>
        <w:t xml:space="preserve">: </w:t>
      </w:r>
      <w:r>
        <w:rPr>
          <w:rtl w:val="true"/>
        </w:rPr>
        <w:t>الصحيحة الثانية لعيص بن القاسم</w:t>
      </w:r>
      <w:bookmarkEnd w:id="240"/>
    </w:p>
    <w:p>
      <w:pPr>
        <w:pStyle w:val="BookText"/>
        <w:rPr/>
      </w:pPr>
      <w:r>
        <w:rPr>
          <w:rFonts w:ascii="IRNazanin" w:hAnsi="IRNazanin" w:eastAsia="IRNazanin"/>
          <w:color w:val="111111"/>
          <w:sz w:val="28"/>
          <w:sz w:val="28"/>
          <w:szCs w:val="28"/>
          <w:rtl w:val="true"/>
          <w:lang w:bidi="fa-IR"/>
        </w:rPr>
        <w:t xml:space="preserve">رواها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العلل عن محمد بن على ماجيلويه عن علي بن إبراهيم عن أبيه عن يحيى بن عمران الهمداني ومحمد بن إسماعيل بن بزيع جميعًا عن يونس بن عبد الرحمن عن 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وانظروا لأنفسكم فإنّ أحقّ من نظر لها أنتم، لو كان لأحدكم نفسان فقدّم إحداهما وجرّب بها؛ استقبل التوبة بالأخرى، ولكنّها نفس واحدة إذا ذهبت فقد والله ذهبت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أتاكم منّا آتٍ ليدعوكم إلى الرضا منّا فنحن ننشدکم أنّا لا نرضى إنّه لا يطيعنا اليوم وهو وحده، فكيف يطيعنا إذا ارتفعت الرايات والأعلام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هذه الرواية مختصرة من الصحيحة الأولى، ويحتمل اتّحادهما وعلى أيّ حال بعد ذكر المقدمة، تحكم بعدم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بالقيام والخروج وإن كان داعيه يدعو إلى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فالقيام والخروج أيًّا ما كان غير مشروع على نحو السلب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الاستدلال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مرّ في الجواب عن الصحيحة الأولى إن الرواية تكشف سرّ عدم شرعية القيام وتبيّن العلّة التي إلى التحفّظ على الخروج فتفيد أن وجه عدم المشروعيّة هو أنّ الداعي لا يدعو إلا إلى نفسه؛ لأنّه لا يطيع الإمام المعصوم لا في بداية </w:t>
      </w:r>
      <w:bookmarkStart w:id="241" w:name="pg8686_123611"/>
    </w:p>
    <w:p>
      <w:pPr>
        <w:pStyle w:val="BookText"/>
        <w:rPr/>
      </w:pPr>
      <w:bookmarkEnd w:id="241"/>
      <w:r>
        <w:rPr>
          <w:rFonts w:ascii="Amiri" w:hAnsi="Amiri" w:eastAsia="Amiri" w:cs="Amiri"/>
          <w:color w:val="111111"/>
          <w:sz w:val="28"/>
          <w:sz w:val="28"/>
          <w:szCs w:val="28"/>
          <w:rtl w:val="true"/>
          <w:lang w:bidi="ar-SA"/>
        </w:rPr>
        <w:t>دعوته ولا في نهايته، فيكون هدف الخارج والداعي هو الميول والمشتهيات النفسية، بخلاف الداعي الذي في عصر الغيبة لا يكون له همٌّ إلا الدّعوة إلى تشريعات الأئمة الهداة، وتطبيق فقههم في الحياة الاجتماعيّة، فإنه يحسب مطيعًا لهم من البداية إلى المآل أيضًا ليس له هدفٌ إلا تسليم الراية إلى وليّها والرضا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فبالنتيجة الصحيحة الثانية لعيص بن القاسم كالصحيحة الأولى لا تدلّ على عدم جواز القيام ولا على حرمة الخروج لإقامة الحكم الإسلامي؛ بل تدلّ على أن الداعي قد تكون دعوته باطلة بأن يدعو إلى نفسه مع عدم استحقاقه لما يدّعيه؛ فحينئذ لا يجوز الخروج معه وقد تكون دعوته دعوة حقٍّ كدعوة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تجوز إعانته والخروج معه</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2517432_653776707"/>
      <w:bookmarkStart w:id="243" w:name="_Toc92"/>
      <w:bookmarkEnd w:id="242"/>
      <w:r>
        <w:rPr>
          <w:rtl w:val="true"/>
        </w:rPr>
        <w:t>ومنها</w:t>
      </w:r>
      <w:r>
        <w:rPr>
          <w:rtl w:val="true"/>
        </w:rPr>
        <w:t xml:space="preserve">: </w:t>
      </w:r>
      <w:r>
        <w:rPr>
          <w:rtl w:val="true"/>
        </w:rPr>
        <w:t>رواية أبي عبدون</w:t>
      </w:r>
      <w:bookmarkEnd w:id="243"/>
    </w:p>
    <w:p>
      <w:pPr>
        <w:pStyle w:val="BookText"/>
        <w:rPr/>
      </w:pPr>
      <w:r>
        <w:rPr>
          <w:rFonts w:ascii="Amiri" w:hAnsi="Amiri" w:eastAsia="Amiri" w:cs="Amiri"/>
          <w:color w:val="111111"/>
          <w:sz w:val="28"/>
          <w:sz w:val="28"/>
          <w:szCs w:val="28"/>
          <w:rtl w:val="true"/>
          <w:lang w:bidi="ar-SA"/>
        </w:rPr>
        <w:t xml:space="preserve">رواها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العيون عن أحمد بن يحيى المكتب، عن محمد بن يحيى الصولي عن محمد بن زيد النحوي عن ابن أبي عبدون عن أبيه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حُمِل زيد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المأمون، وقد كان خرج بالبصرة وأحرق دور وُلد العباس، وهب المأمون جرمه لأخيه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لئن خرج أخوك وفعل ما فعل لقد خرج قبله زيد بن علي فقُتِل، ولولا مكانك منّي لقتلته فليس ما أتاه بصغير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تقس أخي زيدًا إلى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من علماء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غضب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فجاهد أعداءه حتى قُتل فيسبيله، ولقد حدّثني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أباه جعفر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عمّي زيدًا إنّه دعا إلى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ظهر لوفى بما دعا إليه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أليس قد جاء في من ادّعى الإمامة بغير حقّها ما جاء؟ فقال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بن علي، لم يدّع ما ليس له بحقّ وإنّه كان اتقى الله من ذلك،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أدعوكم إلى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جاء </w:t>
      </w:r>
      <w:bookmarkStart w:id="244" w:name="pg8686_123615"/>
    </w:p>
    <w:p>
      <w:pPr>
        <w:pStyle w:val="BookText"/>
        <w:rPr/>
      </w:pPr>
      <w:bookmarkEnd w:id="244"/>
      <w:r>
        <w:rPr>
          <w:rFonts w:ascii="Amiri" w:hAnsi="Amiri" w:eastAsia="Amiri" w:cs="Amiri"/>
          <w:color w:val="111111"/>
          <w:sz w:val="28"/>
          <w:sz w:val="28"/>
          <w:szCs w:val="28"/>
          <w:rtl w:val="true"/>
          <w:lang w:bidi="ar-SA"/>
        </w:rPr>
        <w:t>ما جاء في من يدّعي أنّ الله تعالى نصّ عليه ثم يدعو إلى غير دين الله ويضلّ عن سبيله بغير علم</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تدل على أن القيام والخروج لإقامة الحكم الإسلامي في عصر الغيبة كائنًا من كان؛ غير جائز مطلقاً لأنّ الداعي لم ينصّ الشارع على ولايته وإمامته، وهو يريد إمامة الأمة بعد القيام والظفر على الحكم، فهو يحسب ممّن ادعى الإمامة بغير حقّها فقيامه محرّم وغير مشروع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الردّ علی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الرواية تنظر إلى الهدف من القيام والخروج، وتقسّم القيام على حسب الأهداف والنيّات، وتبيّن أنّ المعيار الأساس في معرفة الحكم هو النظر إلى الهدف، فإن كان الهدف مشروعًا وإلهيًّا كقيام زيدٍ بن عليٍّ، وأراد الجهاد ضدّ أعداء الله، ولم يكن الخارج داعيًا إلى نفسه ولم يدّعِ ما ليس له فقيامه مشروعٌ مرغوب فيه وويلٌ لمن سمع واعيته فلم يجبه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الهدف دنيويًّا وغير شرعي والداعي يدعو إلى غير دين الله، ويضلّ عن سبيله بعلمٍ أو بغير علم ويدّعي الإمامة بغير حقّها فهذا قيام ممنوع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لايختلف مدلول الحديث عن مدلول صحيحتي العيص وإن كان سند الحديث غير معتبر لوجود المجاهيل في طريقه</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2517434_653776707"/>
      <w:bookmarkStart w:id="246" w:name="_Toc93"/>
      <w:bookmarkEnd w:id="245"/>
      <w:r>
        <w:rPr>
          <w:rtl w:val="true"/>
        </w:rPr>
        <w:t>نتيجة الطائفة الأولى</w:t>
      </w:r>
      <w:r>
        <w:rPr>
          <w:rtl w:val="true"/>
        </w:rPr>
        <w:t>:</w:t>
      </w:r>
      <w:bookmarkEnd w:id="24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أنّ الطائفة الأولى لا تدلّ على حرمة القيام لتأسيس السلطة الإسلامية مطلقًا، وعلى سبيل السلب الكلّي؛ بل تدلّ على جوازه واستحسانه إذا كان الهدف هو القيام لله والغضب له والجهاد ضدّ أعداء الله</w:t>
      </w:r>
      <w:r>
        <w:rPr>
          <w:rFonts w:eastAsia="Amiri" w:cs="Amiri" w:ascii="Amiri" w:hAnsi="Amiri"/>
          <w:color w:val="111111"/>
          <w:sz w:val="28"/>
          <w:szCs w:val="28"/>
          <w:rtl w:val="true"/>
          <w:lang w:bidi="ar-SA"/>
        </w:rPr>
        <w:t>.</w:t>
      </w:r>
      <w:r>
        <w:rPr>
          <w:rStyle w:val="FootnoteAnchor"/>
          <w:rtl w:val="true"/>
        </w:rPr>
        <w:footnoteReference w:id="93"/>
      </w:r>
      <w:bookmarkStart w:id="247" w:name="pg8686_123618"/>
    </w:p>
    <w:p>
      <w:pPr>
        <w:pStyle w:val="BookText"/>
        <w:rPr/>
      </w:pPr>
      <w:bookmarkEnd w:id="247"/>
      <w:r>
        <w:rPr>
          <w:rFonts w:ascii="Amiri" w:hAnsi="Amiri" w:eastAsia="Amiri" w:cs="Amiri"/>
          <w:color w:val="111111"/>
          <w:sz w:val="28"/>
          <w:sz w:val="28"/>
          <w:szCs w:val="28"/>
          <w:rtl w:val="true"/>
          <w:lang w:bidi="ar-SA"/>
        </w:rPr>
        <w:t>نعم إذا كان الهدف الدعوة إلى النفس ومشتهياتها وليس الدعوة إلى طاعة الله والرسول وتنفيذ الأحكام الإلهية والتشريعات الإسلامية، فهذا القيام حرام وداعيه يحسب من الطاغوت</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2517436_653776707"/>
      <w:bookmarkStart w:id="249" w:name="_Toc94"/>
      <w:bookmarkEnd w:id="248"/>
      <w:r>
        <w:rPr>
          <w:rtl w:val="true"/>
        </w:rPr>
        <w:t>المسألة الثانية</w:t>
      </w:r>
      <w:r>
        <w:rPr>
          <w:rtl w:val="true"/>
        </w:rPr>
        <w:t xml:space="preserve">: </w:t>
      </w:r>
      <w:r>
        <w:rPr>
          <w:rtl w:val="true"/>
        </w:rPr>
        <w:t>دراسة الأدلة الواردة في من ادّعى الإمامة وليس بإمام</w:t>
      </w:r>
      <w:bookmarkEnd w:id="249"/>
    </w:p>
    <w:p>
      <w:pPr>
        <w:pStyle w:val="Heading5"/>
        <w:numPr>
          <w:ilvl w:val="4"/>
          <w:numId w:val="1"/>
        </w:numPr>
        <w:rPr/>
      </w:pPr>
      <w:bookmarkStart w:id="250" w:name="__RefHeading___Toc2517438_653776707"/>
      <w:bookmarkStart w:id="251" w:name="_Toc95"/>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 xml:space="preserve">هناك روايات وردت في مذمّة من ادّعى الإمامة ومن زعم أنّه إمام وليس بإمام رواها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الحجة من أصول الكافي في باب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ادّعى الإمامة وليس لها بأهل والنعماني أيضًا في كتابه المشهور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هذه الروايات في باب،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روي في من ادّعى الإمامة ومن زعم أنه إمام وليس 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الروايات تدلّ على حرمة إمامة غير الأئمة الهداة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2517440_653776707"/>
      <w:bookmarkStart w:id="253" w:name="_Toc96"/>
      <w:bookmarkEnd w:id="252"/>
      <w:r>
        <w:rPr>
          <w:rtl w:val="true"/>
        </w:rPr>
        <w:t>و منها</w:t>
      </w:r>
      <w:r>
        <w:rPr>
          <w:rtl w:val="true"/>
        </w:rPr>
        <w:t xml:space="preserve">: </w:t>
      </w:r>
      <w:r>
        <w:rPr>
          <w:rtl w:val="true"/>
        </w:rPr>
        <w:t>صحيحة الفضيل بن يسار</w:t>
      </w:r>
      <w:bookmarkEnd w:id="253"/>
    </w:p>
    <w:p>
      <w:pPr>
        <w:pStyle w:val="BookText"/>
        <w:rPr/>
      </w:pPr>
      <w:r>
        <w:rPr>
          <w:rFonts w:ascii="Amiri" w:hAnsi="Amiri" w:eastAsia="Amiri" w:cs="Amiri"/>
          <w:color w:val="111111"/>
          <w:sz w:val="28"/>
          <w:sz w:val="28"/>
          <w:szCs w:val="28"/>
          <w:rtl w:val="true"/>
          <w:lang w:bidi="ar-SA"/>
        </w:rPr>
        <w:t xml:space="preserve">في الكافي عن محمد بن يحيي، عن عبد الله بن محمد بن عيسى عن على بن الحكم عن أبان بن عثمان عن 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ادّعى الإمامة وليس من أهلها فهو كافر</w:t>
      </w:r>
      <w:r>
        <w:rPr>
          <w:rFonts w:eastAsia="Amiri" w:cs="Amiri" w:ascii="Amiri" w:hAnsi="Amiri"/>
          <w:color w:val="111111"/>
          <w:sz w:val="28"/>
          <w:szCs w:val="28"/>
          <w:rtl w:val="true"/>
          <w:lang w:bidi="ar-SA"/>
        </w:rPr>
        <w:t>».</w:t>
      </w:r>
      <w:r>
        <w:rPr>
          <w:rStyle w:val="FootnoteAnchor"/>
          <w:rtl w:val="true"/>
        </w:rPr>
        <w:footnoteReference w:id="94"/>
      </w:r>
    </w:p>
    <w:p>
      <w:pPr>
        <w:pStyle w:val="Heading5"/>
        <w:numPr>
          <w:ilvl w:val="4"/>
          <w:numId w:val="1"/>
        </w:numPr>
        <w:rPr/>
      </w:pPr>
      <w:bookmarkStart w:id="254" w:name="__RefHeading___Toc2517442_653776707"/>
      <w:bookmarkStart w:id="255" w:name="_Toc97"/>
      <w:bookmarkEnd w:id="254"/>
      <w:r>
        <w:rPr>
          <w:rtl w:val="true"/>
        </w:rPr>
        <w:t>ومنها</w:t>
      </w:r>
      <w:r>
        <w:rPr>
          <w:rtl w:val="true"/>
        </w:rPr>
        <w:t xml:space="preserve">: </w:t>
      </w:r>
      <w:r>
        <w:rPr>
          <w:rtl w:val="true"/>
        </w:rPr>
        <w:t>رواية سورة بن كليب</w:t>
      </w:r>
      <w:bookmarkEnd w:id="25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عن محمد بن يحيي عن أحمد بن محمد عن محمد بن سنان عن أبي سلام عن سورة بن كليب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الْقِيَامَةِ تَرَى الَّذِينَ كَذَبُوا عَلَى اللَّهِ وُجُوهُهُمْ مُسْوَدَّةٌ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إنّي إمام وليس بإمام،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علويًّا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علويًّا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ولد علي ابن أبي طالب؟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w:t>
      </w:r>
      <w:r>
        <w:rPr>
          <w:rStyle w:val="FootnoteAnchor"/>
          <w:rtl w:val="true"/>
        </w:rPr>
        <w:footnoteReference w:id="95"/>
      </w:r>
      <w:bookmarkStart w:id="256" w:name="pg8686_123621"/>
    </w:p>
    <w:p>
      <w:pPr>
        <w:pStyle w:val="Heading5"/>
        <w:numPr>
          <w:ilvl w:val="4"/>
          <w:numId w:val="1"/>
        </w:numPr>
        <w:rPr/>
      </w:pPr>
      <w:bookmarkStart w:id="257" w:name="__RefHeading___Toc2517444_653776707"/>
      <w:bookmarkStart w:id="258" w:name="_Toc98"/>
      <w:bookmarkEnd w:id="256"/>
      <w:bookmarkEnd w:id="257"/>
      <w:r>
        <w:rPr>
          <w:rtl w:val="true"/>
        </w:rPr>
        <w:t>ومنها</w:t>
      </w:r>
      <w:r>
        <w:rPr>
          <w:rtl w:val="true"/>
        </w:rPr>
        <w:t xml:space="preserve">: </w:t>
      </w:r>
      <w:r>
        <w:rPr>
          <w:rtl w:val="true"/>
        </w:rPr>
        <w:t>صحيحة ابن أبي يعفور</w:t>
      </w:r>
      <w:bookmarkEnd w:id="258"/>
    </w:p>
    <w:p>
      <w:pPr>
        <w:pStyle w:val="BookText"/>
        <w:rPr/>
      </w:pPr>
      <w:r>
        <w:rPr>
          <w:rFonts w:ascii="Amiri" w:hAnsi="Amiri" w:eastAsia="Amiri" w:cs="Amiri"/>
          <w:color w:val="111111"/>
          <w:sz w:val="28"/>
          <w:sz w:val="28"/>
          <w:szCs w:val="28"/>
          <w:rtl w:val="true"/>
          <w:lang w:bidi="ar-SA"/>
        </w:rPr>
        <w:t xml:space="preserve">في الكافي عن عدّة من أصحابنا، عن أحمد بن محمد بن عيسى عن الوشاء عن داود الحمّار 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يكلِّمهم الله يوم القيامة ولا يزكّيهم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إمامة من الله ليس له ومن جحد إمامًا من الله ومن زعم أنّ لهما في الإسلام نصيبًا</w:t>
      </w:r>
      <w:r>
        <w:rPr>
          <w:rFonts w:eastAsia="Amiri" w:cs="Amiri" w:ascii="Amiri" w:hAnsi="Amiri"/>
          <w:color w:val="111111"/>
          <w:sz w:val="28"/>
          <w:szCs w:val="28"/>
          <w:rtl w:val="true"/>
          <w:lang w:bidi="ar-SA"/>
        </w:rPr>
        <w:t>».</w:t>
      </w:r>
      <w:r>
        <w:rPr>
          <w:rStyle w:val="FootnoteAnchor"/>
          <w:rtl w:val="true"/>
        </w:rPr>
        <w:footnoteReference w:id="96"/>
      </w:r>
    </w:p>
    <w:p>
      <w:pPr>
        <w:pStyle w:val="Heading5"/>
        <w:numPr>
          <w:ilvl w:val="4"/>
          <w:numId w:val="1"/>
        </w:numPr>
        <w:rPr/>
      </w:pPr>
      <w:bookmarkStart w:id="259" w:name="__RefHeading___Toc2517446_653776707"/>
      <w:bookmarkStart w:id="260" w:name="_Toc99"/>
      <w:bookmarkEnd w:id="259"/>
      <w:r>
        <w:rPr>
          <w:rtl w:val="true"/>
        </w:rPr>
        <w:t>ومنها</w:t>
      </w:r>
      <w:r>
        <w:rPr>
          <w:rtl w:val="true"/>
        </w:rPr>
        <w:t xml:space="preserve">: </w:t>
      </w:r>
      <w:r>
        <w:rPr>
          <w:rtl w:val="true"/>
        </w:rPr>
        <w:t>رواية الحسين بن مختار</w:t>
      </w:r>
      <w:bookmarkEnd w:id="260"/>
    </w:p>
    <w:p>
      <w:pPr>
        <w:pStyle w:val="BookText"/>
        <w:rPr/>
      </w:pPr>
      <w:r>
        <w:rPr>
          <w:rFonts w:ascii="Amiri" w:hAnsi="Amiri" w:eastAsia="Amiri" w:cs="Amiri"/>
          <w:color w:val="111111"/>
          <w:sz w:val="28"/>
          <w:sz w:val="28"/>
          <w:szCs w:val="28"/>
          <w:rtl w:val="true"/>
          <w:lang w:bidi="ar-SA"/>
        </w:rPr>
        <w:t>الكليني عن الحسين بن المختار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ويوم القيامة ترى الذين كذبوا على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زعم أنه إمام وليس بإمام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فاطميًّا علويًّا؟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فاطميًّا علويًّا</w:t>
      </w:r>
      <w:r>
        <w:rPr>
          <w:rFonts w:eastAsia="Amiri" w:cs="Amiri" w:ascii="Amiri" w:hAnsi="Amiri"/>
          <w:color w:val="111111"/>
          <w:sz w:val="28"/>
          <w:szCs w:val="28"/>
          <w:rtl w:val="true"/>
          <w:lang w:bidi="ar-SA"/>
        </w:rPr>
        <w:t>».</w:t>
      </w:r>
      <w:r>
        <w:rPr>
          <w:rStyle w:val="FootnoteAnchor"/>
          <w:rtl w:val="true"/>
        </w:rPr>
        <w:footnoteReference w:id="97"/>
      </w:r>
    </w:p>
    <w:p>
      <w:pPr>
        <w:pStyle w:val="Heading5"/>
        <w:numPr>
          <w:ilvl w:val="4"/>
          <w:numId w:val="1"/>
        </w:numPr>
        <w:rPr/>
      </w:pPr>
      <w:bookmarkStart w:id="261" w:name="__RefHeading___Toc2517448_653776707"/>
      <w:bookmarkStart w:id="262" w:name="_Toc100"/>
      <w:bookmarkEnd w:id="261"/>
      <w:r>
        <w:rPr>
          <w:rtl w:val="true"/>
        </w:rPr>
        <w:t>ومنها</w:t>
      </w:r>
      <w:r>
        <w:rPr>
          <w:rtl w:val="true"/>
        </w:rPr>
        <w:t xml:space="preserve">: </w:t>
      </w:r>
      <w:r>
        <w:rPr>
          <w:rtl w:val="true"/>
        </w:rPr>
        <w:t>رواية الوليد بن صبيح</w:t>
      </w:r>
      <w:bookmarkEnd w:id="26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يدّعيه غير صاحبه؛ إلا بتر الله عمره</w:t>
      </w:r>
      <w:r>
        <w:rPr>
          <w:rFonts w:eastAsia="Amiri" w:cs="Amiri" w:ascii="Amiri" w:hAnsi="Amiri"/>
          <w:color w:val="111111"/>
          <w:sz w:val="28"/>
          <w:szCs w:val="28"/>
          <w:rtl w:val="true"/>
          <w:lang w:bidi="ar-SA"/>
        </w:rPr>
        <w:t>.»</w:t>
      </w:r>
      <w:r>
        <w:rPr>
          <w:rStyle w:val="FootnoteAnchor"/>
          <w:rtl w:val="true"/>
        </w:rPr>
        <w:footnoteReference w:id="98"/>
      </w:r>
    </w:p>
    <w:p>
      <w:pPr>
        <w:pStyle w:val="Heading5"/>
        <w:numPr>
          <w:ilvl w:val="4"/>
          <w:numId w:val="1"/>
        </w:numPr>
        <w:rPr/>
      </w:pPr>
      <w:bookmarkStart w:id="263" w:name="__RefHeading___Toc2517450_653776707"/>
      <w:bookmarkStart w:id="264" w:name="_Toc101"/>
      <w:bookmarkEnd w:id="263"/>
      <w:r>
        <w:rPr>
          <w:rtl w:val="true"/>
        </w:rPr>
        <w:t>ومنها</w:t>
      </w:r>
      <w:r>
        <w:rPr>
          <w:rtl w:val="true"/>
        </w:rPr>
        <w:t xml:space="preserve">: </w:t>
      </w:r>
      <w:r>
        <w:rPr>
          <w:rtl w:val="true"/>
        </w:rPr>
        <w:t>موثّقة طلحة بن زيد</w:t>
      </w:r>
      <w:bookmarkEnd w:id="264"/>
    </w:p>
    <w:p>
      <w:pPr>
        <w:pStyle w:val="BookText"/>
        <w:rPr/>
      </w:pPr>
      <w:r>
        <w:rPr>
          <w:rFonts w:ascii="Amiri" w:hAnsi="Amiri" w:eastAsia="Amiri" w:cs="Amiri"/>
          <w:color w:val="111111"/>
          <w:sz w:val="28"/>
          <w:sz w:val="28"/>
          <w:szCs w:val="28"/>
          <w:rtl w:val="true"/>
          <w:lang w:bidi="ar-SA"/>
        </w:rPr>
        <w:t>محمد بن يحيي عن محمد بن الحسين عن محمد بن سنان عن طلحة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أشرك مع إمام إمامته من عند الله، ومن ليست إمامته من الله، كان مشركًا بالله</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في هذا المعنى وبهذا المضمون كثيرة، بعضها صحيحة وبعضها يمكن الاعتماد عليه سندًا؛ بل هي مستفيضة يُطمأن لصدورها فلا إشكال فيها من جهة السند والاعتبار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p>
    <w:p>
      <w:pPr>
        <w:pStyle w:val="BookText"/>
        <w:rPr/>
      </w:pPr>
      <w:r>
        <w:rPr>
          <w:rFonts w:ascii="Amiri" w:hAnsi="Amiri" w:eastAsia="Amiri" w:cs="Amiri"/>
          <w:color w:val="111111"/>
          <w:sz w:val="28"/>
          <w:sz w:val="28"/>
          <w:szCs w:val="28"/>
          <w:rtl w:val="true"/>
          <w:lang w:bidi="ar-SA"/>
        </w:rPr>
        <w:t xml:space="preserve">هذه الأخبار تدلّ على أنّ الإمامة من الله، وهي عهد إلهي لا ينعقد بالنّسب أو الاستخلاف أو العقد والبيعة أو الادّعاء أو غيرها؛ فهي منحصرة بأشخاص منصوبين من الله نصّ على إمامتهم على لسان نبيّه في السنّة النبويّة والأحاديث المروية عن العترة الطاهرة وهم الأئمة الاثنا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يسع أحدًا غيرهم ادّعاء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p>
    <w:p>
      <w:pPr>
        <w:pStyle w:val="BookText"/>
        <w:rPr/>
      </w:pPr>
      <w:r>
        <w:rPr>
          <w:rFonts w:ascii="Amiri" w:hAnsi="Amiri" w:eastAsia="Amiri" w:cs="Amiri"/>
          <w:color w:val="111111"/>
          <w:sz w:val="28"/>
          <w:sz w:val="28"/>
          <w:szCs w:val="28"/>
          <w:rtl w:val="true"/>
          <w:lang w:bidi="ar-SA"/>
        </w:rPr>
        <w:t>الإمامة كما عُرِّفت على لسان المتكلِّمين هي رياسة الدين والدنيا، فمن يتقدّم لإقامة الدولة الإسلامية وتنفيذ التشريعات الإلهية، فهو في الحقيقة يريد رياسة الدين والدنيا فهو يدّعي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يكون إماماً من الله، لا يجوز له القيام والإقدام؛ لأنّه لا يجوز إلا للمأذون من الله والمنصوب لهذا الإقدام فإقامة الحكم الإسلامي لا تجوز إلا للإمام المنصوب من الله المعصوم من الزلل والخطأ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الاستدلال بهذه المجموعة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الروايات لا إشكال فيها من جهة الاعتبار والحجية، أمّا من جهة الدلالة فإنها وإن كانت تصرّح بأنّ الإمامة عهدٌ من الله تعالى، وأنّ من يدّعيها دون نصٍّ عليه بالإمامة، فهو كاذب على الله، وجهه مسودٌّ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يُستفاد من هذا حرمة إقامة الحكم الإسلاميّ وعدم مشروعيّته في عصر الغيبة وحين عدم بسط يد الإمام المنصوب من الله تبارك وتعالى؛ وذلك لأنّه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للناس من أمير برّ أو فاجر، فلا شكّ في ضرورة الحكومة ولزوم إقامة الحكم ولو كان حكمًا باطلًا بيد أئمة الجور والطواغيت وذلك دفعًا </w:t>
      </w:r>
    </w:p>
    <w:p>
      <w:pPr>
        <w:pStyle w:val="BookText"/>
        <w:rPr/>
      </w:pPr>
      <w:r>
        <w:rPr>
          <w:rFonts w:ascii="Amiri" w:hAnsi="Amiri" w:eastAsia="Amiri" w:cs="Amiri"/>
          <w:color w:val="111111"/>
          <w:sz w:val="28"/>
          <w:sz w:val="28"/>
          <w:szCs w:val="28"/>
          <w:rtl w:val="true"/>
          <w:lang w:bidi="ar-SA"/>
        </w:rPr>
        <w:t>للهرج والمرج وسدًّا لأبواب اختلال النظام الاجتماعي؛ فمن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مضطرٌّ إلى الحكم ومحتاجٌ إلى الإمام؛ 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المنصوب غائبٌ لا تصل أيدي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يبقي إلّا إقامة الحكم غير الإسلامي أو القيام لإقامة الحكم الإسلامي؛ لكنّ الأول باطلٌ وحرامٌ بالضرورة المنصوص عليها في الكتاب والسنّة فالثاني هو الحق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من يخرج ويقدِم على إقامة الدولة الإسلامية في عصر الغيبة، إن كان يدّعي أنه إمامٌ من الله، فهو كاذبٌ كما نصّت عليه هذه الأخبار، أمّا إذا كان غير مدّعٍ لذلك؛ بل يريد إقامة الحكم الإسلامي من باب الضرورة والاضطرار في ظروف الغيبة فقط ويريد تسليم الأمر إلى صاحبه الأصلي المنصوب من الله فور ظهوره، فهذا خارج عن دلالة 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الحقيقة كم من فرق بين الحكومة الإسلامية التي تكون إمامتها وزعامتها بيد الإمام المنصوب المعصوم والحكومة الإسلامية الاضطرارية في عصر الغيبة، فإنّ الحكومة الإسلامية إذا كانت بيد الإمام المنصوب الإلهي فهي حكومة إسلامية بحقيقة معنى الكلمة تجري الحكم وتنفذ الأحكام وفقًا للتشريعيات الإلهية والأحكام الواقعية وبشكل مطابقٍ لباطن القرآن ولحقيقة الكتاب المنزل من الله تبارك وتعالى والسنّة الواقعيّة الصادرة 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أمر هذه الحكومة هو وليّ الله وحجّته على خلقه، له شؤون ومنازل كثيرةتكوينًا وتشريعًا لا يمكن لكلٍّ راغب إدراك هذه المنازل والمراتب، ولا نبالغ إذا قلنا إنّ قدرة البشر العاديّين تضيق عن فهم موقع الإمام حقّ الفهم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إقامة الحكم المنفذ بيد غير الإمام المعصوم فإنّ أساس هذا الحكم معتمد على الأحكام الظاهرية والعلوم الكسبية الاجتهادية التي تحتمل الخطأ والصواب فيها ولا يفترض لها شؤون ومراتب متعددة مختلفة، وليس لها إلا شأنُ الحكم وتنفيذ التشريع المتّخذ من الرأي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مصدر هذا الاجتهاد ومستند المجتهد هو الأحكام والسنن المتخذة من الإمام المنصوب </w:t>
      </w:r>
      <w:bookmarkStart w:id="265" w:name="pg8686_123630"/>
    </w:p>
    <w:p>
      <w:pPr>
        <w:pStyle w:val="BookText"/>
        <w:rPr/>
      </w:pPr>
      <w:bookmarkEnd w:id="265"/>
      <w:r>
        <w:rPr>
          <w:rFonts w:ascii="Amiri" w:hAnsi="Amiri" w:eastAsia="Amiri" w:cs="Amiri"/>
          <w:color w:val="111111"/>
          <w:sz w:val="28"/>
          <w:sz w:val="28"/>
          <w:szCs w:val="28"/>
          <w:rtl w:val="true"/>
          <w:lang w:bidi="ar-SA"/>
        </w:rPr>
        <w:t>الإلهي الذي له شؤون ووظائف ومهامُّ كثيرة أحدها هو إقامة الحكومة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لو سُلِّم، فإنّ مقتضى الجمع بين هذه الأدلّة والأدلّة الدالّة على وجوب إقامة الدولة الإسلامية في عصر الغيبة، هو القول بوجوب تأسيس الحكم الإسلامي في عصر الغيبة، وتقييد دلالة هذه الأدلّة بصورة التمكُّن من الإمام المعصوم وبسط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والقرينة التي نستند إليها للميل إلى هذا التقييد هي حكم العقل والنقل بضرورة الدولة للمجتمع؛ بل نفس الطائفة الأولى من الروايات الواردة في صحّة قيام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وشرعيّتها قرينة على هذا التقييد</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2517452_653776707"/>
      <w:bookmarkStart w:id="267" w:name="_Toc102"/>
      <w:bookmarkEnd w:id="266"/>
      <w:r>
        <w:rPr>
          <w:rtl w:val="true"/>
        </w:rPr>
        <w:t>المسألة الثالثة</w:t>
      </w:r>
      <w:r>
        <w:rPr>
          <w:rtl w:val="true"/>
        </w:rPr>
        <w:t xml:space="preserve">: </w:t>
      </w:r>
      <w:r>
        <w:rPr>
          <w:rtl w:val="true"/>
        </w:rPr>
        <w:t>دراسة الأدلة الدالّة على لزوم السكون وعدم التحرّك</w:t>
      </w:r>
      <w:bookmarkEnd w:id="267"/>
    </w:p>
    <w:p>
      <w:pPr>
        <w:pStyle w:val="Heading5"/>
        <w:numPr>
          <w:ilvl w:val="4"/>
          <w:numId w:val="1"/>
        </w:numPr>
        <w:rPr/>
      </w:pPr>
      <w:bookmarkStart w:id="268" w:name="__RefHeading___Toc2517454_653776707"/>
      <w:bookmarkStart w:id="269" w:name="_Toc103"/>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الطائفة الثالثة من الأدلّة المعارضة لضرورة إقامة الحكم الإسلامي هي أحاديث تأمر بالسكون وتنهى عن الحركة وتمنع من الخروج إلى ظهور علامات الفرج</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2517456_653776707"/>
      <w:bookmarkStart w:id="271" w:name="_Toc104"/>
      <w:bookmarkEnd w:id="270"/>
      <w:r>
        <w:rPr>
          <w:rtl w:val="true"/>
        </w:rPr>
        <w:t>منها</w:t>
      </w:r>
      <w:r>
        <w:rPr>
          <w:rtl w:val="true"/>
        </w:rPr>
        <w:t xml:space="preserve">: </w:t>
      </w:r>
      <w:r>
        <w:rPr>
          <w:rtl w:val="true"/>
        </w:rPr>
        <w:t>صحيحة سدير</w:t>
      </w:r>
      <w:bookmarkEnd w:id="271"/>
    </w:p>
    <w:p>
      <w:pPr>
        <w:pStyle w:val="BookText"/>
        <w:rPr/>
      </w:pPr>
      <w:r>
        <w:rPr>
          <w:rFonts w:ascii="Amiri" w:hAnsi="Amiri" w:eastAsia="Amiri" w:cs="Amiri"/>
          <w:color w:val="111111"/>
          <w:sz w:val="28"/>
          <w:sz w:val="28"/>
          <w:szCs w:val="28"/>
          <w:rtl w:val="true"/>
          <w:lang w:bidi="ar-SA"/>
        </w:rPr>
        <w:t>عن روضة الكافي 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الزم بيتك وكن حلسًا من أحلاسه، واسكن الليل والنهار، فإذا بلغك أنّ السفياني قد خرج فارحل إلينا ولو على رجلك</w:t>
      </w:r>
      <w:r>
        <w:rPr>
          <w:rFonts w:eastAsia="Amiri" w:cs="Amiri" w:ascii="Amiri" w:hAnsi="Amiri"/>
          <w:color w:val="111111"/>
          <w:sz w:val="28"/>
          <w:szCs w:val="28"/>
          <w:rtl w:val="true"/>
          <w:lang w:bidi="ar-SA"/>
        </w:rPr>
        <w:t>.»</w:t>
      </w:r>
      <w:r>
        <w:rPr>
          <w:rStyle w:val="FootnoteAnchor"/>
          <w:rtl w:val="true"/>
        </w:rPr>
        <w:footnoteReference w:id="100"/>
      </w:r>
    </w:p>
    <w:p>
      <w:pPr>
        <w:pStyle w:val="Heading5"/>
        <w:numPr>
          <w:ilvl w:val="4"/>
          <w:numId w:val="1"/>
        </w:numPr>
        <w:rPr/>
      </w:pPr>
      <w:bookmarkStart w:id="272" w:name="__RefHeading___Toc2517458_653776707"/>
      <w:bookmarkStart w:id="273" w:name="_Toc105"/>
      <w:bookmarkEnd w:id="272"/>
      <w:r>
        <w:rPr>
          <w:rtl w:val="true"/>
        </w:rPr>
        <w:t>ومنها</w:t>
      </w:r>
      <w:r>
        <w:rPr>
          <w:rtl w:val="true"/>
        </w:rPr>
        <w:t xml:space="preserve">: </w:t>
      </w:r>
      <w:r>
        <w:rPr>
          <w:rtl w:val="true"/>
        </w:rPr>
        <w:t>رواية جابر الجعفي</w:t>
      </w:r>
      <w:bookmarkEnd w:id="273"/>
    </w:p>
    <w:p>
      <w:pPr>
        <w:pStyle w:val="BookText"/>
        <w:rPr/>
      </w:pPr>
      <w:r>
        <w:rPr>
          <w:rFonts w:ascii="Amiri" w:hAnsi="Amiri" w:eastAsia="Amiri" w:cs="Amiri"/>
          <w:color w:val="111111"/>
          <w:sz w:val="28"/>
          <w:sz w:val="28"/>
          <w:szCs w:val="28"/>
          <w:rtl w:val="true"/>
          <w:lang w:bidi="ar-SA"/>
        </w:rPr>
        <w:t xml:space="preserve">رواه الشيخ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الأرض ولا تحرّك يدًا ولا رجلًا حتى ترى علاماتٍ أذكرها لك</w:t>
      </w:r>
      <w:r>
        <w:rPr>
          <w:rFonts w:eastAsia="Amiri" w:cs="Amiri" w:ascii="Amiri" w:hAnsi="Amiri"/>
          <w:color w:val="111111"/>
          <w:sz w:val="28"/>
          <w:szCs w:val="28"/>
          <w:rtl w:val="true"/>
          <w:lang w:bidi="ar-SA"/>
        </w:rPr>
        <w:t>....»</w:t>
      </w:r>
      <w:r>
        <w:rPr>
          <w:rStyle w:val="FootnoteAnchor"/>
          <w:rtl w:val="true"/>
        </w:rPr>
        <w:footnoteReference w:id="101"/>
      </w:r>
    </w:p>
    <w:p>
      <w:pPr>
        <w:pStyle w:val="Heading5"/>
        <w:numPr>
          <w:ilvl w:val="4"/>
          <w:numId w:val="1"/>
        </w:numPr>
        <w:rPr/>
      </w:pPr>
      <w:bookmarkStart w:id="274" w:name="__RefHeading___Toc2517460_653776707"/>
      <w:bookmarkStart w:id="275" w:name="_Toc106"/>
      <w:bookmarkEnd w:id="274"/>
      <w:r>
        <w:rPr>
          <w:rtl w:val="true"/>
        </w:rPr>
        <w:t>منها</w:t>
      </w:r>
      <w:r>
        <w:rPr>
          <w:rtl w:val="true"/>
        </w:rPr>
        <w:t xml:space="preserve">: </w:t>
      </w:r>
      <w:r>
        <w:rPr>
          <w:rtl w:val="true"/>
        </w:rPr>
        <w:t>رواية النعماني</w:t>
      </w:r>
      <w:bookmarkEnd w:id="27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الغيبة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وأبان على أبي عبد </w:t>
      </w:r>
      <w:bookmarkStart w:id="276" w:name="pg8686_123633"/>
    </w:p>
    <w:p>
      <w:pPr>
        <w:pStyle w:val="BookText"/>
        <w:rPr/>
      </w:pPr>
      <w:bookmarkEnd w:id="276"/>
      <w:r>
        <w:rPr>
          <w:rFonts w:ascii="Amiri" w:hAnsi="Amiri" w:eastAsia="Amiri" w:cs="Amiri"/>
          <w:color w:val="111111"/>
          <w:sz w:val="28"/>
          <w:sz w:val="28"/>
          <w:szCs w:val="28"/>
          <w:rtl w:val="true"/>
          <w:lang w:bidi="ar-SA"/>
        </w:rPr>
        <w:t>الله وذلك حين ظهرت الرايات السود بخراسان،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اجلسوا في بيوتكم، فإذا رأيتمونا قد اجتمعنا على رجلٍ فانهدوا إلينا بالسلاح</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فانهدوا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المناهدة في الحرب المناهضة ونهد القوم لعدوّهم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صَمَدوا له وشرعوا فی قتاله بمعنى نهض وبرز</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277" w:name="__RefHeading___Toc2517462_653776707"/>
      <w:bookmarkStart w:id="278" w:name="_Toc107"/>
      <w:bookmarkEnd w:id="277"/>
      <w:r>
        <w:rPr>
          <w:rtl w:val="true"/>
        </w:rPr>
        <w:t>منها</w:t>
      </w:r>
      <w:r>
        <w:rPr>
          <w:rtl w:val="true"/>
        </w:rPr>
        <w:t xml:space="preserve">: </w:t>
      </w:r>
      <w:r>
        <w:rPr>
          <w:rtl w:val="true"/>
        </w:rPr>
        <w:t>ما رواه النعماني أيضًا</w:t>
      </w:r>
      <w:bookmarkEnd w:id="278"/>
    </w:p>
    <w:p>
      <w:pPr>
        <w:pStyle w:val="BookText"/>
        <w:rPr/>
      </w:pPr>
      <w:r>
        <w:rPr>
          <w:rFonts w:ascii="Amiri" w:hAnsi="Amiri" w:eastAsia="Amiri" w:cs="Amiri"/>
          <w:color w:val="111111"/>
          <w:sz w:val="28"/>
          <w:sz w:val="28"/>
          <w:szCs w:val="28"/>
          <w:rtl w:val="true"/>
          <w:lang w:bidi="ar-SA"/>
        </w:rPr>
        <w:t xml:space="preserve">في كتاب الغيبة عن جابر،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اسكنوا ما سكنت السماوات والأرض فإنّ أمركم ليس به خفاء، ألا إنّها آية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ليست من الناس، ألا إنّها أضوأ من الشمس، لا تخفى على برّ ولا فاجر، أتعرفون الصبح؟ فإنّها كالصبح ليس به خفاء</w:t>
      </w:r>
      <w:r>
        <w:rPr>
          <w:rFonts w:eastAsia="Amiri" w:cs="Amiri" w:ascii="Amiri" w:hAnsi="Amiri"/>
          <w:color w:val="111111"/>
          <w:sz w:val="28"/>
          <w:szCs w:val="28"/>
          <w:rtl w:val="true"/>
          <w:lang w:bidi="ar-SA"/>
        </w:rPr>
        <w:t>.»</w:t>
      </w:r>
      <w:r>
        <w:rPr>
          <w:rStyle w:val="FootnoteAnchor"/>
          <w:rtl w:val="true"/>
        </w:rPr>
        <w:footnoteReference w:id="104"/>
      </w:r>
    </w:p>
    <w:p>
      <w:pPr>
        <w:pStyle w:val="Heading5"/>
        <w:numPr>
          <w:ilvl w:val="4"/>
          <w:numId w:val="1"/>
        </w:numPr>
        <w:rPr/>
      </w:pPr>
      <w:bookmarkStart w:id="279" w:name="__RefHeading___Toc2517464_653776707"/>
      <w:bookmarkStart w:id="280" w:name="_Toc108"/>
      <w:bookmarkEnd w:id="279"/>
      <w:r>
        <w:rPr>
          <w:rtl w:val="true"/>
        </w:rPr>
        <w:t>منها</w:t>
      </w:r>
      <w:r>
        <w:rPr>
          <w:rtl w:val="true"/>
        </w:rPr>
        <w:t xml:space="preserve">: </w:t>
      </w:r>
      <w:r>
        <w:rPr>
          <w:rtl w:val="true"/>
        </w:rPr>
        <w:t>ما رواه الكليني</w:t>
      </w:r>
      <w:bookmarkEnd w:id="280"/>
    </w:p>
    <w:p>
      <w:pPr>
        <w:pStyle w:val="BookText"/>
        <w:rPr/>
      </w:pPr>
      <w:r>
        <w:rPr>
          <w:rFonts w:ascii="Amiri" w:hAnsi="Amiri" w:eastAsia="Amiri" w:cs="Amiri"/>
          <w:color w:val="111111"/>
          <w:sz w:val="28"/>
          <w:sz w:val="28"/>
          <w:szCs w:val="28"/>
          <w:rtl w:val="true"/>
          <w:lang w:bidi="ar-SA"/>
        </w:rPr>
        <w:t>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علامات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والسفياني والخسف وقتل النفس الزكية واليماني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خرج أحد من أهل بيتك قبل هذه العلامات أنخرج معه؟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الروايات من حيث السند لا إشكال عليها، وفيها من الروايات الصحاح المعتبرة سنداً على أنها تبلغ حدّ الاستفاضة ما يوجب الاطمئنان بصدورها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جهة الدلالة فدلالتها على حرمة القيام والإقدام على تأسيس </w:t>
      </w:r>
      <w:bookmarkStart w:id="281" w:name="pg8686_123637"/>
    </w:p>
    <w:p>
      <w:pPr>
        <w:pStyle w:val="BookText"/>
        <w:rPr/>
      </w:pPr>
      <w:bookmarkEnd w:id="281"/>
      <w:r>
        <w:rPr>
          <w:rFonts w:ascii="Amiri" w:hAnsi="Amiri" w:eastAsia="Amiri" w:cs="Amiri"/>
          <w:color w:val="111111"/>
          <w:sz w:val="28"/>
          <w:sz w:val="28"/>
          <w:szCs w:val="28"/>
          <w:rtl w:val="true"/>
          <w:lang w:bidi="ar-SA"/>
        </w:rPr>
        <w:t xml:space="preserve">الدولة الإسلامية واضحة حيث تأمر بالسكون ولزوم البيت وعدم الخروج، فالوظيفة والتكليف في عصر الغيبة وقبل خروج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شرعية تأسيس الدولة الإسلامية، وعدم مشروعيّة أيّ إقدام في هذا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الرد علی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ناظرة إلى ادّعاء المهدوية أو الوكالة، وإلى الدعوة التي لا يكون الهدف منها إلا الإمامة والرئاسة والإمارة لشخص الدّاعي كما ذكرنا في الجواب عن روايات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إطلاقها وأنها مانعة عن أيّ قيام؛ ولو كان لتنفيذ الأحكام الإسلامية والحدود الإلهية، لكن لا يمكن الالتزام بهذا الإطلاق لوجود قرينة منفصلة أشرنا إليها آنفًا، وهي أخبار الطائفة الأولى الدالّة على أن التحرّك والقيام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له هدفٌ أصيلٌ يريد الإسلام وأحكامه ولا يدعو الخارج والثائر الناس إلى نفسه، وقسم آخر ليس له الهدف منه إلا حبّ الإمامة والرياسة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الحرام هو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شرعية القسم الأول فهوثابتٌ بروايات الطائفة الأولى بل جواز هذا النوع من القيام والخروج هو من ضروريات الشريعة الإسلامية ومن مسلّمات الكتاب والسنة</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2517466_653776707"/>
      <w:bookmarkStart w:id="283" w:name="_Toc109"/>
      <w:bookmarkEnd w:id="282"/>
      <w:r>
        <w:rPr>
          <w:rtl w:val="true"/>
        </w:rPr>
        <w:t>المسألة الرابعة</w:t>
      </w:r>
      <w:r>
        <w:rPr>
          <w:rtl w:val="true"/>
        </w:rPr>
        <w:t xml:space="preserve">: </w:t>
      </w:r>
      <w:r>
        <w:rPr>
          <w:rtl w:val="true"/>
        </w:rPr>
        <w:t>دراسة روايات الراية</w:t>
      </w:r>
      <w:bookmarkEnd w:id="283"/>
    </w:p>
    <w:p>
      <w:pPr>
        <w:pStyle w:val="Heading5"/>
        <w:numPr>
          <w:ilvl w:val="4"/>
          <w:numId w:val="1"/>
        </w:numPr>
        <w:rPr/>
      </w:pPr>
      <w:bookmarkStart w:id="284" w:name="__RefHeading___Toc2517468_653776707"/>
      <w:bookmarkStart w:id="285" w:name="_Toc110"/>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 xml:space="preserve">ثمة روايات عدّة تدلّ على حرمة رفع أيّ راية قبل راية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ظهوره، ومن هذه الروايات</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2517470_653776707"/>
      <w:bookmarkStart w:id="287" w:name="_Toc111"/>
      <w:bookmarkEnd w:id="286"/>
      <w:r>
        <w:rPr>
          <w:rtl w:val="true"/>
        </w:rPr>
        <w:t>صحيحة أبي بصير</w:t>
      </w:r>
      <w:bookmarkEnd w:id="28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رواها في الكافي عن محمد بن يحيي عن أحمد بن محمد عن الحسين بن سعيد عن حمّاد بن عيسى عن الحسين المختار القلانسي</w:t>
      </w:r>
      <w:r>
        <w:rPr>
          <w:rStyle w:val="FootnoteAnchor"/>
          <w:rtl w:val="true"/>
        </w:rPr>
        <w:footnoteReference w:id="106"/>
      </w:r>
      <w:r>
        <w:rPr>
          <w:rFonts w:ascii="Amiri" w:hAnsi="Amiri" w:eastAsia="Amiri" w:cs="Amiri"/>
          <w:color w:val="111111"/>
          <w:sz w:val="28"/>
          <w:sz w:val="28"/>
          <w:szCs w:val="28"/>
          <w:rtl w:val="true"/>
          <w:lang w:bidi="ar-SA"/>
        </w:rPr>
        <w:t xml:space="preserve">عن أبي بصير عن </w:t>
      </w:r>
      <w:bookmarkStart w:id="288" w:name="pg8686_123640"/>
    </w:p>
    <w:p>
      <w:pPr>
        <w:pStyle w:val="BookText"/>
        <w:rPr/>
      </w:pPr>
      <w:bookmarkEnd w:id="288"/>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رايه تُرفع قبل قيام القائم فصاحبها طاغوت يعبد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Style w:val="FootnoteAnchor"/>
          <w:rtl w:val="true"/>
        </w:rPr>
        <w:footnoteReference w:id="107"/>
      </w:r>
    </w:p>
    <w:p>
      <w:pPr>
        <w:pStyle w:val="Heading5"/>
        <w:numPr>
          <w:ilvl w:val="4"/>
          <w:numId w:val="1"/>
        </w:numPr>
        <w:rPr/>
      </w:pPr>
      <w:bookmarkStart w:id="289" w:name="__RefHeading___Toc2517472_653776707"/>
      <w:bookmarkStart w:id="290" w:name="_Toc112"/>
      <w:bookmarkEnd w:id="289"/>
      <w:r>
        <w:rPr>
          <w:rtl w:val="true"/>
        </w:rPr>
        <w:t>ومنها</w:t>
      </w:r>
      <w:r>
        <w:rPr>
          <w:rtl w:val="true"/>
        </w:rPr>
        <w:t xml:space="preserve">: </w:t>
      </w:r>
      <w:r>
        <w:rPr>
          <w:rtl w:val="true"/>
        </w:rPr>
        <w:t>رواية مالك بن أعين الجهني</w:t>
      </w:r>
      <w:bookmarkEnd w:id="290"/>
    </w:p>
    <w:p>
      <w:pPr>
        <w:pStyle w:val="BookText"/>
        <w:rPr/>
      </w:pPr>
      <w:r>
        <w:rPr>
          <w:rFonts w:ascii="Amiri" w:hAnsi="Amiri" w:eastAsia="Amiri" w:cs="Amiri"/>
          <w:color w:val="111111"/>
          <w:sz w:val="28"/>
          <w:sz w:val="28"/>
          <w:szCs w:val="28"/>
          <w:rtl w:val="true"/>
          <w:lang w:bidi="ar-SA"/>
        </w:rPr>
        <w:t>رواها النعماني في كتاب الغيبة عن 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الزّاهري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بن عيسى الحسيني عن الحسن بن علي بن أبي حمزة عن أبيه عن مالك بن أعين الجهني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رايه ترفع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 طاغوت</w:t>
      </w:r>
      <w:r>
        <w:rPr>
          <w:rFonts w:eastAsia="Amiri" w:cs="Amiri" w:ascii="Amiri" w:hAnsi="Amiri"/>
          <w:color w:val="111111"/>
          <w:sz w:val="28"/>
          <w:szCs w:val="28"/>
          <w:rtl w:val="true"/>
          <w:lang w:bidi="ar-SA"/>
        </w:rPr>
        <w:t>.»</w:t>
      </w:r>
      <w:r>
        <w:rPr>
          <w:rStyle w:val="FootnoteAnchor"/>
          <w:rtl w:val="true"/>
        </w:rPr>
        <w:footnoteReference w:id="108"/>
      </w:r>
    </w:p>
    <w:p>
      <w:pPr>
        <w:pStyle w:val="Heading5"/>
        <w:numPr>
          <w:ilvl w:val="4"/>
          <w:numId w:val="1"/>
        </w:numPr>
        <w:rPr/>
      </w:pPr>
      <w:bookmarkStart w:id="291" w:name="__RefHeading___Toc2517474_653776707"/>
      <w:bookmarkStart w:id="292" w:name="_Toc113"/>
      <w:bookmarkEnd w:id="291"/>
      <w:r>
        <w:rPr>
          <w:rtl w:val="true"/>
        </w:rPr>
        <w:t>ومنها</w:t>
      </w:r>
      <w:r>
        <w:rPr>
          <w:rtl w:val="true"/>
        </w:rPr>
        <w:t xml:space="preserve">: </w:t>
      </w:r>
      <w:r>
        <w:rPr>
          <w:rtl w:val="true"/>
        </w:rPr>
        <w:t>رواية ثانية لمالك بن أعين الجهني</w:t>
      </w:r>
      <w:bookmarkEnd w:id="292"/>
    </w:p>
    <w:p>
      <w:pPr>
        <w:pStyle w:val="BookText"/>
        <w:rPr/>
      </w:pPr>
      <w:r>
        <w:rPr>
          <w:rFonts w:ascii="Amiri" w:hAnsi="Amiri" w:eastAsia="Amiri" w:cs="Amiri"/>
          <w:color w:val="111111"/>
          <w:sz w:val="28"/>
          <w:sz w:val="28"/>
          <w:szCs w:val="28"/>
          <w:rtl w:val="true"/>
          <w:lang w:bidi="ar-SA"/>
        </w:rPr>
        <w:t>رواها في كتاب الغيبة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 حدّثنا محمد بن يحيى العطار بقم،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الكوفي عن على ابنالحسين عن ابن مسكان عن مالك بن أعين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راية تُرفع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 طاغوت</w:t>
      </w:r>
      <w:r>
        <w:rPr>
          <w:rFonts w:eastAsia="Amiri" w:cs="Amiri" w:ascii="Amiri" w:hAnsi="Amiri"/>
          <w:color w:val="111111"/>
          <w:sz w:val="28"/>
          <w:szCs w:val="28"/>
          <w:rtl w:val="true"/>
          <w:lang w:bidi="ar-SA"/>
        </w:rPr>
        <w:t>.»</w:t>
      </w:r>
      <w:r>
        <w:rPr>
          <w:rStyle w:val="FootnoteAnchor"/>
          <w:rtl w:val="true"/>
        </w:rPr>
        <w:footnoteReference w:id="109"/>
      </w:r>
    </w:p>
    <w:p>
      <w:pPr>
        <w:pStyle w:val="Heading5"/>
        <w:numPr>
          <w:ilvl w:val="4"/>
          <w:numId w:val="1"/>
        </w:numPr>
        <w:rPr/>
      </w:pPr>
      <w:bookmarkStart w:id="293" w:name="__RefHeading___Toc2517476_653776707"/>
      <w:bookmarkStart w:id="294" w:name="_Toc114"/>
      <w:bookmarkEnd w:id="293"/>
      <w:r>
        <w:rPr>
          <w:rtl w:val="true"/>
        </w:rPr>
        <w:t>ومنها</w:t>
      </w:r>
      <w:r>
        <w:rPr>
          <w:rtl w:val="true"/>
        </w:rPr>
        <w:t xml:space="preserve">: </w:t>
      </w:r>
      <w:r>
        <w:rPr>
          <w:rtl w:val="true"/>
        </w:rPr>
        <w:t>رواية ثالثة لمالك بن أعين الجهني</w:t>
      </w:r>
      <w:bookmarkEnd w:id="29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رواها في كتاب الغيبة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البندينجي عن عبيد الله بن موسى العلوي عن علي ابن إبراهيم بن هاشم عن أبيه عن عبد الله بن المغيرة عن عبد الله بن مسكان عن مالك بن أعين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راية 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قيام القائم صاحبها طاغوت</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بحث عن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أخبار أربعة ترجع إلى خبرين أحدهما مرويٌّ في الكافي بسند صحيح كله من الثقات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هو خبر مالك بن أعين المروي في كتاب الغيبة للنعماني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ويرويه النعماني عن مالك بن أعين بثلاثة 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بن أعين الجهني حكم المحقق الخوئي في معجم رجال الحديث بوثاقته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 بن أعين الجهني لا ينبغي الشك في كونه شيعيًّا إماميًّا حسَنَ العقيدة، وهو ثقة بشهادة ابن قولويه وعليه فرواياته معتبرة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نعم نُقل أنّ السيد الخوئي عدل عن هذا القول بتوثيق كلّ من ورد اسمه في روايات ابن قولويه، وأنّه قال في حقّ ابن أعين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يرد فيه توثيق وما ورد في حقّه من الروايات المادحة لا يمكن الاعتماد عليها في الحكم بوثاقته؛ لأنه هو الراوي لها، نعم قد يستفاد منها أنه شيعي إمامي حسن العقيدة أما أنّه ثقة فلا</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اللهم إلا أن يقال إنّ عبد الله بن مسكان وقع في طريق الخبر الثاني والثالث وهو من أصحاب الإجماع عند البعض وهو يروي عن مالك بن أعين بلا واسطة، وهذا يكفي لإثبات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على أيّ حال لم تثبت وثاقة بعض الرجال الواقعين في طريق الحديث بطرقه الثلاثة؛ بل بعضهم ضعيفٌ فالاعتماد على خبر مالك بن أعين مشكلٌ؛ نعم اختلاف طرق الحديث يقوّي جانب الاعتبار والاعتماد عليه، خاصّة صحيحة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الأول المذكور أعلاه –الذي يكفي للاعتماد والتعويل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دلالة هذه الطائفة الرابعة على المدّعى، وهو عدم شرعية القيام قبل ظهور </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قويّةٌ جدًّا، وتختلف من هذه الجهة عن الطوائف الثالثة السابقة فإنّها تدلّ بالعموم على أن رفع الراية أي راية كانت، حرامٌ قبل خروج القائم، حتى لو كان صاحب هذه الراية يهدف إلى إحياء الشريعة وتنفيذ الحدود وتطبيق الأحكام، وتدلّ على أنّ صاحب هذه الراية طاغوتٌ يعبد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سلّم تمامية الأدلة الدالّة على ضرورة إقامة الحكم الإسلامي في عصر الغيبة؛ فهذه الأخبار تعدّ معارضة لها؛ ولایکون هناک طریق جمع لمدلولهما، لتحقق التباین الكلي والتکاذب بینهما،احدهما یدل علی الوجوب و الثانی یدل علی الحرمه، فهما إما یتساقطان فیرحع الی الاصل و هو البرائة و إما الی اصالة التخییر ، علی المبانی المدروسة فی علم ونتيجة هذا الكلام أنّ الحكم بوجوب القيامة وتأسيس الدولة في عصر الغيبة محلّ تأمّلٍ بل لایمکن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 علی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العموم المدّعى استفادته من روايات الطائفة الرابعة غير تامٍّ يجب رفع اليد عنه؛ وذلك لوجود المخصّص المنفصل الثابت في الطائفة الأولى حيث إن روايات الطائفةالأولى تدلّ على أن القيام ورفع الراية على قسمين؛ فإن كانت بهدف الدعوة إلى النفس فصاحبها طاغوت وهذا هو القدر المتبقّي تحت العام من الطائفة الرابعة بعد التخصيص بالطائفة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كانت بهدف إقامة الحكم الإلهي وأن الداعي والرافع لها لا يرى لنفسه إمامة من الله؛ بل يرى نفسه تابعًا لولاية الأولياء، ولا يرى لدعوته هدفًا غير تنفيذ التشريعات الإلهية، وهو حتى مع قيامه وخروجه منتظر لظهور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ليسلِّم الراية إليه، فهو لا يحسب من الطاغوت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بتعميم تحريم رفع الراية مخالفٌ لمئات الأدلّة القرآنية والروائية، ومخالفٌ لعمومات وإطلاقات كثيرة تدعو المسلمين والمؤمنين إلى الجهاد والأمر بالمعروف والنهي عن المنكر وإقامة الحدود الإلهية والفرائض الشرعية ومواجهة الفساد والفحشاء والمعاصي كلها في كل عصر وزمان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شكّ في أنّه إذا عارض عموم هذه الأخبار هذه النصوص القرآنية والروائية الصريحة في وجوب القيام والدعوة وعدم تولّي حكم الطاغوت وحرمة تبعية الطواغيت، وعدم شرعيّة الركون إلى الظالمين، يجب رفع اليد عن عموم هذه الطائفة وتخصيصها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بعموم هذه الأخبار مخالف للحكمة الإلهية، فإنه لا شك في أنّ الجهاد والدفاع مشروعٌ وواجبٌ، فهل يجوز في الحكمة الإلهية أن يجب الجهاد والدفاع في مواجهة هجوم الكفار ثم تفويض أمر الحكومة وولاية أمر المسلمين بعد الغلبة على الكفار إلى أهل الفسق 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يجوز في الحكمة الإلهية أن يجب الأمر بالمعروف والنهي عن المنكر والوقوف أمام الطاغوت والسلطان الجائر ثم بعد الغلبة عليه وإخراج زمام الأمور من يده، تركها على حالها حتى يأتي أحد يضرب السيوف ويقاتل الناس لأخذها والاستيلاء عليها ثم يجب مرّة أخرى الوقوف أمام هذه السلطة الجديدة وهلّم جرًّا حتى يتسلسل فهل هذا جائز في حكم الحكيم وهل يجوّزه العقل السليم؟وبعبارة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بعموم حرمة خروج الراية مستلزمٌ للقول بحرمة الدفاع عندما يهجم الكفّار على بلاد المسلمين وحرمة رفع الأيادي المحتلّة لأراضي المسلمين؛ بل يجب عليهم ترك المهاجم لحاله حتى يأتي ويتسلط على بلاد المسلمين وأموالهم وأنفسهم وأعراضهم ويأخذ نساءهم ويفعل ما يشاء، فكأنّ الشارع الحكيم أباح لهم كل شيء من القتال وهلاك الحرث والنسل ولا شك في أن الالتزام بهذا الرأي التزام بخلاف القرآن والسنة ومخالف للحكمة؛ بل مخالف لضرورة العقل وبداهة الفطرة بل منافٍ للغريزة المودعة في كل حيوان والتي تقضي بشرعية الدفاع وجوازه، فلا بدّ إما من الالتزام بترك هذه الأخبار، وإمّا القول برفع اليد عن عمومها وتخصيص الحرمة بالرايات الباطلة الداعية إلى الطاغوت وحكم الشيطان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لا تصل النوبة إلى مرحلة التعارض المستقرّ فيما بين الأدلة حتى يؤول الأمر إلى اللجوء إلى المرجّحات أو إلى القواعد </w:t>
      </w:r>
    </w:p>
    <w:p>
      <w:pPr>
        <w:pStyle w:val="BookText"/>
        <w:rPr/>
      </w:pPr>
      <w:r>
        <w:rPr>
          <w:rFonts w:ascii="IRNazanin" w:hAnsi="IRNazanin" w:eastAsia="IRNazanin"/>
          <w:color w:val="111111"/>
          <w:sz w:val="28"/>
          <w:sz w:val="28"/>
          <w:szCs w:val="28"/>
          <w:rtl w:val="true"/>
          <w:lang w:bidi="fa-IR"/>
        </w:rPr>
        <w:t>والأصول المطروحة فی باب التعارض من التساقط أو الرجوع إلی الأصل أو التخيير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للناس من أمير برّ أو فاجر؛ فإقامة الحكم وتأسيس الدولة لحفظ النظام ودفع الهرج والمرج من ضروريات الاجتماع البشري، وهذا من الأحكام الإمضائية الإسلامية، الحاكم بلزومه وضرورته كلّ العقلاء؛ بل ثبتت ضرورته ببداهة العقل والوجدان، ولا شك في أن الحكم بحرمة خروج كل راية في عصر الغيبة مخالفٌ للحكم بضرورة الدولة والإمارة، ومن هنا نخلص إلى النتائج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التناقض والتهافت بين التشريعات التأسيسية والإمضائية، وهذا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 للحكمة ومخالفته لضرورة العقل والعقلاء</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رفع اليد عن هذا العموم تنزيهًا للحكمة الإلهية، وانسجامًا مع حكم العقل الضروريّ، وحكم العقلاء الموافق للتشريعات الإسلامية والله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تمّ الكلام في الأدلّة المذكورة التي ربّما يُتخيّل أنها معارضة للحكم بضرورة إقامة الحكم الإسلامي وتأسيس النظام السياسي للإسلام في عصر الغيبة وزمان قبض يد الإمام</w:t>
      </w:r>
      <w:r>
        <w:rPr>
          <w:rFonts w:eastAsia="Amiri" w:cs="Amiri" w:ascii="Amiri" w:hAnsi="Amiri"/>
          <w:color w:val="111111"/>
          <w:sz w:val="28"/>
          <w:szCs w:val="28"/>
          <w:rtl w:val="true"/>
          <w:lang w:bidi="ar-SA"/>
        </w:rPr>
        <w:t xml:space="preserve">. </w:t>
      </w:r>
      <w:bookmarkStart w:id="295" w:name="pg8686_123655"/>
    </w:p>
    <w:p>
      <w:pPr>
        <w:pStyle w:val="Heading3"/>
        <w:numPr>
          <w:ilvl w:val="2"/>
          <w:numId w:val="1"/>
        </w:numPr>
        <w:rPr/>
      </w:pPr>
      <w:bookmarkStart w:id="296" w:name="__RefHeading___Toc2517478_653776707"/>
      <w:bookmarkStart w:id="297" w:name="_Toc115"/>
      <w:bookmarkEnd w:id="295"/>
      <w:bookmarkEnd w:id="296"/>
      <w:r>
        <w:rPr>
          <w:rtl w:val="true"/>
        </w:rPr>
        <w:t>الفصل الخامس</w:t>
      </w:r>
      <w:r>
        <w:rPr>
          <w:rtl w:val="true"/>
        </w:rPr>
        <w:t xml:space="preserve">: </w:t>
      </w:r>
      <w:r>
        <w:rPr>
          <w:rtl w:val="true"/>
        </w:rPr>
        <w:t xml:space="preserve">ملامح الدولة الإسلامية في كلمات الإمام الخميني </w:t>
      </w:r>
      <w:r>
        <w:rPr>
          <w:rtl w:val="true"/>
        </w:rPr>
        <w:t>(</w:t>
      </w:r>
      <w:r>
        <w:rPr>
          <w:rtl w:val="true"/>
        </w:rPr>
        <w:t>قُدّس سِرّه</w:t>
      </w:r>
      <w:r>
        <w:rPr>
          <w:rtl w:val="true"/>
        </w:rPr>
        <w:t>)</w:t>
      </w:r>
      <w:bookmarkEnd w:id="297"/>
    </w:p>
    <w:p>
      <w:pPr>
        <w:pStyle w:val="Heading4"/>
        <w:numPr>
          <w:ilvl w:val="3"/>
          <w:numId w:val="1"/>
        </w:numPr>
        <w:rPr/>
      </w:pPr>
      <w:bookmarkStart w:id="298" w:name="__RefHeading___Toc2517480_653776707"/>
      <w:bookmarkStart w:id="299" w:name="_Toc116"/>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 xml:space="preserve">يشير السيد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 الأول لإقامة النظام السياسي الإسلامي في عصر الغيبة في مقامي النظر والعمل، في بحوثه الفقهية إلى حقيقة الحكومة الإسلامية وأماراتها وملامحها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الفصل يتكفّل بالإشارة إلى أهم هذه الملامح</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2517482_653776707"/>
      <w:bookmarkStart w:id="301" w:name="_Toc117"/>
      <w:bookmarkEnd w:id="300"/>
      <w:r>
        <w:rPr>
          <w:rtl w:val="true"/>
        </w:rPr>
        <w:t>اللمحة الأولى</w:t>
      </w:r>
      <w:r>
        <w:rPr>
          <w:rtl w:val="true"/>
        </w:rPr>
        <w:t xml:space="preserve">: </w:t>
      </w:r>
      <w:r>
        <w:rPr>
          <w:rtl w:val="true"/>
        </w:rPr>
        <w:t>نهج الحكومة الإسلامية</w:t>
      </w:r>
      <w:bookmarkEnd w:id="30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الإسلام ظهر لتأسيس حكومة عادلة فيها قوانين مربوطة بالضرائب وبيت المال، وبقوانين العقوبات والأحكام الجزائيّة قصاصًا وحدًّا وديات، وقوانين مربوطة بالقضاء والحقوق على نهج عادل وسهل، فأُسُس الحكومة الإسلامية ليست على نهج الاستبداد المحكم فيه رأي الفرد وميوله النفسانية على حساب المجتمع، ولا على نهج المشروطة أو الجمهورية المؤسَّسة على القوانين البشرية التي تفرض تحكيم آراء جماعة من البشر على المجتمع؛ بل حكومةٌ تستوحي وتستمدّ جميع تشريعاتها من القانون الإلهي حتى الطاعة لولاة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للوالي أن يعمل في الموضوعات على طبق الصلاح للمسلمين، أو لأهل منطقته وليس ذلك استبدادًا بالرأي بل هو طبق الصلاح فرأيه تبع للصلاح كعمله</w:t>
      </w:r>
      <w:r>
        <w:rPr>
          <w:rFonts w:eastAsia="Amiri" w:cs="Amiri" w:ascii="Amiri" w:hAnsi="Amiri"/>
          <w:color w:val="111111"/>
          <w:sz w:val="28"/>
          <w:szCs w:val="28"/>
          <w:rtl w:val="true"/>
          <w:lang w:bidi="ar-SA"/>
        </w:rPr>
        <w:t>.</w:t>
      </w:r>
      <w:r>
        <w:rPr>
          <w:rStyle w:val="FootnoteAnchor"/>
          <w:rtl w:val="true"/>
        </w:rPr>
        <w:footnoteReference w:id="113"/>
      </w:r>
      <w:bookmarkStart w:id="302" w:name="pg8686_123657"/>
    </w:p>
    <w:p>
      <w:pPr>
        <w:pStyle w:val="Heading4"/>
        <w:numPr>
          <w:ilvl w:val="3"/>
          <w:numId w:val="1"/>
        </w:numPr>
        <w:rPr/>
      </w:pPr>
      <w:bookmarkStart w:id="303" w:name="__RefHeading___Toc2517484_653776707"/>
      <w:bookmarkStart w:id="304" w:name="_Toc118"/>
      <w:bookmarkEnd w:id="302"/>
      <w:bookmarkEnd w:id="303"/>
      <w:r>
        <w:rPr>
          <w:rtl w:val="true"/>
        </w:rPr>
        <w:t>اللمحة الثانية</w:t>
      </w:r>
      <w:r>
        <w:rPr>
          <w:rtl w:val="true"/>
        </w:rPr>
        <w:t xml:space="preserve">: </w:t>
      </w:r>
      <w:r>
        <w:rPr>
          <w:rtl w:val="true"/>
        </w:rPr>
        <w:t>السلطة التشريعية في الحكومة الإسلامية</w:t>
      </w:r>
      <w:bookmarkEnd w:id="304"/>
    </w:p>
    <w:p>
      <w:pPr>
        <w:pStyle w:val="BookText"/>
        <w:rPr/>
      </w:pPr>
      <w:r>
        <w:rPr>
          <w:rFonts w:ascii="Amiri" w:hAnsi="Amiri" w:eastAsia="Amiri" w:cs="Amiri"/>
          <w:color w:val="111111"/>
          <w:sz w:val="28"/>
          <w:sz w:val="28"/>
          <w:szCs w:val="28"/>
          <w:rtl w:val="true"/>
          <w:lang w:bidi="ar-SA"/>
        </w:rPr>
        <w:t>الحكومة الإسلامية لا تشبه الأشكال الحكومية المعروفة، فليست حكومة مطلقة يستبدّ فيها رئيس الدولة برأيه عابثًا بأموال الناس ورقابهم وإنما هي دستورية؛ ولكنها ليست دستورية بالمعنى المتعارف الذي يتمثّل في النظام البرلماني أو المجالس الشعبية وأنما هي دستورية مشروطة بمعنى أن القائمين بالأمر يتقيدون بمجموعة الشروط والقواعد المبينة في القرآن والسنة، ويمكن التمييز بين الحكومة الإسلامية والحكومات الدستورية الملكية والجمهورية في أن ممثّلي الشعب أو ممثلي الملك هم الذين يقنّنون ويشرعون، في حين تنحصر سلطة التشريع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لأحد أيًّا كان أن يشرّع، وليس لأحد أن يحكم بما لم ينزل الله به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السبب فقد استبدل الإسلام المجلس التشريعي الذي هو واحد من ثلاث سلطات توجد في الدول الحديثة بمجلسٍ آخر للتخطيط يعمل على تنظيم سير الوزارات في أعمالها وفي تقديم خدماتها في جميع المجالات</w:t>
      </w:r>
      <w:r>
        <w:rPr>
          <w:rFonts w:eastAsia="Amiri" w:cs="Amiri" w:ascii="Amiri" w:hAnsi="Amiri"/>
          <w:color w:val="111111"/>
          <w:sz w:val="28"/>
          <w:szCs w:val="28"/>
          <w:rtl w:val="true"/>
          <w:lang w:bidi="ar-SA"/>
        </w:rPr>
        <w:t>.</w:t>
      </w:r>
      <w:r>
        <w:rPr>
          <w:rStyle w:val="FootnoteAnchor"/>
          <w:rtl w:val="true"/>
        </w:rPr>
        <w:footnoteReference w:id="114"/>
      </w:r>
    </w:p>
    <w:p>
      <w:pPr>
        <w:pStyle w:val="Heading4"/>
        <w:numPr>
          <w:ilvl w:val="3"/>
          <w:numId w:val="1"/>
        </w:numPr>
        <w:rPr/>
      </w:pPr>
      <w:bookmarkStart w:id="305" w:name="__RefHeading___Toc2517486_653776707"/>
      <w:bookmarkStart w:id="306" w:name="_Toc119"/>
      <w:bookmarkEnd w:id="305"/>
      <w:r>
        <w:rPr>
          <w:rtl w:val="true"/>
        </w:rPr>
        <w:t>اللمحة الثالثة</w:t>
      </w:r>
      <w:r>
        <w:rPr>
          <w:rtl w:val="true"/>
        </w:rPr>
        <w:t xml:space="preserve">: </w:t>
      </w:r>
      <w:r>
        <w:rPr>
          <w:rtl w:val="true"/>
        </w:rPr>
        <w:t>تنزّه الحكومة الإسلامية عن الترف والامتيازات</w:t>
      </w:r>
      <w:bookmarkEnd w:id="30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حكومة الإسلام حكومة القانون والحاكم هو الله وحده، وهو المشرّع وحده لا سواه، وحكم الله نافذ في جميع الناس وفي العاملين في الدولة نفسها، والحكومة الإسلامية ليست ملكية ولا شاهنشاهية ولا إمبراطورية لأنّ الإسلام منزَّه عن التفريط والاستهانة بأرواح الناس وأموالهم بغير حق؛ ولذلك لا يوجد في حكومة الإسلام نظير لما كَثُر وجوده عند السلاطين والأباطرة من قصور ضخمة وخدم وحشم وبلاط ملكي وديوان لولي العهد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منتهى البساطة بالرغم من أنه كان يرأسالدولة ويحكمها بنفسه وكانت حكومة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صالحة وكان يعيش ببساطة تامّة</w:t>
      </w:r>
      <w:r>
        <w:rPr>
          <w:rFonts w:eastAsia="Amiri" w:cs="Amiri" w:ascii="Amiri" w:hAnsi="Amiri"/>
          <w:color w:val="111111"/>
          <w:sz w:val="28"/>
          <w:szCs w:val="28"/>
          <w:rtl w:val="true"/>
          <w:lang w:bidi="ar-SA"/>
        </w:rPr>
        <w:t>.</w:t>
      </w:r>
      <w:r>
        <w:rPr>
          <w:rStyle w:val="FootnoteAnchor"/>
          <w:rtl w:val="true"/>
        </w:rPr>
        <w:footnoteReference w:id="115"/>
      </w:r>
      <w:bookmarkStart w:id="307" w:name="pg8686_123660"/>
    </w:p>
    <w:p>
      <w:pPr>
        <w:pStyle w:val="Heading4"/>
        <w:numPr>
          <w:ilvl w:val="3"/>
          <w:numId w:val="1"/>
        </w:numPr>
        <w:rPr/>
      </w:pPr>
      <w:bookmarkStart w:id="308" w:name="__RefHeading___Toc2517488_653776707"/>
      <w:bookmarkStart w:id="309" w:name="_Toc120"/>
      <w:bookmarkEnd w:id="307"/>
      <w:bookmarkEnd w:id="308"/>
      <w:r>
        <w:rPr>
          <w:rtl w:val="true"/>
        </w:rPr>
        <w:t>اللمحة الرابعة</w:t>
      </w:r>
      <w:r>
        <w:rPr>
          <w:rtl w:val="true"/>
        </w:rPr>
        <w:t xml:space="preserve">: </w:t>
      </w:r>
      <w:r>
        <w:rPr>
          <w:rtl w:val="true"/>
        </w:rPr>
        <w:t>توسّلية الحكومة الإسلامية</w:t>
      </w:r>
      <w:bookmarkEnd w:id="309"/>
    </w:p>
    <w:p>
      <w:pPr>
        <w:pStyle w:val="BookText"/>
        <w:rPr/>
      </w:pPr>
      <w:r>
        <w:rPr>
          <w:rFonts w:ascii="Amiri" w:hAnsi="Amiri" w:eastAsia="Amiri" w:cs="Amiri"/>
          <w:color w:val="111111"/>
          <w:sz w:val="28"/>
          <w:sz w:val="28"/>
          <w:szCs w:val="28"/>
          <w:rtl w:val="true"/>
          <w:lang w:bidi="ar-SA"/>
        </w:rPr>
        <w:t>القيام بشؤون الدولة لا يُكسِب القائمين بالأمر مزيد شأن ورفعة، لأنّ الحكومة وسيلة لتنفيذ الأحكام وإقرار النظام الإسلامي العادل وتتجرّد الحكومة عن أية قيمة إذا اعتبرت هدفاً مقصوداً يطلب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لابن عبّاس وقد كان بيد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 يخصفه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هذه النعل؟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لهي أحبّ إليّ من إمرتكم إلا أن أقيم حقًّا أو أدفع باطلاً</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فالحكم ليس غاية في نفسه وإنما هو وسيلة، تكون له قيمته ما دامت غايته نبيلة فإذا طلب باعتباره غاية واتخذت لنيله جميع الوسائل فإنه يتدنّى إلى مستوى الجريمة ويصبح طلابه في عداد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واستدلالاً على هذه الحقيقة نذكر ما قاله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بيعة الناس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أنه لم يكن الذي كان منّا منافسة في سلطان ولا التماس شيء من فضول الحطام ولكن لنردّ المعالم من دينك ونظهر الإصلاح في بلادك فيأمن المظلومون من عبادك وتقام المعطلة من حدودك</w:t>
      </w:r>
      <w:r>
        <w:rPr>
          <w:rFonts w:eastAsia="Amiri" w:cs="Amiri" w:ascii="Amiri" w:hAnsi="Amiri"/>
          <w:color w:val="111111"/>
          <w:sz w:val="28"/>
          <w:szCs w:val="28"/>
          <w:rtl w:val="true"/>
          <w:lang w:bidi="ar-SA"/>
        </w:rPr>
        <w:t>».</w:t>
      </w:r>
      <w:r>
        <w:rPr>
          <w:rStyle w:val="FootnoteAnchor"/>
          <w:rtl w:val="true"/>
        </w:rPr>
        <w:footnoteReference w:id="117"/>
      </w:r>
    </w:p>
    <w:p>
      <w:pPr>
        <w:pStyle w:val="Heading4"/>
        <w:numPr>
          <w:ilvl w:val="3"/>
          <w:numId w:val="1"/>
        </w:numPr>
        <w:rPr/>
      </w:pPr>
      <w:bookmarkStart w:id="310" w:name="__RefHeading___Toc2517490_653776707"/>
      <w:bookmarkStart w:id="311" w:name="_Toc121"/>
      <w:bookmarkEnd w:id="310"/>
      <w:r>
        <w:rPr>
          <w:rtl w:val="true"/>
        </w:rPr>
        <w:t>اللمحة الخامسة</w:t>
      </w:r>
      <w:r>
        <w:rPr>
          <w:rtl w:val="true"/>
        </w:rPr>
        <w:t xml:space="preserve">: </w:t>
      </w:r>
      <w:r>
        <w:rPr>
          <w:rtl w:val="true"/>
        </w:rPr>
        <w:t>الحكومة الإسلامية والحرية والأمن</w:t>
      </w:r>
      <w:bookmarkEnd w:id="31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أن حكومة الإسلام هي حكومة القانون فالحاكم الأعلى في الحقيقة هو القانون والجميع يستظلّون بظلّه والناس أحرار في تصرفاتهم المشروعة فليس لأحد على غيره أيحق وليس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تنفيذ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يقسر أحدًا على الجلوس في مكان معين أو الذهاب إلى مكان معيّن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فحكومة الإسلام تطمئن الناس وتؤمّنهم ولا تسلبهم أمنهم واطمئنانهم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 آمن على نفسه وماله وأهله وما يملك؛ لأنه لا يحق لحاكم أن يخطو في الناس بما يتنافى </w:t>
      </w:r>
      <w:bookmarkStart w:id="312" w:name="pg8686_123663"/>
    </w:p>
    <w:p>
      <w:pPr>
        <w:pStyle w:val="BookText"/>
        <w:rPr/>
      </w:pPr>
      <w:bookmarkEnd w:id="312"/>
      <w:r>
        <w:rPr>
          <w:rFonts w:ascii="Amiri" w:hAnsi="Amiri" w:eastAsia="Amiri" w:cs="Amiri"/>
          <w:color w:val="111111"/>
          <w:sz w:val="28"/>
          <w:sz w:val="28"/>
          <w:szCs w:val="28"/>
          <w:rtl w:val="true"/>
          <w:lang w:bidi="ar-SA"/>
        </w:rPr>
        <w:t>ما قرّر في الشرع الإسلامي الحنيف فالإسلام يعتبر القانون آلة ووسيلة لتحقيق العدالة في المجتمع وسبيلاً إلى تهذيب الإنسان خلقيًّا وعقائديًّا وعمليًّا</w:t>
      </w:r>
      <w:r>
        <w:rPr>
          <w:rFonts w:eastAsia="Amiri" w:cs="Amiri" w:ascii="Amiri" w:hAnsi="Amiri"/>
          <w:color w:val="111111"/>
          <w:sz w:val="28"/>
          <w:szCs w:val="28"/>
          <w:rtl w:val="true"/>
          <w:lang w:bidi="ar-SA"/>
        </w:rPr>
        <w:t xml:space="preserve">. </w:t>
      </w:r>
      <w:r>
        <w:rPr>
          <w:rStyle w:val="FootnoteAnchor"/>
          <w:rtl w:val="true"/>
        </w:rPr>
        <w:footnoteReference w:id="118"/>
      </w:r>
    </w:p>
    <w:p>
      <w:pPr>
        <w:pStyle w:val="Heading4"/>
        <w:numPr>
          <w:ilvl w:val="3"/>
          <w:numId w:val="1"/>
        </w:numPr>
        <w:rPr/>
      </w:pPr>
      <w:bookmarkStart w:id="313" w:name="__RefHeading___Toc2517492_653776707"/>
      <w:bookmarkStart w:id="314" w:name="_Toc122"/>
      <w:bookmarkEnd w:id="313"/>
      <w:r>
        <w:rPr>
          <w:rtl w:val="true"/>
        </w:rPr>
        <w:t>اللمحة السادسة</w:t>
      </w:r>
      <w:r>
        <w:rPr>
          <w:rtl w:val="true"/>
        </w:rPr>
        <w:t xml:space="preserve">: </w:t>
      </w:r>
      <w:r>
        <w:rPr>
          <w:rtl w:val="true"/>
        </w:rPr>
        <w:t>الحكومة الإسلامية والمصالح العامّة</w:t>
      </w:r>
      <w:bookmarkEnd w:id="314"/>
    </w:p>
    <w:p>
      <w:pPr>
        <w:pStyle w:val="BookText"/>
        <w:rPr/>
      </w:pPr>
      <w:r>
        <w:rPr>
          <w:rFonts w:ascii="Amiri" w:hAnsi="Amiri" w:eastAsia="Amiri" w:cs="Amiri"/>
          <w:color w:val="111111"/>
          <w:sz w:val="28"/>
          <w:sz w:val="28"/>
          <w:szCs w:val="28"/>
          <w:rtl w:val="true"/>
          <w:lang w:bidi="ar-SA"/>
        </w:rPr>
        <w:t xml:space="preserve">الحاكم الأعلى لا بد من أن يكون نظره في المصالح العامة ولا يعبأ بالعواطف ولا تأخذه في الله لومة لائم؛ ولذا نرى أن كثيراً من المصالح الخاصّة المؤثرة قد قضي عليها رعاية للمصالح العامّة فقد أتى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يهود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قريظة عن آخرهم لما لمسه منهم من الإضرار بالمجتمع الإسلامي وبحكومته وبجميع الناس فجرأة الحاكم في الله عند تنفيذ أمره وإقامة حدوده من غير خضوع لعاطفة أو انسياق لهوى وكذلك عطفه ورأفته وحنانه وشفاعته للناس؛ الصفتان تجعلان من الحاكم كهفاً يلجأ الناس إليه</w:t>
      </w:r>
      <w:r>
        <w:rPr>
          <w:rFonts w:eastAsia="Amiri" w:cs="Amiri" w:ascii="Amiri" w:hAnsi="Amiri"/>
          <w:color w:val="111111"/>
          <w:sz w:val="28"/>
          <w:szCs w:val="28"/>
          <w:rtl w:val="true"/>
          <w:lang w:bidi="ar-SA"/>
        </w:rPr>
        <w:t>.</w:t>
      </w:r>
      <w:r>
        <w:rPr>
          <w:rStyle w:val="FootnoteAnchor"/>
          <w:rtl w:val="true"/>
        </w:rPr>
        <w:footnoteReference w:id="119"/>
      </w:r>
    </w:p>
    <w:p>
      <w:pPr>
        <w:pStyle w:val="Heading4"/>
        <w:numPr>
          <w:ilvl w:val="3"/>
          <w:numId w:val="1"/>
        </w:numPr>
        <w:rPr/>
      </w:pPr>
      <w:bookmarkStart w:id="315" w:name="__RefHeading___Toc2517494_653776707"/>
      <w:bookmarkStart w:id="316" w:name="_Toc123"/>
      <w:bookmarkEnd w:id="315"/>
      <w:r>
        <w:rPr>
          <w:rtl w:val="true"/>
        </w:rPr>
        <w:t>اللمحة السابعة</w:t>
      </w:r>
      <w:r>
        <w:rPr>
          <w:rtl w:val="true"/>
        </w:rPr>
        <w:t xml:space="preserve">: </w:t>
      </w:r>
      <w:r>
        <w:rPr>
          <w:rtl w:val="true"/>
        </w:rPr>
        <w:t>موقع الدولة والتشريعات الاجتماعيّة في الإسلام</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هو الحكومة بجميع شؤونها، والأحكام قوانين الإسلام وهي شأن من شؤونها؛ بل الأحكام مطلوبة بالعرض وأمور آلية لإجرائها وبسط العدالة</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في هذه العبارة يبين السيد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الحكومة الإسلامية في الإسلام أولا وموقع التشريعات الإسلامية في الحكومة الإسلامية ثانيًا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فبحسب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دولة بجميع شؤونها، والحاكم الإسلامي ووليّ الأمر في الإسلام يكون حصنًا للإسلام، أمينًا وحافظًا لجميع شؤونها من بسط العدالة وإجراء الحدود وحفظ الثغور وأخذ الخراجات وصرفها في مصالح المسلمين ونصب الولاة في الأصقاع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الأحكام الفرعية والتشريعات الإسلامية، فهي وسائل ووسائط وآلات بيد الحكومة الإسلامية للوصول إلى </w:t>
      </w:r>
      <w:bookmarkStart w:id="317" w:name="pg8686_123666"/>
    </w:p>
    <w:p>
      <w:pPr>
        <w:pStyle w:val="BookText"/>
        <w:rPr/>
      </w:pPr>
      <w:bookmarkEnd w:id="317"/>
      <w:r>
        <w:rPr>
          <w:rFonts w:ascii="Amiri" w:hAnsi="Amiri" w:eastAsia="Amiri" w:cs="Amiri"/>
          <w:color w:val="111111"/>
          <w:sz w:val="28"/>
          <w:sz w:val="28"/>
          <w:szCs w:val="28"/>
          <w:rtl w:val="true"/>
          <w:lang w:bidi="ar-SA"/>
        </w:rPr>
        <w:t>غايتها وهي بسط العدالة، فالتشريعات مندكّة في الحكومة الإسلامية وتُحسب شأناً من شؤونها، فلا يمكننا أن ننظر إلى الأحكام مستقلةً، بلا اعتبار للحكومة الإسلامية وغضّ النظر عنها وجميع الفقه حكومي ينظر إلى كل فرع من فروعه كمقدّمة لتنفيذه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فبحسب رأيه ورؤيته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الإسلام وماهيته هي الدولة بجميع شؤونها؛ لأنها برمجة لحياة الإنسان وهدايته ورشده وتعاليه من المهد إلى اللحد في جميع أبعادها الفردية والاجتماعية والسياسية والاقتصادية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التشريعات والفروع الفقهية شأن من شؤونها وكأن النسبة بينها وبين الدولة الإسلامية نسبة الكلّ والجزء؛ ولكن الأصالة للحكومة الإسلامية القائمة بجميع شؤون الإسلام، وأمّا التشريعات الإلهية فهي ليست مطلوبة بالذات؛ بل هي مطلوبة بالعرض لأنّها آلاتٌ تعدّ الأرضية المناسبة لتستطيع الدولة الإسلامية تحقيق الأغراض والأهداف والملاكات الموجودة في الفروع الفقهية من المصالح والمفاسد التي في رأسها بسط العدالة</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2517496_653776707"/>
      <w:bookmarkStart w:id="319" w:name="_Toc124"/>
      <w:bookmarkEnd w:id="318"/>
      <w:r>
        <w:rPr>
          <w:rtl w:val="true"/>
        </w:rPr>
        <w:t>اللمحة الثامنة</w:t>
      </w:r>
      <w:r>
        <w:rPr>
          <w:rtl w:val="true"/>
        </w:rPr>
        <w:t xml:space="preserve">: </w:t>
      </w:r>
      <w:r>
        <w:rPr>
          <w:rtl w:val="true"/>
        </w:rPr>
        <w:t>موقف كلّ من الإسلام والحكومة الإسلامية والأحكام الفقهية للآخر</w:t>
      </w:r>
      <w:bookmarkEnd w:id="319"/>
    </w:p>
    <w:p>
      <w:pPr>
        <w:pStyle w:val="BookText"/>
        <w:rPr/>
      </w:pPr>
      <w:r>
        <w:rPr>
          <w:rFonts w:ascii="Amiri" w:hAnsi="Amiri" w:eastAsia="Amiri" w:cs="Amiri"/>
          <w:color w:val="111111"/>
          <w:sz w:val="28"/>
          <w:sz w:val="28"/>
          <w:szCs w:val="28"/>
          <w:rtl w:val="true"/>
          <w:lang w:bidi="ar-SA"/>
        </w:rPr>
        <w:t xml:space="preserve">يشرح السيد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آخر له ويفسّر موقف كلّ من هذه الثلاثة أعني الإسلام والدولة الإسلامية والأحكام الفقهية من الآخر ببيان مختلفٍ حيث يقول ما حاصله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الحكومة بمعنى الولاية المطلقة المفوّضة إلى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الأحكام الإلهية وهي متقدّمة على سائر الأحكام الفرعية، فلا تكون في عرض سائر الأحكام وفي إطار الفروع الأخرى، وإلاّ لو كانت صلاحيات الحكومة في إطار الأحكام الفرعية وما كانت متقدمة عليها؛ لصار جعل الحكومة والولاية المفوّضة في الحقيقة أمرا لَغويًّا عارياً من المغزى واسما بلا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فالحكومة </w:t>
      </w:r>
    </w:p>
    <w:p>
      <w:pPr>
        <w:pStyle w:val="BookText"/>
        <w:rPr/>
      </w:pPr>
      <w:r>
        <w:rPr>
          <w:rFonts w:ascii="Amiri" w:hAnsi="Amiri" w:eastAsia="Amiri" w:cs="Amiri"/>
          <w:color w:val="111111"/>
          <w:sz w:val="28"/>
          <w:sz w:val="28"/>
          <w:szCs w:val="28"/>
          <w:rtl w:val="true"/>
          <w:lang w:bidi="ar-SA"/>
        </w:rPr>
        <w:t xml:space="preserve">الإسلامية التي تعدّ شعبة من الولاية المطلقة الخاصّة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الأولية للإسلام، وهي متقدمة على سائر الأحكام الفرعية بما فيها من الصلاة والصوم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فالحكومة حينما ترى المصلحة في المنع عن فريضة الحج أو تعطيل المساجد أو تخريب المنازل أو إلغاء الاتفاقيات، فلها هذه الصلاحيات فإنّ لها الولاية الإلهية المطلقة المفوّضة</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فمن جهة؛ الإسلام هو الحكومة بجميع شؤونها وقوانين الإسلام وتشريعاته شأن من شؤونها، ومن هذه الجهة تدخل القوانين في إطار الحكومة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جهة أخرى؛ إن الحكومة الإسلامية حكم من أحكام الإسلام وتشريع الإلهي من التشريعات الإلهية ولا تهافت أو تناقض بين هاتين الجهتين، فإنّ الولاية والحكومة الإسلامية وإن كانت فريضة من الفرائض الإلهية وحكماً كسائر الأحكام والتشريعات ولكن بحسب الرتبة ليست في عرض سائر الأحكام وفي رديف واحد منها، بل هناك أولويات وتراتيب في التشريعات فإنّ الحكومة الإسلامية والحاكم الإسلامي هو المسؤول عن إدارةالمجتمع وفقاً للأحكام الشرعية والحدود الإلهية وهو المسؤول عن تنفيذها وتحققها مع مراعاة المصالح العامّة والأولويات والتراتيب والمقتضيات الزمانية والمكانية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الهدف الأعلى والغاية القصوى هو هداية المجتمع إلى طريق السعادة الأبدية الدنيوية والأخروية والوصول إلى النجاة والفوز العظيم من بسط العدالة والقسط ونشر المعروف وسدّ أبواب الفساد والظلم، إلى غير ذلك من الغايات المنظورة من تحقق المصالح وتجنّب المفاسد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فالحكومة والدولة الإسلامية وإن كانت من الأحكام الوضعية المجعولة الإلهية وإقامتها من الفرائض التكليفية وحاكمها وولي الأمر فيها له الولاية على المجتمع الإسلامي؛ ولكن لا تقاس سائر التشريعات والفروع المجعولة المدروسة في علم الفقه بهذه الفريضة كسائر الأحكام الأولية؛ وضعيةً كانت </w:t>
      </w:r>
    </w:p>
    <w:p>
      <w:pPr>
        <w:pStyle w:val="BookText"/>
        <w:rPr/>
      </w:pPr>
      <w:r>
        <w:rPr>
          <w:rFonts w:ascii="Amiri" w:hAnsi="Amiri" w:eastAsia="Amiri" w:cs="Amiri"/>
          <w:color w:val="111111"/>
          <w:sz w:val="28"/>
          <w:sz w:val="28"/>
          <w:szCs w:val="28"/>
          <w:rtl w:val="true"/>
          <w:lang w:bidi="ar-SA"/>
        </w:rPr>
        <w:t>كولاية الأب والجدّ وطهارة الماء ونجاسة الخنزير أو تكليفية كوجوب الصلاة والصوم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فبحسب الرتبة والأهمية لا تُقاس بها سائر الأحكام؛ بل هي متقدمة على جميع الأحكام لأنّ القوانين والفروع تعد شأناً من شؤون الحكومة وهي مطلوبة بالعرض وأمور آلية لتطبيق التكليف بإقامة الحكومة الإسلامية وتنفيذها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وفقاً لهذا المبنى المذكور أعلاه ونتيجة له ومتفرّعا عليه، ففي موارد التزاحم بينها وبين سائر الأحكام الإلهية والفروع الفقهية فهي ومصالحها العامة متقدّمة على سائر الأحكام وملاكاتها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إلى هذه الأهمية والموقف الرئيس وفي سبيل حفظ هذه الولاية واستمرارها أو لأجل إقامتها وتأسيسها يجب أن يضحّي أفضل خلائق الله بماله ونفسه وأهله ويجاهد بماله ونفسه لأجلها؛ فليس هناك مصلحة أهم وفي المرتبة العليا المرتبطة بهذا التشريع الإلهي والسرّ في ذلك أنّه ببركته تقام سائر الفرائض والأحكام وهو مفتاحها ودليلها وقيامها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النصوص الصحيحة الدالّة على هذا المبنى كما صرّح به السيد الإمام في بعض كلماته ما ورد في روايات كثيرة مروية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مسألة الولاية ومنزلتهاودورها في المعارف الإسلامية؛ منها ما رواه الشيخ الكليني بسند صحيح عن علي بن إبراهيم عن أبيه وعن عبد الله بن الصلت جميعاً عن حمّاد بن عيسى عن حريز بن عبد الله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والحج والصوم والولاية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من ذلك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أفضل؛ لأنّها مفتاحهنّ والوالي هو الدليل عليهن</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من الولاية في هذه الأخبار، ليس هو الاعتقاد بالإمامة التي لا يُقبل عملٌ بدونها، بل المراد هو الحكومة والسياسة التي نصب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20" w:name="pg8686_123675"/>
    </w:p>
    <w:p>
      <w:pPr>
        <w:pStyle w:val="BookText"/>
        <w:rPr/>
      </w:pPr>
      <w:bookmarkEnd w:id="320"/>
      <w:r>
        <w:rPr>
          <w:rFonts w:ascii="Amiri" w:hAnsi="Amiri" w:eastAsia="Amiri" w:cs="Amiri"/>
          <w:color w:val="111111"/>
          <w:sz w:val="28"/>
          <w:sz w:val="28"/>
          <w:szCs w:val="28"/>
          <w:rtl w:val="true"/>
          <w:lang w:bidi="ar-SA"/>
        </w:rPr>
        <w:t>في يوم الغدير لإقامتها وتأسيسها لبسط العدل وفقاً لما يرضي به الله تبارك وتعالى</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نعم لو فرض طروء ظروف خاصةٍ دار الأمر فيها بين مصلحة الحكومة الإسلامية ومصلحة نفس الإسلام بحيث بقاء الإسلام يكون مرهوناً برفع اليد عن إقامة الحكومة والولاية الإلهية كما تحقّق هذا الفرض بعد رحيل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أمير المؤمنين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المصلحة الأهم وهي بقاء الإسلام، وعمل بالتكليف الإلهي وتحمّل مسؤوليته الشرعية وامتثل وصيّة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الولاية والحكومة، وقدّم مصلحة بقاء الإسلام وأركانه، وتشديد مبانيه على مصلحة استلامه السلطة السياسيّة، فصبر وكظم الغيض على ذهاب حقّه في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وغصب خمسه وانتهاك حرمته</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فحينئذٍ تقدّم مصلحة الأهم وهي حفظ أساس الإسلام وأمّا في غير هذا الفرض النادر جدًّا فالولاية والحكومة الإسلامية التي تعدّ من الأحكام والفرائض الإلهية تكون مقدّمة على جميع الأحكام والفرائض فتقدّم مصلحتها على جميع المصالح</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2517498_653776707"/>
      <w:bookmarkStart w:id="322" w:name="_Toc125"/>
      <w:bookmarkEnd w:id="321"/>
      <w:r>
        <w:rPr>
          <w:rtl w:val="true"/>
        </w:rPr>
        <w:t>اللمحة التاسعة</w:t>
      </w:r>
      <w:r>
        <w:rPr>
          <w:rtl w:val="true"/>
        </w:rPr>
        <w:t xml:space="preserve">: </w:t>
      </w:r>
      <w:r>
        <w:rPr>
          <w:rtl w:val="true"/>
        </w:rPr>
        <w:t>موقع الدولة الإسلامية، بالقياس إلى الأحكام الأولية والأحكام الولائية</w:t>
      </w:r>
      <w:bookmarkEnd w:id="32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للسيد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في أواخر عمره الشريف، يصرّح فيه بموقع الحكومة ومكانة الولاية بين الأحكام الإسلامية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ولاية الفقيه والحكم الحكومتي، من الأحكام الأوّلية في الإسلام </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فما هو المراد من هذا الكلام وكيف ينسجم هذا الكلام مع سائر مواقفه التي يعبّر فيها عن معانٍ قد تبدو مختلفةً عن هذا الموقف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فنقول في تفسير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إن السيد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عن أصل مسألة ولاية الفقيه ربّما يعبّر عن هذه الولاية بالحكومة الإسلامية؛ لأنّه بالاستناد إلى الأدلة العقلية والنقلية، يعتقد أن الإسلام أسّس الحكومة الإسلامية وأن زمام أمرها كان بيد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ما ثبت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ثابت للفقيه وهذا هو الذي يعبّر عنه بولاية الفقيه أو الحكومة الإسلامية</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فعلى هذا فما يعبّر عنه في هذه العبارة المذكورة أعلاه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 الحكومتي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ويعطفها على المبتدأ أعني ولاية الفقيه قبل ذكر الخبر يشير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بهذه العبارة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أصل الحكومة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لا شك في أنّ الحكومة الإسلامية هي من الأحكام الاولية للإسلام؛ بل هي في صدر قائمة الأحكام الإسلامية وتشريعاتها لأنّ الحكومة الإسلامية؛ فهي أوّلًا لا تُعدّ من الأحكام الثانوية الإسلامية التي تنشأ وتُشرّع بملاك طروء العناوين الطارئة الثانوية كالضرر والحرج والاضطرار والتقية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لا تعتبر من الأحكام الولائيّة والحكومية التي هي عبارة عن التشريعات الصادرة عن ولي أمر المسلمين الراجعة إلى إدارة المجتمع الإسلامي وتعتبر قسماً ثالثاً من الأحكام في عرض الأحكام الأولية والثانوية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إن السيد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تشييداً لما ذهب إليه من ولاية الفقيه والحكومة الإسلامية في كتابه المسمى بولاية الفقيه ينصّ على أن هذا الموضوع ليس جديداً ابتدعه هو؛ بل إن المسألة بُحثت من أوّل الأمر عندما حكم المرحوم 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التنباك، فكان حكمه صادراً من موقع ولاية الفقيه العامّة على الناس والفقهاء الآخرين وكان فقهاء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قلّة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التزموا بهذا الحكم ولم يكن حكمه ذلك قضاء في نزاع أو خلاف بين اثنين، وإنّما كان حكماً حكوميًّا، رُوعِيَت فيه مصالح المسلمين بحسب الوقت </w:t>
      </w:r>
      <w:bookmarkStart w:id="323" w:name="pg8686_123681"/>
    </w:p>
    <w:p>
      <w:pPr>
        <w:pStyle w:val="BookText"/>
        <w:rPr/>
      </w:pPr>
      <w:bookmarkEnd w:id="323"/>
      <w:r>
        <w:rPr>
          <w:rFonts w:ascii="Amiri" w:hAnsi="Amiri" w:eastAsia="Amiri" w:cs="Amiri"/>
          <w:color w:val="111111"/>
          <w:sz w:val="28"/>
          <w:sz w:val="28"/>
          <w:szCs w:val="28"/>
          <w:rtl w:val="true"/>
          <w:lang w:bidi="ar-SA"/>
        </w:rPr>
        <w:t>والظروف والملابسات وبارتفاع تلك الظروف ارتفع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والمرحوم ميرزا محمد تقي الشيرازي حين أفتى بالجهاد الدفاعيّ واتّبعه العلماء في ذلك كان حكمه صادراً من موقع سلطته وولايته الشرعية العامّة</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فعلى هذا ربّما يستعمل ويعبّر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 الحكومي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مصاديق الحكم الحكومي التي أنشأها بعض الفقهاء كحرمة التنباك، وهذا ما يعبّر عنه في المصطلح بالحكم الحكومي والحكم الولائي كقسمٍ ثالث من الأحكام في مقابل الحكم الأولى والثانوي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ربّما يُستعمل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الحكومي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منه أصل الحكومة الإسلامية وأصل ولاية الفقيه، ففي هذا الاستعمال ليس المراد مصاديق الحكم الحكومي بل المراد منه أصل الولاية والحكومة ومشروعيّتها التي جُعِلت للفقيه في عصر الغيبة كحكم وضعي في قبال سائر الأحكام الوضعية الشرعية، ولا شك في أنّ هذا الحكم من الأحكام الأولية الإسلامية؛ بل بحسب الأهمية في رأس الأحكام الأولية وبهذا التعبير ليس الحكم الحكومي قسماً ثالثاً في مقابل الحكم الأوليّ والحكم الثانوي؛ بل هو في صدر الأحكام الأولية</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2517500_653776707"/>
      <w:bookmarkStart w:id="325" w:name="_Toc126"/>
      <w:bookmarkEnd w:id="324"/>
      <w:r>
        <w:rPr>
          <w:rtl w:val="true"/>
        </w:rPr>
        <w:t>اللمحة العاشرة</w:t>
      </w:r>
      <w:r>
        <w:rPr>
          <w:rtl w:val="true"/>
        </w:rPr>
        <w:t xml:space="preserve">: </w:t>
      </w:r>
      <w:r>
        <w:rPr>
          <w:rtl w:val="true"/>
        </w:rPr>
        <w:t>الحكومة الإسلامية وتأسيس الفقه الحكومی</w:t>
      </w:r>
      <w:bookmarkEnd w:id="325"/>
    </w:p>
    <w:p>
      <w:pPr>
        <w:pStyle w:val="BookText"/>
        <w:rPr/>
      </w:pPr>
      <w:r>
        <w:rPr>
          <w:rFonts w:ascii="IRNazanin" w:hAnsi="IRNazanin" w:eastAsia="IRNazanin"/>
          <w:color w:val="111111"/>
          <w:sz w:val="28"/>
          <w:sz w:val="28"/>
          <w:szCs w:val="28"/>
          <w:rtl w:val="true"/>
          <w:lang w:bidi="fa-IR"/>
        </w:rPr>
        <w:t>اللمحة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الحكومة الإسلامية وتأسيس الفقه الحكومی</w:t>
      </w:r>
      <w:r>
        <w:rPr>
          <w:rStyle w:val="FootnoteAnchor"/>
          <w:rtl w:val="true"/>
        </w:rPr>
        <w:footnoteReference w:id="12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التعبير عن الحكومة الإسلامية وولاية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 الحكومي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حكومتي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ظريفة، وهي الإشارة إلى فقه الدولة وفقه الحكومة وإن كل فتوى وحكم إذا صدر ونشأ واستُنبِط خارج إطار الحكومة والولاية فإنّه وإن كان حجّة ومعتبرة لفرد المفتي أو مقلّده بعنوان أنّه إخبار عن الحكم الإلهي وتشريعه؛ ولكن إذا كان للفتوى والحكم صلةً وربطاً بالمجتمع وأموره وكانت </w:t>
      </w:r>
    </w:p>
    <w:p>
      <w:pPr>
        <w:pStyle w:val="BookText"/>
        <w:rPr/>
      </w:pPr>
      <w:r>
        <w:rPr>
          <w:rFonts w:ascii="Amiri" w:hAnsi="Amiri" w:eastAsia="Amiri" w:cs="Amiri"/>
          <w:color w:val="111111"/>
          <w:sz w:val="28"/>
          <w:sz w:val="28"/>
          <w:szCs w:val="28"/>
          <w:rtl w:val="true"/>
          <w:lang w:bidi="ar-SA"/>
        </w:rPr>
        <w:t>له أبعاد اجتماعيّة فحينئذٍ يكون تنفيذه وإجراؤه في المجتمع بحاجة إلى الولاية وأمره موكول إلى من بيده زمام أمر الأمّة، وليس لغير ولي الأمة مزاحمة الحاكم والإقدام على تنفيذ الأحكام مباشرة بلا استئذان وتنسيق مع الحكومة الإسلامية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قد يقال هناك فرق بين الفقه الحكومي و فقه السياسة، فإنّ موضوع فقه السياسة يختصّ بالتشريعات السياسية كالجهاد وإجراء الحدود والقصاص وغيرهما ممّا يعدّ قسماً من الأحكام الفقهية لا جميعها، والنسبة بين مسائل فقه السياسة والمسائل الفقهية عموم مطلق، وأمّا موضوع الفقه الحكومي، فلا يختصّ بالتشريعات السياسية، بل يشمل جميع الأحكام والمسائل الفقهية برمّتها ولكن من الوجهة الاجتماعية والبعد الاجتماعي فإنّ وظيفة الحكومة الإسلامية ومسؤوليتها هي تنفيذ جميع الأحكام وإقامتها وبسطها ونشرها، وذلك من الطهارة والصلاة إلى القصاص والديات والدولة الإسلامية، وكما هي مكلّفة بإجراء الحدود الإلهية والقضاء والجهاد والمنع من الظلم والفساد والتعدي ممّا يُعدّ من مسائل الفقه السياسي فكذلك الدولة مكلّفة بإقامة العبادات والمناسك والصلاة والصوم في المجتمع وبسط الأخلاق ونشر العقائد الحقّة وتعليم الناس الآداب الاجتماعيةالصحيحة وغيرها فالدولة مكلّفه بإقامة جميع الأحكام الفقهية ومسؤولة عنها بإيجاد الأرضية المناسبة لتحقق كل منها، وتخطيط البرامج والاستراتيجيات المدروسة والمدونة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من وظائف الدولة الإسلامية وتكاليفها ووضع هذه الوظيفة على عاتق الدولة الإسلامية من الأحكام الأوّلية الفقهية الصادرة عن مبدأ التشريع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إنكان هناك حكم وفتوى مستنبطة من الأدلة الشرعية فهذا الحكم في الحقيقة بما أنّه مرتبط بالقضايا الاجتماعية، فهو شأنيٌّ وأمّا فعليّته ولزوم تنفيذه في المجتمع فمشروطٌ أو معلّق على رأي إمام المسلمين وداخل في صلاحيات الحكومة الإسلامية وولاية الفقيه، بحسب ما يراه الوليّ من الظروف الاجتماعية بلا تهاون وفتور، ثم بعد إبداء رأيه بالتنفيذ يصير حكماً فعليًّا منجّزاً يجب اتّباعه وامتثاله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تكن هناك حكومة وولاية مشروعة </w:t>
      </w:r>
    </w:p>
    <w:p>
      <w:pPr>
        <w:pStyle w:val="BookText"/>
        <w:rPr/>
      </w:pPr>
      <w:r>
        <w:rPr>
          <w:rFonts w:ascii="Amiri" w:hAnsi="Amiri" w:eastAsia="Amiri" w:cs="Amiri"/>
          <w:color w:val="111111"/>
          <w:sz w:val="28"/>
          <w:sz w:val="28"/>
          <w:szCs w:val="28"/>
          <w:rtl w:val="true"/>
          <w:lang w:bidi="ar-SA"/>
        </w:rPr>
        <w:t>وشرعية ولم يوجد فقيه متّصف بأوصاف الولاية، فالأمر يدخل في مسألة ولاية عدول المؤمنين ونحوها، وذلك وفق التفصيل الذي يُبحث في مراتب الأولياء</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يرى حسب ما يُستفاد من فكر السيد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الفقه الإسلامي في بُعده الاجتماعي هو فقه حكومي، من العبادات إلى القصاص والديات، وإن تنفيذه وتحققه الاجتماعي، بالتواجد في وسط الحياة الاجتماعية لا في هامشها، وإقامتها في جميع أبعاد حياة البشر هذا التحقّق مرتبط ومتّصل بالحكومة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حكم أوليّ مقدّم على جميع الأحكام الأولية والثانوية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الأولي يعبّر عنه السيد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الفقيه والحكم الحكومي، وفي مقام التطبيق، إذا وصل الحكم إلى مرحلة الإقدام والإعلان والإنشاء، وأنشأ الفقيه الوليّ حكماً واصدر إلزاماً، فهو يعبر عن حكمه وإلزامه بالحكم الولائي أو الحكم الحكومي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البيان يظهر أن الفقه وإن كان بإمكاننا أن نخصّصه بعدّة اختصاصات كفقه القضاء وفقه العبادة وفقه الأسرة وفقه الاقتصاد وفقه العقود وفقه الوقف وفقه التربية إلى غير ذلك من الفروع الفقهية المضافة المتشعبة من الفقه غير المقيّد بأحد هذه القيود، بأن تكون صلة كل فرع إلى أصل الفقه، صلة الجزء والكل فبالنتيجة إضافةالفقه إلى كل من هذه الفروع من قبيل الإضافة التبعيضية؛ ولكن أمر الفقه السياسي يختلف فإنّ الفقه السياسي إن كان المراد منه، الأحكام الخاصّة بالسياسة مباشرة كالجهاد والأمر بالمعروف وإجراء الحدود وما شابه ذلك؛ فحينئذٍ يكون فقه السياسة فرعاً من الفروع الفقهية في عرض سائر الفروع ولكن إذا كان المراد؛ أن جميع الفقه حتى باب الطهارة ومقدمات الصلاة وأحكام الأموات له صلة وثيقة بالحكومة والسياسة وإن البرامج والتخطيطات والاستراتيجيات الدولة لها تأثير خاصٌّ في إقامة الأحكام الإلهية والتشريعات الشرعية، وقلنا إن من وظائف الحكومة الإسلامية أن تقرّ وتعتمد برامج خاصّة لتحقق جميع الفقه في المجتمع، فعلى حسب هذه الرّؤية إلى الفقه من بدايته إلى نهايته </w:t>
      </w:r>
      <w:r>
        <w:rPr>
          <w:rFonts w:ascii="Amiri" w:hAnsi="Amiri" w:eastAsia="Amiri" w:cs="Amiri"/>
          <w:i/>
          <w:i/>
          <w:iCs/>
          <w:color w:val="111111"/>
          <w:sz w:val="28"/>
          <w:sz w:val="28"/>
          <w:szCs w:val="28"/>
          <w:rtl w:val="true"/>
          <w:lang w:bidi="ar-SA"/>
        </w:rPr>
        <w:t>كما يرى في فكر السيد الإمام ومنهجه الفقهي</w:t>
      </w:r>
      <w:r>
        <w:rPr>
          <w:rFonts w:ascii="Amiri" w:hAnsi="Amiri" w:eastAsia="Amiri" w:cs="Amiri"/>
          <w:color w:val="111111"/>
          <w:sz w:val="28"/>
          <w:sz w:val="28"/>
          <w:szCs w:val="28"/>
          <w:rtl w:val="true"/>
          <w:lang w:bidi="ar-SA"/>
        </w:rPr>
        <w:t xml:space="preserve"> لا يكون الفقه السياسي فرعاً بمحاذاة سائر الفروع الفقهية ولا قسماً </w:t>
      </w:r>
    </w:p>
    <w:p>
      <w:pPr>
        <w:pStyle w:val="BookText"/>
        <w:rPr/>
      </w:pPr>
      <w:r>
        <w:rPr>
          <w:rFonts w:ascii="Amiri" w:hAnsi="Amiri" w:eastAsia="Amiri" w:cs="Amiri"/>
          <w:color w:val="111111"/>
          <w:sz w:val="28"/>
          <w:sz w:val="28"/>
          <w:szCs w:val="28"/>
          <w:rtl w:val="true"/>
          <w:lang w:bidi="ar-SA"/>
        </w:rPr>
        <w:t>من أقسام 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الفقه السياسي ليس من باب المضاف والمضاف إليه بل يعتبر الفقه السياسي من باب الصفة والموصوف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كلمة السياسي توضّح ماهية الفقه وتبيّنها فإنّ السياسة صفة لجميع الأبواب الفقهية لا قسما من أقسام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يظهر أنه ما ربما يُوهم أن هناك فرقًا بين الفقه الحكومي والفقه السياسي لا يخلو من تأمّل ومناقشة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جميع الفقه سياسي، وكل الأحكام الفقهية وفروعها له صلة وثيق بالدولة والحكومة الإسلامية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الأمر بمكان من الوضوح خاصّة في الفقه والاجتهاد المعاصر حيث نرى أن كثيراً من الأحكام والفروع الفقهية كانت تعدّ في السابق من الزمان في عداد الأحكام الفردية ومن الوظائف الفردية دون تكاليف المجتمع والدولة؛ ولكن في العصر الراهن أعني عصر التقدّم والتكنولوجيا نرى أن وظائف الدولة قد توسّعت كثيرًا إلى نواحي عدّة ونرى أن هذه الأحكام الفردية صارت اليوم من الوظائف المباشرة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بيع السلاح لأعداء الدين التي يبحث عنها، في المكاسب المحرمة من حيث الإباحة والحرمة والصحة والفساد تكليفاً أو وضعاً، وكان اتّجاه البحث إلى بيان وظيفة الفرد وموقفه بالنسبة إلى هذهالقضية؛ ولكن اليوم صارت هذه المسألة واضحة بأنّ أمر السلاح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صنعه وبيعه وشرائه إلى إعطائه وإهدائه وغير ذلك من التصرفات المرتبطة به من شؤون الحكومة والدولة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يكون تحت إشرافها وولايتها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أيضا مسألة وجوب التعلم وأن العلم فريضة على المسلمين، ففي السابق كان ينظر إلى هذه القضية على أنّها قضيّة فرديّة؛ ولذا كان الفقهاء يفتون بوجوب تعلّم الأحكام المبتلى بها وتعلم أصول الدين فقط، دون وجوب سائر العلوم ولكن اليوم مسألة نظام التعليم من المسائل المهمة، التي صارت جلّ أمورها داخلة في صلاحيات الدولة ومسؤوليات الحكومة الإسلامية لاتخاذ البرامج والاستراتيجيات لكي يصل المجتمع الإسلامي في جميع الفروع العلمية إلى حدّ الكفاية والقدرة على التطوّر والرقيّ، والاستغناء على الأجانب والأعداء</w:t>
      </w:r>
      <w:r>
        <w:rPr>
          <w:rFonts w:eastAsia="Amiri" w:cs="Amiri" w:ascii="Amiri" w:hAnsi="Amiri"/>
          <w:color w:val="111111"/>
          <w:sz w:val="28"/>
          <w:szCs w:val="28"/>
          <w:rtl w:val="true"/>
          <w:lang w:bidi="ar-SA"/>
        </w:rPr>
        <w:t xml:space="preserve">. </w:t>
      </w:r>
      <w:bookmarkStart w:id="326" w:name="pg8686_123693"/>
    </w:p>
    <w:p>
      <w:pPr>
        <w:pStyle w:val="BookText"/>
        <w:rPr/>
      </w:pPr>
      <w:bookmarkEnd w:id="326"/>
      <w:r>
        <w:rPr>
          <w:rFonts w:ascii="Amiri" w:hAnsi="Amiri" w:eastAsia="Amiri" w:cs="Amiri"/>
          <w:color w:val="111111"/>
          <w:sz w:val="28"/>
          <w:sz w:val="28"/>
          <w:szCs w:val="28"/>
          <w:rtl w:val="true"/>
          <w:lang w:bidi="ar-SA"/>
        </w:rPr>
        <w:t>وهذا الحكم من الفرائض والواجبات العينية على الدولة الإسلامية ولايختصّ بفرع خاص من الفروع العلمية؛ بل يشمل جميع العلوم برمّتها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فبالنتيجة من هذا المنظار يرى أن الفقه هو برمجة الحياة وأن تحقّقه وإقامته في وسط المجتمع موكول إلى الحكومة والولاية فالفقه كلّه حكومي وسياسي وولائي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الكلام عن المرحلة الأولى من فقه الدولة، ويتلوه الكلام عن المرحلة الثانية الخاصّة بالبحث عن شروط وليّ الأمر في عصر الغيبة</w:t>
      </w:r>
      <w:r>
        <w:rPr>
          <w:rFonts w:eastAsia="Amiri" w:cs="Amiri" w:ascii="Amiri" w:hAnsi="Amiri"/>
          <w:color w:val="111111"/>
          <w:sz w:val="28"/>
          <w:szCs w:val="28"/>
          <w:rtl w:val="true"/>
          <w:lang w:bidi="ar-SA"/>
        </w:rPr>
        <w:t>.</w:t>
      </w:r>
    </w:p>
    <w:p>
      <w:pPr>
        <w:pStyle w:val="Heading2"/>
        <w:numPr>
          <w:ilvl w:val="1"/>
          <w:numId w:val="1"/>
        </w:numPr>
        <w:rPr/>
      </w:pPr>
      <w:bookmarkStart w:id="327" w:name="__RefHeading___Toc2517502_653776707"/>
      <w:bookmarkStart w:id="328" w:name="_Toc127"/>
      <w:bookmarkEnd w:id="327"/>
      <w:r>
        <w:rPr>
          <w:rtl w:val="true"/>
        </w:rPr>
        <w:t>المرحلة الثانية</w:t>
      </w:r>
      <w:r>
        <w:rPr>
          <w:rtl w:val="true"/>
        </w:rPr>
        <w:t>:</w:t>
      </w:r>
      <w:r>
        <w:rPr>
          <w:rtl w:val="true"/>
        </w:rPr>
        <w:t>شروط الإمامة في عصر الغيبة</w:t>
      </w:r>
      <w:bookmarkEnd w:id="32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9" w:name="__RefHeading___Toc2517504_653776707"/>
      <w:bookmarkStart w:id="330" w:name="_Toc128"/>
      <w:bookmarkEnd w:id="329"/>
      <w:r>
        <w:rPr>
          <w:rtl w:val="true"/>
        </w:rPr>
        <w:t>اشارة</w:t>
      </w:r>
      <w:bookmarkStart w:id="331" w:name="pg8686_123696"/>
      <w:bookmarkEnd w:id="33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2" w:name="__RefHeading___Toc2517506_653776707"/>
      <w:bookmarkStart w:id="333" w:name="_Toc129"/>
      <w:bookmarkEnd w:id="331"/>
      <w:bookmarkEnd w:id="332"/>
      <w:r>
        <w:rPr>
          <w:rtl w:val="true"/>
        </w:rPr>
        <w:t>المرحلة الثانية</w:t>
      </w:r>
      <w:r>
        <w:rPr>
          <w:rtl w:val="true"/>
        </w:rPr>
        <w:t>:</w:t>
      </w:r>
      <w:r>
        <w:rPr>
          <w:rtl w:val="true"/>
        </w:rPr>
        <w:t>شروط الإمامة في عصر الغيبة</w:t>
      </w:r>
      <w:bookmarkEnd w:id="33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8686_123702"/>
      <w:bookmarkStart w:id="335" w:name="pg8686_123702"/>
      <w:bookmarkEnd w:id="335"/>
    </w:p>
    <w:p>
      <w:pPr>
        <w:pStyle w:val="Heading3"/>
        <w:numPr>
          <w:ilvl w:val="2"/>
          <w:numId w:val="1"/>
        </w:numPr>
        <w:rPr/>
      </w:pPr>
      <w:bookmarkStart w:id="336" w:name="pg8686_123702"/>
      <w:bookmarkStart w:id="337" w:name="__RefHeading___Toc2517508_653776707"/>
      <w:bookmarkStart w:id="338" w:name="_Toc130"/>
      <w:bookmarkEnd w:id="336"/>
      <w:bookmarkEnd w:id="337"/>
      <w:r>
        <w:rPr>
          <w:rtl w:val="true"/>
        </w:rPr>
        <w:t>لمحة تاريخية للإشارة إلى تاريخ البحث</w:t>
      </w:r>
      <w:bookmarkEnd w:id="338"/>
    </w:p>
    <w:p>
      <w:pPr>
        <w:pStyle w:val="Heading4"/>
        <w:numPr>
          <w:ilvl w:val="3"/>
          <w:numId w:val="1"/>
        </w:numPr>
        <w:rPr/>
      </w:pPr>
      <w:bookmarkStart w:id="339" w:name="__RefHeading___Toc2517510_653776707"/>
      <w:bookmarkStart w:id="340" w:name="_Toc131"/>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تقدّم أنّ البحث في فقه الدولة يتمحور حول المحورين الأساسيين، المحور الأول هو البحث في ضرورة إقامة الدولة الإسلامية في عصر الغيبة، والمحور الثاني في شروط وليّ الأمر والإمام الذي يريد أن يقيم الدولة ويتصدّى للحكم في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أكملنا البحث حول المحور الأول وفي هذا القسم نبحث عن المحور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الواضح أن 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وفقهاء مذهبهم، بخلاف سائر المذاهب المشهورة، يرون بحسب الحكم الأولي، أن الشرط الأساس للإمامة وإقامة الحكم هو العصمة والنصّ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الآن ليس في هذا الفرض؛ بل المفروض هو عصر الغيبة وزمن قبض يد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بسطها، أعني الزمن الذي تجب إقامة الدولة الإسلامية فيه، من جهةٍ ومن جهةٍ أخرى الزمن الذي لا يتمكّن الناس فيه من الوصول إلى المعصوم أو التواصل معه، فما هي الشروط والصلاحيات التي يجب أن يتّصف بها الإمام وولي أمر المسلمين في هذه الظروف؟</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المسألة من المسائل المستحدثة التي لم يتعرّض فقهاء الطائفة في كتبهم الفقهية غالباً كبحث مستقلٍّ ومستوفًي؛ لعدم كونها محلّ ابتلاء عند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الأمر في الأعمّ الأغلب، وفي طول التاريخ إلّا ما شذّ منه كان بيد الذين احتلّوا مسند الإمامة دون أن يكونوا أهلًا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 أكثر فترات التاريخ في حالة ضيق وشدة وحصر وتقية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هذه الظروف لم تكن إقامة الدولة العادلة ممكنةً؛ حتّى يبحثوا في شروط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كانت محلًّا للابتلاء عند سائر المذاهب </w:t>
      </w:r>
      <w:bookmarkStart w:id="341" w:name="pg8686_123705"/>
    </w:p>
    <w:p>
      <w:pPr>
        <w:pStyle w:val="BookText"/>
        <w:rPr/>
      </w:pPr>
      <w:bookmarkEnd w:id="341"/>
      <w:r>
        <w:rPr>
          <w:rFonts w:ascii="Amiri" w:hAnsi="Amiri" w:eastAsia="Amiri" w:cs="Amiri"/>
          <w:color w:val="111111"/>
          <w:sz w:val="28"/>
          <w:sz w:val="28"/>
          <w:szCs w:val="28"/>
          <w:rtl w:val="true"/>
          <w:lang w:bidi="ar-SA"/>
        </w:rPr>
        <w:t xml:space="preserve">الإسلامية؛ ولذلك نجد أنهم تعرّضوا للبحث عن شروط ولي الأمر على حسبمعتقدهم، حيث إنهم لا يعترفون بلزوم العصمة، ولا يقرّون بمسألة الغيبة فالأمر عندهم بعد وفاة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الأزمنة سواء، وعلى مدار واحد لا فرق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المبنى، فإنّهم ذكروا شروطاً للإمام، لا بأس من الإشارة إلى بعض آراء مفكريهم كنموذج لاعتقادهم</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2517512_653776707"/>
      <w:bookmarkStart w:id="343" w:name="_Toc132"/>
      <w:bookmarkEnd w:id="342"/>
      <w:r>
        <w:rPr>
          <w:rtl w:val="true"/>
        </w:rPr>
        <w:t>أ</w:t>
      </w:r>
      <w:r>
        <w:rPr>
          <w:rtl w:val="true"/>
        </w:rPr>
        <w:t xml:space="preserve">) </w:t>
      </w:r>
      <w:r>
        <w:rPr>
          <w:rtl w:val="true"/>
        </w:rPr>
        <w:t>إشارة إلى رأي أهل السنّة</w:t>
      </w:r>
      <w:bookmarkEnd w:id="3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الماوردي في وليّ الأمر شروطاً سبعة،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على شروطها الجامعة؛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المؤدّي إلى الاجتهاد في النوازل والأحكام؛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الحواس من السمع والبصر واللسان؛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الأعضاء من النقص؛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المفضي إلى سياسة الرعية وتدبير المصالح؛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وهو أن يكون وليّ الأمر من قريش</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الفرّاء وجوب اتّصاف الإمام ووليّ بشروط أربعة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قرشيًّا من صميم؛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صفة من يصلح أن يكون قاضيًا من الحرية والبلوغ والعقل والعلم والعدالة؛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قيّمًا بأمر الحرب والسياسة وإقامة الحدود؛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أفضلهم في العلم والدين</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ونظيره ما ذهب إليه القاضي الباقلاني</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 القاضي عضد الدين الإيجي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الإيجي في شروط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 على أن أهل الإمامة مجتهد في الأصول والفروع ليقوم بأمور الدين، ذو رأي ليقوم بأمور الملك شجاع ليقوى على الذّبّ عن الحوزة</w:t>
      </w:r>
      <w:r>
        <w:rPr>
          <w:rFonts w:eastAsia="Amiri" w:cs="Amiri" w:ascii="Amiri" w:hAnsi="Amiri"/>
          <w:color w:val="111111"/>
          <w:sz w:val="28"/>
          <w:szCs w:val="28"/>
          <w:rtl w:val="true"/>
          <w:lang w:bidi="ar-SA"/>
        </w:rPr>
        <w:t>.</w:t>
      </w:r>
      <w:r>
        <w:rPr>
          <w:rStyle w:val="FootnoteAnchor"/>
          <w:rtl w:val="true"/>
        </w:rPr>
        <w:footnoteReference w:id="132"/>
      </w:r>
      <w:bookmarkStart w:id="344" w:name="pg8686_123708"/>
    </w:p>
    <w:p>
      <w:pPr>
        <w:pStyle w:val="BookText"/>
        <w:rPr/>
      </w:pPr>
      <w:bookmarkEnd w:id="34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إمام الحرمين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التي يجب أن يتّصف بها الإمام، عند الجويني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وهذا متفق عليه؛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 لمصالح الأمور وضبطها؛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تجهيز الجيوش وسدّ الثغور؛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ذا نظر حصيف</w:t>
      </w:r>
      <w:r>
        <w:rPr>
          <w:rStyle w:val="FootnoteAnchor"/>
          <w:rtl w:val="true"/>
        </w:rPr>
        <w:footnoteReference w:id="133"/>
      </w:r>
      <w:r>
        <w:rPr>
          <w:rFonts w:ascii="Amiri" w:hAnsi="Amiri" w:eastAsia="Amiri" w:cs="Amiri"/>
          <w:color w:val="111111"/>
          <w:sz w:val="28"/>
          <w:sz w:val="28"/>
          <w:szCs w:val="28"/>
          <w:rtl w:val="true"/>
          <w:lang w:bidi="ar-SA"/>
        </w:rPr>
        <w:t xml:space="preserve">في النظر إلى الأمّة؛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والإقدام؛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شرائطها عند أصحابنا يعني الشافعية أن يكون الإمام من قريش</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منصب الإمامة عنده أربعة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والعدالة والكفاية وسلامة الحواس والأعضاء مما يؤثّر في الرأي والعمل، واختُلف في الشرط الخامس وهو النسب القرشيّ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بالتأمّل في كلمات أعاظم المذاهب الأربعة يظهر أنّهم متّفقون في أكثر الشروط وخاصّة أن في صفات الاجتهاد والعدالة والكفاية، فهذه الشروط هي محلّ اتّفاقٍ بينهم</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2517514_653776707"/>
      <w:bookmarkStart w:id="346" w:name="_Toc133"/>
      <w:bookmarkEnd w:id="345"/>
      <w:r>
        <w:rPr>
          <w:rtl w:val="true"/>
        </w:rPr>
        <w:t>ب</w:t>
      </w:r>
      <w:r>
        <w:rPr>
          <w:rtl w:val="true"/>
        </w:rPr>
        <w:t xml:space="preserve">) </w:t>
      </w:r>
      <w:r>
        <w:rPr>
          <w:rtl w:val="true"/>
        </w:rPr>
        <w:t>إشارة إلى كلمات فقهاء الإماميّة قبل انتصار الثورة</w:t>
      </w:r>
      <w:bookmarkEnd w:id="346"/>
    </w:p>
    <w:p>
      <w:pPr>
        <w:pStyle w:val="BookText"/>
        <w:rPr/>
      </w:pPr>
      <w:r>
        <w:rPr>
          <w:rFonts w:ascii="Amiri" w:hAnsi="Amiri" w:eastAsia="Amiri" w:cs="Amiri"/>
          <w:color w:val="111111"/>
          <w:sz w:val="28"/>
          <w:sz w:val="28"/>
          <w:szCs w:val="28"/>
          <w:rtl w:val="true"/>
          <w:lang w:bidi="ar-SA"/>
        </w:rPr>
        <w:t xml:space="preserve">من الواضح أن علماء مذهب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يتعرّضون لشروط الإمام في الكتب الكلامية بحسب الحكم الأولي وبما أن أهمّ شروط الإمامة عندهم هو شرط العصمة،</w:t>
      </w:r>
      <w:r>
        <w:rPr>
          <w:rStyle w:val="FootnoteAnchor"/>
          <w:rtl w:val="true"/>
        </w:rPr>
        <w:footnoteReference w:id="13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فكانوا لا يرون مجالاً للبحث عن أوصاف ولي الأمر في زمن الغيبة وعدم التمكن من المعصوم، فكأنّ المسألة كانت منتفية من باب انتفاء السالبة بانتفاء موضوعها؛ ولكن بعد اقتدار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عددهم وازدياد نفوذهم الاجتماعي شيئاً فشيئاً، وخاصّة بعد تمكّنهم الأخير من إقامة الحكم في إيران وتأسيس النظام الإسلامي وبعد انتصارالثورة الإسلامية وكتابة الدستور الإسلامي، جرى البحث حول شروط الإمامة والقيادة عندهم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ذكر فقهاؤنا العظام في كتبهم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البحث عن المرجعية في أبواب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خلال البحث شروط المجتهد الذي يجوز تقليده من البلوغ والعقل والإيمان والعدالة والرجولة والأعلمية وغيرها ومن المعلوم أن المرجعية وماهيّتها المحقّقة في أوساط الطائفة الإمامية ما كانت مسؤولياتها الاجتماعية منحصرة عندهم في التقليد ورجوع الجاهل إلى العالم فقط؛ بل حقيقتها ترجع إلى نوع من القيادة والزعامة والولاية للمجتمع ولذا يعتبرون المجتهد المرجع حاكماً يُرجَع إليه في المرافعات والخصومات ولا يجوز الرجوع إلى غيره في هذه الأمور، ويفتون بعدم جواز نقض حكم الحاكم الجامع للشرائط</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فالمرجع عندهم عبر التاريخ كان مرجعاً في الأمور الاجتماعية التي يعبّر عنها بالأمور الحسبية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مقام البحث عن المرجع الصالح للتقليد المتصدّي للأمور الحسبية بحثوا عن الشروط ولا ريب أن الشرط الأول والأساس في هذا المجال هو الاجتهاد فذكروا الاجتهاد كالحجر الأساس لجواز التقليد أو الإفتاء والقضاء وأمور الحسبة، ثم بعده تعرّضوا لسائر الأوصاف والشروط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تعرّضوا له في خلال بحوث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أول من تعرّض لشروط الإمامة وولاية الأمر في زمن الغيبة لأجل إقامة الحكومة الإسلامية هو السيد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بعد الفراغ عن المرحلة الأولى لبحثه وإثبات ضرورة الحكومة الإسلامية دخل في المرحلة الثانية في البحث عن الأوصاف فيقول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الحكومة الإسلامية لمّا كانت حكومة قانونية؛ بل حكومة القانون الإلهي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جعلت لأجل إجراء القانون وبسط العدالة الإلهية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الوالي من صفتين هما أساس الحكومة القانونية ولا يعقل تحقّقها إلّا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العلم بالقانونوثانيتهما العدالة، ومسألة الكفاية داخلة في العلم بنطاقه </w:t>
      </w:r>
      <w:bookmarkStart w:id="347" w:name="pg8686_123715"/>
    </w:p>
    <w:p>
      <w:pPr>
        <w:pStyle w:val="BookText"/>
        <w:rPr/>
      </w:pPr>
      <w:bookmarkEnd w:id="347"/>
      <w:r>
        <w:rPr>
          <w:rFonts w:ascii="Amiri" w:hAnsi="Amiri" w:eastAsia="Amiri" w:cs="Amiri"/>
          <w:color w:val="111111"/>
          <w:sz w:val="28"/>
          <w:sz w:val="28"/>
          <w:szCs w:val="28"/>
          <w:rtl w:val="true"/>
          <w:lang w:bidi="ar-SA"/>
        </w:rPr>
        <w:t>الأوسع ولا شبهة في لزومها في الحاكم أيضا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شرط ثالث من أسس الشروط</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نعم ذكر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السيد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خلال بحثه عن قتال أهل البغي أنه جرت العادة بين الفقهاء أن يذكروا الإمامة في هذا الموضع ليُعرف الإمام الذي يجب اتّباعه ويصير الإنسان باغيا بالخروج عليه وليست من علم الفقه؛ بل هي من علم الكلام فذکر شروطا للإمام بالمناسبة من التکلیف والإسلام و العدالة والحريّة والذكورة والعلم والشجاعة والكفاية وصحة الأعضاء والقرشية والعصمة والنصّ عليه وأن يكون أفضل أهل زمانه وتنزهه عن القبائح</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ولا شك في أنه وإن يذكر العلامة هذه الشروط في الفقه؛ ولكن هو يبحث عن الإمامة بالأصالة بحسب الحكم الأولي وهذا الفرض خارج عن محلّ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ذكرنا أعلاه كان بياناً لتاريخ البحث عن الأوصاف والشروط قبل انتصار الثورة وما جاء في تراثنا الفقهي ممّا ذكره أصحابنا </w:t>
      </w:r>
      <w:r>
        <w:rPr>
          <w:rFonts w:eastAsia="Amiri" w:cs="Amiri" w:ascii="Amiri" w:hAnsi="Amiri"/>
          <w:color w:val="111111"/>
          <w:sz w:val="28"/>
          <w:szCs w:val="28"/>
          <w:lang w:bidi="ar-SA"/>
        </w:rPr>
        <w:t>5</w:t>
      </w:r>
    </w:p>
    <w:p>
      <w:pPr>
        <w:pStyle w:val="Heading4"/>
        <w:numPr>
          <w:ilvl w:val="3"/>
          <w:numId w:val="1"/>
        </w:numPr>
        <w:rPr/>
      </w:pPr>
      <w:bookmarkStart w:id="348" w:name="__RefHeading___Toc2517516_653776707"/>
      <w:bookmarkStart w:id="349" w:name="_Toc134"/>
      <w:bookmarkEnd w:id="348"/>
      <w:r>
        <w:rPr>
          <w:rtl w:val="true"/>
        </w:rPr>
        <w:t>ج</w:t>
      </w:r>
      <w:r>
        <w:rPr>
          <w:rtl w:val="true"/>
        </w:rPr>
        <w:t xml:space="preserve">) </w:t>
      </w:r>
      <w:r>
        <w:rPr>
          <w:rtl w:val="true"/>
        </w:rPr>
        <w:t>إشارة إلى كلمات فقهاء الإمامية بعد انتصار الثورة</w:t>
      </w:r>
      <w:bookmarkEnd w:id="349"/>
    </w:p>
    <w:p>
      <w:pPr>
        <w:pStyle w:val="Heading5"/>
        <w:numPr>
          <w:ilvl w:val="4"/>
          <w:numId w:val="1"/>
        </w:numPr>
        <w:rPr/>
      </w:pPr>
      <w:bookmarkStart w:id="350" w:name="__RefHeading___Toc2517518_653776707"/>
      <w:bookmarkStart w:id="351" w:name="_Toc135"/>
      <w:bookmarkEnd w:id="350"/>
      <w:r>
        <w:rPr>
          <w:rtl w:val="true"/>
        </w:rPr>
        <w:t>اشارة</w:t>
      </w:r>
      <w:bookmarkEnd w:id="35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أنه بعد انتصار الثورة تغير الأمر كثيراً وعلى حسب الظروف الجديدة توسّع البحث عن أوصاف الحاكم وإمام زمن الغيبة فيما بين الآراء والمناهج الفقهية المختلفة من أصحابنا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الاشارة إلى إجمالها وحصيلتها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بين الآراء والمؤلّفات المدوّنه المتعرّضة للبحث عن أوصاف ولي الأمر ما هو أهمّ دوراً وأكثر قيمةً وهو ما جاء في الدستور الجمهورية الإسلامية في إيران، فإنّ هذا الدستور ليس كسائر الدساتير للبلاد الأخرى وليس كسائر المؤلّفات أيضاً ولا نتيجة رأي شخص واحد وفكرخاصٍّ؛ بل هذا الدستور هو ثمرة آراء عشرات الفقهاء والمفكرين والقانونيين </w:t>
      </w:r>
    </w:p>
    <w:p>
      <w:pPr>
        <w:pStyle w:val="BookText"/>
        <w:rPr/>
      </w:pPr>
      <w:r>
        <w:rPr>
          <w:rFonts w:ascii="Amiri" w:hAnsi="Amiri" w:eastAsia="Amiri" w:cs="Amiri"/>
          <w:color w:val="111111"/>
          <w:sz w:val="28"/>
          <w:sz w:val="28"/>
          <w:szCs w:val="28"/>
          <w:rtl w:val="true"/>
          <w:lang w:bidi="ar-SA"/>
        </w:rPr>
        <w:t>الذين شاركوا في لجنة كتابة الدستور ممثّلين للشعب الإيراني في السنة الأولى من انتصار الثورة فناقشوا في كلّ الموادّ بل في كل كلمة منها وبعد جهد كبير انتهوا من 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 الشعب الإيراني موافقته على هذا الدستور وتأييده له في استفتاء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يمكن التعامل مع هذه الوثيقة الدستورية كوثيقة فقهيّة؛ لأنّها مبنيّة على بحثٍ فقهيّ ووجهات نظر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 الفصول وخلال بعض موادّ هذا الدستور صُرِّح بشروط الإمامة وولاية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ورد في المادّة الخامسة حيث صرّح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مسؤولية ولاية الإمر وإمامة الأمّة في الجمهورية الإسلامية في إيران زمن غيبة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على عائق فقيه عادل ورع بصير بقضايا عصره شجاع، كفء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يتولّى المسؤولية وفقاً للمادة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 بعد المئة من الدستور</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ومنها المادّة التاسعة بعد المئة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ومواصفات القائد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القدرة العلمية اللازمة على الإفتاء في مختلف أبواب الفقه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العدالة والتقوى المطلوبتان لقيادة الأمّة الإسلامية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الرؤية السياسية والاجتماعية الصحيحة والتدبّر والشجاعة والكفاءة الإدارية والقدرة الكافية على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حالة تعدّد الأشخاص المتوافر لديهم الشروط المذكورة أعلاه، يرجّح الذي يمتلك منهم رؤية فقهية وسياسية أدّق</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والآن بعد هذا الموجز من تاريخ المسألة والتعرّف إلى الآراء الفقهية فيها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فلندخل في صلب الموضوع، ولنبحث عن شروط الإمام والقائد في زمن الغيبة وقبض يد الإمام المعصوم وبما أن ما هو مذكور في موادّ الدستور الجمهورية الإسلامية هو مغزى البحث، وهو الأساس وعمدة ما ذكر في هذا الباب من قبل الفقهاء والقانونيين، فإننا نقتفي أثره ونبحث في الشروط بحسب ترتيب الشروط المذكورة في الدستور</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8686_123726"/>
      <w:bookmarkStart w:id="353" w:name="pg8686_123726"/>
      <w:bookmarkEnd w:id="353"/>
    </w:p>
    <w:p>
      <w:pPr>
        <w:pStyle w:val="Heading5"/>
        <w:numPr>
          <w:ilvl w:val="4"/>
          <w:numId w:val="1"/>
        </w:numPr>
        <w:rPr/>
      </w:pPr>
      <w:bookmarkStart w:id="354" w:name="pg8686_123726"/>
      <w:bookmarkStart w:id="355" w:name="__RefHeading___Toc2517520_653776707"/>
      <w:bookmarkStart w:id="356" w:name="_Toc136"/>
      <w:bookmarkEnd w:id="354"/>
      <w:bookmarkEnd w:id="355"/>
      <w:r>
        <w:rPr>
          <w:rtl w:val="true"/>
        </w:rPr>
        <w:t>الفصل الأول</w:t>
      </w:r>
      <w:r>
        <w:rPr>
          <w:rtl w:val="true"/>
        </w:rPr>
        <w:t xml:space="preserve">: </w:t>
      </w:r>
      <w:r>
        <w:rPr>
          <w:rtl w:val="true"/>
        </w:rPr>
        <w:t>في شرط الفقاهة</w:t>
      </w:r>
      <w:bookmarkEnd w:id="356"/>
    </w:p>
    <w:p>
      <w:pPr>
        <w:pStyle w:val="Heading6"/>
        <w:numPr>
          <w:ilvl w:val="5"/>
          <w:numId w:val="1"/>
        </w:numPr>
        <w:rPr/>
      </w:pPr>
      <w:bookmarkStart w:id="357" w:name="__RefHeading___Toc2517522_653776707"/>
      <w:bookmarkStart w:id="358" w:name="_Toc137"/>
      <w:bookmarkEnd w:id="357"/>
      <w:r>
        <w:rPr>
          <w:rtl w:val="true"/>
        </w:rPr>
        <w:t>إشارة إلى تحرير محلّ البحث</w:t>
      </w:r>
      <w:r>
        <w:rPr>
          <w:rtl w:val="true"/>
        </w:rPr>
        <w:t>:</w:t>
      </w:r>
      <w:bookmarkEnd w:id="358"/>
    </w:p>
    <w:p>
      <w:pPr>
        <w:pStyle w:val="BookText"/>
        <w:rPr/>
      </w:pPr>
      <w:r>
        <w:rPr>
          <w:rFonts w:ascii="Amiri" w:hAnsi="Amiri" w:eastAsia="Amiri" w:cs="Amiri"/>
          <w:color w:val="111111"/>
          <w:sz w:val="28"/>
          <w:sz w:val="28"/>
          <w:szCs w:val="28"/>
          <w:rtl w:val="true"/>
          <w:lang w:bidi="ar-SA"/>
        </w:rPr>
        <w:t>الشرط الأول لإمامة الأمّه في عصر الغيبة هو القدرة العلمية اللازمة للإفتاء في مختلف أبواب الفقه التي يعبرّ عنها بالفقاهة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كما ذكرنا أعلاه متفق عليه عند المذاهب الأربعة؛ بل اتفق عليه العقلاء كافة على حسب التقرير الذي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يجب أن يكون ولي الأمر صاحب ملكة يقدر بها على الاجتهاد ويستطيع بها أن يستنبط الأحكام الشرعية عن أدلتها التفصيلية وبهذا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الجاهل بالإسلام وأحكامه وتشريعاته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العالم بالأحكام تقليداً لأنّه ليس صاحب رأي وفتوى في مختلف المسائل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المجتهد المتجزِّئ الذي يقدر على استنباط الحكم الشرعي في بعض الأبواب الفقهية دون بعضها</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2517524_653776707"/>
      <w:bookmarkStart w:id="360" w:name="_Toc138"/>
      <w:bookmarkEnd w:id="359"/>
      <w:r>
        <w:rPr>
          <w:rtl w:val="true"/>
        </w:rPr>
        <w:t>المسألة الأولى</w:t>
      </w:r>
      <w:r>
        <w:rPr>
          <w:rtl w:val="true"/>
        </w:rPr>
        <w:t xml:space="preserve">: </w:t>
      </w:r>
      <w:r>
        <w:rPr>
          <w:rtl w:val="true"/>
        </w:rPr>
        <w:t>الأدلّة العقلية لشرطية الفقاهة</w:t>
      </w:r>
      <w:r>
        <w:rPr>
          <w:rtl w:val="true"/>
        </w:rPr>
        <w:t>:</w:t>
      </w:r>
      <w:bookmarkEnd w:id="360"/>
    </w:p>
    <w:p>
      <w:pPr>
        <w:pStyle w:val="Heading4"/>
        <w:numPr>
          <w:ilvl w:val="3"/>
          <w:numId w:val="1"/>
        </w:numPr>
        <w:rPr/>
      </w:pPr>
      <w:bookmarkStart w:id="361" w:name="__RefHeading___Toc2517526_653776707"/>
      <w:bookmarkStart w:id="362" w:name="_Toc139"/>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يُستدلّ لشرطية الفقاهة والاجتهاد بأدلّة مختلفة عقلية ونقلية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الدليل العقل فيمكن تقريبه وتوضيحه بتقريبين مختلفين</w:t>
      </w:r>
      <w:r>
        <w:rPr>
          <w:rFonts w:eastAsia="Amiri" w:cs="Amiri" w:ascii="Amiri" w:hAnsi="Amiri"/>
          <w:color w:val="111111"/>
          <w:sz w:val="28"/>
          <w:szCs w:val="28"/>
          <w:rtl w:val="true"/>
          <w:lang w:bidi="ar-SA"/>
        </w:rPr>
        <w:t xml:space="preserve">: </w:t>
      </w:r>
      <w:bookmarkStart w:id="363" w:name="pg8686_123730"/>
    </w:p>
    <w:p>
      <w:pPr>
        <w:pStyle w:val="Heading4"/>
        <w:numPr>
          <w:ilvl w:val="3"/>
          <w:numId w:val="1"/>
        </w:numPr>
        <w:rPr/>
      </w:pPr>
      <w:bookmarkStart w:id="364" w:name="__RefHeading___Toc2517528_653776707"/>
      <w:bookmarkStart w:id="365" w:name="_Toc140"/>
      <w:bookmarkEnd w:id="363"/>
      <w:bookmarkEnd w:id="364"/>
      <w:r>
        <w:rPr>
          <w:rtl w:val="true"/>
        </w:rPr>
        <w:t>التقريب الأول</w:t>
      </w:r>
      <w:r>
        <w:rPr>
          <w:rtl w:val="true"/>
        </w:rPr>
        <w:t xml:space="preserve">: </w:t>
      </w:r>
      <w:r>
        <w:rPr>
          <w:rtl w:val="true"/>
        </w:rPr>
        <w:t>مقدّمية علم الوالي لتحقّق الحكومة الإسلامية</w:t>
      </w:r>
      <w:bookmarkEnd w:id="365"/>
    </w:p>
    <w:p>
      <w:pPr>
        <w:pStyle w:val="BookText"/>
        <w:rPr/>
      </w:pPr>
      <w:r>
        <w:rPr>
          <w:rFonts w:ascii="Amiri" w:hAnsi="Amiri" w:eastAsia="Amiri" w:cs="Amiri"/>
          <w:color w:val="111111"/>
          <w:sz w:val="28"/>
          <w:sz w:val="28"/>
          <w:szCs w:val="28"/>
          <w:rtl w:val="true"/>
          <w:lang w:bidi="ar-SA"/>
        </w:rPr>
        <w:t>لا بدّ عقلاً في الوالي وزعيم الأمة الإسلامية من العلم بالشريعة والفقاهة، ولا يعقل تحقق الحكومة الإسلامية إلا بعلمه بقانون الإسلام وتشريعاته</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فإنّ الوالي يريد أن ينفّذ أحكام الإسلام ومقرّراته، وليس له شان ولا همّ سواه؛ فمن الواجب عقلاً أن يعلم الوالي الإسلام عن اجتهاد ورأيٍ حتى ينفّذه في وسط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هذا التقريب يكون العلم بالقانون مقدّمة لأداء الوظيفة والمسؤولية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 العقل هذا ليس خاصًّا بالدولة الإسلامية؛ بل العقل يحكم بضرورة العلم بالقانون مطلقاً لمن يريد أن يقوم بالحكم ويتسلّط على الأمور على حسب قانون خاص ومبدإٍ فكري خاص، بل حكم العقل أوسع من ذلك لأنّه لتفويض أي أمر من الأمور إلى أيّ أحدٍ يرى العقل لزوم كونه عالماً بكيفية العمل وفنونه، فإذا أريد استئجار شخص لإنشاء البناء، يشترط العقل في الأجير أن يكون عالمًا وخبيرًا في فنّ العمارة، وهكذا في سائر الأمور من الزرع والغرس والتجارة وغيرها إلى أمر الولاية</w:t>
      </w:r>
      <w:r>
        <w:rPr>
          <w:rStyle w:val="FootnoteAnchor"/>
          <w:rtl w:val="true"/>
        </w:rPr>
        <w:footnoteReference w:id="142"/>
      </w:r>
      <w:r>
        <w:rPr>
          <w:rFonts w:ascii="Amiri" w:hAnsi="Amiri" w:eastAsia="Amiri" w:cs="Amiri"/>
          <w:color w:val="111111"/>
          <w:sz w:val="28"/>
          <w:sz w:val="28"/>
          <w:szCs w:val="28"/>
          <w:rtl w:val="true"/>
          <w:lang w:bidi="ar-SA"/>
        </w:rPr>
        <w:t>التي لا يرى أمر أهم منها في المجتمع البشري، فإذا فوّض أمر الولاية إلى أحد وفرض أن المفوضين يعتقدون بمبدإ خاص أو أيديولوجية خاصّة متضمنة لقوانين مخصوصه وأرادوا إدارة شؤونهم وفقاً لهذا المبدأ الخاص وهذه الأيديولوجية الخاصة، فلا بد لهم عقلاً من اختيار عالمٍ بهذا المبدأوهذه الفكرة، حتى لو اعتقدوا مثلاً بالمبدإ المادّي وفكرة الليبرالية فعليهم أن يفوضوا أمرهم إلى شخص عالم بهذه الفكرة ومؤمنٍ بهذا المبدإ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حكم به العقل على سبيل الموجبة الكلية في جميع الأمور فتطبيقاً لهذا الحكم الكلي على الولاية والحكومة الإسلامية يرى العقل أن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يحكم على حسب مبدأ الإسلام </w:t>
      </w:r>
    </w:p>
    <w:p>
      <w:pPr>
        <w:pStyle w:val="BookText"/>
        <w:rPr/>
      </w:pPr>
      <w:r>
        <w:rPr>
          <w:rFonts w:ascii="Amiri" w:hAnsi="Amiri" w:eastAsia="Amiri" w:cs="Amiri"/>
          <w:color w:val="111111"/>
          <w:sz w:val="28"/>
          <w:sz w:val="28"/>
          <w:szCs w:val="28"/>
          <w:rtl w:val="true"/>
          <w:lang w:bidi="ar-SA"/>
        </w:rPr>
        <w:t>وتشريعاته وينفّذ قرارات الإسلام، ويقيم الحدود وينشر المعارف الإسلامية ويبسط العدالة والقسط ويدافع عن الحرية على حسب الفقه الإسلامي وفي المجتمع الإسلامي؛ لا بد من أن يكون عالماً بهذه الأحكام جميعاً علماً اجتهاديًّا وأو يكون صاحب رأيٍ، وهذا الحكم العقليّ الصريح، تشهد به الفطرة الإنسانيّة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بل يدلّ عليه ما ورد في صحيحة عيص بن القاسم المذكورة آنفاً في الفصل الأخير من المرحلة الأولي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الإمام أرجع الراوي إلى صريح حكم عقله وما يدركه بحقيقة فطرته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وانظروا لأنفسكم فوالله إنّ الرجل ليكون له الغنم، فإذا وجد رجلاً هو أعلم بغنمه من الذي هو فيها يخرجه، ويجيء بذلك الرجل الذي هو أعلم بغنمه من الذي كان فيها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فإنّه يستفاد من الرواية</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العلم في الإمام ووليّ الأمر، وأنه اعتبار عقلي يمضيه الشرع لا أمر تعبّدي لا طريق للعقل إلى كشف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والشرع متعاضدان لا على اعتبار العلم فقط؛ بل على اعتبار الأعلمية والمراد من الأعلمية المطلوبة هو الأعلمية اللازمة لتدبير أمر الأمة على ما ينبغي من حيث الفقاهة والإدارة والكفاءة وكشف المصالح وغيرها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التقريب الأول لحكم العقل وملخّصه ضرورة الفقاهة في الإمام وولي الأمر مقدّمةً للوصول إلى الحكومة الإسلامية ومقاصدها وأغراضها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يعتبر من غيرالمستقلات العقلية على حسب مصطلح الأصوليين لأنّ تأسيس الحكومة الإسلامية فريضة شرعية فتجب مقدماتها التي منها علم الحاكم بالإسلام وقوانينه</w:t>
      </w:r>
      <w:r>
        <w:rPr>
          <w:rFonts w:eastAsia="Amiri" w:cs="Amiri" w:ascii="Amiri" w:hAnsi="Amiri"/>
          <w:color w:val="111111"/>
          <w:sz w:val="28"/>
          <w:szCs w:val="28"/>
          <w:rtl w:val="true"/>
          <w:lang w:bidi="ar-SA"/>
        </w:rPr>
        <w:t xml:space="preserve">. </w:t>
      </w:r>
      <w:bookmarkStart w:id="366" w:name="pg8686_123736"/>
    </w:p>
    <w:p>
      <w:pPr>
        <w:pStyle w:val="Heading4"/>
        <w:numPr>
          <w:ilvl w:val="3"/>
          <w:numId w:val="1"/>
        </w:numPr>
        <w:rPr/>
      </w:pPr>
      <w:bookmarkStart w:id="367" w:name="__RefHeading___Toc2517530_653776707"/>
      <w:bookmarkStart w:id="368" w:name="_Toc141"/>
      <w:bookmarkEnd w:id="366"/>
      <w:bookmarkEnd w:id="367"/>
      <w:r>
        <w:rPr>
          <w:rtl w:val="true"/>
        </w:rPr>
        <w:t>التقريب الثاني</w:t>
      </w:r>
      <w:r>
        <w:rPr>
          <w:rtl w:val="true"/>
        </w:rPr>
        <w:t xml:space="preserve">: </w:t>
      </w:r>
      <w:r>
        <w:rPr>
          <w:rtl w:val="true"/>
        </w:rPr>
        <w:t>عدم شرعية ولاية الجاهل</w:t>
      </w:r>
      <w:bookmarkEnd w:id="368"/>
    </w:p>
    <w:p>
      <w:pPr>
        <w:pStyle w:val="BookText"/>
        <w:rPr/>
      </w:pPr>
      <w:r>
        <w:rPr>
          <w:rFonts w:ascii="Amiri" w:hAnsi="Amiri" w:eastAsia="Amiri" w:cs="Amiri"/>
          <w:color w:val="111111"/>
          <w:sz w:val="28"/>
          <w:sz w:val="28"/>
          <w:szCs w:val="28"/>
          <w:rtl w:val="true"/>
          <w:lang w:bidi="ar-SA"/>
        </w:rPr>
        <w:t>بحسب مبدإ الحكمة الإلهية من المحال أن يجعل الله تبارك وتعالى الجاهل والياً على المسلمين وحاكماً على مقدراتهم وأموالهم ونفوسهم مع ما نعرف من شدّة اهتمام الشارع الأقدس بذلك</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فإن الولاية بحاجة إلى إذنه تعالى وهو مبدأ الولايات كما مرّ في القسم الأول، ومن المحال أن يأذن للجاهل في التصرّف في مقدّرات المجتمع الإسلامي لمنافاة ذلك مع الحكمة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الجاهل خارج عن مدار جعل الولاية وأن الولاية خاصّة بالعالم بمقرّرات الإسلام وتشريعاته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خلافاً للتقريب السابق من المستقلات العقلية يحكم به العقل على حسب المبادئ الكلامية والفلسفية الإسلامية المعتبرة مع قطع النظر عن كون علم الحاكم والوالي مقدّمة لتحقق الحكومة أم لا؟ فلا يخفى الفرق بين التقريبين</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2517532_653776707"/>
      <w:bookmarkStart w:id="370" w:name="_Toc142"/>
      <w:bookmarkEnd w:id="369"/>
      <w:r>
        <w:rPr>
          <w:rtl w:val="true"/>
        </w:rPr>
        <w:t>المسألة الثانية</w:t>
      </w:r>
      <w:r>
        <w:rPr>
          <w:rtl w:val="true"/>
        </w:rPr>
        <w:t xml:space="preserve">: </w:t>
      </w:r>
      <w:r>
        <w:rPr>
          <w:rtl w:val="true"/>
        </w:rPr>
        <w:t>شرطية الفقاهة في بناء العقلاء</w:t>
      </w:r>
      <w:bookmarkEnd w:id="37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سيرة العقلاء في تصرّفاتهم ومعاملاتهم تفويض أمورهم وشؤونهم وما يهتمّون به من أغراضهم إلى العالم والخبير ويعتبرون من السفه أن يوكلوا أمورهم ولو كان أمرا بسيطاً كبناء بيت أو إصلاح سيارة إلى الجاهل وغير الخبير ومن لم يكن عنده المهارة اللازمة للقيام بالأمر، فكيف بما إذا كان الأمر من الأمور المهمة المؤثرة في جميع شؤون حياتهموسعادتهم الدنيوية والأخروية وخاصّة الولاية والحكومة التي تعتبر منشأ لاستجلاب القوّة والقدرة والعدّة والثروة، فلا يرون أي وجهٍ للتساهل بلزوم علم ولي أمرهم بالقوانين والقيم والاعتقادات التي يرونها واجبة التنفيذ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حاجة لاعتبار علم الإمام ولزوم فقاهة الحاكم إلى تعبد شرعي؛ بل نفس بناء العقلاء وسيرتهم يكفي دليلاً لاعتباره وشرطيته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هذه السيرة والبناء كان في مرأى ومسمع الشارع، فيستكشف من سكوته عنه إمضاؤه شرعاً فلا يكون هناك تعبد شرعي 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القاعدة العقلائية لا تقضي أزيد من اعتبار العلم لمن يوكل إليه الأمر، إمّا بنفسه مباشرة وإمّا بتفويضه إلى أحد خبير عارفٍ يأتي به كما ينبغي فلا توجب القاعدة المباشرة؛ بل توجب معرفة إتيان الأمر بنحو مطلوب لتحقق الأهداف والآمال</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ثم مما ذكرنا أعلاه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لجعل هذه القاعدة العقلائية ودليل العقل الذي ذكرناه أعلاه دليلاً واحداً لإثبات المدّعى كما قد يتوهم ويرى،</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لأنّهما كما بُيِّن في علم الأصول دليلان مختلفان فإنّ هناك فرق بين حكم العقل وبناء العقلاء، بحسب المقدّمات والمبادئ ووجه الحجية وكيفية التقريب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حجّتان مستقلّتان يجوز التمسّك والاستدلال لكل واحد منهما لإثبات المطلوب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قويًّا أن علّة تحقق بناء العقلاء واستقرار سيرتهم على اعتبار العلم هو حكم العقل وارتكازهم العقلي؛ بل اقتضاء فطرتهم لذلك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التسليم لكن هذا لا يوجب وضع الدليلين دليلاً واحداً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استقرار بناء العقلاء لا يكون فقط في اعتبار العلم في الجملة أو مطلق العلم بل المعتبر هو الأعلمية اللازمة لولي الأمر وحاكم المسلمين ورئيس الدولة وهي العلم بأصل الأحكام الشرعية اجتهاداً لا تقليدًا وكيفية تطبيقها على مواردها مع حسن الإدارة على حسب المعايير العقلية والشرعية وحفظ المصالح، كلّ ذلك في طريق تحقق الأهداف والأغراض كنشر التوحيد وبسط العدالة</w:t>
      </w:r>
      <w:r>
        <w:rPr>
          <w:rFonts w:eastAsia="Amiri" w:cs="Amiri" w:ascii="Amiri" w:hAnsi="Amiri"/>
          <w:color w:val="111111"/>
          <w:sz w:val="28"/>
          <w:szCs w:val="28"/>
          <w:rtl w:val="true"/>
          <w:lang w:bidi="ar-SA"/>
        </w:rPr>
        <w:t xml:space="preserve">. </w:t>
      </w:r>
      <w:bookmarkStart w:id="371" w:name="pg8686_123743"/>
    </w:p>
    <w:p>
      <w:pPr>
        <w:pStyle w:val="Heading3"/>
        <w:numPr>
          <w:ilvl w:val="2"/>
          <w:numId w:val="1"/>
        </w:numPr>
        <w:rPr/>
      </w:pPr>
      <w:bookmarkStart w:id="372" w:name="__RefHeading___Toc2517534_653776707"/>
      <w:bookmarkStart w:id="373" w:name="_Toc143"/>
      <w:bookmarkEnd w:id="371"/>
      <w:bookmarkEnd w:id="372"/>
      <w:r>
        <w:rPr>
          <w:rtl w:val="true"/>
        </w:rPr>
        <w:t>المسألة الثالثة</w:t>
      </w:r>
      <w:r>
        <w:rPr>
          <w:rtl w:val="true"/>
        </w:rPr>
        <w:t xml:space="preserve">: </w:t>
      </w:r>
      <w:r>
        <w:rPr>
          <w:rtl w:val="true"/>
        </w:rPr>
        <w:t>شرطية الفقاهة في القرآن الكريم</w:t>
      </w:r>
      <w:bookmarkEnd w:id="373"/>
    </w:p>
    <w:p>
      <w:pPr>
        <w:pStyle w:val="Heading4"/>
        <w:numPr>
          <w:ilvl w:val="3"/>
          <w:numId w:val="1"/>
        </w:numPr>
        <w:rPr/>
      </w:pPr>
      <w:bookmarkStart w:id="374" w:name="__RefHeading___Toc2517536_653776707"/>
      <w:bookmarkStart w:id="375" w:name="_Toc144"/>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هناك آيات من الذكر الحكيم يستدلّ بها لاعتبار العلم ولزومه</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2517538_653776707"/>
      <w:bookmarkStart w:id="377" w:name="_Toc145"/>
      <w:bookmarkEnd w:id="376"/>
      <w:r>
        <w:rPr>
          <w:rtl w:val="true"/>
        </w:rPr>
        <w:t>الآية الأولى</w:t>
      </w:r>
      <w:r>
        <w:rPr>
          <w:rtl w:val="true"/>
        </w:rPr>
        <w:t xml:space="preserve">: </w:t>
      </w:r>
      <w:r>
        <w:rPr>
          <w:rtl w:val="true"/>
        </w:rPr>
        <w:t>آية الهداية</w:t>
      </w:r>
      <w:bookmarkEnd w:id="377"/>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هَلْ مِنْ شُرَكَائِكُمْ مَنْ يَهْدِي إِلَى الْحَقِّ قُلْ اللَّهُ يَهْدِي لِلْحَقِّ أَفَمَنْ يَهْدِي إِلَى الْحَقِّ أَحَقُّ ان يُتَّبَعَ أَمَّنْ لَا يَهِدِّي إِلَّا ان يُهْدَى فَمَا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الشريفة وإن وردت في سياق الاحتجاج والجدل مع المشركين لإبطال شركهم بالحجج القاطعة؛ ولكنّها مع ذلك متضمّنة لحجة عقلية مرتكزة في الفطرة الإنسانية، وهي وجوب تبعية الحق عقلاً على سبيل الإطلاق، حتى لو فرض أن أحداً زلّ في بعض أعماله عن طريق الحق واتّبع غيره لغلط أو شبهة أو هوى وشهوة نفسية فإنما يتّبعه بحسبانه إياه حقًّا والتباس الأمر عليه، وإلاّ فالحق واجب الاتّباع عقلاً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المقدّمة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الهادي إلى الحق أيضًا واجب اتباعه عقلا وبحكم الفطرة؛ لما عنده من الحق فمن الواجب ترجيحه على من لا يهدي إليه لأنّ اتّباع الهادي إلى الحق اتّباع لنفس الحق الذي معه ووجوب اتباعه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المقدّمة الثانية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الحجّة العقلية قضية مطلقة وموجبة كلية قابلة للتطبيق على المصاديق المختلفة والصغريات المتفاوته، منها تطبيقها على مورد الآية وهو الشرك والسؤال عن شركاء المشركين هل فيهم من يهدي إلى الحق؟ ومنها تطبيقها على الولاية والإمامة فإنها تقتضي التبعية والإطاعة وبحكم هذه الحجة العقلية المذكورة في الآية لا يجوز تبعية غير الهادي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لا يهدي إلا أن يهدي كالجاهل فلا يجوز اتّباعه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الهاء وتشديد الدال، أصله يهتدي، ظاهر في الذي يهتدي بغيره لا بنفسه وهو غير العالم الذي يحتاج في هدايته إلى عالم يهديه ويوصله إلى المطلوب والإتيان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الآية منسلخة عن معنى التفضيل، فلا مجال لتوهّم اشتمال اتباع غير الهادي إلى الحق على حق، ولو في مرتبة نازلة وضعيفة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فبالنتيجة إنّ هذه الآية الشريفة تدلّ بوضوح على عدم جواز اتّباع غير العالم الذي لا يهتدي بنفسه إلى الحقّ، وحيث إنّ مسألة الولاية والإمامة موقوفة على تبعية الأمّة فلا محالة يجب أن يكون الإمام وولي الأمر متّصفًا بوصف العلم والفقاهة حتى يهدي الأمّة إلى الحق فيتّبعوه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العالم بالأحكام الشرعية وغير الفقيه؛ فلا يستطيع أن يهدي بنفسه إلى الأحكام الإسلامية فلا يكون مهتديا بنفسه فلا يجوز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المصداق الأتم والأكمل والأعلى لهذه الحجّة القاطعة المذكورة في الآية هم الأئمة الهداة المهديين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w:t>
      </w:r>
      <w:r>
        <w:rPr>
          <w:rStyle w:val="FootnoteAnchor"/>
          <w:rtl w:val="true"/>
        </w:rPr>
        <w:footnoteReference w:id="148"/>
      </w:r>
      <w:r>
        <w:rPr>
          <w:rFonts w:ascii="Amiri" w:hAnsi="Amiri" w:eastAsia="Amiri" w:cs="Amiri"/>
          <w:color w:val="111111"/>
          <w:sz w:val="28"/>
          <w:sz w:val="28"/>
          <w:szCs w:val="28"/>
          <w:rtl w:val="true"/>
          <w:lang w:bidi="ar-SA"/>
        </w:rPr>
        <w:t>في بعض الأخبار والروايات فمع وجودالإمام المعصوم وبسط يده وتمكّن الأمّة من الوصول إليه، لا يجوز تبعية غيره لأنه مهتدٍ بنفسه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ظروف الغيبة وعدم بسط اليد فلا شك في أنّه إذا دار أمر التبعية والإمامة بين الفقيه العالم المجتهد وغيره، فالمتعين هو التبعية له فإنه الذي يعرف الأحكام الشرعية لتنفيذها وتحقيقها وتحققها في أوساط المجتمع وبما أن الآية الكريمة جعلت الضرورة العقلية دليلاً لوجوب اتّباع العالم المهتدي بنفسه، يستكشف أنّ الحكم ليس تعبّديا محضاً؛ بل حكم يعترف به ذوو الألباب وأن العقل والشرع معتضدان على ذلك فظاهر الآية مؤيد لما مرّ في الدليل الأول من الحكم العقلي بلزوم الفقاهة في ولي الأمر</w:t>
      </w:r>
      <w:r>
        <w:rPr>
          <w:rFonts w:eastAsia="Amiri" w:cs="Amiri" w:ascii="Amiri" w:hAnsi="Amiri"/>
          <w:color w:val="111111"/>
          <w:sz w:val="28"/>
          <w:szCs w:val="28"/>
          <w:rtl w:val="true"/>
          <w:lang w:bidi="ar-SA"/>
        </w:rPr>
        <w:t xml:space="preserve">. </w:t>
      </w:r>
      <w:bookmarkStart w:id="378" w:name="pg8686_123748"/>
    </w:p>
    <w:p>
      <w:pPr>
        <w:pStyle w:val="Heading4"/>
        <w:numPr>
          <w:ilvl w:val="3"/>
          <w:numId w:val="1"/>
        </w:numPr>
        <w:rPr/>
      </w:pPr>
      <w:bookmarkStart w:id="379" w:name="__RefHeading___Toc2517540_653776707"/>
      <w:bookmarkStart w:id="380" w:name="_Toc146"/>
      <w:bookmarkEnd w:id="378"/>
      <w:bookmarkEnd w:id="379"/>
      <w:r>
        <w:rPr>
          <w:rtl w:val="true"/>
        </w:rPr>
        <w:t>الآية الثانية</w:t>
      </w:r>
      <w:r>
        <w:rPr>
          <w:rtl w:val="true"/>
        </w:rPr>
        <w:t xml:space="preserve">: </w:t>
      </w:r>
      <w:r>
        <w:rPr>
          <w:rtl w:val="true"/>
        </w:rPr>
        <w:t>قصّة طالوت</w:t>
      </w:r>
      <w:bookmarkEnd w:id="380"/>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الْمَلَإِ مِنْ بَنِي إِسْرَائِيلَ</w:t>
      </w:r>
      <w:r>
        <w:rPr>
          <w:rFonts w:ascii="IRNazanin" w:hAnsi="IRNazanin" w:eastAsia="IRNazanin"/>
          <w:color w:val="111111"/>
          <w:sz w:val="28"/>
          <w:sz w:val="28"/>
          <w:szCs w:val="28"/>
          <w:rtl w:val="true"/>
          <w:lang w:bidi="fa-IR"/>
        </w:rPr>
        <w:t xml:space="preserve"> إلى أن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ان اللَّهَ اصْطَفَاهُ عَلَيْكُمْ وَزَادَهُ بَسْطَةً فِي الْعِلْمِ وَالْجِسْمِ وَاللَّهُ يُؤْتِي مُلْكَهُ مَنْ يَشَاءُ وَاللَّهُ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قصة طالوت لمّا أعلن بنو إسرائيل عدم قبولهم بالملك طالوت، ففي مقام ردّ مقالتهم ودفاعاً عن صلاحية طالوت للملك عنها قال لهم نبيهم؛ زَادَهُ بَسْطَةً فِي الْعِلْمِ وَالْجِسْمِ، فيدلّ هذا الجواب على أن للعلم وسعته دخلاً في حصول المُلك الإلهيّ، واختيار الشخص لولاية أمر القوم، فالولاية الصالحة والمقبولة عند الله تعالى مقيدة بعلم الولي، وهذا هو المطلوب لإثبات المدّعى ويشهد لصحّة الاستدلال بالآية ما رُوي في تمام نهج البلاغة في خطبة من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تلاوة هذه الآيات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طالوت وقدّمه على الجماعة باصطفائه إيّاه وزيادته بسطة في العلم والجسم، فهل تجدون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اصطفى بني أمية على بني هاشم وزاد معاوية عليّ بسطة في العلم والجسم؟</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فالرواية تدلّ على أن العلم والبسطة فيه شرط في ولي الأمر وهذا هو الوجه لتفضيله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التقريب للاستدلال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أمور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من متعلّق العلم الذي كان عند طالوت؛ بحيث يكون شرطاً في وليّ الأمر؟ والجواب إن هذا يعرف من خلال التأمل في </w:t>
      </w:r>
    </w:p>
    <w:p>
      <w:pPr>
        <w:pStyle w:val="BookText"/>
        <w:rPr/>
      </w:pPr>
      <w:r>
        <w:rPr>
          <w:rFonts w:ascii="Amiri" w:hAnsi="Amiri" w:eastAsia="Amiri" w:cs="Amiri"/>
          <w:color w:val="111111"/>
          <w:sz w:val="28"/>
          <w:sz w:val="28"/>
          <w:szCs w:val="28"/>
          <w:rtl w:val="true"/>
          <w:lang w:bidi="ar-SA"/>
        </w:rPr>
        <w:t>مناسبة الحكم والموضوع، فإنّ المراد من العلم المعتبر في وليّ الأمر ليس مطلق العلم ولا العلم المطلق؛ بل المراد هو العلم الذي له دخل تامّ في أداء وظائف الإمامة ومسؤوليات الولاية المطلوبة في الحكومة الإلهية والدولة الإسلامية ألا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بالأحكام الإلهية والقوانين الشرعية التي يوكل تنفيذها إلى الحاكم وولي الأمر؛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بكيفية تطبيقها على صغرياتها ومواردها وكيفية إدارة أمور الأمة على حسب المعایير والملاكات المدروسة الإلهية والمصالح العامة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فالآية الشريفة كما تدلّ على لزوم الفقاهة والاجتهاد في وليّ الأمر تدلّ أيضًا على أن هذا الشرط لازم؛ ولكنه غير كافٍ ويحتاج إلى انضمام العلم بالتطبيق وحسن الإدارة ومعرفة المصالح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في مقام التعليل وبيان الدليل تجعل زيادة طالوت بسطة في العلم والجسم وجهاً وعلّة لمشيئته تعالى إيتاءه الملك، فمن خلال التعليل والاستدلال يفهم أن هذا الدليل ليس أمرًا توقيفيا تعبّديا لا سبيل للعقل إلى كشف ملاكه؛ بل اشتراط العلم فيالملك من الأمور اللازمة والمعروفة لدى العقل وهو يعترف باعتباره ويقتنع أن يكون سببًا للاصطفاء والتفضيل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فاعتبار العلم في المُلك ليس شرطا أسّسه الشارع؛ بل هو أمرٌ عقليٌ وبناء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في الحقيقة ليست دليلًا مستقلًّا، بل هي دليلٌ على الإمضاء الشرعي لحكم العقل وبناء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يُعرف أنّ الأساس في اعتبار العلم، هو الدليل الأول العقلي الذي ذكرناه أعلاه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دراسة الآية الكريمة يُعرف أنّ الشرط ليس هو العلم فقط؛ لأنّه لا يكتفى بأصل العلم؛ بل المعتبر والمطلوب في ولي الأمر زائداً على نفس العلم هو زيادة البسط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يُعرف أن للأعلمية دخلًا في الاعتبار ولكن المراد ليس هو الأعلمية في جهة خاصة؛ بل الأعلمية المعتبرة </w:t>
      </w:r>
      <w:bookmarkStart w:id="381" w:name="pg8686_123753"/>
    </w:p>
    <w:p>
      <w:pPr>
        <w:pStyle w:val="BookText"/>
        <w:rPr/>
      </w:pPr>
      <w:bookmarkEnd w:id="381"/>
      <w:r>
        <w:rPr>
          <w:rFonts w:ascii="Amiri" w:hAnsi="Amiri" w:eastAsia="Amiri" w:cs="Amiri"/>
          <w:color w:val="111111"/>
          <w:sz w:val="28"/>
          <w:sz w:val="28"/>
          <w:szCs w:val="28"/>
          <w:rtl w:val="true"/>
          <w:lang w:bidi="ar-SA"/>
        </w:rPr>
        <w:t>هي الأعلمية من حيث المجموع في جميع الجهات والأبعاد المؤثّرة والدخيلة في حسن الولاية وإدارة البلاد في الحكومة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هذه الأعلمية أمر مشكك ذو مراتب حسب الظروف والشروط ففي عصر حضور المعصوم وبسط يده؛ يكون هو الذي تجب طاعته عقلاً وشرعاً لأنه هو أعلم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عصر الغيبة وعدم بسط يد المعصوم فالفقيه الأعلم من جميع الجهات هو ولي الأمر وواجب الطاعة والتبعية عقلاً وشرعاً</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2517542_653776707"/>
      <w:bookmarkStart w:id="383" w:name="_Toc147"/>
      <w:bookmarkEnd w:id="382"/>
      <w:r>
        <w:rPr>
          <w:rtl w:val="true"/>
        </w:rPr>
        <w:t>الآية الثالثة</w:t>
      </w:r>
      <w:r>
        <w:rPr>
          <w:rtl w:val="true"/>
        </w:rPr>
        <w:t xml:space="preserve">: </w:t>
      </w:r>
      <w:r>
        <w:rPr>
          <w:rtl w:val="true"/>
        </w:rPr>
        <w:t>آية إنزال التَّوْرَاةَ</w:t>
      </w:r>
      <w:bookmarkEnd w:id="383"/>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فِيهَا هُدًى وَنُورٌ يَحْكُمُ بِهَا النَّبِيُّونَ الَّذِينَ أَسْلَمُوا لِلَّذِينَ هَادُوا وَالرَّبَّانِيُّونَ وَالْأَحْبَارُ بِمَا اسْتُحْفِظُوا مِنْ كِتَابِ اللَّهِ وَكَانُوا عَلَيْهِ شُهَدَاءَ فَلَا تَخْشَوْا النَّاسَوَاخْشَوْنِي وَلَا تَشْتَرُوا بِآيَاتِي ثَمَنًا قَلِيلًا وَمَنْ لَمْ يَحْكُمْ بما أنزَلَ اللَّهُ فَأُوْلَئِكَ هُمْ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الاستدلال</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المباركة تبين أن الله سبحانه شرّع لهذه الأمم على اختلاف عهودهم شرائع وأودعها في الكتب المنزلة إليهم ليهتدوا بها ويرجعوا إليها في ما اختلفوا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الأنبياء والربانيين والأحبار منهم أن يحكموا بها ويتحفظوا عليها ولا يطلبوا في الحكم ثمناً قليلاً ولا يخشوا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تشير إلى الحاكمين بالكتب النازلة وهم الأنبياء والربانيّون والأحبار، والترتيب الذي اعتمدته الآية في العدّ يدلّ على ترتيبهم في الفضل والكمال، ففي الرتبة الأولى يقع الأنبياء، ثم في الرتبة الثانية الربانيّون، وفي الرتبة الأخيرة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الربانيّين كما يظهر من حديث كميل بن زياد النخعي المروي في نهج البلاغة</w:t>
      </w:r>
      <w:r>
        <w:rPr>
          <w:rStyle w:val="FootnoteAnchor"/>
          <w:rtl w:val="true"/>
        </w:rPr>
        <w:footnoteReference w:id="15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العلماء المنقطعون </w:t>
      </w:r>
    </w:p>
    <w:p>
      <w:pPr>
        <w:pStyle w:val="BookText"/>
        <w:rPr/>
      </w:pPr>
      <w:r>
        <w:rPr>
          <w:rFonts w:ascii="Amiri" w:hAnsi="Amiri" w:eastAsia="Amiri" w:cs="Amiri"/>
          <w:color w:val="111111"/>
          <w:sz w:val="28"/>
          <w:sz w:val="28"/>
          <w:szCs w:val="28"/>
          <w:rtl w:val="true"/>
          <w:lang w:bidi="ar-SA"/>
        </w:rPr>
        <w:t>إلى الله علماً وعملاً، أو الذين قاموا بتربية الناس بعلومهم بناء على اشتقاق اللفظ من الربّ أو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الأحبار فهم الخبراء من علمائهم الذين حُمِّلوا علمه بالتعليم والتعلّم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فرق بين علم الربانيّين وعلم الأحبار، فإنّ علم الأحبار عن طريق التعليم والتعلّم العاديّين الذي يُعبَّر عنه بما حُمّلوا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حُمِّلُوا التَّوْرَاةَ ثُمَّ لَمْ يَحْمِلُوهَا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فالأحبار يمكن أن يخالفوا العلم ويتخلّفوا عنه، ويعصونه عمدًا أو خطأً لأنّ علمهم تحميلي وكسبي واجتهادي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 الربانيّين فهو علم فوق رتبة علم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العلم لا يكون عن طريق التعليم والتعلّم والتحميل؛ بل علم يتناسب مع ربّانيّتهم وغورهم في الربوبية والتربية، فعلمهمعلمٌ حقيقيٌّ ربوبيٌّ، وبهذا يثبت أن هناك منزلة بين منزلتي الأنبياء والأحبار، وهي منزلة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 الله سبحانه عن 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المشترك الذي كان لهؤلاء الطوائف الثلاث على حسب ترتيبهم ومراتبهم هو الحكم بالتوراة والكتب النازلة، فكانوا يقومون على الحكم ويمارسونه وفقاً للقوانين والتشريعات النازلة في هذه الكتب ومع فقدهم يعدّ التنزيل أبتراً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الأول المبرّر لهم الحكم بين الناس والمجوّز لشرعيته هو أمر الله إياهم أن يحفظوا كتابه من التغيير والتحريف والاندراس فإنّ الاستحفاظ هو سؤال الحفظ أي طلبه، ومعناه التكليف بالحفظ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استحفظوا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فكانوا مكلّفين بحفظ الكتاب في جميع مراتبه </w:t>
      </w:r>
    </w:p>
    <w:p>
      <w:pPr>
        <w:pStyle w:val="BookText"/>
        <w:rPr/>
      </w:pPr>
      <w:r>
        <w:rPr>
          <w:rFonts w:ascii="Amiri" w:hAnsi="Amiri" w:eastAsia="Amiri" w:cs="Amiri"/>
          <w:color w:val="111111"/>
          <w:sz w:val="28"/>
          <w:sz w:val="28"/>
          <w:szCs w:val="28"/>
          <w:rtl w:val="true"/>
          <w:lang w:bidi="ar-SA"/>
        </w:rPr>
        <w:t>من التحريف والتغير والاندراس والنسيان وترك العمل في ظاهر اللفظ أو في المدلول أو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والمبرّر الثاني للحكم هو الشهادة على الكتاب، فكانوا رقباء وشهداء عليه فمن الواجب عليهم أن لا يتركوه ولا يتغيّروا أو يغيّروا وعليهم أن يبيّنوا ما يخفى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شرَط إذنَه لهم في الحكم بحفظهم للكتاب وشهادتهم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للحفظ والشهادة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فرق بين حفظ الأنبياء والربانيين وشهادتهم، وبين حفظ الأحبار وشهادتهم؟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فحفظ الأنبياء وشهادتهم يكونان بالإيحاء والتنزيل إليهم بغير واسطة وأخذهم الكتاب والعلم به من لدن عليم حكيم، أمّا حفظ الربانيين وشهادتهم فتكون بأخذهم الكتاب والعلم به بالعلم الحقيقي الكشفي واللدني المأخوذ من الأنبياء وهذا هو مقتضي ربّانيتهم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يتم حفظ هاتين الطائفتين للكتاب وشهادتهما 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كما يصرّح به السيد الطباطبائي</w:t>
      </w:r>
      <w:r>
        <w:rPr>
          <w:rStyle w:val="FootnoteAnchor"/>
          <w:rtl w:val="true"/>
        </w:rPr>
        <w:footnoteReference w:id="151"/>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إلا مع العصمة وهما ليستا من شأن غير المعصوم من قبل الله سبحانه فإنّ الله تعالى شرَط إذنه لهم في الحكم بحفظهم للكتاب واعتبر شهادتهم بناءً على ذلك الحفظ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المحال أن يعتبر شهادتهم على الكتاب وهي التي يثبت بها الكتاب مع جواز الخطأ والغلط عليهم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لاينافي تكليف الأحبار بالحفظ والشهادة وأخذ الميثاق منهم بذلك؛ لأنه ثبوت شرعي اعتباري وهو يختلف عن الثبوت الحقيقي الذي يتوقف على حفظ حقيقي خالٍ عن الغلط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الإلهي كما لا يتمّ من دون هذا، لايتمّ من دون ذاك فالكل مكلّف بالحفظ والشهادة على اختلاف مراتبهما وعلى حسب مراتبهم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بالرغم من أنها تحكي قصّة بني إسرائيل ونزول التوراة فيهم وحكم الأنبياء والربانيين والأحبار فيهم؛ ولكنها تدل على سرّ ذلك أيضًا وهو أن التوراة كان كتابا منزلاً من عند الله سبحانه ومشتملاً على هدى ونور أعنى المعارف الاعتقادية والعملية التي تحتاج إليها الأمة وكان ذلك هو المستدعي لهذا الاستحفاظ والشهادة اللذَين لا يقوم بهما إلا الطوائف الثلاث، وإذا كان هذا حال التوراة فهذا الحكم سارٍ وجارٍ بالنسبة إلى كل كتاب منزل من عند الله مشتمل على معارف إلهية وأحكام عمليه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سنّة إلهية ثابتة جارية في كلّ الأمم ومن جهة الإذن في الحكم بين الأمة والتكليف بالحفظ والشهادة لايختص باليهود والتوراة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بل يدلّ عليه ما ورد في الروايات من أن الآية نزلت في بيان شؤون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تفسير العياشي عن أبي عمرو الزبيري في رواية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ممّا استُحِقّت به الإمامة التطهير والطهارة من الذنوب والمعاصي الموبقة التي توجب النار ثمالعلم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ما يحتاج إليه الأمة من حلالها وحرامها والعلم بكتابها خاصّه وعامّه والمحكم والمتشابه ودقائق علمه وغرائب تأويله وناسخه ومنسوخه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الحجة بأنّ الإمام لا يكون إلا عالماً بهذه الأشياء التي ذكرت؟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في من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الحكومة وجعلهم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التَّوْرَاةَ فِيهَا هُدًى وَنُورٌ يَحْكُمُ بِهَا النَّبِيُّونَ الَّذِينَ أَسْلَمُوا لِلَّذِينَ هَادُوا وَالرَّبَّانِيُّونَ وَالْأَحْبَارُ، فهذه الأئمة دون الأنبياء الذين يربّون الناس بعلمهم وأمّا الأحبار فهم العلماء دون الربانيين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استحفظوا من كتاب الله وكانوا عليه شهداء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حملوا منه</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محصّل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السنة الإلهية القائمة في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الأنبياء والربانيين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الأئمة الهداة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العلماء بالكتاب وبجميع ما يحتاج إليه الناس من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مأذونون للحكومة بين الناس وهذه الحكومة لا تختص بالقضاء في المنازعات والمرافعات؛ بل تشمل الولاية والإمامة على الناس وذلك لإطلاق قوله تعالى في صدر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في ذيل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لجميع أنواع الحكم ويشهد 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لهم في الحكومة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الطوائف الثلاث كما إنهم مأذونون بالحكومة والولاية كذلك مكلّفون بحفظ الكتاب والشهادة عليه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الطوائف مأذونون ومكلّفون على حسب ترتيبهم في الفضيلة والكمال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الطائفة الأخيرة وهم الأحبار، العلماء بالكتاب وبالحلال والحرام المعبر عنهم حسب المصطلح الدارج في ما بين المسلمين بالفقهاء والمجتهدين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المأذون بالحكومة والإمامة في الدرجة الأولى هم الأنبياء ثم في الدرجة الثانية الربانيون والمعصومون وفي الدرجة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الأحبار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حكومة غير الفقيه وإمامته بين الناس فغير مأذون لها ولا شرعية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تقريب الاستدلال بالآية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الكلام في المسألة الثالثة الخاصّة للاستدلال بالآيات الثلاثة القرآنية الدالّة على اشتراط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هناك آيات آخر قد يستدلّ بها لإثبات شرطية الفقاهة في ولي الأمر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يَسْتَوِي الَّذِينَ يَعْلَمُونَ وَالَّذِينَ لَا</w:t>
      </w:r>
      <w:bookmarkStart w:id="384" w:name="pg8686_123763"/>
    </w:p>
    <w:p>
      <w:pPr>
        <w:pStyle w:val="BookText"/>
        <w:rPr/>
      </w:pPr>
      <w:bookmarkEnd w:id="384"/>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عَلَى خَزَائِنِ الْأَرْضِ إِنِّي حَفِيظٌ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يخلو الاستدلال بهذه الآيات من التأمل والمناقشة</w:t>
      </w:r>
      <w:r>
        <w:rPr>
          <w:rFonts w:eastAsia="Amiri" w:cs="Amiri" w:ascii="Amiri" w:hAnsi="Amiri"/>
          <w:color w:val="111111"/>
          <w:sz w:val="28"/>
          <w:szCs w:val="28"/>
          <w:rtl w:val="true"/>
          <w:lang w:bidi="ar-SA"/>
        </w:rPr>
        <w:t>.</w:t>
      </w:r>
      <w:r>
        <w:rPr>
          <w:rStyle w:val="FootnoteAnchor"/>
          <w:rtl w:val="true"/>
        </w:rPr>
        <w:footnoteReference w:id="153"/>
      </w:r>
    </w:p>
    <w:p>
      <w:pPr>
        <w:pStyle w:val="Heading3"/>
        <w:numPr>
          <w:ilvl w:val="2"/>
          <w:numId w:val="1"/>
        </w:numPr>
        <w:rPr/>
      </w:pPr>
      <w:bookmarkStart w:id="385" w:name="__RefHeading___Toc2517544_653776707"/>
      <w:bookmarkStart w:id="386" w:name="_Toc148"/>
      <w:bookmarkEnd w:id="385"/>
      <w:r>
        <w:rPr>
          <w:rtl w:val="true"/>
        </w:rPr>
        <w:t>المسألة الرابعة</w:t>
      </w:r>
      <w:r>
        <w:rPr>
          <w:rtl w:val="true"/>
        </w:rPr>
        <w:t xml:space="preserve">: </w:t>
      </w:r>
      <w:r>
        <w:rPr>
          <w:rtl w:val="true"/>
        </w:rPr>
        <w:t>شرط الفقاهة في الروايات</w:t>
      </w:r>
      <w:bookmarkEnd w:id="386"/>
    </w:p>
    <w:p>
      <w:pPr>
        <w:pStyle w:val="Heading4"/>
        <w:numPr>
          <w:ilvl w:val="3"/>
          <w:numId w:val="1"/>
        </w:numPr>
        <w:rPr/>
      </w:pPr>
      <w:bookmarkStart w:id="387" w:name="__RefHeading___Toc2517546_653776707"/>
      <w:bookmarkStart w:id="388" w:name="_Toc149"/>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هناك عدد هائل من الروايات تدلّ على شرط الفقاهة واعتبار ملكة الاجتهاد في ولي الأمر، والقائم بالنظام السياسي في عصر الغيبة، نشير إلى بعضها</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2517548_653776707"/>
      <w:bookmarkStart w:id="390" w:name="_Toc150"/>
      <w:bookmarkEnd w:id="389"/>
      <w:r>
        <w:rPr>
          <w:rtl w:val="true"/>
        </w:rPr>
        <w:t>الرواية الأولى</w:t>
      </w:r>
      <w:r>
        <w:rPr>
          <w:rtl w:val="true"/>
        </w:rPr>
        <w:t xml:space="preserve">: </w:t>
      </w:r>
      <w:r>
        <w:rPr>
          <w:rtl w:val="true"/>
        </w:rPr>
        <w:t>ما في نهج البلاغة</w:t>
      </w:r>
      <w:bookmarkEnd w:id="390"/>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نهج البلاغة</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مُعَاوِية لا يجوز أن يكون أميناً على الدِّمَاءِ وَالأحكام وَالفُرُوجِ وَالْمَغَانِمِ وَالصَّدَقَةِ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عَلِمْتُمْ أَنَّهُ لا ينبغي أن يَكُونَ الوالي عَلَى الْفُرُوجِ وَالدِّمَاءِوالْمَغَانِمِ وَالْأحكام وَإمامةِ الْمُسْلِمِينَ الْبَخِيلُ، فَتَكُونَ فِي أَمْوَالِهِمْ نَهْمَتُهُ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وَلَا الْجَاهِلُ فَيُضِلَّهُمْ بِجَهْلِهِ، ولا الجافي فَيَقْطَعَهُمْ بِجَفَائِهِ</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الرواية في مقام تعداد موانع الإمامة والولاية، وهي تعدّ الجهل من الموانع وتُبَيّن سرّه بأنّ جهل الوالي يستوجب ضلالة المجتمع الإسلامي فلا ينبغي أن يكون إمام المسلمين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هذا الأمر من الأمور المعلومة الواضحة لدى عامّة المسلمين المخاطبين بهذا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فقط لدى خواصّهم </w:t>
      </w:r>
      <w:bookmarkStart w:id="391" w:name="pg8686_123765"/>
    </w:p>
    <w:p>
      <w:pPr>
        <w:pStyle w:val="BookText"/>
        <w:rPr/>
      </w:pPr>
      <w:bookmarkEnd w:id="391"/>
      <w:r>
        <w:rPr>
          <w:rFonts w:ascii="Amiri" w:hAnsi="Amiri" w:eastAsia="Amiri" w:cs="Amiri"/>
          <w:color w:val="111111"/>
          <w:sz w:val="28"/>
          <w:sz w:val="28"/>
          <w:szCs w:val="28"/>
          <w:rtl w:val="true"/>
          <w:lang w:bidi="ar-SA"/>
        </w:rPr>
        <w:t xml:space="preserve">وعلمائهم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صدر كلامه مخاطباً جميع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فالإمامة مشروطة إجماعاً بعلم الإمام ليهديهم إلى طريق المستقيم</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2517550_653776707"/>
      <w:bookmarkStart w:id="393" w:name="_Toc151"/>
      <w:bookmarkEnd w:id="392"/>
      <w:r>
        <w:rPr>
          <w:rtl w:val="true"/>
        </w:rPr>
        <w:t>الرواية الثانية</w:t>
      </w:r>
      <w:r>
        <w:rPr>
          <w:rtl w:val="true"/>
        </w:rPr>
        <w:t xml:space="preserve">: </w:t>
      </w:r>
      <w:r>
        <w:rPr>
          <w:rtl w:val="true"/>
        </w:rPr>
        <w:t>ما في نهج البلاغة ايضاً</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بِهذَا الْأَمْرِ أَقْوَاهُمْ عَلَيْهِ، وَأَعْلَمُهُمْ بِأَمْرِ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شَغَبَ شَاغِبٌ اسْتُعْتِبَ؛</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فَإن أَبَى قُوتِلَ</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المراد بهذا الأمر، هو أمر الولاية والحكومة</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الناس بأمر الولاية أعلمهم بأمر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بوضوح على أن للعلم بأمر الله دخلاً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منسلخ عن معنى التفضيل فحق الولاية مختص بالعالم ولا يجوز لغير العالم التصدّي له، وإلّا لو لم يكن حقّ الولاية مختصًّا به لم يكن وجهٌ لقتال المشاغب الآبي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العلم بأمر الله فيه هو العلم بالأحكام الشرعية والتشريعات الإلهية في أمر الإمامة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العلم لا يختصّ بباب دون باب؛ بل يشمل جميع الأبواب الفقهية، لأنّ للحكومة والدولة دخالة تامّةً في جميع شؤون الأمّة ممّا يُحتاج إليه في سعة عيش الأمة للرعاية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القدرة على حسن الإدارة والحكم</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2517552_653776707"/>
      <w:bookmarkStart w:id="395" w:name="_Toc152"/>
      <w:bookmarkEnd w:id="394"/>
      <w:r>
        <w:rPr>
          <w:rtl w:val="true"/>
        </w:rPr>
        <w:t>الرواية الثالثة</w:t>
      </w:r>
      <w:r>
        <w:rPr>
          <w:rtl w:val="true"/>
        </w:rPr>
        <w:t xml:space="preserve">: </w:t>
      </w:r>
      <w:r>
        <w:rPr>
          <w:rtl w:val="true"/>
        </w:rPr>
        <w:t>رواية تحف العقول</w:t>
      </w:r>
      <w:bookmarkEnd w:id="39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ما رواه ابن شعبة الحرّاني في تحف العقول عن السبط الشهيد أبي عبد </w:t>
      </w:r>
    </w:p>
    <w:p>
      <w:pPr>
        <w:pStyle w:val="BookText"/>
        <w:rPr/>
      </w:pPr>
      <w:r>
        <w:rPr>
          <w:rFonts w:ascii="Amiri" w:hAnsi="Amiri" w:eastAsia="Amiri" w:cs="Amiri"/>
          <w:color w:val="111111"/>
          <w:sz w:val="28"/>
          <w:sz w:val="28"/>
          <w:szCs w:val="28"/>
          <w:rtl w:val="true"/>
          <w:lang w:bidi="ar-SA"/>
        </w:rPr>
        <w:t xml:space="preserve">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خطاب له طويل</w:t>
      </w:r>
      <w:r>
        <w:rPr>
          <w:rStyle w:val="FootnoteAnchor"/>
          <w:rtl w:val="true"/>
        </w:rPr>
        <w:footnoteReference w:id="159"/>
      </w:r>
      <w:r>
        <w:rPr>
          <w:rFonts w:ascii="Amiri" w:hAnsi="Amiri" w:eastAsia="Amiri" w:cs="Amiri"/>
          <w:color w:val="111111"/>
          <w:sz w:val="28"/>
          <w:sz w:val="28"/>
          <w:szCs w:val="28"/>
          <w:rtl w:val="true"/>
          <w:lang w:bidi="ar-SA"/>
        </w:rPr>
        <w:t xml:space="preserve">في أيام معاوية بعد استشهاد أخيه السبط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في أيام الحج خطبها بمحضر الخواصّ من علماء المسلمين من الصحابة التابعين؛ تكلّم في البداية عن الأمر بالمعروف والنهي عن المنكر، ثم وجّه في النهاية الخطاب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أيتها العصابة، عصابة بالعلم مشهورة وبالخير مذكورة وبالنصيحة معروفة وبالله في أنفس الناس مُهابة، يهابكم الشريف ويكرمكم الضعيف ويؤثركم من لا فضل لكم عليه ولا يدَ لكُمْ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كلّ ذلك نلتموه بما يرجى عندكم من القيام بحقّ الله وإن كنتم عن أكثر حقّه تقصرون؟ فاستخففتم بحق الأئمة، فأمّا حق الضعفاء فضيّعتم وأمّا حقكم بزعمكم فطلبتم فلا مالاً بذلتموه ولا نفسًا خاطرتم بها للذي خلقها، أنتم تتمنون على الله جنته ومجاورة رسله، وأماناً من عذابه لقد خشيت عليكم أيها المتمنّون على الله أن تحلّ بكم نقمة من نقمائه وقد ترون عهود الله منقوضة فلا تفزعون وأنتملبعض ذمم آبائكم تفزعون وذمّة رسول الله محقورة وبالادّهان والمصانعة عند الظلمة تأمنون كل ذلك مما أمركم به من النهي والتناهي وأنتم عنه 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هذا الخطاب الحارّ إلى الخواصّ من علماء الأمة وتوبيخهم لترك العمل بتكليفهم من الأمر بالمعروف والنهي عن المنكر يقول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أعظم الناس مصيبة لما غُلبتم عليه من منازل العلماء لو كنتم تشعرون ذلك بأن مجاري الأمور والأحكام على أيدي العلماء بالله، الأمناء على حلاله وحرامه، فأنتم المسلوبون تلك المنزلة، وما سلبتم ذلك إلا بتفرّقكم عن الحقّ واختلافكم في السنّة بعد البينة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صبرتم على الأذى وتحمّلتم المؤونة في ذات الله كانت أمور الله عليكم ترد وعنكم تصدر وإليكم ترجع ولكنّكم مكّنتم الظلمة من منزلتكم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نهاية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يناجي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إنّك تعلم أنّه لم يكن ما كان </w:t>
      </w:r>
    </w:p>
    <w:p>
      <w:pPr>
        <w:pStyle w:val="BookText"/>
        <w:rPr/>
      </w:pPr>
      <w:r>
        <w:rPr>
          <w:rFonts w:ascii="Amiri" w:hAnsi="Amiri" w:eastAsia="Amiri" w:cs="Amiri"/>
          <w:color w:val="111111"/>
          <w:sz w:val="28"/>
          <w:sz w:val="28"/>
          <w:szCs w:val="28"/>
          <w:rtl w:val="true"/>
          <w:lang w:bidi="ar-SA"/>
        </w:rPr>
        <w:t>منّا، منافسة في سلطان، ولا تلتماسًا من فضول الحطام ولكن لنرى المعالم من دينك ونظهر الإصلاح في بلادك ويأمن المظلومون من عبادك ويعمل بفرائضك وسننك وأحكامك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إن لا تنصرونا وتنصفونا قوي الظلمة عليكم وعملوا في إطفاء نور نبيكم وحسبنا الله وعليه توكلنا وإليه أنبنا وإليه المصير</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مجاري الأمور والأحكام على أيدي العلماء بالله، الأمناء على حلاله وحرامه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مسار أمور الأمة الإسلامية وأحكامهم في القضايا المختلفة؛ لفصلها وأخذ القرار فيها لا بدّ من أن ينتهي في الأخير إلى العلماء الذين يعرفون الله حقًّا لا كلّ عالمٍ، والأمناء على حلاله وحرامه الذين يعلمون أحكام الله تبارك وتعالى وتشريعاته ويحفظونها بجميع مراتب الحفظ؛ فدلالة هذه الجمل على المدّعى واضحة،حيث تدلّ على أن التدخّل في شؤون الأمة الإسلامية، والحكم فيها قد جعله الله تعالى بأيدي العلماء الأمناء الذين يعرفون الله، ويعرفون أحكامه، ويعملون بما يقتضيه من الحفظ والأمانة؛ فتدلّ على لزوم الفقاهة واعتبار العلم بالله وأحكامه في ما يرتبط بأمر ولاية المسلمين وإمامتهم وليس للجهال بالله وأحكامهالحقّ في التصرّف والتدّخل في هذه الأمور والشؤون الولائية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قد يقال من أن المراد من العلماء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فخلاف الظاهر؛ بل خلاف الصريح من الرواية كما يظهر ذلك بعد التأمّل في تمام الحديث</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ريب في أنّ المراد من العلماء بالله والأمناء على حلاله وحرامه في هذه الرواية الشريفة العالية المضامين هم فقهاء الأمّة الإسلامية العارفون بالله وجميع أحكامه من الحلال والحرام؛ وهو المطلوب</w:t>
      </w:r>
      <w:r>
        <w:rPr>
          <w:rFonts w:eastAsia="Amiri" w:cs="Amiri" w:ascii="Amiri" w:hAnsi="Amiri"/>
          <w:color w:val="111111"/>
          <w:sz w:val="28"/>
          <w:szCs w:val="28"/>
          <w:rtl w:val="true"/>
          <w:lang w:bidi="ar-SA"/>
        </w:rPr>
        <w:t xml:space="preserve">. </w:t>
      </w:r>
      <w:bookmarkStart w:id="396" w:name="pg8686_123772"/>
    </w:p>
    <w:p>
      <w:pPr>
        <w:pStyle w:val="Heading4"/>
        <w:numPr>
          <w:ilvl w:val="3"/>
          <w:numId w:val="1"/>
        </w:numPr>
        <w:rPr/>
      </w:pPr>
      <w:bookmarkStart w:id="397" w:name="__RefHeading___Toc2517554_653776707"/>
      <w:bookmarkStart w:id="398" w:name="_Toc153"/>
      <w:bookmarkEnd w:id="396"/>
      <w:bookmarkEnd w:id="397"/>
      <w:r>
        <w:rPr>
          <w:rtl w:val="true"/>
        </w:rPr>
        <w:t>الرواية الرابعة</w:t>
      </w:r>
      <w:r>
        <w:rPr>
          <w:rtl w:val="true"/>
        </w:rPr>
        <w:t xml:space="preserve">: </w:t>
      </w:r>
      <w:r>
        <w:rPr>
          <w:rtl w:val="true"/>
        </w:rPr>
        <w:t>صحيحة عبد الكريم بن عتبة الهاشمي</w:t>
      </w:r>
      <w:bookmarkEnd w:id="398"/>
    </w:p>
    <w:p>
      <w:pPr>
        <w:pStyle w:val="BookText"/>
        <w:rPr/>
      </w:pPr>
      <w:r>
        <w:rPr>
          <w:rFonts w:ascii="Amiri" w:hAnsi="Amiri" w:eastAsia="Amiri" w:cs="Amiri"/>
          <w:color w:val="111111"/>
          <w:sz w:val="28"/>
          <w:sz w:val="28"/>
          <w:szCs w:val="28"/>
          <w:rtl w:val="true"/>
          <w:lang w:bidi="ar-SA"/>
        </w:rPr>
        <w:t xml:space="preserve">رواها في الكافي عن على بن إبراهيم عن أبيه عن ابن أبي عمير عن عمر بن اُذينة عن زرارة عن عبد الكريم بن عتبة الهاشمي الواردة في دخول جمع من رؤساء المعتزلة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طالبين منه الدخول معهم في مبايعة محمد بن عبد الله بن الحسن فسألهم عن مسائل هامّة كانوا لا يقدرون الإجابة عنها، ففي النهاية أقبل على عمرو بن عبيد،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أيّها الرهط 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 حدّثني وكان خير أهل الأرض وأعلمهم بكتاب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الناس بسيفه ودعاهم إلى نفسه وفي المسلمين من هو أعلم منه فهو ضالّ متكلّف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ودلالتها على المدّعى واضحة</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2517556_653776707"/>
      <w:bookmarkStart w:id="400" w:name="_Toc154"/>
      <w:bookmarkEnd w:id="399"/>
      <w:r>
        <w:rPr>
          <w:rtl w:val="true"/>
        </w:rPr>
        <w:t>الرواية الخامسة</w:t>
      </w:r>
      <w:r>
        <w:rPr>
          <w:rtl w:val="true"/>
        </w:rPr>
        <w:t xml:space="preserve">: </w:t>
      </w:r>
      <w:r>
        <w:rPr>
          <w:rtl w:val="true"/>
        </w:rPr>
        <w:t>صحيحة عيص بن القاسم</w:t>
      </w:r>
      <w:bookmarkEnd w:id="400"/>
    </w:p>
    <w:p>
      <w:pPr>
        <w:pStyle w:val="BookText"/>
        <w:rPr/>
      </w:pPr>
      <w:r>
        <w:rPr>
          <w:rFonts w:ascii="Amiri" w:hAnsi="Amiri" w:eastAsia="Amiri" w:cs="Amiri"/>
          <w:color w:val="111111"/>
          <w:sz w:val="28"/>
          <w:sz w:val="28"/>
          <w:szCs w:val="28"/>
          <w:rtl w:val="true"/>
          <w:lang w:bidi="ar-SA"/>
        </w:rPr>
        <w:t xml:space="preserve">قد مرّ ذكرها في الفصل الثالث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وانظروا لأنفسكم فواللّه إنّ الرجل ليكون له الغنم فيها الراعي، فإذا وجد رجلاً هو أعلم بغنمه من الذي هو فيها، يخرجه ويجيئ بذلك الرجل الذى هو أعلم بغنمه من الذى كان فيها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هذه روايات خمس تدلّ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هناك روايات أخرى كثيرة مستفيضة منقولة في تراث الفريقين تدلّ على أن الولاية والرئاسة مشروطةٌ بالفقاهة والعلم بالإسلام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تمام الكلام في بيان الأدلّة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إن المسألة متّفقٌ عليها فيما بين المذاهب الإسلامية ومعروفة ما بين فرق المسلمين</w:t>
      </w:r>
      <w:r>
        <w:rPr>
          <w:rFonts w:eastAsia="Amiri" w:cs="Amiri" w:ascii="Amiri" w:hAnsi="Amiri"/>
          <w:color w:val="111111"/>
          <w:sz w:val="28"/>
          <w:szCs w:val="28"/>
          <w:rtl w:val="true"/>
          <w:lang w:bidi="ar-SA"/>
        </w:rPr>
        <w:t xml:space="preserve">. </w:t>
      </w:r>
      <w:bookmarkStart w:id="401" w:name="pg8686_123774"/>
    </w:p>
    <w:p>
      <w:pPr>
        <w:pStyle w:val="BookText"/>
        <w:rPr/>
      </w:pPr>
      <w:bookmarkEnd w:id="401"/>
      <w:r>
        <w:rPr>
          <w:rFonts w:ascii="Amiri" w:hAnsi="Amiri" w:eastAsia="Amiri" w:cs="Amiri"/>
          <w:color w:val="111111"/>
          <w:sz w:val="28"/>
          <w:sz w:val="28"/>
          <w:szCs w:val="28"/>
          <w:rtl w:val="true"/>
          <w:lang w:bidi="ar-SA"/>
        </w:rPr>
        <w:t>والنتيجة هي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البحث ودراسة الأدلّة واتفاق الأمّة يظهر أنّ مسألة اشتراط الفقاهة في ولي الأمر وولاية الفقيه لا تختصّ بمذهبٍ خاصٍّ دون مذهب على أن اعتبار العلم في الحاكم ووليّ الأمر ممّا استقرّ عليه بناء العقلاء ومما يحكم به العقل والفطرة فلا شبهة يعتريها</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2517558_653776707"/>
      <w:bookmarkStart w:id="403" w:name="_Toc155"/>
      <w:bookmarkEnd w:id="402"/>
      <w:r>
        <w:rPr>
          <w:rtl w:val="true"/>
        </w:rPr>
        <w:t>المسألة الخامسة</w:t>
      </w:r>
      <w:r>
        <w:rPr>
          <w:rtl w:val="true"/>
        </w:rPr>
        <w:t xml:space="preserve">: </w:t>
      </w:r>
      <w:r>
        <w:rPr>
          <w:rtl w:val="true"/>
        </w:rPr>
        <w:t>عدم كفاية العلم التقليدي</w:t>
      </w:r>
      <w:bookmarkEnd w:id="403"/>
    </w:p>
    <w:p>
      <w:pPr>
        <w:pStyle w:val="BookText"/>
        <w:rPr/>
      </w:pPr>
      <w:r>
        <w:rPr>
          <w:rFonts w:ascii="Amiri" w:hAnsi="Amiri" w:eastAsia="Amiri" w:cs="Amiri"/>
          <w:color w:val="111111"/>
          <w:sz w:val="28"/>
          <w:sz w:val="28"/>
          <w:szCs w:val="28"/>
          <w:rtl w:val="true"/>
          <w:lang w:bidi="ar-SA"/>
        </w:rPr>
        <w:t>بعد دراسة ما ذكرنا من الأدلة العقلية والنقلية الدالّة على اشتراط العلم بالكتاب والسنة واعتبار الفقاهة في وليّ أمر عصر الغيبة والحاكم على المسلمين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يكفي للإمامة العلم بالأحكام الشرعية إذا كان مستندًا إلى التقليد، لأنّ علم المقلِّد يعتبر علماً بالفتاوى الصادرة عن مقلَّده والعلم بالفتاوى لا يستلزم العلم بأصل التشريع الإلهي، على أن المقلّد وإن فرض سعة علمه التقليدي وكونه عارفاً بجميع ما أفتى به مجتهده، إلّا أنّه لأجل عدم اطّلاعه على أدلّة المسائل ومستندات الأحكام لا يكون عارفاً بجميع أبعاد المسائل وخصوصياتها وزواياها التي تغيب عن المقلِّد، ويكون عادةً جاهلًا بها؛ بل هو جاهل بخصوصيات مسألة واحدة فكيف بجميع المسائل في جميع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المجتهد الذي له الإحاطة العلمية بالمباني والأدلّة فيميز بين العام والخاص، والمطلق والمقيد، والأمارة والأصل العمليّ، ويعرف كيف يجمع بين الأخبار ويحلّ التعارض فيما بينها، كما له القدرة على الرجوع إلى المرجّحات، ويميِّز بين باب التعارض والتزاحم، وغيرها من مئات المسألة الأصولية والفقهية التي لها أثر عميق في الفتوى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ما تقدّم أنّ المقلّد العالم بالفتوى يُعدّ في الواقع جاهلاً بالحكم لجهله بالدليل والمستند؛ فيجب أن يكون ولي الأمر فقيهاً ذا ملكة يقدر بها على الاجتهاد واستنباط الحكم الشرعي من أدلته التفصيلية</w:t>
      </w:r>
      <w:r>
        <w:rPr>
          <w:rFonts w:eastAsia="Amiri" w:cs="Amiri" w:ascii="Amiri" w:hAnsi="Amiri"/>
          <w:color w:val="111111"/>
          <w:sz w:val="28"/>
          <w:szCs w:val="28"/>
          <w:rtl w:val="true"/>
          <w:lang w:bidi="ar-SA"/>
        </w:rPr>
        <w:t xml:space="preserve">. </w:t>
      </w:r>
      <w:bookmarkStart w:id="404" w:name="pg8686_123776"/>
    </w:p>
    <w:p>
      <w:pPr>
        <w:pStyle w:val="Heading4"/>
        <w:numPr>
          <w:ilvl w:val="3"/>
          <w:numId w:val="1"/>
        </w:numPr>
        <w:rPr/>
      </w:pPr>
      <w:bookmarkStart w:id="405" w:name="__RefHeading___Toc2517560_653776707"/>
      <w:bookmarkStart w:id="406" w:name="_Toc156"/>
      <w:bookmarkEnd w:id="404"/>
      <w:bookmarkEnd w:id="405"/>
      <w:r>
        <w:rPr>
          <w:rtl w:val="true"/>
        </w:rPr>
        <w:t>المسألة السادسة</w:t>
      </w:r>
      <w:r>
        <w:rPr>
          <w:rtl w:val="true"/>
        </w:rPr>
        <w:t xml:space="preserve">: </w:t>
      </w:r>
      <w:r>
        <w:rPr>
          <w:rtl w:val="true"/>
        </w:rPr>
        <w:t>اعتبار الاجتهاد المطلق</w:t>
      </w:r>
      <w:bookmarkEnd w:id="406"/>
    </w:p>
    <w:p>
      <w:pPr>
        <w:pStyle w:val="BookText"/>
        <w:rPr/>
      </w:pPr>
      <w:r>
        <w:rPr>
          <w:rFonts w:ascii="Amiri" w:hAnsi="Amiri" w:eastAsia="Amiri" w:cs="Amiri"/>
          <w:color w:val="111111"/>
          <w:sz w:val="28"/>
          <w:sz w:val="28"/>
          <w:szCs w:val="28"/>
          <w:rtl w:val="true"/>
          <w:lang w:bidi="ar-SA"/>
        </w:rPr>
        <w:t>الاجتهاد اللازم في الإمام وقائد الأمّة الإسلامية، هو الاجتهاد المطلق ولا يكفي اجتهاد المتجزِّئ وإن كان مجتهداً في الأبواب الخاصّة التي هي أكثر ارتباطاً بالدولة والحكومة كأبواب الجهاد والأمر بالمعروف والحدود والديات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المجتهد المتجزئ يعتبر جاهلاً بالأحكام الشرعية التي لم يجتهد فيها، مع أن مقتضى بعض إطلاقات الأدلة هو العلم المطلق المستوعب للعلم بجميع الأبواب الفقهية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الْجَاهِلُ فَيُضِلَّهُمْ بِجَهْلِهِ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وكقوله تعالى في آيةإنزال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الظاهر من الأحبار هم العلماء الذين لهم الإحاطة العلمية الحاصلة بالتعليم والتعلّم بجميع الأحكام والمعارف النازلة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المتجزِّئ فهو جاهل بالنسبة إلى بعض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ما ورد في تفسير الآية من أن ممّا استحقّت به الإمامة هو العلم بجميع ما تحتاج إليه الأمة من حلالها وحرامها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رواية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مجاري الأمور على أيدي العلماء بالله الأمناء على حلاله وحرامه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المجتهد المتجزئ لا يعتبر عالماً بالله ولا أمينا على حلاله وحرامه بالنسبة إلى ما هو خارج عن دائرة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العمومات والإطلاقات الواردة في اعتبار العلم، والدالّة على عدم الإذن للجاهل بالإمامة والولاية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الأدلة يعتبر الأعلمية في الحاكم ووليّ الأمر، كقوله تعالى في قصّة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وَزَادَهُ بَسْطَةً فِي الْعِلْمِ وكصحيحة عبد الكريم بن عتبة وكصحيحة عيص بن القاسم، وما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أحقّ الناس بهذا الأمر </w:t>
      </w:r>
      <w:bookmarkStart w:id="407" w:name="pg8686_123778"/>
    </w:p>
    <w:p>
      <w:pPr>
        <w:pStyle w:val="BookText"/>
        <w:rPr/>
      </w:pPr>
      <w:bookmarkEnd w:id="407"/>
      <w:r>
        <w:rPr>
          <w:rFonts w:ascii="Amiri" w:hAnsi="Amiri" w:eastAsia="Amiri" w:cs="Amiri"/>
          <w:color w:val="111111"/>
          <w:sz w:val="28"/>
          <w:sz w:val="28"/>
          <w:szCs w:val="28"/>
          <w:rtl w:val="true"/>
          <w:lang w:bidi="ar-SA"/>
        </w:rPr>
        <w:t>أعلمهم بأمر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المجتهد المتجزئ خارج حدود دلالة 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وولي الأمر يتصدّى لجميع أمور الأمّة وإن وظيفة الحكومة الإسلامية هي إدارة جميع أمور الأمة طبق الموازين الإسلامية، وهي مسؤولة عن تنفيذ جميع الأبواب والأحكام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الوظيفة لا تختص بباب كالأمر بالمعروف أو الجهاد دون باب؛ بل جميع أبواب المعاملات وما يرتبط بالأسرة كالنكاح والطلاق إلى أبواب العبادات كالحج والصوم والصلاة ومقدّماتها؛ تدخل في نطاق الحكم الإسلامي ونُظُمِه ومؤسساته وتشكيلاته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ان مَكَّنَّاهُمْ فِي الْأَرْضِ أقاموا الصَّلَاةَ وَآتَوْا الزَّكَاةَ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فالحاكم الإسلامي له دورٌ بالنسبة إلى جميع الأبواب لتنفيذ تعاليمها وأحكامها، وتحقيق التعاليم في المجتمع، وبناء عليه يجب أن تكون له قدرة على الاجتهاد وأن تكون عنده ملكة الاستنباط في جميع الأحكام الفقهيّة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أشرنا سابقاً 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الفقهالحكومي والاجتماعي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يشمل جميع أبواب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أنّ الفقه هو برنامج لإدارة الحياة الإنسانيّة من المهد إلى ما بعد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408" w:name="__RefHeading___Toc2517562_653776707"/>
      <w:bookmarkStart w:id="409" w:name="_Toc157"/>
      <w:bookmarkEnd w:id="408"/>
      <w:r>
        <w:rPr>
          <w:rtl w:val="true"/>
        </w:rPr>
        <w:t>المسألة السابعة</w:t>
      </w:r>
      <w:r>
        <w:rPr>
          <w:rtl w:val="true"/>
        </w:rPr>
        <w:t xml:space="preserve">: </w:t>
      </w:r>
      <w:r>
        <w:rPr>
          <w:rtl w:val="true"/>
        </w:rPr>
        <w:t>عدم اعتبار الاجتهاد بالفعل</w:t>
      </w:r>
      <w:bookmarkEnd w:id="40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المعتبر في وليّ الأمر من الفقاهة والاجتهاد، هو ملكة الاجتهاد والقدرة العلمية اللازمة لاستنباط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الاجتهاد بالفعل فغير معتبر؛ بل غير ممكن لغير المعصوم فإنّه لا يستطيع الإنسان العاديّ أن يعلم فعلًا بجميع الأحكام والمسائل في مختلف الأبواب، مهما بلغه علمه وإحاطته بالمصادر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المهم والأساس هو الاتصاف بملكة الاجتهاد والقدرة على الاستنباط حتى بالنسبة إلى المسائل المستحدثة الجديدة التي لا سابقة لها في تراث الفقه وكتب الأصحاب فيجب عليه أن يكون قادراً على استخراج حكمها من مصادرها وأدلة الكتاب والسنة</w:t>
      </w:r>
      <w:r>
        <w:rPr>
          <w:rFonts w:eastAsia="Amiri" w:cs="Amiri" w:ascii="Amiri" w:hAnsi="Amiri"/>
          <w:color w:val="111111"/>
          <w:sz w:val="28"/>
          <w:szCs w:val="28"/>
          <w:rtl w:val="true"/>
          <w:lang w:bidi="ar-SA"/>
        </w:rPr>
        <w:t xml:space="preserve">. </w:t>
      </w:r>
      <w:bookmarkStart w:id="410" w:name="pg8686_123780"/>
    </w:p>
    <w:p>
      <w:pPr>
        <w:pStyle w:val="Heading4"/>
        <w:numPr>
          <w:ilvl w:val="3"/>
          <w:numId w:val="1"/>
        </w:numPr>
        <w:rPr/>
      </w:pPr>
      <w:bookmarkStart w:id="411" w:name="__RefHeading___Toc2517564_653776707"/>
      <w:bookmarkStart w:id="412" w:name="_Toc158"/>
      <w:bookmarkEnd w:id="410"/>
      <w:bookmarkEnd w:id="411"/>
      <w:r>
        <w:rPr>
          <w:rtl w:val="true"/>
        </w:rPr>
        <w:t>المسألة الثامنة</w:t>
      </w:r>
      <w:r>
        <w:rPr>
          <w:rtl w:val="true"/>
        </w:rPr>
        <w:t xml:space="preserve">: </w:t>
      </w:r>
      <w:r>
        <w:rPr>
          <w:rtl w:val="true"/>
        </w:rPr>
        <w:t>عدم اعتبار المرجعية</w:t>
      </w:r>
      <w:bookmarkEnd w:id="412"/>
    </w:p>
    <w:p>
      <w:pPr>
        <w:pStyle w:val="BookText"/>
        <w:rPr/>
      </w:pPr>
      <w:r>
        <w:rPr>
          <w:rFonts w:ascii="Amiri" w:hAnsi="Amiri" w:eastAsia="Amiri" w:cs="Amiri"/>
          <w:color w:val="111111"/>
          <w:sz w:val="28"/>
          <w:sz w:val="28"/>
          <w:szCs w:val="28"/>
          <w:rtl w:val="true"/>
          <w:lang w:bidi="ar-SA"/>
        </w:rPr>
        <w:t>ممّا ذكرنا أعلاه يظهر أنّ ما هو المستفاد من جميع الأدلّة العقلية والنقلية هو اعتبار الفقاهة والاجتهاد المطلق وأما المرجعية والتصدّي الفعليّ للإجابة عن استفتاءات الناس، وتقليد هؤلاء الناس له، فهو ليس من شروط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سرّ تغيير المادّة الخاصّة بشروط وليّ الأمر في دستور الجمهورية الإسلامية؛ فقد كانت المادّة التاسعة بعد المئة قبل التعديل تصرّح في مجال التعبير عن شروط الوليّ الفقيه، ورأس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القدرة العلمية والتقوى اللازمتين للإفتاء والمرجعية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بعد تشكيل لجنة التعديل بأمر السيد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هذه المادة فصارت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القدرة العلمية اللازمة على للإفتاء في مختلف أبواب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بعينه ما ذكرناه أعلاه من لزوم القدرة وملكة الاجتهاد في جميع أبواب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المرجعية والتصدي لأمر الإفتاء بالفعل فهو أمر خارج عن اعتبار الأدلة فإنّ المرجعية ناظرة إلى الاتجاه الاجتماعي للفقيه والمجتهد واتصاله بالناس والأقوام والطوائف، وهذا لا صلة له بمدلول الأدلّة، الأمر الذي صرّح به السيد الإمام قبل تعديل هذا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كنت أعتقد به وأصرّ عليه من البداية هو عدم لزوم اشتراط المرجعية وكفاية المجتهد العادل المؤيّد والمعيّن من قبل خبراء جميع البلد المحترمين</w:t>
      </w:r>
      <w:r>
        <w:rPr>
          <w:rFonts w:eastAsia="Amiri" w:cs="Amiri" w:ascii="Amiri" w:hAnsi="Amiri"/>
          <w:color w:val="111111"/>
          <w:sz w:val="28"/>
          <w:szCs w:val="28"/>
          <w:rtl w:val="true"/>
          <w:lang w:bidi="ar-SA"/>
        </w:rPr>
        <w:t>».</w:t>
      </w:r>
      <w:r>
        <w:rPr>
          <w:rStyle w:val="FootnoteAnchor"/>
          <w:rtl w:val="true"/>
        </w:rPr>
        <w:footnoteReference w:id="163"/>
      </w:r>
    </w:p>
    <w:p>
      <w:pPr>
        <w:pStyle w:val="Heading4"/>
        <w:numPr>
          <w:ilvl w:val="3"/>
          <w:numId w:val="1"/>
        </w:numPr>
        <w:rPr/>
      </w:pPr>
      <w:bookmarkStart w:id="413" w:name="__RefHeading___Toc2517566_653776707"/>
      <w:bookmarkStart w:id="414" w:name="_Toc159"/>
      <w:bookmarkEnd w:id="413"/>
      <w:r>
        <w:rPr>
          <w:rtl w:val="true"/>
        </w:rPr>
        <w:t>المسألة التاسعة</w:t>
      </w:r>
      <w:r>
        <w:rPr>
          <w:rtl w:val="true"/>
        </w:rPr>
        <w:t xml:space="preserve">: </w:t>
      </w:r>
      <w:r>
        <w:rPr>
          <w:rtl w:val="true"/>
        </w:rPr>
        <w:t>دراسة اعتبار الأعلمية</w:t>
      </w:r>
      <w:bookmarkEnd w:id="41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يشترط في وليّ الأمر مجرّد الفقاهة والعلم بالأحكام وموضوعاتها أو يشترط فيه الأعلمية أيضًا؟ </w:t>
      </w:r>
    </w:p>
    <w:p>
      <w:pPr>
        <w:pStyle w:val="BookText"/>
        <w:rPr/>
      </w:pPr>
      <w:r>
        <w:rPr>
          <w:rFonts w:ascii="Amiri" w:hAnsi="Amiri" w:eastAsia="Amiri" w:cs="Amiri"/>
          <w:color w:val="111111"/>
          <w:sz w:val="28"/>
          <w:sz w:val="28"/>
          <w:szCs w:val="28"/>
          <w:rtl w:val="true"/>
          <w:lang w:bidi="ar-SA"/>
        </w:rPr>
        <w:t>يظهر من بعض الأدلة أنّ الأعلمية من شروط الولاية، فإنّ الظاهر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وَزَادَهُ بَسْطَةً فِي الْعِلْمِ، وأيضا بحسب قوله في صحيحة عبد الكريم بن عتبة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المسلمين من هو أعلم منه فهو 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في صحيحة عيص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ويجيء بذلك الرجل الذي هو أعلم بغنمه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أحقّ الناس بهذا الأمر أعلمهم بأمر الله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الأدلة المذكور في المطولّات</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يظهر من هذه الأدلّة ولو لأوّل وهلةٍ أنّ الأعلمية من الشروط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مسألة الأعلمية بحسب المفهوم والتعريف لا تخلو من غموض وتحتاج إلى تأمّل ودقّة ويتوقّف تبنّي موقف من اشتراط الأعلمية في الوليّ على لفت النظر إلى أمور،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هذه الأدلة الدالة على اعتبار الأعلمية ناظر إلى مسألة الأعلمية في ظرف حضور الإمام المعصوم وبسط يده، ولا ريب في أنه مع وجود الإمام الربّاني الآخذ علمهعن المبدأ الإلهي دون تعليم أو تّعلم، لا يجوز لغيره أن يتصدّى لأمر الولاية بل علم غيره في ميزان علمه ليس بعلمٍ؛ ولكن هذا خارج عن فرضنا للمسألة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محلّ البحث هو عصر الغيبة وزمن قبض يد المعصوم فإنه مع عدم التمكن من الوصول إلى الأعلم، فلا مناص من الرجوع إلى العالم غير الأعلم، وإلّا لا يجوز بحكم العقل وبناء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تقتضيه أدلة رجوع الجاهل إلى العالم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في عصر الغيبة،بين الأعلم وغير الأعلم، فإنّ من المحتمل حسب ما يُستظهر من بعض هذه الأدلّة النقلية الواردة في بيان لزوم إمامة المعصوم عدم اعتبار الأعلمية؛ لأن المراد من الأعلم في هذه الأخبار هو الإمام المعصوم الذي مع ظرف حضوره، تتعيّن الإمامة فيه، وإن الأعلمية منسلخة عن </w:t>
      </w:r>
    </w:p>
    <w:p>
      <w:pPr>
        <w:pStyle w:val="BookText"/>
        <w:rPr/>
      </w:pPr>
      <w:r>
        <w:rPr>
          <w:rFonts w:ascii="Amiri" w:hAnsi="Amiri" w:eastAsia="Amiri" w:cs="Amiri"/>
          <w:color w:val="111111"/>
          <w:sz w:val="28"/>
          <w:sz w:val="28"/>
          <w:szCs w:val="28"/>
          <w:rtl w:val="true"/>
          <w:lang w:bidi="ar-SA"/>
        </w:rPr>
        <w:t>معنى التفضيل بالنسبة إليه؛ فحينئذٍ تكون هذه الروايات غير ناظرة إلى غير عصر الحضور، ولا يستفاد منها اعتبار الأعلمية مع عدم حضور المعصوم، على أن هذا هو القدر المتيقّن من دلالة هذه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حسب ما يظهر من بناء العقلاء وصحيحة عيص بن القاسم أيضًا هو لزوم الأعلمية حتى في ظرف عدم التمكّن من الإمام المعصوم وفي عصر الغيبة؛ لأنّ بناء العقلاء لا يختصّ بمسألة خاصّة وهو اعتبار الأعلم في ولي أمر المسلمين؛ بل بناء العقلاء بناءٌ عامٌّ يسري ويجري في جلّ الأمور التي يحتاج إلى إيكالها إلى الغير، فالعقلاء بناؤهم قائمٌ على عدم إيكال الأمر إلا إلى الأعلم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اعتبار الأعلمية ببناء العقلاء في عصر الغيبة، ولكن هذا الاعتبار العقلائي يحتاج إلى دراسة من جديد حتى تظهر أبعاده وجوانبه المختلفة، وإلّا فالالتزام بهذا الاعتبار مطلقاً بلا قيد ولا شرط محلّ إشكال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نبحث عن قيوده وشروطه وسنشير إلى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الأعلمية وسائر الشروط اللازمة والمعتبرة في ولي الأمر كالعدالة والكفاءة والشجاعة وغيرها، كما لو دار أمر ولاية الأمة بين عالم كفء للإدارة وعالم غير كفء من الناحية الإداريّة؛ فحينئذ تدخل المسألة في صغريات باب التزاحم،فيجب أن يُقدَّم ملاك الأهم ولا ريب في أنّ العالم الكفء مقدّم على الأعلم غير الكفء الذي لا يُرى فيه حسن التدبير والإدارة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 التأمّل في مفهوم الأعلمية وتحليل بناء العقلاء في هذا المفهوم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المراد من الأعلمية هو الأعلمية في استنباط الأحكام الكلية الفرعية دون تطبيقاتها والأعلمية بموضوعاتها؛ فهذا خلاف سيرة العقلاء فإنّ بناء العقلاء هو الرجوع إلى الأعلم من جميع الجهات، لا إلى الأعلم من جهة واحدة، فالأعلمية المعتبرة في ولي الأمر هي الأعلمية الشاملة لاستنباط الحكم الكلي ولمعرفة موضوعات الأحكام وتطبيقاتها على مواردها ومصاديقها، والشاملة أيضاً لما تقتضيه المصالح العامّة للإسلام والمسلمين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الرجوع إلى الأعلم واعتبار الأعلمية ثابتة ببناء العقلاء في الأمور والمسائل التي يُعلم اختلاف رأي الأعلم فيها مع رأي غيره، أمّا في ما إذا لم يُعلم اختلاف الفتوى فيجوز الرجوع إلى غير الأعلم؛ ولكن هذا القول مخالفٌ لما يرى من بناء العقلاء، فإنهم يرون الرجوع إلى الأعلم ليس فقط في المسائل المعلومة الخلاف بين الأعلم وغير الأعلم؛ بل إنهم يعتبرون الرجوع إلى الأعلم حتى في المسائل التي يُحتمل فيها الخلاف في الرأي بين الأعلم وغير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فالرجوع إلى الأعلم ثابت ببناء العقلاء مطلقاً، ولو في المسائل التي لا يعلم الاختلاف في الفتوى والرأي بين الأعلم وغير الأعلم؛ نعم إذا عُلِم عدم الاختلاف بين الأعلم وغير الأعلم؛ فحينئذٍ يكون الرجوع إلى الأعلم وغير الأعلم سيان ببناء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الحيثية الرجوع إلى الأعلم واعتبار الأعلمية ثابتة في سيرة العقلاء؛ ولكن مع ذلك فإنّ الرجوع إلى الأعلم واجبٌ فيما إذا كان الفارق بين الأعلم وغير الأعلم عظيماً يعتدّ به وخاصّة إذا كانت المسألة من المسائل الهامّة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الفرق بين الأعلم وغير الأعلم بحسب الرتبة قليلٌ وغير معتدٍّ به، فلا يرى العقلاء وجوب البحث عن الأعلم واتّباعه خاصّةً إذا كانت المسألة من المسائل التي في درجة ثانية من حيث مستوى اهتمامهم بها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الأعلمية في الاجتهاد واستنباط الحكم الشرعي وإن كان له صلة وربط وثيقٌ بالعلوم الرسمية المتداولة في الحوزة العلمية بين أيدي الفقهاء منالأصول والأدب والرجال وفقه الحديث والتفسير والدقيقات العلمية والالتفات إلى القضايا الدقيقة والظرائف، والدقّة في الأدلّة خاصّة الأدلّة الفلسفية والعقلية؛ ولكن من المهم بل الأهم إيلاء العناية الخاصّة بحقيقة الإسلام وروحه السارية والجارية في جميع الأحكام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يحتاج إليه المجتهد في استنباطاته زائداً على هذه العلوم الرسمية الدخيلة في الاجتهاد، فإنه يُرى أن كثيراً من التدقيقات العقلية الأصولية والظرائف من الاستدلالات والمناقشات لا تترتب عليها سوى الثمرات والنتائج النظريّة؛ ولكن من جهة أخرى الفهم </w:t>
      </w:r>
    </w:p>
    <w:p>
      <w:pPr>
        <w:pStyle w:val="BookText"/>
        <w:rPr/>
      </w:pPr>
      <w:r>
        <w:rPr>
          <w:rFonts w:ascii="Amiri" w:hAnsi="Amiri" w:eastAsia="Amiri" w:cs="Amiri"/>
          <w:color w:val="111111"/>
          <w:sz w:val="28"/>
          <w:sz w:val="28"/>
          <w:szCs w:val="28"/>
          <w:rtl w:val="true"/>
          <w:lang w:bidi="ar-SA"/>
        </w:rPr>
        <w:t xml:space="preserve">العميق لسيرة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ودراسة أعمالهم ومنهجهم وتصرفاتهم في القضايا المختلفة خاصّةً حينما كان الحكم بيدهم، وعندما كانوا مبسوطي اليد لإدارة المجتمع وولاية الأمر كحكومة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خلال دراسة هذه الأمور يتعرّف الفقيه إلى حقيقة الإسلام ويعرف المهمات والأولويات عند الشارع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فرقٌ شاسع بين فقيه له تحقيقاته العلمية وتضلّعه في المصطلحات وصناعة الاجتهاد، ولكنّ أفكاره وآرائه بعيدة عن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تأسيس الحكم والدولة وتجهيز الجيش وقتال العدوّ وإجراء الحدود وغيرها، فهل يمكن بناء على السيرة العقلائية اعتبار الفقيه الأول أعلمَ صالحاً للإمامة دون الثاني، مع أن من المقطوع به أنّ رأي الثاني أقرب إلى واقع الإسلام وحقيقته وروحه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 أنّ من الأمور التي لها دخل تامٌّ في الأعلمية التعرف على المسائل الفكرية والثقافية المعاصرة، وخاصّة ما يرتبط بالقانون والحقوق، فإنّ لهذه الأمور دخلٌ تامٌّ في الاستنباط الشرعي للمسائل المستحدثة وحتى في المسائل القديمة التي تحتاجإلى دراسة من جديد؛ بسبب ظهور أمور خاصة وعناوين جديدة صارت محلًّا للابتلاء، ويجب إعادة بحثها ودراستها كالمسائل المرتبطة بالفقه الحكومي والقضاء والاقتصاد والمصارف والعملة وغيرها، فلهذا الأمر أثر في الاستنباط الفقهي فكيف يمكن أن يعدّ الفقيه أعلمَ مع كونه أجنبيًّا عن هذه الأمور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العناصر المهمة الدخيلة في الاجتهاد والأعلمية أيضًا والتي يُغفل عنها في سياق تعداد معايير الفقاهة والأعلمية،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الإحاطة العلمية بمعارف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وتراثهم الذي هو بين أيدينا من الأمور الواردة في الكلام والعقيدة والتاريخ والأخلاق وغيرها، فإذا كان هناك فقيه له إشراف تامٌّ على الأحاديث الفقهية المنقولة في وسائل الشيعة مثلًا؛ ولكنّه كان غير مطلع على سائر علومهم ومعارفهم وغير خبير بالثقافة الإسلامية العامّة، مع ما لهذه الأمور من دخل تامٍّ </w:t>
      </w:r>
    </w:p>
    <w:p>
      <w:pPr>
        <w:pStyle w:val="BookText"/>
        <w:rPr/>
      </w:pPr>
      <w:r>
        <w:rPr>
          <w:rFonts w:ascii="IRNazanin" w:hAnsi="IRNazanin" w:eastAsia="IRNazanin"/>
          <w:color w:val="111111"/>
          <w:sz w:val="28"/>
          <w:sz w:val="28"/>
          <w:szCs w:val="28"/>
          <w:rtl w:val="true"/>
          <w:lang w:bidi="fa-IR"/>
        </w:rPr>
        <w:t xml:space="preserve">في الاستنباط المؤدّي إلى الواقع، فكيف يعدّ العقلاء هذا الفقيه أعلم بسبب تضلّعه في الأصول والدقائق والظرائف المذكورة في الترتب والاستصحاب ومقدمة الواجب والأصل المثبت وغيرها، مع غفلته وعدم اطّلاعه الکافي على سائر 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علوم الكتاب والسنة ومعارف أهل البيت مجموعة مترابطة متصلة بعضها ببعض لها روحٌ واحدة ونفس واحدة، ولا يستطيع أحد أن ينظر إلى التشريعات الإسلامية كجزيرة منفصلة عن سائر الأمور العقائدية والأخلاقية والسيرة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هذا دليل العقل وبناء العقلاء والأدلة النقلية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أعلمهم بأمر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وَزَادَهُ بَسْطَةً فِي الْعِلْمِ وَالْجِسْمِ وما ورد أيضًا في صحيحة عيص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ظهر أن مسألة الأعلمية بحاجة إلى إعمال فكر ودقّة حتى تعرف جوانبها المختلفة وأبعادها المتفاوتة ويحلِّل بناء العقلاء بالنسبة إلى هذه الأبعاد والوجوه المتفاوتة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وإن سلّمنا باعتبار الأعلمية في ولي الأمر في عصر الغيبة، فإننا ننظر إلى هذا الشرط بهذه النظرة الشاملة؛ وعليه فإنّ المسألة ليست على ما تبدو من البساطة فيتفسير الأعلمية بالأعلمية في مجال الاستنباط؛ بل يجب الالتفات إلى جميع وجوهها وأبعادها، وأخذها بهذا المعنى الشامل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إقامة الحكومة الإسلامية في عصر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محل الابتلاء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إقامتها في ناحية من النواحي لا في جميع العالم فإنّ استقرار حكومة واحدة عالمية بيد إمام غير معصوم، هو أمرٌ بعيد عن مطمح النظر في الوقت الحاضر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فحينما نتكلم عن الفقيه الأعلم؛ بل حينما نتكلم عن اشتراط الفقاهة واعتبار الاجتهاد، فهذا يختص بناحية وبلد أو مكان يمكن استقرار الحكومة الإسلامية فيها؛ كما تحقّق في إيران بعد الثورة الإسلامية؛ فحينئذ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w:t>
      </w:r>
    </w:p>
    <w:p>
      <w:pPr>
        <w:pStyle w:val="BookText"/>
        <w:rPr/>
      </w:pPr>
      <w:r>
        <w:rPr>
          <w:rFonts w:ascii="Amiri" w:hAnsi="Amiri" w:eastAsia="Amiri" w:cs="Amiri"/>
          <w:color w:val="111111"/>
          <w:sz w:val="28"/>
          <w:sz w:val="28"/>
          <w:szCs w:val="28"/>
          <w:rtl w:val="true"/>
          <w:lang w:bidi="ar-SA"/>
        </w:rPr>
        <w:t>الفقاهة والأعلمية لولي أمر هذه الحكومة على قدر الإمكان، وأمّا إذا كان هناك مكان يتمكن المؤمنون من إقامة الحكم؛ ولكن لم يكن بينهم فقيه يتصدّى لأمر الولاية، أو كان الفقيه موجوداً ولكن لم تكن عنده الكفاءة والقدرة على إدارة المجتمع، أو كان الفقيه خارج هذا المكان ولم يمكن الوصول إليه لأجل إقامة الحكم تحت نظره وإشرافه، فحينئذٍ يجب إقامة الحكم وإن كان الحاكم غير فقيه أو غير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الأعلمية والفقاهة اعتبار إضافيٌّ نسبيٌّ يدرس على حسب الظروف وما يقتضيه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إن من المحتمل أنّه إذا كان هناك فقيه أعلم في استنباط الأحكام فقط دون التطبيقات وتشخيص الأمور، وفقيه آخر أعلم وأكثر خبرة في معرفة الأمور والوقائع والموضوعات دون استنباط الأحكام؛ فلازم الأدلة هو انقسام تولّي أمور المسلمين بينهما بحسب وجدان كلّ منهما، وأمّا ما ورد في الروايات من اعتبار وحدة الإمام فهو خاصٌّ بالإمام المعصوم</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ولكن لا يخفى ما في هذا الاحتمال من الضعف، فإنّ الولاية على الأمة بحسب طبيعتها وماهيتها أمر بسيطٌ لا يقبل الانقسام ذاتاً؛ بل هي حكم لموضوع واحد في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هناك بلادٌ مختلفة ونواحي متفاوتة مع حدود وثغور متمايزة ويمكن إقامة الحكم في كل واحد منها مستقلًّا عن الآخر فحينئذ لكل منها حكمه الخاص به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بلد واحد مع حدود وأطراف محددة وثغور متميزة، فلا يمكن تقسيم الولاية فيها؛ لأنّ الولاية لا تقبل التكثّر والتعدّد، فٍفي مفروض المسألة حينئذ أنّه إذا كان هناك فقيه أعلم في الاستنباط وفقيه آخر أعلم في تعرّف الأمور فالمسألة تدخل في باب تزاحم الملاكات، فيجب أن يدرس الأهم، وأمّا ما يقال من أن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الأعلم هو طريق لازم الاتباع والولاية على الأمّة إنما تكون ثابتة له ولا ولاية لغير الأعلم في تلك الموارد التي يكون الأعلم مخالفاً له،</w:t>
      </w:r>
      <w:r>
        <w:rPr>
          <w:rStyle w:val="FootnoteAnchor"/>
          <w:rtl w:val="true"/>
        </w:rPr>
        <w:footnoteReference w:id="166"/>
      </w:r>
      <w:r>
        <w:rPr>
          <w:rFonts w:ascii="Amiri" w:hAnsi="Amiri" w:eastAsia="Amiri" w:cs="Amiri"/>
          <w:color w:val="111111"/>
          <w:sz w:val="28"/>
          <w:sz w:val="28"/>
          <w:szCs w:val="28"/>
          <w:rtl w:val="true"/>
          <w:lang w:bidi="ar-SA"/>
        </w:rPr>
        <w:t>فهذا الكلام لا يخلو من إشكال ومناقشة فإنّ تقديم الأعلم مطلقًا على غير الأعلم، قد يكون مخالفاً لترجيح ملاك الأهم خاصّة في ما يرتبط بالمصالح العامّة وكياسة التدبير وتشخيص الصغريات وتطبيقات القواعد العامة عليها، فإنّها عند العقلاء أهم من الأعلمية في الاستنباط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415" w:name="pg8686_123797"/>
    </w:p>
    <w:p>
      <w:pPr>
        <w:pStyle w:val="Heading3"/>
        <w:numPr>
          <w:ilvl w:val="2"/>
          <w:numId w:val="1"/>
        </w:numPr>
        <w:rPr/>
      </w:pPr>
      <w:bookmarkStart w:id="416" w:name="__RefHeading___Toc2517568_653776707"/>
      <w:bookmarkStart w:id="417" w:name="_Toc160"/>
      <w:bookmarkEnd w:id="415"/>
      <w:bookmarkEnd w:id="416"/>
      <w:r>
        <w:rPr>
          <w:rtl w:val="true"/>
        </w:rPr>
        <w:t>الفصل الثاني</w:t>
      </w:r>
      <w:r>
        <w:rPr>
          <w:rtl w:val="true"/>
        </w:rPr>
        <w:t xml:space="preserve">: </w:t>
      </w:r>
      <w:r>
        <w:rPr>
          <w:rtl w:val="true"/>
        </w:rPr>
        <w:t>في اشتراط العدالة في ولي الأمر</w:t>
      </w:r>
      <w:bookmarkEnd w:id="417"/>
    </w:p>
    <w:p>
      <w:pPr>
        <w:pStyle w:val="Heading4"/>
        <w:numPr>
          <w:ilvl w:val="3"/>
          <w:numId w:val="1"/>
        </w:numPr>
        <w:rPr/>
      </w:pPr>
      <w:bookmarkStart w:id="418" w:name="__RefHeading___Toc2517570_653776707"/>
      <w:bookmarkStart w:id="419" w:name="_Toc161"/>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 من شروط الإمامة والولاية على الأمّة في عصر الغيبة وزمن قبض يد الإمام المعصوم هو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هذا الشرط في الإمام والحاكم كما في الفقه على المذاهب الأربعة،</w:t>
      </w:r>
      <w:r>
        <w:rPr>
          <w:rStyle w:val="FootnoteAnchor"/>
          <w:rtl w:val="true"/>
        </w:rPr>
        <w:footnoteReference w:id="167"/>
      </w:r>
      <w:r>
        <w:rPr>
          <w:rFonts w:ascii="Amiri" w:hAnsi="Amiri" w:eastAsia="Amiri" w:cs="Amiri"/>
          <w:color w:val="111111"/>
          <w:sz w:val="28"/>
          <w:sz w:val="28"/>
          <w:szCs w:val="28"/>
          <w:rtl w:val="true"/>
          <w:lang w:bidi="ar-SA"/>
        </w:rPr>
        <w:t>متّفق عليه بين مذاهب العامّة، وقد صرّح باشتراطه كثيرٌ من فقهاء أهل السنّة كالماوردي، والقاضي أبي يعلي الفرّاء، والقاضي الإيجي، والشريف الجرجاني، وابن خلدون، والقلقشندي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 نفسه فعله فقهاء الإماميّة ومنهم العلامة الحلّي</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والسيد الإمام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المادّة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دستور الجمهورية الإسلامية في إيران، وهي المادّة المخصّصة لبيان شروط الوليّ الفقيه ومواصفاته نصّ على أن العدالة والتقوى من الشروطالتي تتوقّف عليها صلاحية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نعرض الأدلّة التي يُستدلّ بها على هذا الشرط في ما يأتي</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2517572_653776707"/>
      <w:bookmarkStart w:id="421" w:name="_Toc162"/>
      <w:bookmarkEnd w:id="420"/>
      <w:r>
        <w:rPr>
          <w:rtl w:val="true"/>
        </w:rPr>
        <w:t>المسألة الأولى</w:t>
      </w:r>
      <w:r>
        <w:rPr>
          <w:rtl w:val="true"/>
        </w:rPr>
        <w:t xml:space="preserve">: </w:t>
      </w:r>
      <w:r>
        <w:rPr>
          <w:rtl w:val="true"/>
        </w:rPr>
        <w:t>حكم العقل باشتراط العدالة في الإمام</w:t>
      </w:r>
      <w:bookmarkEnd w:id="421"/>
    </w:p>
    <w:p>
      <w:pPr>
        <w:pStyle w:val="Heading5"/>
        <w:numPr>
          <w:ilvl w:val="4"/>
          <w:numId w:val="1"/>
        </w:numPr>
        <w:rPr/>
      </w:pPr>
      <w:bookmarkStart w:id="422" w:name="__RefHeading___Toc2517574_653776707"/>
      <w:bookmarkStart w:id="423" w:name="_Toc163"/>
      <w:bookmarkEnd w:id="422"/>
      <w:r>
        <w:rPr>
          <w:rtl w:val="true"/>
        </w:rPr>
        <w:t>التقريب الأول لحكم العقل</w:t>
      </w:r>
      <w:r>
        <w:rPr>
          <w:rtl w:val="true"/>
        </w:rPr>
        <w:t>:</w:t>
      </w:r>
      <w:bookmarkEnd w:id="42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يقرّب الوجه العقليّ لاعتبار العدالة بهذا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أن العقلاء إذا أرادوا أن يفوّضوا أمراً من الأمور إلى شخص فلا محالة يراعون فيه أموراً؛ منها أن يكون أميناً يُوثق به، والولاية وإدارة شؤون الأمة من أهمّ الأمور، فلا محالةيُشترط في الوالي، بحكم العقل والفطرة، أن يكون أميناً يمكن الوثوق به، ويعبّر المسلمون عن الأمانة والاستقامة بالعدالة</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هذا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خلط فيه بين حكم العقل وسيرة العقلاء، وقد مرّ في البحث عن شرطية الفقاهة أنّهما أمران مختلفان، ودليلان مستقلَّان يجب التمييز بينهما لعدم تلازمهما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فرقٌ بين الأمانة والعدالة، فما هو مذكور في تقريب الدليل هو حكم العقل أو سيرة العقلاء، بلزوم الأمانة في المفوّض إليه الأمور؛ ولكن المدّعى هو لزوم العدالة مع أنّ بينهما، كما سيأتي تفصيله، عمومٌ مطلقٌ لأنّ العدالة المعتبرة في الفقه هي اجتناب المعاصي الكبيرة وعدم الإصرار على ارتكاب الصغائر، أمّا الأمانة فلا يشترط فيها اجتناب جميع المعاصي؛ لأنّها ضدّ الخيانة وهي مخالفَة الحقّ بنقض العهد في السرّ،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تَخُونُوا اللَّهَ وَالرَّسُولَ وَتَخُونُوا أَمَانَاتِكُمْ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إِنَّا عَرَضْنَا الْأَمَانَةَ عَلَى السَّمَاوَاتِ وَالْأَرْضِ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فالأمانة قد تبقى محفوظةً حتّى مع الفسق وارتكاب بعض المعاصي كشرب الخمر وأكل الميتة والدم بخلاف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فالعدالة أخصّ من الأمانة وإثبات الأعمّ لا يكفي لإثبات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فالدليل أعمّ من المدّعى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أنّه لا يمكن التمسك بسيرة العقلاء لإثبات المدّعى؛ فإنّ ما هو ثابتٌ من سيرتهم هو تفويض أمورهم إلى الأمين، وهذا يكشف عن </w:t>
      </w:r>
      <w:bookmarkStart w:id="424" w:name="pg8686_123801"/>
    </w:p>
    <w:p>
      <w:pPr>
        <w:pStyle w:val="BookText"/>
        <w:rPr/>
      </w:pPr>
      <w:bookmarkEnd w:id="424"/>
      <w:r>
        <w:rPr>
          <w:rFonts w:ascii="Amiri" w:hAnsi="Amiri" w:eastAsia="Amiri" w:cs="Amiri"/>
          <w:color w:val="111111"/>
          <w:sz w:val="28"/>
          <w:sz w:val="28"/>
          <w:szCs w:val="28"/>
          <w:rtl w:val="true"/>
          <w:lang w:bidi="ar-SA"/>
        </w:rPr>
        <w:t>أنّهم يشترطون الأمانة؛ ولكن لزوم العدالة غير ثابت من سيرتهم، بحسب هذا التقريب</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2517576_653776707"/>
      <w:bookmarkStart w:id="426" w:name="_Toc164"/>
      <w:bookmarkEnd w:id="425"/>
      <w:r>
        <w:rPr>
          <w:rtl w:val="true"/>
        </w:rPr>
        <w:t>التقريب الثاني لحكم العقل</w:t>
      </w:r>
      <w:r>
        <w:rPr>
          <w:rtl w:val="true"/>
        </w:rPr>
        <w:t>:</w:t>
      </w:r>
      <w:bookmarkEnd w:id="426"/>
    </w:p>
    <w:p>
      <w:pPr>
        <w:pStyle w:val="BookText"/>
        <w:rPr/>
      </w:pPr>
      <w:r>
        <w:rPr>
          <w:rFonts w:ascii="Amiri" w:hAnsi="Amiri" w:eastAsia="Amiri" w:cs="Amiri"/>
          <w:color w:val="111111"/>
          <w:sz w:val="28"/>
          <w:sz w:val="28"/>
          <w:szCs w:val="28"/>
          <w:rtl w:val="true"/>
          <w:lang w:bidi="ar-SA"/>
        </w:rPr>
        <w:t xml:space="preserve">ما ذكره السيد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 والفاسق لا يعقل أن يجعل الله تعالى أحدهما والياً على المسلمين وحاكماً على مقدّراتهم، وعلى أموالهم ونفوسهم، مع شدّة اهتمام الشارع الأقدس بذلك</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الولاية كما بيّنّاه في أوائل البحث عهدٌ إلهيٌّ وحقٌّ منحصرٌ في ذاته تبارك وتعالى، فهي متوقّفةٌ على جعله تعالى وإذنه بالتصرف في الأموال والنفوس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الله تعالى الولاية والإذن في التصرف للظالم والفاسق غير معقول؛ لأنه مخالف للأغراض الإلهية وغير موافق لما يهتمّ تعالى به بشدّة من حفظ الأموال والأنفس ومقدرات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للغرض ولما يهتمّ به الله تبارك تعالى وضدّ الحكمة الإلهية فيستحيل تحقّقه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هذا الكلام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إضفاء الشرعية على تصرّف الفاسق والظالم، في الأموال والأنفس، ولا يمكن جعل الولاية لهما من الله تبارك وتعالى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لحكم العقل تقريبٌ صائبٌ ومتينٌ يثبت المدّعى بواسطة ما يُسمّى في علم المنطق ببرهان الخلف، ولا يرد عليه ما أورد على التقريب الأول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ممّا يؤيّد حكمَ العقل بشرطية العدالة، أنّه لا يعقل تحقّق إجراء القانون بما </w:t>
      </w:r>
      <w:bookmarkStart w:id="427" w:name="pg8686_123803"/>
    </w:p>
    <w:p>
      <w:pPr>
        <w:pStyle w:val="BookText"/>
        <w:rPr/>
      </w:pPr>
      <w:bookmarkEnd w:id="427"/>
      <w:r>
        <w:rPr>
          <w:rFonts w:ascii="Amiri" w:hAnsi="Amiri" w:eastAsia="Amiri" w:cs="Amiri"/>
          <w:color w:val="111111"/>
          <w:sz w:val="28"/>
          <w:sz w:val="28"/>
          <w:szCs w:val="28"/>
          <w:rtl w:val="true"/>
          <w:lang w:bidi="ar-SA"/>
        </w:rPr>
        <w:t>هو حقّه إلا بيد الوالي العالم العادل</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وليس المراد من عدم المعقولية الاستحالة العقلية بل المراد عدم المعقولية عادةً، وعلى حسب المتعارف والمعتاد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الفاسق الجاهل لا يهتمّبتنفيذ الشريعة مئة بالمئة، كيف وهو أسير الشهوة والأهواء وفي سجن الشيطان والمعاصي التي يرتكبها، فلا يرجى منه تنفيذ الأحكام الشرعية كما هو حقّه ويستحقّه</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2517578_653776707"/>
      <w:bookmarkStart w:id="429" w:name="_Toc165"/>
      <w:bookmarkEnd w:id="428"/>
      <w:r>
        <w:rPr>
          <w:rtl w:val="true"/>
        </w:rPr>
        <w:t>المسألة الثانية</w:t>
      </w:r>
      <w:r>
        <w:rPr>
          <w:rtl w:val="true"/>
        </w:rPr>
        <w:t xml:space="preserve">: </w:t>
      </w:r>
      <w:r>
        <w:rPr>
          <w:rtl w:val="true"/>
        </w:rPr>
        <w:t>الآيات القرآنية الدالّة على اشتراط العدالة</w:t>
      </w:r>
      <w:bookmarkEnd w:id="429"/>
    </w:p>
    <w:p>
      <w:pPr>
        <w:pStyle w:val="BookText"/>
        <w:rPr/>
      </w:pPr>
      <w:r>
        <w:rPr>
          <w:rFonts w:ascii="Amiri" w:hAnsi="Amiri" w:eastAsia="Amiri" w:cs="Amiri"/>
          <w:color w:val="111111"/>
          <w:sz w:val="28"/>
          <w:sz w:val="28"/>
          <w:szCs w:val="28"/>
          <w:rtl w:val="true"/>
          <w:lang w:bidi="ar-SA"/>
        </w:rPr>
        <w:t>ثمّة طائفة من آيات الذكر الحكيم قد يستدلّ بها لاعتبار العدالة في إمام المسلمين نذكر منها ما هو أقرب بالمقصود وأوضح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تَرْكَنُوا إِلَى الَّذِينَ ظَلَمُوا فَتَمَسَّكُمْ النَّارُ وَمَا لَكُمْ مِنْ دُونِ اللهِ مِنْ أَوْلِيَاءَ ثُمَّ لَا تُنصَرُونَ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بها العلامة في التذكرة، وموضع الاستدلال الجملة الأولى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بيان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يتوقّف الاستدلال بالآية الكريمة على أمور نذكرهاتباعًا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الركون إلى الظالمين منهيٌّ عنه ويُستفاد من حرمته من التهديد بمسّ النار من يركن إلى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الشيء هو جانبه الذي يسكن إليه ويُستعار للقوّة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 لِي بِكُمْ قُوَّةً أَوْ آوِي إِلَى رُكْنٍ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فالركون إلى الذين ظلموا هو نوع </w:t>
      </w:r>
    </w:p>
    <w:p>
      <w:pPr>
        <w:pStyle w:val="BookText"/>
        <w:rPr/>
      </w:pPr>
      <w:r>
        <w:rPr>
          <w:rFonts w:ascii="Amiri" w:hAnsi="Amiri" w:eastAsia="Amiri" w:cs="Amiri"/>
          <w:color w:val="111111"/>
          <w:sz w:val="28"/>
          <w:sz w:val="28"/>
          <w:szCs w:val="28"/>
          <w:rtl w:val="true"/>
          <w:lang w:bidi="ar-SA"/>
        </w:rPr>
        <w:t>اعتماد عليهم والسكون إليهم وهو حرام مطلقاً، بحكم الآية ومن أظهر مصاديقه وأوضح تطبيقاته المهمة هي أن يُسمح لهم بإدارة أمور المجتمع الإسلامي وولاية الأمور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فالاقتراب من الظالمين والاعتماد والاتّكاء عليهم بتفويض مقدّرات الأمّة إليهم،وتسليطهم على الأموال والأنفس، كلّ ذلك يعدّ من المحرّمات الشرعية لما يؤدّي إليه من إماتة الحق وإحياء الباطل</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ينسبق إلى الذهن من معنى الظلم، وأول ما يتبادر عند الناس من معناه هو الظلم الاجتماعي، وهو التعدّي على حقٍّ اجتماعي، كسلب الأمن من أحدٍ، أو الاعتداء على عرضه وكرامته، أو ماله من غير حقٍّ مسوّغ؛ ولكن الظلم بحسب معناه واللغوي لا ينحصر في هذا الظلم الاجتماعي الذي ينسبق إليه الذهن؛ بل هو في اللغة عبارة عن الخروج عن وسط العدل، فهو أعمّ مما يسبق إلى ذهن الناس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قد وسّع في ما يسبق إلى فهم الناس، فسمّى كل مخالفة لقانون أو سنّة جارية ظلماً؛ بل كلّ ذنب ومعصية لخطاب مولوي ظلمً من المذنب بالنسبة إلى نفسه وأيضًا هو ظلمٌ، بالنسبة إلى الله سبحانه لما له من حقّ الطاعة المشروع هذا ثانياً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العرف ربّما يوسّع الظلم ثانياً ليشمل مخالفة التكليف مطلقاً وإن كان عن سهو أو نسيان أو جهل؛ بل إلى مخالفة النصيحة والأمر الإرشادي هذا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فللظلم عرفاً عرض عريض؛</w:t>
      </w:r>
      <w:r>
        <w:rPr>
          <w:rStyle w:val="FootnoteAnchor"/>
          <w:rtl w:val="true"/>
        </w:rPr>
        <w:footnoteReference w:id="176"/>
      </w:r>
      <w:r>
        <w:rPr>
          <w:rFonts w:ascii="Amiri" w:hAnsi="Amiri" w:eastAsia="Amiri" w:cs="Amiri"/>
          <w:color w:val="111111"/>
          <w:sz w:val="28"/>
          <w:sz w:val="28"/>
          <w:szCs w:val="28"/>
          <w:rtl w:val="true"/>
          <w:lang w:bidi="ar-SA"/>
        </w:rPr>
        <w:t>ولكن بمناسبة الحكم والموضوع وبقرينة قوله تعالى في الآية الكريمة فَتَمَسَّكُمْ النَّارُ، وقوله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وَمَا لَكُمْ مِنْ دُونِ اللَّهِ مِنْ أَوْلِيَاءَ ثُمَّ لَا تُنصَرُونَ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وبقرنية سائر الآيات الواردة </w:t>
      </w:r>
    </w:p>
    <w:p>
      <w:pPr>
        <w:pStyle w:val="BookText"/>
        <w:rPr/>
      </w:pPr>
      <w:r>
        <w:rPr>
          <w:rFonts w:ascii="Amiri" w:hAnsi="Amiri" w:eastAsia="Amiri" w:cs="Amiri"/>
          <w:color w:val="111111"/>
          <w:sz w:val="28"/>
          <w:sz w:val="28"/>
          <w:szCs w:val="28"/>
          <w:rtl w:val="true"/>
          <w:lang w:bidi="ar-SA"/>
        </w:rPr>
        <w:t>في الظلم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يَتَعَدَّ حُدُودَ اللَّهِ فَأُوْلَئِكَ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الظلم في الآية الكريمة أعمّ مما ينسبق إليه الذهن من الظلم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الظلم في الآية كل ما يوسّعه العرف من المخالفة والمعصية وإن كانت مخالفة للأمر الإرشادي، أو كانت المخالفة مقرونة بعذر كالسهو والنسيان والجهل، فالمراد من الظلم في الآية أخصّ مما يسمّى في العرف واللغة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الظلم في الآية بناءً على ما ذكرناه هو التعدّي عن حدود الله وعدم رعاية الإلزامات الشرعية عن قصد وعمد واختيار، دون عذر شرعي أو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منه هو المخالفة والمعصية المستوجبة للعقوبة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 الظلم في الآية مساوقٌ للفسق فإنّ الفاسق يظلم نفسه ولا يراعي جانب حقّ نفسه ويظلم ربَّه ولا يراعي جنب حقّه تعالى من وجوب عدم المخالفة لأوامره ونواهيه وبحكم الآية لا يجوز الركون إلى هؤلاء الفاسقين الظالمين ويجب الاجتناب عن الاتّكاء إليهم والاعتماد عليهم بتفويض الأمور إليهم وتسليطهم على ولاية أمر المجتمع الإسلامي وهذا هو المطلوب من اشتراط الولاية والإمامة بالعدالة والتحرّز عن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استظهرناه في معنى الآية المباركة ما ورد في الروايات تفسيراً للآية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عن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ركون مودّة ونصيحة وطاعة</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الكافي عن أبي عبد الله 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تركنوا إلى الذين ظلموا</w:t>
      </w:r>
    </w:p>
    <w:p>
      <w:pPr>
        <w:pStyle w:val="BookText"/>
        <w:rPr/>
      </w:pPr>
      <w:r>
        <w:rPr>
          <w:rFonts w:ascii="Amiri" w:hAnsi="Amiri" w:eastAsia="Amiri" w:cs="Amiri"/>
          <w:color w:val="111111"/>
          <w:sz w:val="28"/>
          <w:sz w:val="28"/>
          <w:szCs w:val="28"/>
          <w:rtl w:val="true"/>
          <w:lang w:bidi="ar-SA"/>
        </w:rPr>
        <w:t>فتمسّكم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يأتي السلطان فيحبّ بقاءه إلى أن يدخل يده إلى كيسه فيعطيه</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الأولى تعدّ الطاعة من الركون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الثانية تعدّ مجرّد حبّ بقاء السلطان، ولو في زمان قصير جدّاً ركوناً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 من شروط الطاعة والالتزام بأوامر السلطان ونواهيه عدم كونه ظالماً وفاسقاً، وهو المطلوب،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تُطِعْ مِنْهُمْ آثِمًا أَوْ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بحكم الآية المباركة تحرم طاعة الآثم الفاسق، وبالتالي تفيد أنّ ولايته غير 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محلّ البحث أي اشتراط العدالة في وليّ الأمر لإثبات مشروعيّة ولايته ووجوب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الاستدلال بهذه الآية المباركة يتوقّف على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الله تعالى نبيَّه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طاعة الآثم، والنهي ظاهرٌ في الحرمة فيحرم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الآثم والكفور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الواجب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يظهر من الفقرات السابقة لهذه الآية أن يصبر على حكم ربّه ويطيع أحكامه المنزلة عليه في القرآن ويلتزم بولاية الله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نَحْنُ نَزَّلْنَا عَلَيْكَ القرآن تَنْزِيلاً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لِحُكْمِ رَبِّكَ وَلَا تُطِعْ مِنْهُمْ آثِمًا أَوْ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الراغب في المفردات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اسم للأفعال المبطِّئة </w:t>
      </w:r>
    </w:p>
    <w:p>
      <w:pPr>
        <w:pStyle w:val="BookText"/>
        <w:rPr/>
      </w:pPr>
      <w:r>
        <w:rPr>
          <w:rFonts w:ascii="Amiri" w:hAnsi="Amiri" w:eastAsia="Amiri" w:cs="Amiri"/>
          <w:color w:val="111111"/>
          <w:sz w:val="28"/>
          <w:sz w:val="28"/>
          <w:szCs w:val="28"/>
          <w:rtl w:val="true"/>
          <w:lang w:bidi="ar-SA"/>
        </w:rPr>
        <w:t>عن الثواب، وربّما يُتوهّم منه عدم اختصاصه بالمحرّمات؛</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ولكن هذا القول منه للإشارة إلى تضمّنه لمعنى البُطء وإلّا على ما يستظهر من سائر الآيات فإنّ الإثم لا يوجب الإبطاء عن الثواب فقط؛ بل يوجب العقاب والعذاب أيضًا وذلك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رَبِّي الْفَوَاحِشَ مَا ظَهَرَ مِنْهَا وَمَا بَطَنَ وَالْإِثْمَ وَالْبَغْيَ بِغَيْرِ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الآية تعدّ الإثم في عداد ما حرّمه الربّ ولا شك في أنّ المحرّم يستلزم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الآثم هو المتلبّس بالمعصية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المبالغ في الكفر؛ فعلى هذا يشمل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آثِمًا أَوْ كَفُورًا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الكفّار والفسّاق جميعاً</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الإثم علّة للنهي عن طاعة الآثم مطلقاً، ولا يختصّ بما إذا دعا الآثم إلى طاعته في ما أثم فيه؛ وذلك لأنّ تعليق الحكم بالوصف مشعرٌ بالعلية،</w:t>
      </w:r>
      <w:r>
        <w:rPr>
          <w:rStyle w:val="FootnoteAnchor"/>
          <w:rtl w:val="true"/>
        </w:rPr>
        <w:footnoteReference w:id="181"/>
      </w:r>
      <w:r>
        <w:rPr>
          <w:rFonts w:ascii="Amiri" w:hAnsi="Amiri" w:eastAsia="Amiri" w:cs="Amiri"/>
          <w:color w:val="111111"/>
          <w:sz w:val="28"/>
          <w:sz w:val="28"/>
          <w:szCs w:val="28"/>
          <w:rtl w:val="true"/>
          <w:lang w:bidi="ar-SA"/>
        </w:rPr>
        <w:t>فيظهر من الآية أنّه لا يجوز طاعة الآثم على أيّ نحوٍ كان وعلى أيّ وجهٍ من الوجوه وإن لم يدعُ إلى إثمه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تحريم الطاعة بخصوص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الحكم عامّ لجميع الأمّة، فالآثم الفاسق لا يجوز أن تطيعه الأمّة الإسلامية، وذلك بسبب كونه آثمًا فإنّ تعليق الحكم على الوصف مشعر بالعلية، على أن إلغاء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العرفية أيضًا يكفي لعدم اختصاص الحكم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الولاية والإمامة يستلزمان الالتزام والطاعة بما يلزِمِ به الإمام ووليّ الأمر، فلا يصلح الفاسق والآثم لولاية أمر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المطلوب لإثبات شرط العدالة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تُطِعْ مَنْ أَغْفَلْنَا قَلْبَهُ عَنْ ذِكْرِنَا وَاتَّبَعَ هَوَاهُ وَكَان أَمْرُهُ فُرُطًا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المدّعى ببيان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تعالى نهى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طاعة من أغفل الله قلبَه عن ذكره واتّبع هواه وأفرط وتجاوز في غفلته واتّباعه لهوى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النهي يشمل كل من يعصى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المعصية حصيلة غفلة القلب عنه تعالى، وهي متحققة في كلّ واحدة من المعاصي، فإذا استمرّ أحد على ارتكابالذنوب والمعاصي، تكون غفلته مستمرّة ودائمة، فموضوع الآية شامل لكل مذنب؛ فتدلّ على حرمة طاعته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اختصاص الخطاب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اختصاص الحكم به؛ بل علّة التحريم هي ارتكاب المعاصي والجرائم وغفلة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تنهى المؤمنين عن طاعة الفسّاق فيُشترط في الولاية وطاعة وليّ الأمر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التقريب للاستدلال بالآية</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ولكن يُشكّك في الاستدلال بالآية،بأنّ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تختصّ بمن تكون غفلته دائمة، ويكون في اتباعه لهواه مفرطاً ومتجاوزاً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تشمل كلّ فاسق ومذنب فإنّ الآية لا تنهى عن اتّباع المذنب الذي يكون حين ذنبه غافلاً عن ذكره؛ ولكن غفلته ليست دائمةً ولم يصل اتّباعه لهواه إلى مرحلة الإفراط، وعلى هذا فالدليل أعمّ من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يُحتمل هذا المعنى، وإذا جاء الاحتمال 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تُطِيعُوا أَمْرَ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يُفْسِدُونَ فِي الْأَرْضِ وَلَا يُصْلِحُونَ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الآيتان حكاية عن لسان صالح على نبيّنا وآله و، تنهيان عن طاعة أوامر المسرفين </w:t>
      </w:r>
    </w:p>
    <w:p>
      <w:pPr>
        <w:pStyle w:val="BookText"/>
        <w:rPr/>
      </w:pPr>
      <w:r>
        <w:rPr>
          <w:rFonts w:ascii="Amiri" w:hAnsi="Amiri" w:eastAsia="Amiri" w:cs="Amiri"/>
          <w:color w:val="111111"/>
          <w:sz w:val="28"/>
          <w:sz w:val="28"/>
          <w:szCs w:val="28"/>
          <w:rtl w:val="true"/>
          <w:lang w:bidi="ar-SA"/>
        </w:rPr>
        <w:t>وإلزاماتهم، والمراد من المسرف هو الفاسق العاصي، فلا تجوز طاعته فتدلّ على اعتبار عدالة ولي الأمر؛ ولكن يرد على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تنهى عن طاعة أمر المفسدين دون الفاسقين والنسبة بينهما عمومٌ مطلقٌ فإنّ من الفاسقين من لا يكون موغلًا في إسرافه ولا مفرطاً، في معصيته ويكون أمره بحيث يُرجى منه بعد الصلاح دعوة الناس إليه فطاعة هذا الفاسق غير منهيٍّ عنها بحكم الآية، فدلالة الآية كسابقتها أخصّ من المدّعى ويكفي مجرّد الاحتمال لردّ الاستدلال</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رَبَّنَا إِنَّا أَطَعْنَا سَادَتَنَا وَكُبَرَاءَنَا فَأَضَلُّونَا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ضِعْفَيْنِ مِنْ الْعَذَابِ وَالْعَنْهُمْ لَعْنًا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تحكي الآية عن أهل النار طلبهم أن يعذّب الله سادتهم وكبراءهم؛ لأنّهم كانوا سبب ضلالهم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تدلّ على مبغوضية طاعة هؤلاء السادة الكبراء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فيها هو مبغوضية فعلهم؛ لأنّهم يدعون إلى المعصية ومخالفة أمر الله تعالى، فلا تجوز طاعتهم فالآية تدل على اشتراط العدالة في المطاع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الدليل أخصّ من المدّعى؛ لأنّها تشمل طائفة خاصّةً من الناس، لا جميعهم؛ فإنّ السادة الكبراء الفاسقين على طائفتين طائفةٌ هم الذين يدعون الناس إلى المعاصي والذنوب فهؤلاء لا تجوز طاعتهم بحكم الآية؛ والطائفة الثانية من هؤلاء الفسّاق هي التي لا تدعو الناس إلى العصيان، فمثلهم غير داخل في حدود دلالة الآية المباركة فالاستدلال بالآية مخدوش</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لإثبات اعتبار العدالة في ولي الأمر الآية الأولى والآية الثانية</w:t>
      </w:r>
      <w:r>
        <w:rPr>
          <w:rFonts w:eastAsia="Amiri" w:cs="Amiri" w:ascii="Amiri" w:hAnsi="Amiri"/>
          <w:color w:val="111111"/>
          <w:sz w:val="28"/>
          <w:szCs w:val="28"/>
          <w:rtl w:val="true"/>
          <w:lang w:bidi="ar-SA"/>
        </w:rPr>
        <w:t xml:space="preserve">. </w:t>
      </w:r>
      <w:bookmarkStart w:id="430" w:name="pg8686_123819"/>
    </w:p>
    <w:p>
      <w:pPr>
        <w:pStyle w:val="Heading4"/>
        <w:numPr>
          <w:ilvl w:val="3"/>
          <w:numId w:val="1"/>
        </w:numPr>
        <w:rPr/>
      </w:pPr>
      <w:bookmarkStart w:id="431" w:name="__RefHeading___Toc2517580_653776707"/>
      <w:bookmarkStart w:id="432" w:name="_Toc166"/>
      <w:bookmarkEnd w:id="430"/>
      <w:bookmarkEnd w:id="431"/>
      <w:r>
        <w:rPr>
          <w:rtl w:val="true"/>
        </w:rPr>
        <w:t>المسألة الثالثة</w:t>
      </w:r>
      <w:r>
        <w:rPr>
          <w:rtl w:val="true"/>
        </w:rPr>
        <w:t xml:space="preserve">: </w:t>
      </w:r>
      <w:r>
        <w:rPr>
          <w:rtl w:val="true"/>
        </w:rPr>
        <w:t>الروايات الدالّة على اشتراط العدالة</w:t>
      </w:r>
      <w:bookmarkEnd w:id="432"/>
    </w:p>
    <w:p>
      <w:pPr>
        <w:pStyle w:val="BookText"/>
        <w:rPr/>
      </w:pPr>
      <w:r>
        <w:rPr>
          <w:rFonts w:ascii="Amiri" w:hAnsi="Amiri" w:eastAsia="Amiri" w:cs="Amiri"/>
          <w:color w:val="111111"/>
          <w:sz w:val="28"/>
          <w:sz w:val="28"/>
          <w:szCs w:val="28"/>
          <w:rtl w:val="true"/>
          <w:lang w:bidi="ar-SA"/>
        </w:rPr>
        <w:t xml:space="preserve">ثمّة طائفة كثيرة من الأخبار المروّيّة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يستدلّ بها لإثبات اشتراط العدالة في ولي الأمر وإمام المسلمين</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نذكر ما هو الأهم منها سندًا ودلالة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سدير بن حكيم</w:t>
      </w:r>
    </w:p>
    <w:p>
      <w:pPr>
        <w:pStyle w:val="BookText"/>
        <w:rPr/>
      </w:pPr>
      <w:r>
        <w:rPr>
          <w:rFonts w:ascii="Amiri" w:hAnsi="Amiri" w:eastAsia="Amiri" w:cs="Amiri"/>
          <w:color w:val="111111"/>
          <w:sz w:val="28"/>
          <w:sz w:val="28"/>
          <w:szCs w:val="28"/>
          <w:rtl w:val="true"/>
          <w:lang w:bidi="ar-SA"/>
        </w:rPr>
        <w:t xml:space="preserve">رواها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عن على بن إبراهيم عن صالح بن السندي عن جعفر بن بشير عن حنّان عن أبيه عن أبي جعفر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تصلح الإمامة إلا لرجلٍ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وحلم يملك به غضبه، وحسن الولاية على من يلي حتى يكون لهم كالوالد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يكون للرعية كالأب الرحيم</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بحكم هذه الرواية الإمامة مشروطة بالورع الذي يحجز عن معاصي الله، ثانياً إنّ المراد من الإمامة المذكورة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ولاية أمر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إمامة المسلمين مشروطة بالورع، والورع عبارة أخرى عن العدالة؛ لأنّ الورع هو الاجتناب عن المعاصي، وبما أنّ ترك الواجب أيضًا من المعاصي فالورع والعدالة يتصادقان على معنى واحد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الورع أخصّ من العدالة، فإنّ الوَرِع هو من اتقى الشبهات وترك الحرام مخافة الوقوع في الحرام،</w:t>
      </w:r>
      <w:r>
        <w:rPr>
          <w:rStyle w:val="FootnoteAnchor"/>
          <w:rtl w:val="true"/>
        </w:rPr>
        <w:footnoteReference w:id="187"/>
      </w:r>
      <w:r>
        <w:rPr>
          <w:rFonts w:ascii="Amiri" w:hAnsi="Amiri" w:eastAsia="Amiri" w:cs="Amiri"/>
          <w:color w:val="111111"/>
          <w:sz w:val="28"/>
          <w:sz w:val="28"/>
          <w:szCs w:val="28"/>
          <w:rtl w:val="true"/>
          <w:lang w:bidi="ar-SA"/>
        </w:rPr>
        <w:t>فالإمامة مشروطة بالورع، وتحقّق الورع يتوقّف على اجتناب المعاصي، ومضافًا إليه على اجتناب الشبهات في موارد احتمال الوقوع في الحرام؛ وبناء عليه لا تكفي العدالة بل المطلوب هو مرتبة أعلى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نهج البلاغة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 أَنَّهُ لَا يَنْبَغِي أنْ يَكُونَ الوالي عَلَى الْفُرُوجِ وَالدِّمَاءِ والْمَغَانِمِ وَالْأحكام وَإمامةِ الْمُسْلِمِينَ الْبَخِيلُ، فَتَكُونَ فِي أَمْوَالِهِمْ نَهْمَتُهُ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الْجَاهِلُ فَيُضِلَّهُمْ بِجَهْلِهِ، وَلَا الْجَافِي فَيَقْطَعَهُمْ بِجَفَائِهِ، وَلَا الْحَائِفُ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لِلدُّوَلِ فَيَتَّخِذَ قَوْماً دُونَ قَوْمٍ، وَلَاالْمُرْتَشِي فِي الْحُكْمِ فَيَذْهَبَ بِالْحُقُوقِ، وَيَقِفَ بِهَا دُونَ الْمَقَاطِعِ، والمعطل لِلسُّنَّةِ فَيُهْلِكَ الْأُمَّةَ</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وزاد عليه في تمام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الباغي فيدحض الحقّ ولا الفاسق فيشين الشرع</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العبارة من خطبة طويلة ألقاها قبل أيامٍ من استشهاده يصف فيها إمام الحق ويذكر أنّ مثل معاوية لا يجوز أن يكون أميناً على الدماء والأحكام والفروج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ذيلها يتعرّض للشروط المعتبرة في الإمامة يُستفاد منها اعتبار العلم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العلم فقد مرّ البحث عن اعتباره، وأمّا الوجه في استفادة اشتراط العدالة في الإمام من هذه الخطبة فهو أنّه مضافاً إلى التصريح باعتبار خلوّ الإمام عن الفسق على ما في نسخة تمام نهج البلاغة؛ فلأنّ الإمام في هذه الخطبة يذكر في هذه الخطبة عددًا من الصفات السلبية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والجافي والحائف للدول والمرتشي والمعطّل للسنّة، ويُستفاد من كلام الإمام أنّ أصحاب هذه الصفات لا تجوز إمامتهم؛ وذلك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البخيل يشبع نهمه</w:t>
      </w:r>
      <w:r>
        <w:rPr>
          <w:rStyle w:val="FootnoteAnchor"/>
          <w:rtl w:val="true"/>
        </w:rPr>
        <w:footnoteReference w:id="190"/>
      </w:r>
      <w:r>
        <w:rPr>
          <w:rFonts w:ascii="Amiri" w:hAnsi="Amiri" w:eastAsia="Amiri" w:cs="Amiri"/>
          <w:color w:val="111111"/>
          <w:sz w:val="28"/>
          <w:sz w:val="28"/>
          <w:szCs w:val="28"/>
          <w:rtl w:val="true"/>
          <w:lang w:bidi="ar-SA"/>
        </w:rPr>
        <w:t xml:space="preserve">ويقضي شهوته من أموال الناس؛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الجافي</w:t>
      </w:r>
      <w:r>
        <w:rPr>
          <w:rStyle w:val="FootnoteAnchor"/>
          <w:rtl w:val="true"/>
        </w:rPr>
        <w:footnoteReference w:id="191"/>
      </w:r>
      <w:r>
        <w:rPr>
          <w:rFonts w:ascii="Amiri" w:hAnsi="Amiri" w:eastAsia="Amiri" w:cs="Amiri"/>
          <w:color w:val="111111"/>
          <w:sz w:val="28"/>
          <w:sz w:val="28"/>
          <w:szCs w:val="28"/>
          <w:rtl w:val="true"/>
          <w:lang w:bidi="ar-SA"/>
        </w:rPr>
        <w:t xml:space="preserve">يطرد الناس ويقطعهم ويوجب الكراهية والنفور بأخلاقه السيئة؛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الحائف للدول</w:t>
      </w:r>
      <w:r>
        <w:rPr>
          <w:rStyle w:val="FootnoteAnchor"/>
          <w:rtl w:val="true"/>
        </w:rPr>
        <w:footnoteReference w:id="192"/>
      </w:r>
      <w:r>
        <w:rPr>
          <w:rFonts w:ascii="Amiri" w:hAnsi="Amiri" w:eastAsia="Amiri" w:cs="Amiri"/>
          <w:color w:val="111111"/>
          <w:sz w:val="28"/>
          <w:sz w:val="28"/>
          <w:szCs w:val="28"/>
          <w:rtl w:val="true"/>
          <w:lang w:bidi="ar-SA"/>
        </w:rPr>
        <w:t xml:space="preserve">بسبب حيفه وظلمه في أموال الناس يوجب التحيز لهذا على حساب ذلك والمحاباة لأشخاص دون </w:t>
      </w:r>
    </w:p>
    <w:p>
      <w:pPr>
        <w:pStyle w:val="BookText"/>
        <w:rPr/>
      </w:pPr>
      <w:r>
        <w:rPr>
          <w:rFonts w:ascii="Amiri" w:hAnsi="Amiri" w:eastAsia="Amiri" w:cs="Amiri"/>
          <w:color w:val="111111"/>
          <w:sz w:val="28"/>
          <w:sz w:val="28"/>
          <w:szCs w:val="28"/>
          <w:rtl w:val="true"/>
          <w:lang w:bidi="ar-SA"/>
        </w:rPr>
        <w:t xml:space="preserve">آخرين؛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الآخذ للرشوة في الحكم يحكم بغير الحق فيوجب الظلم وإذهاب الحقوق؛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المعطّل للسنّة يسبّب تعطيل الشريعة والأحكام المبنيّة في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نفسه ومنعه الناس عن العملبها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الفسق هو الجامع لهذه الخصال السيئة والأوصاف الرديئة فكأنه إجمال لتفصيلها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لقائل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يرتكب هذه الأعمال الشنيعة والدنيئة المذكورة في الحديث كلّ فاسق ما لم يهبط في دركات الفسق وما لم يتنزّل العاصي إلى مراحل من الفسق الموجبة للطغيان والبعد الشاسع والغفلة التامّة عن ذكر الله الموجب لهذه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تعطيل السنة والمنع عنها وحيف الأموال والجفاء والجور بين الناس أيضًا تعدّ من أكبر الكبائر، والرواية إنّما تمنع عن إمامة هؤلاء الفسّاق دون سائر الفسّاق الذين لا يرتكبون هذه الكبائر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تحف العقول</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سأله سائل عن جهات معايش العباد التي فيها الاكتساب ذكر أربع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ثم التجارة ثم الصناعات ثم الإجارات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فبدأ بتفسير الولاية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فإحدى الجهتين من الولاية ولاية ولاة العدل الذين أمر الله بولايتهم وتوليتهم على الناس، وولاية ولاته وولاة إلى ولاته أدناهم بابًا من أبواب الولاية على من هو والٍ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والجهة الأخرى من الولاية ولاية ولاة الجور وولاة ولاته إلى أدناهم بابا من الأبواب التي هو والٍ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الحلال من الولاية ولاية الوالي العادل الذي أمر الله بمعرفته وولايته، والعمل له في ولايته وولاية ولاته وولاة ولاته، بجهة ما أمر الله به الوالي العادل بلا زيادة في ما أنزل الله به ولا نقصان منه ولا تحريف لقوله ولا تعدٍّ لأمره إلى غيره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وجه الحرام من الولاية فولاية الوالي الجائر وولاية ولاته، الرئيس منهم وأتباع الوالي فمن دونه من ولاة الولاة إلى أدناهم بابًا من أبواب </w:t>
      </w:r>
    </w:p>
    <w:p>
      <w:pPr>
        <w:pStyle w:val="BookText"/>
        <w:rPr/>
      </w:pPr>
      <w:r>
        <w:rPr>
          <w:rFonts w:ascii="Amiri" w:hAnsi="Amiri" w:eastAsia="Amiri" w:cs="Amiri"/>
          <w:color w:val="111111"/>
          <w:sz w:val="28"/>
          <w:sz w:val="28"/>
          <w:szCs w:val="28"/>
          <w:rtl w:val="true"/>
          <w:lang w:bidi="ar-SA"/>
        </w:rPr>
        <w:t>الولاية على من هو والٍ عليه، والعمل لهم والكسب معهم بجهة الولاية لهم حرام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يتوقّف تقريب الاستدلال على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تدلّ بوضوح على أن الولاية في الشريعة الغرّاء في تمام مراحلها من المرتبة العليا نزولًا إلى أدنى مراتبها مشروطةٌ بالعدالة؛ فلا شرعية لولاية الفاسق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ولاية الجور في الرواية جُعِلت في قبال ولاية العدل كمضادٍّ لها لا ثالث لهما، وبما أنّ الفسق أعمّ من الجور، وذلك أنّ الجائر هو الذي يعتدي على حقوق الناس ويظلمهم، أمّا الفاسق ربّما يرتكب بعض المعاصي الفردية التي لا توجب الجور والاعتداء على الآخرين كشرب الخمر وترك الصلاة والصوم، فليس كل فاسق جائر؛ فالرواية تدلّ على التنافي بين الجور وبين الولاية دون الفسق، ونفي الخاصّ لا يدلّ على نفي العامّ؛ فالرواية لا تدلّ على اعتبار العدالة بمعناها المصطلح المضادّ للفسق؛ بل تدلّ على اعتبار العدالة الاجتماعية في الولاية وهي الاجتناب عن ظلم الآخرين، وتضييع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القسم الثاني من الولاية أعني ولاية الجور قرينة لتفسير صدرها وتقييدها، وهي ولاية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هذا الاحتمال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والله العالم أنّ الأمر على العكس، وإن الصدر قرينة على تفسير الذيل وبيان معنى الجور، وذلك لوجود القرائن الآتية في الرواية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تفسير ولاية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بجهة ما أمر الله به الوالي العادل بلا زيادة ولا نقصان منه ولا تحريف لقوله، ولا تعدٍّ لأمره إلى </w:t>
      </w:r>
    </w:p>
    <w:p>
      <w:pPr>
        <w:pStyle w:val="BookText"/>
        <w:rPr/>
      </w:pPr>
      <w:r>
        <w:rPr>
          <w:rFonts w:ascii="Amiri" w:hAnsi="Amiri" w:eastAsia="Amiri" w:cs="Amiri"/>
          <w:color w:val="111111"/>
          <w:sz w:val="28"/>
          <w:sz w:val="28"/>
          <w:szCs w:val="28"/>
          <w:rtl w:val="true"/>
          <w:lang w:bidi="ar-SA"/>
        </w:rPr>
        <w:t>غيره؛ فإذا صار الوالي واليَ عدلٍ بهذه الجهة؛ فالولاية له والعمل معه ومعونته في ولايته وتقويته حلال محلّل، وحلال الكسب معهم وذلك أنّ في ولاية والي العدل وولاته إحياء كلّ حق وكلّ عدل وإماتة كل ظلم وجور وفساد؛ فلذلك كان الساعي في تقوية سلطانه والمعين له على ولايته ساعياً إلى طاعة الله مقوّيا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أن هذه العبارات الساطعة الوهّاجة تدلّ على مانعية الفسق في الوالي وضرورة خلوّه منهن واجتنابه أي معصية من المعاصي، وتحرّزه عن مخالفة أي أمر من الأوامر الإلهية، فإنّ هذه البرامج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 ما أمر الله به الوالي بلا زيادة ونقصان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الأغراض والنتائج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إحياء كل عدل وإماتة كل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يتوقع إتيانها وتحققها من الفاسق الجائر مع نفسه، ولو لم يكن جائراً في تصرفاته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ضمن تفسير ولاية 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ولاية الوالي الجائر دروس الحق، وإحياء الباطل كلّه وإظهار الظلم والجور والفساد، وإبطال الكتب وقتل الأنبياء والمؤمنين وهدم المساجد وتبديل سنّة الله وشرائعه، فلذلك حرّم العمل معهم ومعونتهم والكسب معهم، إلا بجهة الضرورة نظير الضرورة إلى الدم والميتة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أيضًا أنّ هذه العبارات الساطعة تدلّ على أن فسق الوالي وجوره مع نفسه وإن لم يكن جائراً بالنسبة إلى غيره باعثاً وموجباً لإتيان هذه الأعمال السيئة الكريهة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تدلّ على اعتبار العدالة في مراتبها العالية والإيمان الشديد والتقوى الكاملة للولاية على حسب درجاتها ومراتبها لهداية المجتمع الإسلامي، وأخذه في سبيل الرشد والكمال وصولًا إلى أعلى مراتب السعادة والتقرّب إلى الله جلّ وعلا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تبيّن وتفسّر بالصراحة جميع أقسام الولايات العادلة والجائرة في جميع مراتبها، فلا تختصّ بولاية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p>
    <w:p>
      <w:pPr>
        <w:pStyle w:val="BookText"/>
        <w:rPr/>
      </w:pPr>
      <w:r>
        <w:rPr>
          <w:rFonts w:ascii="Amiri" w:hAnsi="Amiri" w:eastAsia="Amiri" w:cs="Amiri"/>
          <w:color w:val="111111"/>
          <w:sz w:val="28"/>
          <w:sz w:val="28"/>
          <w:szCs w:val="28"/>
          <w:rtl w:val="true"/>
          <w:lang w:bidi="ar-SA"/>
        </w:rPr>
        <w:t>دلالتها على المقام ومحلّ البحث، أعني ولاية الأمر في عصر الغيبة وزمن الحرمان من الإمام المعصوم أيضًا، واضحة لا غبار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وإن كانت مرسلةً؛ ولكنّ متانة النصّ وقوّة المضمون تجعلها بحيث تفوح منها آثار الصدق والحقيقة، وذلك لأنّ مثلها لا يصدر عن غير المعصوم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يا محمد مَن أصبح من هذه الأمّة لا إمام له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عادلاً؛ أصبح ضالّاً تائهًا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على هذه الحالة مات ميتة كفر ونفاق</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توضيح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الحديث على أن من لم يكن له إمام عادل فقد أصبح ضالّاً تائهاً، وإن مات مات على حال الكفر أو النفاق؛ فيدلّ على لزوم ائتمام كل إنسان بإمام، والعدالة من الصفات التي تذكرها هذه الرواية للإمام المطلوب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الحديث والتأمّل في جميع فقراته، يدلّ على أنه في مقام بيان إمامة الإمام المعصوم، ومنزلته ودوره في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 الأدنى أن يُطرح هذا المعنى كاحتمال في الرواية، وعليه يكون الاستدلال به على شروط الوليّ في زمن الغيبة محلّ شكّ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حبيب السجستاني</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لأعذبنّ كلّ رعية في الإسلام دانت بولاية كلّ إمام جائر ليس من الله؛ وإن كانت الرعية في أعمالها برّة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ولأعفونّ عن كلّ رعية في الإسلام دانت بولاية كلّ إمام عادل من الله؛ وإن كانت الرعية في أنفسها ظالمة مسيئة</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والكلام في بيان وجه الاستدلال والإشكال عليه كما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أبي يعفور</w:t>
      </w:r>
    </w:p>
    <w:p>
      <w:pPr>
        <w:pStyle w:val="BookText"/>
        <w:rPr/>
      </w:pPr>
      <w:r>
        <w:rPr>
          <w:rFonts w:ascii="Amiri" w:hAnsi="Amiri" w:eastAsia="Amiri" w:cs="Amiri"/>
          <w:color w:val="111111"/>
          <w:sz w:val="28"/>
          <w:sz w:val="28"/>
          <w:szCs w:val="28"/>
          <w:rtl w:val="true"/>
          <w:lang w:bidi="ar-SA"/>
        </w:rPr>
        <w:t>عن أبي عبد الله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دانَ اللهَ بولاية إمامٍ جائر ليس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عتب على من دان بولاية إمام عادل من الله</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وهذه الرواية أيضًا الكلام فيها والاعتراض عليها كسابقتها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أخرى في نهج البلاغة</w:t>
      </w:r>
    </w:p>
    <w:p>
      <w:pPr>
        <w:pStyle w:val="BookText"/>
        <w:rPr/>
      </w:pPr>
      <w:r>
        <w:rPr>
          <w:rFonts w:ascii="Amiri" w:hAnsi="Amiri" w:eastAsia="Amiri" w:cs="Amiri"/>
          <w:color w:val="111111"/>
          <w:sz w:val="28"/>
          <w:sz w:val="28"/>
          <w:szCs w:val="28"/>
          <w:rtl w:val="true"/>
          <w:lang w:bidi="ar-SA"/>
        </w:rPr>
        <w:t>من كتابه الطويل الذي أمر أن يُقرأ على الناس كل يوم 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ولكنّني آسي أن يلي أمر هذه الأمّة سفهاؤها وفجّارها، فيتّخذوا مال الله دُوَلا وعباده خَوَلا والصالحين حَرْباً</w:t>
      </w:r>
      <w:r>
        <w:rPr>
          <w:rStyle w:val="FootnoteAnchor"/>
          <w:rtl w:val="true"/>
        </w:rPr>
        <w:footnoteReference w:id="197"/>
      </w:r>
      <w:r>
        <w:rPr>
          <w:rFonts w:ascii="Amiri" w:hAnsi="Amiri" w:eastAsia="Amiri" w:cs="Amiri"/>
          <w:color w:val="111111"/>
          <w:sz w:val="28"/>
          <w:sz w:val="28"/>
          <w:szCs w:val="28"/>
          <w:rtl w:val="true"/>
          <w:lang w:bidi="ar-SA"/>
        </w:rPr>
        <w:t>والفاسقين حزباً</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بيان وجه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يكشف الإمام في هذه الكلمة عن حزنه من أن يلي أمر الأمّة السفهاء والفجّار؛ لما يعرفه من عواقب هذا الأمر والمصائب العظيمة المترتبة عليه؛ فإنّ ولاية الفجّار والسفهاء تذهب بمقدّرات المجتمع الإسلامي إلى المهالك والمفاسد التي لا نهاية لها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سبعة أحاديث أخذناها من مجموعة من الروايات الكثيرة المستدلّ بها لإثبات اشتراط العدالة في وليّ الأمر، وهذه السبعة وإن كان بعضها لا يخلو من المناقشة؛ ولكن في المجموع لا بأس بالاستناد إليها من تمامية بعضها سندًا ودلالة وجبر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ما ذكرناه من دليل العقل وما تلوناه من آيات الذكر الحكيم يكفي لإثبات المطلوب على أن المسألة من المسائل المجمع عليها عند الخاصّة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فلنبدأ في بعض المسائل المتفرّعة على هذا الأصل</w:t>
      </w:r>
      <w:r>
        <w:rPr>
          <w:rFonts w:eastAsia="Amiri" w:cs="Amiri" w:ascii="Amiri" w:hAnsi="Amiri"/>
          <w:color w:val="111111"/>
          <w:sz w:val="28"/>
          <w:szCs w:val="28"/>
          <w:rtl w:val="true"/>
          <w:lang w:bidi="ar-SA"/>
        </w:rPr>
        <w:t xml:space="preserve">. </w:t>
      </w:r>
      <w:bookmarkStart w:id="433" w:name="pg8686_123835"/>
    </w:p>
    <w:p>
      <w:pPr>
        <w:pStyle w:val="Heading4"/>
        <w:numPr>
          <w:ilvl w:val="3"/>
          <w:numId w:val="1"/>
        </w:numPr>
        <w:rPr/>
      </w:pPr>
      <w:bookmarkStart w:id="434" w:name="__RefHeading___Toc2517582_653776707"/>
      <w:bookmarkStart w:id="435" w:name="_Toc167"/>
      <w:bookmarkEnd w:id="433"/>
      <w:bookmarkEnd w:id="434"/>
      <w:r>
        <w:rPr>
          <w:rtl w:val="true"/>
        </w:rPr>
        <w:t>المسألة الرابعة</w:t>
      </w:r>
      <w:r>
        <w:rPr>
          <w:rtl w:val="true"/>
        </w:rPr>
        <w:t xml:space="preserve">: </w:t>
      </w:r>
      <w:r>
        <w:rPr>
          <w:rtl w:val="true"/>
        </w:rPr>
        <w:t>في تعريف العدالة</w:t>
      </w:r>
      <w:bookmarkEnd w:id="435"/>
    </w:p>
    <w:p>
      <w:pPr>
        <w:pStyle w:val="Heading5"/>
        <w:numPr>
          <w:ilvl w:val="4"/>
          <w:numId w:val="1"/>
        </w:numPr>
        <w:rPr/>
      </w:pPr>
      <w:bookmarkStart w:id="436" w:name="__RefHeading___Toc2517584_653776707"/>
      <w:bookmarkStart w:id="437" w:name="_Toc168"/>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تشترط الشريعة الإسلامية العدالة في عددٍ من الأشخاص المرشّحين لتولّي بعض المناصب أو التصدّي لبعض المهام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المناصب أو المهام المشروطة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والقضاء والشهادة وإمامة الجماعة ومنها إمامة المسلمين وولاية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يستدعي البحث في تعريف العدالة، وهنا أمران</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2517586_653776707"/>
      <w:bookmarkStart w:id="439" w:name="_Toc169"/>
      <w:bookmarkEnd w:id="438"/>
      <w:r>
        <w:rPr>
          <w:rtl w:val="true"/>
        </w:rPr>
        <w:t>الأول</w:t>
      </w:r>
      <w:r>
        <w:rPr>
          <w:rtl w:val="true"/>
        </w:rPr>
        <w:t xml:space="preserve">: </w:t>
      </w:r>
      <w:r>
        <w:rPr>
          <w:rtl w:val="true"/>
        </w:rPr>
        <w:t>العدالة في اللغة والاصطلاح</w:t>
      </w:r>
      <w:r>
        <w:rPr>
          <w:rtl w:val="true"/>
        </w:rPr>
        <w:t>:</w:t>
      </w:r>
      <w:bookmarkEnd w:id="439"/>
    </w:p>
    <w:p>
      <w:pPr>
        <w:pStyle w:val="BookText"/>
        <w:rPr/>
      </w:pPr>
      <w:r>
        <w:rPr>
          <w:rFonts w:ascii="Amiri" w:hAnsi="Amiri" w:eastAsia="Amiri" w:cs="Amiri"/>
          <w:color w:val="111111"/>
          <w:sz w:val="28"/>
          <w:sz w:val="28"/>
          <w:szCs w:val="28"/>
          <w:rtl w:val="true"/>
          <w:lang w:bidi="ar-SA"/>
        </w:rPr>
        <w:t>العدالة في اللغة من العدل وهي مصدر بمعنى الاستقامة أو الاستواء كما عن الروضة البهية وجامع المقاصد ومجمع الفائدة والمبسوط والسرائر وكشف اللثام وغيرهم، وليست من عدل بمعنى زاغ ومال فإنه متعدٍ بِمنْ وإلى</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ثم إنّ العدالة لم تثبت أنّ وضعًا شرعيًّا خاصًّا أو متشرّعيًّا، وإنما هي على حسب معناها اللغوي والعرفي تستعمل في الآيات القرآنية والروايات أعني الاستقامة وعدم الاعوجاج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تَعْدِلُوا فَوَاحِدَةً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تَسْتَطِيعُوا أن تَعْدِلُوا بَيْنَ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ذَوَى عَدْلٍ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40" w:name="pg8686_123839"/>
    </w:p>
    <w:p>
      <w:pPr>
        <w:pStyle w:val="BookText"/>
        <w:rPr/>
      </w:pPr>
      <w:bookmarkEnd w:id="440"/>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يَأْمُرُ بِالْعَدْلِ وَالإِحْسَانِ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فالعادل عرفاَ ولغةً هو المستقيم الذي لا يميل شمالاً ولا 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الشخص الثابت على الدوام، في طريق الإيمان بالله، وسلوك طريق الآخرة، والسعي للتقرّب إلى الله تعالى، بحيث تكون العدالة صفة نفسانية وملكة وكيفية وحالة وهيئة نفسانية تدفعه إلى الالتزام بإتيان الواجبات واجتناب المحرّمات، وليست صفة للعمل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وإن ذكرت للعدالة في المصطلح الفقهي تعريفات مختلفة؛ ولكن أصل هذه التعريفات مصطادة من مفهومها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اشتهر بين العلماء تعريفها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عبارة عن ملكة راسخة باعثة على ملازمة التقوى، من ترك المحرمات وفعل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بدّلوا كلمة الملكة، بالكيفية أو بالحالة أو بالهيئة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النتيجة واحدة ولعلّ المراد واحد</w:t>
      </w:r>
      <w:r>
        <w:rPr>
          <w:rFonts w:eastAsia="Amiri" w:cs="Amiri" w:ascii="Amiri" w:hAnsi="Amiri"/>
          <w:color w:val="111111"/>
          <w:sz w:val="28"/>
          <w:szCs w:val="28"/>
          <w:rtl w:val="true"/>
          <w:lang w:bidi="ar-SA"/>
        </w:rPr>
        <w:t>.</w:t>
      </w:r>
      <w:r>
        <w:rPr>
          <w:rStyle w:val="FootnoteAnchor"/>
          <w:rtl w:val="true"/>
        </w:rPr>
        <w:footnoteReference w:id="200"/>
      </w:r>
    </w:p>
    <w:p>
      <w:pPr>
        <w:pStyle w:val="Heading5"/>
        <w:numPr>
          <w:ilvl w:val="4"/>
          <w:numId w:val="1"/>
        </w:numPr>
        <w:rPr/>
      </w:pPr>
      <w:bookmarkStart w:id="441" w:name="__RefHeading___Toc2517588_653776707"/>
      <w:bookmarkStart w:id="442" w:name="_Toc170"/>
      <w:bookmarkEnd w:id="441"/>
      <w:r>
        <w:rPr>
          <w:rtl w:val="true"/>
        </w:rPr>
        <w:t>الثاني</w:t>
      </w:r>
      <w:r>
        <w:rPr>
          <w:rtl w:val="true"/>
        </w:rPr>
        <w:t xml:space="preserve">: </w:t>
      </w:r>
      <w:r>
        <w:rPr>
          <w:rtl w:val="true"/>
        </w:rPr>
        <w:t>فلسفة اشتراط العدالة في المناصب الاجتماعية</w:t>
      </w:r>
      <w:bookmarkEnd w:id="44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الغرض الأساس لتشريع اشتراط العدالة، وسرّ الحاجة إليها شرطاً في المناصب المختلفة، كما نصّ عليه السيد الطباطبايي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سدّ حاجة المجتمع إليها؛ فإنّ للعدالة والاتّصاف بها قيمةٌ عظيمةٌ في المجتمع لا بديل لها، فإنّ الناس على حاجة ملحّة في حياتهم الجماعية إلى أفراد يُوثق بسلوكهم الاجتماعي، ويكونون متلبسين بالاعتدال في الأمور، والاحتراز عن الاسترسال في نقض القوانين، ومخالفة السنن والآداب الجارية؛ لتفوّض إليهم الأمور المهمة من التصرف في الأموال والأنفس، وأخذ القرارات والحكم بين الناس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إلى كل مجتمع ومن المعلوم أنّه في المجتمع الإسلامي لا تُسَدّ هذه الحاجات، إلا إذا كان المشترط فيه هذا الشرط يعمل بحسب قواعد </w:t>
      </w:r>
      <w:bookmarkStart w:id="443" w:name="pg8686_123843"/>
    </w:p>
    <w:p>
      <w:pPr>
        <w:pStyle w:val="BookText"/>
        <w:rPr/>
      </w:pPr>
      <w:bookmarkEnd w:id="443"/>
      <w:r>
        <w:rPr>
          <w:rFonts w:ascii="Amiri" w:hAnsi="Amiri" w:eastAsia="Amiri" w:cs="Amiri"/>
          <w:color w:val="111111"/>
          <w:sz w:val="28"/>
          <w:sz w:val="28"/>
          <w:szCs w:val="28"/>
          <w:rtl w:val="true"/>
          <w:lang w:bidi="ar-SA"/>
        </w:rPr>
        <w:t>السلوك الإسلامي، وهو الذي يسمّى في علم الفقه بملكة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فالعدالة الفقهية المعتبرة هي الملكة أو الهيئة النفسانية الباعثة على فعل الواجبات والرادعة عن ارتكاب المعاصي</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2517590_653776707"/>
      <w:bookmarkStart w:id="445" w:name="_Toc171"/>
      <w:bookmarkEnd w:id="444"/>
      <w:r>
        <w:rPr>
          <w:rtl w:val="true"/>
        </w:rPr>
        <w:t>المسألة الخامسة</w:t>
      </w:r>
      <w:r>
        <w:rPr>
          <w:rtl w:val="true"/>
        </w:rPr>
        <w:t xml:space="preserve">: </w:t>
      </w:r>
      <w:r>
        <w:rPr>
          <w:rtl w:val="true"/>
        </w:rPr>
        <w:t>في مراتب العدالة</w:t>
      </w:r>
      <w:bookmarkEnd w:id="445"/>
    </w:p>
    <w:p>
      <w:pPr>
        <w:pStyle w:val="BookText"/>
        <w:rPr/>
      </w:pPr>
      <w:r>
        <w:rPr>
          <w:rFonts w:ascii="Amiri" w:hAnsi="Amiri" w:eastAsia="Amiri" w:cs="Amiri"/>
          <w:color w:val="111111"/>
          <w:sz w:val="28"/>
          <w:sz w:val="28"/>
          <w:szCs w:val="28"/>
          <w:rtl w:val="true"/>
          <w:lang w:bidi="ar-SA"/>
        </w:rPr>
        <w:t>ثمّ إنّ المعتبر في المناصب المذكورة كإمامة الجماعة والشهادة والقضاء وولاية الأمر هو الاتّصاف بهذا الوصف، وهذه الهيئة أو الملكة بحسب النظر والرأي العرفي لا بالدقّة العقلية، تختلف عن الملكة الراسخة حقيقةً المعتبرة في فنّ الأخلاق</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فمن هنا، يظهر ما في بعض الملاحظات التي تُوجّه إلى القائلين بالملكة، من أنها لا توجد إلا في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استبعد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وجودها في مثل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المعتبر هو تواجد هذه الهيئة والملكة النفسانية على حسبالرؤية العرفية وليس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يعبّر عنها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مراتب الملكة</w:t>
      </w:r>
      <w:r>
        <w:rPr>
          <w:rStyle w:val="FootnoteAnchor"/>
          <w:rtl w:val="true"/>
        </w:rPr>
        <w:footnoteReference w:id="202"/>
      </w:r>
      <w:r>
        <w:rPr>
          <w:rFonts w:ascii="Amiri" w:hAnsi="Amiri" w:eastAsia="Amiri" w:cs="Amiri"/>
          <w:color w:val="111111"/>
          <w:sz w:val="28"/>
          <w:sz w:val="28"/>
          <w:szCs w:val="28"/>
          <w:rtl w:val="true"/>
          <w:lang w:bidi="ar-SA"/>
        </w:rPr>
        <w:t>وهي التي يجد الإنسان بها مدافعة الهوى في أول الأمر، فلا يضرّ ببقاء العدالة والاتّصاف بالملكة ارتكاب المعصية في بعض الأحيان، لغلبة الشهوة والغضب، في ما إذا أقدم على التوبة فوراً بعد الارتكاب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عدم صدور المعصية عنه طيلة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السرّ لما حُكِي عن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يُعرِّف العدالة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بأنها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كون الرجل مباليًا بدينه؛ بحيث يبعثه تديّنه في العادة على فعل الواجبات وترك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التقييد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ما ذكرناه أعلاه من أنّ صدور المخالفة أحياناً، على خلاف ما تقتضيه العادة من قبيل أنّ الجواد قد يكبو، غير منافٍ للاتصاف</w:t>
      </w:r>
      <w:r>
        <w:rPr>
          <w:rFonts w:eastAsia="Amiri" w:cs="Amiri" w:ascii="Amiri" w:hAnsi="Amiri"/>
          <w:color w:val="111111"/>
          <w:sz w:val="28"/>
          <w:szCs w:val="28"/>
          <w:rtl w:val="true"/>
          <w:lang w:bidi="ar-SA"/>
        </w:rPr>
        <w:t>.</w:t>
      </w:r>
      <w:r>
        <w:rPr>
          <w:rStyle w:val="FootnoteAnchor"/>
          <w:rtl w:val="true"/>
        </w:rPr>
        <w:footnoteReference w:id="203"/>
      </w:r>
      <w:bookmarkStart w:id="446" w:name="pg8686_123846"/>
    </w:p>
    <w:p>
      <w:pPr>
        <w:pStyle w:val="BookText"/>
        <w:rPr/>
      </w:pPr>
      <w:bookmarkEnd w:id="446"/>
      <w:r>
        <w:rPr>
          <w:rFonts w:ascii="Amiri" w:hAnsi="Amiri" w:eastAsia="Amiri" w:cs="Amiri"/>
          <w:color w:val="111111"/>
          <w:sz w:val="28"/>
          <w:sz w:val="28"/>
          <w:szCs w:val="28"/>
          <w:rtl w:val="true"/>
          <w:lang w:bidi="ar-SA"/>
        </w:rPr>
        <w:t xml:space="preserve">وقد حُكِي عن أستاذ الكلّ،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حصول الملكة بالنسبة إلى كلّ المعاصي، بمعنى صعوبة الصدور لا استحالته، فإنّ العدالة ممّا تعمّ به البلوى وتكثر إليه الحاجات في العبادات والمعاملات والإيقاعات، فلو كان الأمر كما يقولون لزم الحرج واختلّ النظام؛ مع أنّ القطع حاصلٌ بأنّه في زمان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الأمر على هذا المنهج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يظهر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فرق بين ملكة العدالة والعصمة، وإن ما هو معتبر في العدالة هو الاستقامة النفسانية الحاصلة من خشية الله والإيمان به وبالآخرة؛ حيث يردعه ذلك عن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العبرة بكون تلك الحالة باعثة هو الحال المتعارف في آحاد الإنسان، دون حالة كماله فقد يتعرّض الإنسان لحالة لا يتمكن فيها من ضبط نفسه لقوّة قهر الشهوة والغضب وغلبتهما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على هذا المعنى وعلى هذا البيان لملكة العدالة يمكن حمل الجواب المحكي عن المحقق الاردبيلي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سأله أحدهم إذا ابتليَبامرأة مع استجماع جميع ما له دخل فی رغبة النفس رغبة إلى المعصية؟ فما 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الفعل ولم يشهد لنفسه بعدم التورّط في المعصية؛ بل أجاب بأنه يسأل الله أن لا يبتلينّه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عدم الوثوق بالنفس في مثل هذه الفروض الخارجة عن المتعارف لا يوجب عدم الملكة فيه؛ إذ مراتب الملكة في القوّة والضعف متفاوتة يتلو آخرها العصمة والمعتبر من العدالة أدنى المراتب</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وللكلام تفصيل ستأتي الإشارة إليه في المسألة التالية، إن شاء الله</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2517592_653776707"/>
      <w:bookmarkStart w:id="448" w:name="_Toc172"/>
      <w:bookmarkEnd w:id="447"/>
      <w:r>
        <w:rPr>
          <w:rtl w:val="true"/>
        </w:rPr>
        <w:t>المسألة السادسة</w:t>
      </w:r>
      <w:r>
        <w:rPr>
          <w:rtl w:val="true"/>
        </w:rPr>
        <w:t xml:space="preserve">: </w:t>
      </w:r>
      <w:r>
        <w:rPr>
          <w:rtl w:val="true"/>
        </w:rPr>
        <w:t>في العدالة المطلوبة في وليّ الأمر</w:t>
      </w:r>
      <w:bookmarkEnd w:id="448"/>
    </w:p>
    <w:p>
      <w:pPr>
        <w:pStyle w:val="Heading5"/>
        <w:numPr>
          <w:ilvl w:val="4"/>
          <w:numId w:val="1"/>
        </w:numPr>
        <w:rPr/>
      </w:pPr>
      <w:bookmarkStart w:id="449" w:name="__RefHeading___Toc2517594_653776707"/>
      <w:bookmarkStart w:id="450" w:name="_Toc173"/>
      <w:bookmarkEnd w:id="449"/>
      <w:r>
        <w:rPr>
          <w:rtl w:val="true"/>
        </w:rPr>
        <w:t>اشارة</w:t>
      </w:r>
      <w:bookmarkEnd w:id="45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الإذعان بأنّ العدالة حقيقة مشكّكة ذاتُ مراتب مختلفة، حسب درجات الإيمان وقوّة الخشية وشدّة المحبّة وضعفها، فلا شك في أنّ القدر المتيقّن من مرتبة العدالة اللازمة في مثل إمامة الجماعة وشهادة البينة هو أدني مراتبها، وأنّ تحقّق الغرض من تحمل المسؤولية في مثل إمامة الجماعة وأداء الشهادة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من المهمّ هاهنا أن نتعرّض للمرتبة اللازمة في المناصب الخطيرة المهمّة والحسّاسة من المناصب الاجتماعية كالقضاء والمرجعية وخاصّة العدالة اللازمة في الإمامة وولاية الأمر التي تحسب في ذروة السنام من المناصب، والتي تتحقّق بموجبها للوالي ووليّ الأمر الولاية على الأموال والنفوس ويباح له التصرف في جميع شؤون المجتمع، وبعد تحقق هذه السلطة الخطيرة العظيمة يحقّ له أن يتدخّل في شؤون المجتمع ويلزم الناس بما يراه هو من المصلحة، فما هي درجة العدالة والإيمان والخشية اللازمة لوليّ الأمر؛ ليستطيع أن يأخذ بزمام نفسه في ما إذا غلبت عليه قوّة الشهوة والغضب وليستطيع أن يلتزم بما هو واجب عليه شرعاً حينما يتسلّط على أريكه السلطة، وأن لا يخرج عن مسيرة الشريعة وسلوك الصراط المستقيم حينما يفتح له المجال ليعمل على حسب ما يروم؟ هل أدنى مراتب العدالةالكافية لإمامة المصلّين تكفي لإمامة المسلمين؛ أو أن هذا الموقع بحاجة إلى درجات عالية من مراتب العدالة؟</w:t>
      </w:r>
    </w:p>
    <w:p>
      <w:pPr>
        <w:pStyle w:val="BookText"/>
        <w:rPr/>
      </w:pPr>
      <w:r>
        <w:rPr>
          <w:rFonts w:ascii="Amiri" w:hAnsi="Amiri" w:eastAsia="Amiri" w:cs="Amiri"/>
          <w:color w:val="111111"/>
          <w:sz w:val="28"/>
          <w:sz w:val="28"/>
          <w:szCs w:val="28"/>
          <w:rtl w:val="true"/>
          <w:lang w:bidi="ar-SA"/>
        </w:rPr>
        <w:t xml:space="preserve">في مقام الجواب عن هذا السؤال بعضهم ذهب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ولي الأمر يجب عليه تكاليف كثيرة تقتضيها سمةُ ولاية أمره، فهو كأحد الأفراد من الرعايا يكلّف مثلهم بتكاليفهم من الواجبات والمحرمات ويزيد عليهم بتكاليف أخرى تقتضيها ولاية الأمر، كوجوب أمر الناس بالجهاد الابتدائيّ والدفاع ووجوب نصب القضاة المتّصفين بالشروط لحلّ المخاصمات وإجراء الحدود والتعزيرات إلى غير ذلك من تكاليف عديدة كثيرة، يكون ترك العمل بها من الكبائر، ولا محالة يكون تحقّق العدالة فيه بأن لا يرتكب كبيرة من الكبائر التي يتصوّر إتيانها من عامّة الناس، وبأن لا يرتكب أيضًا المعصية الكبيرة المتحقّقة بالنسبة إلى شخصه من جهة الوظائف التي يوظّف بها من حيث أنّه ولي الأمر</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وإن كان حقّاً موافقاً للصواب بلا شك؛ ولكنّ المسألة ليست في الحقيقة في كمّية الوظائف وعدد التكاليف، فإنّها لا تنحصر في عدد الواجبات، ولا تقف على حدّ التكاليف والمهام؛ حتّى يُقال إنّ تكاليف الوالي أكثر من </w:t>
      </w:r>
      <w:bookmarkStart w:id="451" w:name="pg8686_123853"/>
    </w:p>
    <w:p>
      <w:pPr>
        <w:pStyle w:val="BookText"/>
        <w:rPr/>
      </w:pPr>
      <w:bookmarkEnd w:id="451"/>
      <w:r>
        <w:rPr>
          <w:rFonts w:ascii="Amiri" w:hAnsi="Amiri" w:eastAsia="Amiri" w:cs="Amiri"/>
          <w:color w:val="111111"/>
          <w:sz w:val="28"/>
          <w:sz w:val="28"/>
          <w:szCs w:val="28"/>
          <w:rtl w:val="true"/>
          <w:lang w:bidi="ar-SA"/>
        </w:rPr>
        <w:t>تكاليف غيره ومهامّه أكثر من مهامّه؛ بل المسألة في الواقع ترتبط بشدّة الإيمان وقوّة الخشية الكامنة في حقيقة نفس الوالي الباعثة على العدالة الظاهرية، والالتزام بالأوامر والنواهي الموجبة لأداء المهام والتكاليف، والتخفّف من أعباء المسؤولية كما هو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فاختلاف العدالة المعتبرة في إمام الجماعة وإمام المسلمين، ليست في عدد الوظائف؛ بل المسألة لها ربط وثيق بأهمّية المنصب وخطورة الموقع والموقف، وكلّما كان الموقع والمنصب أهم وأخطر كان بحاجة إلى عدالة أشد وأقوى وأعلى؛ لأنّ الموقعالأعلى يولّد سلطة أعلى وهي توجب الفتنة والتعريض للمهالك المهمّة الخطيرة التي تحتاج إلى قوة روحية شديدة لمواجهة إغراءات السلطة وتجاوز تحدّياتها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السرّ في أن دستور الجمهورية الإسلامية في إيران في الشرط الثاني من المادّة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بشروط الوليّ ومواصفاته يصرّح بلزوم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العدالة والتقوى المطلوبتان لقيادة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من هذه العبارة أن العدالة المطلوبة للقيادة والإمامة تختلف عن العدالة اللازمة لتولّي سائر المهام والمسؤوليات كإمامة الجماعة فإنّ لهذا المنصب خطورة خاصّة به؛ بحيث لا يمكن لكلّ فردٍ أن يتحمّله ما لم يبلغ درجة من الثقة النفسانية في القلب والروح تساعده وتعينه على القيام بما هو 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فالمدّعى هو أنّ العدالة المعتبرة في إمامة المسلمين هي العدالة في أعلى درجاتها ومراتبها التي على حسب تعبير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تتلوها العصمة</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2517596_653776707"/>
      <w:bookmarkStart w:id="453" w:name="_Toc174"/>
      <w:bookmarkEnd w:id="452"/>
      <w:r>
        <w:rPr>
          <w:rtl w:val="true"/>
        </w:rPr>
        <w:t>والدليل على هذا المدّعى أمور</w:t>
      </w:r>
      <w:r>
        <w:rPr>
          <w:rtl w:val="true"/>
        </w:rPr>
        <w:t>:</w:t>
      </w:r>
      <w:bookmarkEnd w:id="45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العقل حينما يرى خطورة المسؤولية وأهمية المنصب يحكم بأن القائم بهذه المسؤولية يجب أن يتّصف بأوصاف نفسانية قوية يوثق معها بأنه قادرٌ على القيام بها ويستطيع أن يضبط الأمور كما هو حقها في سبيل السداد والصواب وهداية الأمور إلى ما هو صلاح الأمّة الإسلامية </w:t>
      </w:r>
    </w:p>
    <w:p>
      <w:pPr>
        <w:pStyle w:val="BookText"/>
        <w:rPr/>
      </w:pPr>
      <w:r>
        <w:rPr>
          <w:rFonts w:ascii="Amiri" w:hAnsi="Amiri" w:eastAsia="Amiri" w:cs="Amiri"/>
          <w:color w:val="111111"/>
          <w:sz w:val="28"/>
          <w:sz w:val="28"/>
          <w:szCs w:val="28"/>
          <w:rtl w:val="true"/>
          <w:lang w:bidi="ar-SA"/>
        </w:rPr>
        <w:t>وأمّا الضعيف في القوّة النفسانية العاجز عن ضبط النفس حينما يطرأ عليه حالة غليان القوّة الشهوية والغضبية يخرج عن الثبات والاستقامة على جادّة العدالة فهو عقلاً لا يجوز له أن يستلم المسؤولية، كما لا يجوز للآخرين أن يسمحوا له بتسليم المسؤولية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وبعيد أيضًا عن اللطف الإلهي والحكمة الإلهية الإذن له في التصرف في الأموال والنفوس والرضا بتسليطه على مقدّرات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الأدلة النقلية المذكورة أعلاه يؤيّد ما حكم به العقل من لزوم الدرجات العليا من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معتبرة سدير بن حكيم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تصلح الإمامة إلا لرجل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وحلم يملك به غضبه، وحسن الولاية على من يلي لهم كالوالد الرحيم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فإن هذه الخصائص وخاصّة الأولى منها وهي الورع، لا تتحقق في كل عادلٍ إذا كان في درجاتها العالية؛ بل الورع وهو المفسّر بالوقوف عند الشبهة والحلم الموجب للتملّك في ردّات الفعل عند الغضب، وحسن الولاية على من يلي بحاجة إلى ملكة نفسانية عالية قوية ولا تكفي لها العدالة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ذكره من نهج البلاغة من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يكون الوالي على الفروج والدماء البخيل والجافي ولا الحائف ولا المرتشي ولا المعطّل للسنة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كما ذكرنا هناك إن العدالة بمعناها العامّ لا تكفي لارتفاع هذه الأوصاف السلبية عن الوالي بحيث يكون بعيداً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خطورة هذا المنصب تستلزم درجات عالية من الإيمان والعدالة حتى تمنع الحاكم عن ركوب هذه الجرائم حينما يأخذ بزمام الحكم؛ فإنّ كثيراً من الناس توجد عندهم العدالة؛ ولكن كظاهرة بسيطة بمعناها المتعارف، ومثل هؤلاء الأشخاص تجدهم حين الفتنة </w:t>
      </w:r>
      <w:bookmarkStart w:id="454" w:name="pg8686_123859"/>
    </w:p>
    <w:p>
      <w:pPr>
        <w:pStyle w:val="BookText"/>
        <w:rPr/>
      </w:pPr>
      <w:bookmarkEnd w:id="454"/>
      <w:r>
        <w:rPr>
          <w:rFonts w:ascii="Amiri" w:hAnsi="Amiri" w:eastAsia="Amiri" w:cs="Amiri"/>
          <w:color w:val="111111"/>
          <w:sz w:val="28"/>
          <w:sz w:val="28"/>
          <w:szCs w:val="28"/>
          <w:rtl w:val="true"/>
          <w:lang w:bidi="ar-SA"/>
        </w:rPr>
        <w:t>والابتلاء وفوران الشهوة واشتعال الغضب لا يستطيعون ضبط أنفسهم؛ فكيف يمكن أن يضبطوا الأمّة على مسار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ذكره أيضًا من رواية 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الصفات المذكورة فيها كمهام وأغراض من ولاية الأمر، 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كل حق وكل عدل وإماتة كل ظلم وجور وفساد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فيها من مخاطر الولاية الجائرة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دروسالحق وإحياء الباطل كلّه، وإظهار الظلم والجور والفساد، وإبطال الكتب وقتل الأنبياء وهدم المساجد وتبديل سنّة الله وشرايعه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القيام بتلك الوظائف للوالي العادل والتحرّز عن هذه الأعمال الموبقة الموجودة في الوالي الجائر بحاجة إلى جبالٍ من الوثاقة النفسانية القوية وبحار من الإيمان وأضواءٍ من الخشوع والخشية والحبّ في الله؛ حتى يقوم بهذه الوظيفة وليس كل عادل بقادر على تحقيق هذه الأمور التي يثقل تحمّلها</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2517598_653776707"/>
      <w:bookmarkStart w:id="456" w:name="_Toc175"/>
      <w:bookmarkEnd w:id="455"/>
      <w:r>
        <w:rPr>
          <w:rtl w:val="true"/>
        </w:rPr>
        <w:t>المسألة الثامنة</w:t>
      </w:r>
      <w:r>
        <w:rPr>
          <w:rtl w:val="true"/>
        </w:rPr>
        <w:t xml:space="preserve">: </w:t>
      </w:r>
      <w:r>
        <w:rPr>
          <w:rtl w:val="true"/>
        </w:rPr>
        <w:t>في اعتبار عدم الإقبال إلى الدنيا والحرص عليها</w:t>
      </w:r>
      <w:bookmarkEnd w:id="456"/>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الأمور المهمة في البحث عن عدالة الإمام، البحث عن لزوم تجنّبه الحرص على الدنيا والإقبال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مشهور الفقهاء في ضمن بيان الشروط اللازمة لمرجعية التقليد ذكروا بعد اشتراط العدالة عدم كونه مقبلاً على الدنيا شرطاً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لا يكون مقبلاً على الدنيا، وطالباً لها مكبّاً عليها مجدّاً في تحصيلها</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تحرير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أن يكون المرجع للتقليد عالما مجتهدا </w:t>
      </w:r>
    </w:p>
    <w:p>
      <w:pPr>
        <w:pStyle w:val="BookText"/>
        <w:rPr/>
      </w:pPr>
      <w:r>
        <w:rPr>
          <w:rFonts w:ascii="Amiri" w:hAnsi="Amiri" w:eastAsia="Amiri" w:cs="Amiri"/>
          <w:color w:val="111111"/>
          <w:sz w:val="28"/>
          <w:sz w:val="28"/>
          <w:szCs w:val="28"/>
          <w:rtl w:val="true"/>
          <w:lang w:bidi="ar-SA"/>
        </w:rPr>
        <w:t xml:space="preserve">عادلاً ورعاً في دين الله؛ بل غير مكب على الدنيا، ولا حريصاً عليها وعلى تحصيلها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جاهاً ومالاً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فإن الظاهر ذكر هذا الشرط بعد العدالة، زائداً عليها يدلّ على أن العدالة العامّة اللازمة لمثل إمامة الجماعة لا تكفي للمرجعية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ربّما يُستشكل في اعتبار هذا الشرط زائداً على العدالة؛ بأن ما يستفاد من الأدلّة كرواية الاحتجاج المشهورة عن الإمام العسكري اعتبار مخالفة المرجع لهواه، فقط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الفقهاء صائناً لنفسه، حافظاً لدينه، مخالفاً لهواه،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فإن كان المراد من المخالفة للهوى في الحديث، هو المخالفة للهوى ولو في المباحات الشرعية، فلا وجه لاعتباره؛ وذلك لأمرين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اتصاف غير المعصوم به، أو صعوبته جدّاً؛ فلا يتيسّر إلا للأوحدي من الخواصّ، مثلما نُسِب إلى بعضهم أنّه ما ارتكب مباحاً طيلة حياته؛ بل كانت المباحات التي يقدم عليها، مقدّمة لأمرٍ راجح من واجبٍ أو مستحب؛ ولكن النادر ملحق بالمعدوم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اعتبار ذلك في المرجع؛ حيث إنّ الله كيف يحرّم ما أحلّه على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المراد من المخالفة للهوى مخالفته في ما نهى الشارع عنه من العصيان وارتكاب الإثم، فهذا عبارة أخرى عن العدالة ولا يكون شرطاً زائدا عليها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ما ذكره بعض من اعتبار الزهد أو الورع أو عدم الإقبال على الدنيا ونحوه في المرجع فلا دليل عليه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ولكن ردًّا على هذا الإشكال،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اشتراط المخالفة للهوى، لا الاحتمال الأول ولا الاحتمال الثاني؛ أما الأول فلأنّ ارتكاب المباحات في نفسه لا يعدّ عرفاً موافقة للهوى ولا اتّباعًا له، فلا تنافي بين مخالفة الهوى وبين ارتكاب المباحاتالمحلّلة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 الظاهر من الرواية والله العالم ليس المراد من الهوى المطلوب مخالفته، هو ارتكاب المعاصي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هناك احتمال ثالث في معنى الرواية يساعد عليه النظر العرفي، وهو أن يكون المراد من اعتبار المخالفة للهوى أن لا يكون الإنسان تابعاً لهواه وعبداً لكل ما تشتهيه النفس وتتلذّذ به، وإن كان من الأمور المشتبهة أو من الأمور الممهِّدة لارتكاب المعاصي التي تحسب من المباحات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فالإفراط فيها مذمومٌ واتّباع للهوى، كالأكول والنعوس والنّوام وغيرهم، فإنّ الأكل الكثير والنوم الكثير وكثرة الكلام في ما لا يعني وارتكاب هذه الأمور الذميمة وإن كان لا ينافي الإباحة ولا ينافي العدالة العامّة اللازمة لمثل إمامة الجماعة؛ ولكن مع ذلك فإنّ عدم التحرّز عن هذه الأمور لا يناسب منصب المرجعية ونحوها من المناصب 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الاجتناب عن هذه الأمور يعدّ اتّباعًا للهوى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وأمور أخرى أيضا كالسكن في القصور والمباني الواسعة جدًّا والجلوس على الأرائك والسّجادات الفاخرة وركوب السيارات الغالية الثمن، ولبس الألبسة الأنيفة غير الضرورية وإن لم يعدّ ذلك كلّه من ارتكاب المحرّمات؛ بل يعدّ من المباحات والأمور الجائزة لعامّة الناس؛ ولكن ارتكابها إذا كان خلاف العادة والشأن، وكان اشتغالًا بغير الضروريّ من الأمور فإنّه يُعدّ اتّباعًا للهوى، فهؤلاء تابعون للأهواء النفسانية وحريصون على الدنيا ومنكبّون عليها، ومشتهون لتحصيل الدنيا وكسب المال والجاه وغيرهما، فإنه وإن كانت بداية تحصيل هذه الأمور في دائرة الأمور الجائزة والمباحة؛ ولكن هذا الحرص والتبعية للهوى قد يدخله في ارتكاب الأمور المشتبهة، ثم قد يقوده بعد ذلك إلى ارتكاب الأمور المقدّمة للحرام ثم 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الاستدراج قد يضع نفسه في ورطة الهلكات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الأمور </w:t>
      </w:r>
    </w:p>
    <w:p>
      <w:pPr>
        <w:pStyle w:val="BookText"/>
        <w:rPr/>
      </w:pPr>
      <w:r>
        <w:rPr>
          <w:rFonts w:ascii="Amiri" w:hAnsi="Amiri" w:eastAsia="Amiri" w:cs="Amiri"/>
          <w:color w:val="111111"/>
          <w:sz w:val="28"/>
          <w:sz w:val="28"/>
          <w:szCs w:val="28"/>
          <w:rtl w:val="true"/>
          <w:lang w:bidi="ar-SA"/>
        </w:rPr>
        <w:t>تعدّ من مزلّات الأقدام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فالتابع للهوى والحريص على الدنيا والمقبل عليها أقرب شخص إلى الوقوع في ارتكاب المعاصي وإتيان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يظهر أن هذا الشرط المذكور للمرجعية إمّا هو أمرٌ زائدٌ على العدالة العامّة، أو على الأقلّ هو أمر يُتوقّع الاتّصاف به في المراتب العالية من العدالة وإن لم يُتوقّع في العدالة العامّة المعتبرة في مثل منصب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ما هو ضدّ للعدالة العامّة هو الفسق وارتكاب المعصية أو ترك الواجب، وليس المراد من اشتراط المخالفة للهوى هو التخلّي والتنزّه عن الفسق فقط؛ بل المراد منه هو اعتبار رعاية جانب الاحتياط والوقوف عند الشبهات في جميع التصرفات؛ وخاصّة في ما يرتبط بالتصرّف في الأموال، وما يرتبط بالجاه والشهرة؛ بحيث إنّ المتّصف به يصدق عليه عرفاً أنه غير حريص على الدنيا وغير مقبل أو مكبّ عليها، لا يريدها ولا يفتتن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المرجعية من المناصب الإلهية فشأن المرجع يختلف عن شؤون الآخرين؛ بل حتى إنّه يختلف عن منصب الجمعة والجماعة والمتوقّع منه غير المتوقّع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فالإقبال على الدنيا وزخارفها والجدّ في تحصيل المال والجاه، وإن كان قد لا ينافي العدالة المعتبرة في إمام الجماعة؛ ولكن هذه الأمور بحسب طبعها تجعل الإنسان وإن كان عادلاً في معرض الوقوع في المهالك، فإنه ليس ببعيد عن من يتّبع الهوى أن يصغي إلى الوساوس الشيطانية والتسويلات النفسانية، وأن يتورّط في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معتبر من العدالة في إمام الجماعة يختلف عن العدالة المعتبرة في مثل إمام الجمعة، وما يعتبر في إمام الجمعة يختلف عما يعتبر في مثل القاضي، وما يعتبر في مثل القاضي يختلف عما يعتبر في مثل المرجع وهكذا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إذا كان عدم الإقبال على الدنيا وعدم الحرص عليها شرطاً في المرجعية زائداً على العدالة العامّة المعتبرة في إمام الجماعة، فما هو الحكم بالنسبة إلى اشتراطها في ولاية الأمر في عصر الغيبة؟ والصواب لزوم اشترطها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في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الأولوية</w:t>
      </w:r>
    </w:p>
    <w:p>
      <w:pPr>
        <w:pStyle w:val="BookText"/>
        <w:rPr/>
      </w:pPr>
      <w:r>
        <w:rPr>
          <w:rFonts w:ascii="Amiri" w:hAnsi="Amiri" w:eastAsia="Amiri" w:cs="Amiri"/>
          <w:color w:val="111111"/>
          <w:sz w:val="28"/>
          <w:sz w:val="28"/>
          <w:szCs w:val="28"/>
          <w:rtl w:val="true"/>
          <w:lang w:bidi="ar-SA"/>
        </w:rPr>
        <w:t>إذا التزمنا باعتبار عدم الإقبال إلى الدنيا والحرص عليها للتصدّي لمنصب المرجعية؛ فلا ريب في أنّها أيضًا شرطٌ في منصب ولاية الأمر وإمامة الأمة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منصب الإمامة أخطر وأهمّ وأولى من منصب المرجعية، فما هو شرطٌ في المرجع هو شرط في الحاكم والإمام بشكل أعلى وأقوى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الحقيقة إنّ المرجعية الرائجة والمتعارفة عند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الإمامة، وليست خارجة عنها؛ فالأدلّة الدالّة على لزوم الورع وعدم الإقبال إلى الدنيا والحرص عليها وعدم كون المتولّي لهذا المنصب مجدًّا في تحصيل الدنيا وعدم كونه مكبّاً عليها، تدلّ على لزوم هذه الأمور أيضًا في الإمامة وقيادة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ونهج البلاغة عن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فَرَضَ عَلَى أَئِمَّةِ الْعَدْلِ أن يُقَدِّرُوا أَنْفُسَهُمْ بِضَعَفَةِ النَّاسِ، كَيْلَا يَتَبَيَّغَ</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بِالْفَقِيرِ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الكليني في الكافي عن علي بن محمّد عن صالح بن أبي حمّاد وعدّة من أصحابنا عن أحمد بن محمد وغيرهما بأسانيد مختلفة في بيان احتجاج أميرالمؤمنين على عاصم بن زياد حين لبس العباء وترك الملأ</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وشكاه أخوه الربيع بن زياد إلى أمير المؤمنين أنّه قد غمّ أهله وأحزن ولده بذلك فقال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بعاصم بن زياد فجيء به؛ فلمّا رآه عبس في وجهه،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استحييت من أهلك؟ أما رحمت ولدك؟</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أترى الله أحلّ لك الطيبات وهو يكره أن تأخذها، أنت أهون على الله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اقتصرت في مطعمك على الجشوبة وفي ملبسك على الخشونة؟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عَلَى أَئِمَّةِ الْعَدْلِ أن يُقَدِّرُوا أَنْفُسَهُمْ بِضَعَفَةِ النَّاسِ، كَيْلَا يَتَبَيَّغَ بِالْفَقِيرِ فَقْرُهُ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القصّة التاريخية المبيّنة لسيرة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الحكومة وسياسة الأمّة، تدلّ بوضوح على أن من فرائض الإمام لزوم البساطة في العيش، فيجب عليه أن يساوي نفسه في لباسه وطعامه بالضعفاء من الناس؛ كيلا يهلك الفقراء من الناس، فإنّهم إذا رأوا إمامهم بتلك الهيئة وبذلك المطعم كان أدعى لهم إلى السلوان عن لذّات الدنيا والصبر عن شهواتها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كان واجباً على إمام العدل السير بسيرة الفقراء والضعفاء، فبطريق أولى يجب عليه أن لا يكون مقبلاً على الدنيا ولا طالباً لها ولا مكبّاً عليها ولا مجدّاً في تحصيلها، ويجب أن يكون مجتنباً عن هذه الورطات والمهالك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مرويٌّ في نهج البلاغة من كتاب لأمير المؤمنين إلى عامله على البصرة عثمان بن حنيف الأنصاري، وهو من أجلّاء الصحابة ووجوههم، قديم الإسلام 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مشاهده، كما شهد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وصفين والنهروان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بلغه أنّه دُعِي إلى وليمةِ قومٍ من أهل البصرة فمضى إليها، فكتب إليه معاتباً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أنّ رَجُلاً مِنْ فِتْيَةِ أَهْلِ الْبَصْرَةِ دَعَاكَ إِلَى مَأْدُبَةٍ، فَأَسْرَعْتَ إليها تُسْتَطَابُ لَكَ الْأَلْوَانُ، وتُنْقَلُ إِلَيْكَ 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ظَنَنْتُ أَنَّكَ تُجِيبُ إِلَى طَعَامِ قَوْمٍ، عَائِلُهُمْ مَجْفُوٌّ، وغَنِيُّهُمْ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مَا تَقْضَمُهُ مِنْ </w:t>
      </w:r>
    </w:p>
    <w:p>
      <w:pPr>
        <w:pStyle w:val="BookText"/>
        <w:rPr/>
      </w:pPr>
      <w:r>
        <w:rPr>
          <w:rFonts w:ascii="Amiri" w:hAnsi="Amiri" w:eastAsia="Amiri" w:cs="Amiri"/>
          <w:color w:val="111111"/>
          <w:sz w:val="28"/>
          <w:sz w:val="28"/>
          <w:szCs w:val="28"/>
          <w:rtl w:val="true"/>
          <w:lang w:bidi="ar-SA"/>
        </w:rPr>
        <w:t>هذَا الْمَقْضَمِ، فَمَا اشْتَبَهَ عَلَيْكَعِلْمُهُ فَالْفِظْهُ، ومَا أَيْقَنْتَ بِطِيبِ وُجُوهِهِ فَنَلْ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لِكُلِّ مَأْمُومٍ إماماً، يَقْتَدِي بِهِ ويَسْتَضِي‌ءُ بِنُورِ عِلْمِهِ؛ أَلَا وَإِنَّ إمامكُمْ قَدِ اكْتَفى مِنْ دُنْيَاهُ بِطِمْرَيْهِ، وَمِنْ طُعْمِهِ بِقُرْصَيْهِ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وَإِنَّكُمْ لَا تَقْدِرُونَ عَلَى ذلِكَ، وَلكِنْ أَعِينُونِي بِوَرَعٍ وَاجْتِهَادٍ، وَعِفَّةٍ وَسَدَادٍ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كَنَزْتُ مِنْ دُنْيَاكُمْ تِبْراً، ولَا ادَّخَرْتُ مِنْ غَنَائِمِهَا وَفْراً، ولَا أَعْدَدْتُ لبالي ثَوْبِي طِمْراً، ولَا حُزْتُ مِنْ أَرْضِهَا شِبْراً، وَلَا أَخَذْتُ مِنْهُ إِلَّا كَقُوتِ أَتَان دَبِرَة،</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وَلَهِيَ فِي عَيْنِي أَوْهَى وَأَهْوَنُ مِنْ عَفْصَةٍ مَقِرَةٍ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أنّ قبول الدعوة إلى مائدة طعامٍ يُصنع فيها أصناف من الطعام يطيب أكلها في نفسه أمر جائز شرعاً، ولا تعدّ استجابة هذه الدعوةمن المعاصي والمحرّمات، ولكن يبدو من الكتاب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مثل هذا السلوك من واليه على البصرة، عثمان بن حنيف، بل كأنّ لزوم اجتنابه وعدم قبوله لهذه الدعوة كان بحدٍّ من الوضوح؛ استدعت المسارعة إلى العتاب وتفصيل القول والتحذير والوعظ والإرشاد، والمشكلة الأساس التي استدعت هذا كلّه هو ما أشار إليه الإمام في كتابه إلى عامله هو أنّ أصحاب الدعوة يقصرون دعوتهم على الأغنياء، ويجفون الفقراء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فالواجب على مثل ابن حنيف الذي ينوب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البصرة أن ينظر إلى ما يأكله ومن يستجيب له، فما يكون طعامًا متيقّن الطيب من كلّ الوجوه جاز له تناوله وأكله، ومن دعاه مع الفقراء إلى مائدته جاز له تلبية دعوته، ، أمّا الطعام الذي فيه شبهة الحرام من أيّ وجهٍ، أو المائدة التي لا تفرش إلّا للأغنياء دون الفقراء، فمثل هذا وهذه لا يجوز تناوله ولا تجوز تلبية الدعوة إليها،وهذه هي السيرة اللازممراعاتها لولاة العدل وأئمة المسملين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يجب عليهم رعاية جانب الفقراء والمساكين وذوي الحاجات في المأكل والملبس والمسكن والمركب وغيرها ورعاية مستواهم في هذه الأمور اقتداءً بأمير المؤمنين وسائر الأئمة الهداة المهديّين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 الأدنى من سيرتهم في هذه الأمور؛ وإلّا كما صرّح به الأمير أنّ غيره لا يقدرُ على تطبيق جزئيّات سلوكهم حرفًا بحرف؛ ولكنّ هذا لا يسقط الحدّ الأدنى من الورع وبذل الجهد في الاقتراب، ولا يسقط وجوب العفّة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أيضًا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جَعَلني إمامًا لِخَلَقه فعَرّض على التَقدِير فِي نَفسِي ومَطعَمِي ومَشرَبِي ومَلبَسي كضُعَفاء الناس كي يَقتَدي الفَقِير بِفَقرِي ولا يُطْغِيَ الْغَنِيَّ غِنَاهُ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في الشيخ الكليني عن محمد بن يحيى، عن أحمد بن محمد بن عيسى، عن ابن محبوب، عن حمّاد عن حميد وجابر العبدي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ورجال السند كلهم من الأجلّة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حُميد وجابر الجعفي الراويان للرواية مجهولان؛ ولكن ابن محبوب من أصحاب الإجماع على قولٍ فعليه الرواية معتبرة سنداً على أن جلالة الطريق واستفاضة المضمون وإتقان الکلام تکفي للاعتماد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إمامًا لخلقه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هي سبب جعل هذه الفريضة، فلا يختصّ هذا الحكم بأمير المؤمنين بل يشمل كل من يتصدّى لإمامة المسلمين ويأخذ بزمام أمرهم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 يدلّ الحديث على أن الإمام واجبٌ عليه التقدير والتضييق في جميع أموره الخاصّة به، بحيث لا يشبه أسلوب حياته أسلوب حياة المتكبرين المترفين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يظهر أن فرائض الإمام ووليّ الأمر تختلف عن سائر الناس فإنّ هناك كثيراً من الأمور المباحة والجائزة لغير الحاكم والوالي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الوالي اجتنابها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أنّ الاجتناب عن هذه الأمور بحاجة إلى قوّة نفسانية وملكة روحية عالية، وبيمن هذه القوى وبركتها يتحقّق الحدّ الأعلى من البعد عن الدنيا وتجنّب الانكباب عليها، وبالتالي لا تكفي العدالة المطلوبة في إمام الجماعة والقاضي، للإمام والوالي</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8686_123893"/>
      <w:bookmarkStart w:id="458" w:name="pg8686_123893"/>
      <w:bookmarkEnd w:id="458"/>
    </w:p>
    <w:p>
      <w:pPr>
        <w:pStyle w:val="Heading3"/>
        <w:numPr>
          <w:ilvl w:val="2"/>
          <w:numId w:val="1"/>
        </w:numPr>
        <w:rPr/>
      </w:pPr>
      <w:bookmarkStart w:id="459" w:name="pg8686_123893"/>
      <w:bookmarkStart w:id="460" w:name="__RefHeading___Toc2517600_653776707"/>
      <w:bookmarkStart w:id="461" w:name="_Toc176"/>
      <w:bookmarkEnd w:id="459"/>
      <w:bookmarkEnd w:id="460"/>
      <w:r>
        <w:rPr>
          <w:rtl w:val="true"/>
        </w:rPr>
        <w:t>الفصل الثالث</w:t>
      </w:r>
      <w:r>
        <w:rPr>
          <w:rtl w:val="true"/>
        </w:rPr>
        <w:t xml:space="preserve">: </w:t>
      </w:r>
      <w:r>
        <w:rPr>
          <w:rtl w:val="true"/>
        </w:rPr>
        <w:t>في شرطية الكفاءة وحسن الولاية</w:t>
      </w:r>
      <w:bookmarkEnd w:id="461"/>
    </w:p>
    <w:p>
      <w:pPr>
        <w:pStyle w:val="Heading4"/>
        <w:numPr>
          <w:ilvl w:val="3"/>
          <w:numId w:val="1"/>
        </w:numPr>
        <w:rPr/>
      </w:pPr>
      <w:bookmarkStart w:id="462" w:name="__RefHeading___Toc2517602_653776707"/>
      <w:bookmarkStart w:id="463" w:name="_Toc177"/>
      <w:bookmarkEnd w:id="462"/>
      <w:r>
        <w:rPr>
          <w:rtl w:val="true"/>
        </w:rPr>
        <w:t>اشارة</w:t>
      </w:r>
      <w:bookmarkEnd w:id="463"/>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بعد الفراغ عن اعتبار الفقاهة والعدالة في الإمامة وولاية الأمر في زمن قبض يد المعصوم وعصر الغيبة نصل إلى الشرط الثالث وهو الكفاية وحسن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شروط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والإسلام والعدالة والحرية والذكورة والعلم،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والكفاية وصحة الأعضاء</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ويشير السيد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الشرط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ومسألة الكفاءة داخلة في العلم بنطاقه الأوسع والأشبه لزومها في الحاكم أيضًا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شرط ثالث من أسس الشروط</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أنّ الشرط الثالث بخلاف الشرط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متفقًا عليه بين الأصحاب؛ ولكن لم يتّفق الفقهاء والمتكلّمون الذين تعرّضوا له على التعبير عنه بعنوانٍ واحدٍ؛ بل ثمّة عناوين عدّة وعددٌ من الأوصاف استُخدمت للإشارة إلى مفهوم الكفاءة وحسن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يشار إليه أحيانًا بحسن التدبيروالقوة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أدخل بعضهم هذه المعاني في صفة العلم وقصد من العلم ما هو أوسع من العلم بالأحكام الشرعية والعلم بجميع </w:t>
      </w:r>
      <w:bookmarkStart w:id="464" w:name="pg8686_123896"/>
    </w:p>
    <w:p>
      <w:pPr>
        <w:pStyle w:val="BookText"/>
        <w:rPr/>
      </w:pPr>
      <w:bookmarkEnd w:id="464"/>
      <w:r>
        <w:rPr>
          <w:rFonts w:ascii="Amiri" w:hAnsi="Amiri" w:eastAsia="Amiri" w:cs="Amiri"/>
          <w:color w:val="111111"/>
          <w:sz w:val="28"/>
          <w:sz w:val="28"/>
          <w:szCs w:val="28"/>
          <w:rtl w:val="true"/>
          <w:lang w:bidi="ar-SA"/>
        </w:rPr>
        <w:t>ما يتوقف عليه حسن تدبير الأمة دينيًّا ودنيويًّا</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كما إن أهل الكلام قد يكتفون بعبارة ويستغنون به عن سائر العناوين ألا وهو التعبير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يجب أن يكون أفضل من غيره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وفي المادة التاسعة بعد المئة من دستور الجمهورية الإسلامية في عداد شروط القائد وصفاته، يذكر الشرط الثالث بهذا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الرؤية السياسية والاجتماعية الصحيحة والتدبّر والشجاعة والكفاءة الإدارية والقدرة الكافية على 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يشير العنوان المختار للتعبير عن الشرط الثالث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الكفاءة وحسن الولاية، إلى جميع هذه الأوصاف والمواصفات من سلامة الحواس وسلامة الأعضاء إلى كونه صاحب الرأي المقتضي إلى سياسة الرعية وتدبير المصالح والرؤية السياسية الصحيحة والتدبر والشجاعة وحسن التدبير، فإنّ الكفاءة وحسن الولاية كما سيظهر عنوانٌ عامٌّ يشمل جميع هذه الأمور ونحوها</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2517604_653776707"/>
      <w:bookmarkStart w:id="466" w:name="_Toc178"/>
      <w:bookmarkEnd w:id="465"/>
      <w:r>
        <w:rPr>
          <w:rtl w:val="true"/>
        </w:rPr>
        <w:t>المسألة الأولى</w:t>
      </w:r>
      <w:r>
        <w:rPr>
          <w:rtl w:val="true"/>
        </w:rPr>
        <w:t xml:space="preserve">: </w:t>
      </w:r>
      <w:r>
        <w:rPr>
          <w:rtl w:val="true"/>
        </w:rPr>
        <w:t>في معنى الكفاءة وحسن الولاية وماهيتها</w:t>
      </w:r>
      <w:bookmarkEnd w:id="466"/>
    </w:p>
    <w:p>
      <w:pPr>
        <w:pStyle w:val="BookText"/>
        <w:rPr/>
      </w:pPr>
      <w:r>
        <w:rPr>
          <w:rFonts w:ascii="Amiri" w:hAnsi="Amiri" w:eastAsia="Amiri" w:cs="Amiri"/>
          <w:color w:val="111111"/>
          <w:sz w:val="28"/>
          <w:sz w:val="28"/>
          <w:szCs w:val="28"/>
          <w:rtl w:val="true"/>
          <w:lang w:bidi="ar-SA"/>
        </w:rPr>
        <w:t>الكفاءة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والفاء والهمزة، أصل يدل على التساوي في الشيئين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كافأت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قابلته بصنيعته، والكفء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 والتكافؤ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وعن رسول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تتكافأ دماؤهم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تتساوى</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كافَأهُ على الشيء مكاَفأة وكفاءً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جازاه،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 قِبَلٌ ولا كفاءٌ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 طاقة على أن أكافئه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حسان بن 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وروح </w:t>
      </w:r>
    </w:p>
    <w:p>
      <w:pPr>
        <w:pStyle w:val="BookText"/>
        <w:rPr/>
      </w:pPr>
      <w:r>
        <w:rPr>
          <w:rFonts w:ascii="Amiri" w:hAnsi="Amiri" w:eastAsia="Amiri" w:cs="Amiri"/>
          <w:color w:val="111111"/>
          <w:sz w:val="28"/>
          <w:sz w:val="28"/>
          <w:szCs w:val="28"/>
          <w:rtl w:val="true"/>
          <w:lang w:bidi="ar-SA"/>
        </w:rPr>
        <w:t>القدس ليس له كفاء أي جبريل ليس له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يكافئ هؤلاء؟ وفي حديث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أقاوم من لا كفاءَ له يعني الشيطان</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ساوى شيئًا حتى صار مثله فهو مكافئ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والمكافأة بين الناس من هذا</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ومن هنا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الكفاءة مصدرٌ والمراد به القدرة والقوّة والمؤهّلات اللازمة والأهلية للقيام بعملٍ وحسن تصرّف فيه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كفاءة عملية وكفاءة فنّية أو يقال كفاءة صناعية أو يتمتع بكفاءة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الكفاءة مهموز اللام وليس من الناقص ومعتلّ اللام كما قد يُتوهم وكتابتها الصحيحة هي الكفاءة، وأما كتابتها بالياء فهو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كفي بالحرف المعتلّ كلمة أخرى، لها معنى آخر يدلّ على الحسْب الذي لا مستزاد فيه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الشيء يكفيك وقد كفي كفاية، إذا قام بالأمر</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باعتبار الكفاءة في وليّ الأمر وحاكم المسلمين أن يكون له الكفاءة الإدارية الكافية للقيادة والجدارة والأهلية اللازمة والكافية للقيام بإعمال الولاية والقوة والقدرة اللازمة لإدارة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عن هذه المواصفات كما ذكرناه أعلاه بالقدرة والقوّة وحسن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الإمام الكَفُوء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للولاية لا بد من أن يتحقق فيه هذه الأمور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الأعضاء والحواس بمقدار ما يرتبط ذلك بأداء مهامّه ووظائفه المفوّضة إليه، لتدبير أمر الأمّة التي يؤثّر عدمها وفقدانها سلبًا على قيامه بإعمال الولاية هذا من ناحية الجسم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السياسية والاجتماعية الصحيحة، وأن يكون نافذ البصيرة </w:t>
      </w:r>
      <w:bookmarkStart w:id="467" w:name="pg8686_123903"/>
    </w:p>
    <w:p>
      <w:pPr>
        <w:pStyle w:val="BookText"/>
        <w:rPr/>
      </w:pPr>
      <w:bookmarkEnd w:id="467"/>
      <w:r>
        <w:rPr>
          <w:rFonts w:ascii="Amiri" w:hAnsi="Amiri" w:eastAsia="Amiri" w:cs="Amiri"/>
          <w:color w:val="111111"/>
          <w:sz w:val="28"/>
          <w:sz w:val="28"/>
          <w:szCs w:val="28"/>
          <w:rtl w:val="true"/>
          <w:lang w:bidi="ar-SA"/>
        </w:rPr>
        <w:t>وصاحب الرأي المفضي إلى حسن سياسة البلاد وتدبير المصالح المسلمين وهذا أمر يرتبط بالكفاءة الذاتية والاستعدادات الذاتية المطويّة في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النفسيّة وقوّة الإرادة والقدرة على أخذ القرار في المجالات الخطيرة الصعبة التي هي بحاجة إلى القوة والسرعة والقدرة الكاملة النافذة؛ بحيث لا يتأثّر بأيّ شيء، ولا يسمح لأصحاف المصالح بالتأثير في رأيه ولا يخاف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 العلمية الكاملة الكافية لإعمال الولاية وكيفية التدبير والاطلاع على ظروف الزمان والمكان وأوضاعهما، والمعرفة بالحالة النفسيّة والمعنويّة للأمّة، والاطّلاع على ثقافة المجتمع ومعرفة حاجاته، إلى غير ذلك من الأمور، فيجب عليه الإحاطة العلمية بها والاطلاع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اعتبار العلم هاهنا يختلف عن العلم المذكور في الشرط الأول فإنّ المراد من العلم في الفصل الأوّل هو ملكة الاجتهاد وقوّة الفقاهة لاستنباط الأحكام الشرعية الفرعية عن أدلّتها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المراد من العلم اللازم في اعتبار الكفاءة هو العلم بالتطبيقات وتشخيص المصاديق وحوادث الزمان والمسائل الجزئية لتطبيق الأحكام الكلية والقواعد والقوانين العامّة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هذه الأمور الأربعة المتوقّف عليها صفة الكفاءة في الحاكم، عنوانُ حسن الولاية والقوّة والقدرة اللازمة لتدبير أمر الأمة الإسلامية وزعامتها</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2517606_653776707"/>
      <w:bookmarkStart w:id="469" w:name="_Toc179"/>
      <w:bookmarkEnd w:id="468"/>
      <w:r>
        <w:rPr>
          <w:rtl w:val="true"/>
        </w:rPr>
        <w:t>المسألة الثانية</w:t>
      </w:r>
      <w:r>
        <w:rPr>
          <w:rtl w:val="true"/>
        </w:rPr>
        <w:t xml:space="preserve">: </w:t>
      </w:r>
      <w:r>
        <w:rPr>
          <w:rtl w:val="true"/>
        </w:rPr>
        <w:t xml:space="preserve">دراسة الأدلّة </w:t>
      </w:r>
      <w:r>
        <w:rPr>
          <w:rtl w:val="true"/>
        </w:rPr>
        <w:t>(</w:t>
      </w:r>
      <w:r>
        <w:rPr/>
        <w:t>1</w:t>
      </w:r>
      <w:r>
        <w:rPr>
          <w:rtl w:val="true"/>
        </w:rPr>
        <w:t>)</w:t>
      </w:r>
      <w:bookmarkEnd w:id="469"/>
    </w:p>
    <w:p>
      <w:pPr>
        <w:pStyle w:val="Heading5"/>
        <w:numPr>
          <w:ilvl w:val="4"/>
          <w:numId w:val="1"/>
        </w:numPr>
        <w:rPr/>
      </w:pPr>
      <w:bookmarkStart w:id="470" w:name="__RefHeading___Toc2517608_653776707"/>
      <w:bookmarkStart w:id="471" w:name="_Toc180"/>
      <w:bookmarkEnd w:id="470"/>
      <w:r>
        <w:rPr>
          <w:rtl w:val="true"/>
        </w:rPr>
        <w:t>حكمُ العقل والعقلاء باشتراط الكفاءة وحسن الولاية</w:t>
      </w:r>
      <w:bookmarkEnd w:id="47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شرط الكفاءة وحسن الولاية في الوليّ من الأمور الواضحة البديهية عقلًا وعقلائيًّا</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أما بحسب سيرة العقلاء فإنّ اعتبار الكفاءة في تفويض الأمر يعدّ </w:t>
      </w:r>
      <w:bookmarkStart w:id="472" w:name="pg8686_123906"/>
    </w:p>
    <w:p>
      <w:pPr>
        <w:pStyle w:val="BookText"/>
        <w:rPr/>
      </w:pPr>
      <w:bookmarkEnd w:id="472"/>
      <w:r>
        <w:rPr>
          <w:rFonts w:ascii="IRNazanin" w:hAnsi="IRNazanin" w:eastAsia="IRNazanin"/>
          <w:color w:val="111111"/>
          <w:sz w:val="28"/>
          <w:sz w:val="28"/>
          <w:szCs w:val="28"/>
          <w:rtl w:val="true"/>
          <w:lang w:bidi="fa-IR"/>
        </w:rPr>
        <w:t>من القواعد العقلائية المتسالم عليها عندهم، حيث إنّ العقلاء حينما يریدون تفويض أمرٍ مّا إلى شخصٍ آخر، ولو كان أمرًا بسيطًا، يرون من الضروري إحراز كفاءة الشخص المفوّض إليه وقوّته وقدرته على الإقدام والتنفيذ، ولا يتسامحون مع التهاون في ذلك المجال؛ بل يذمّون ويلومون التساهل في إحراز الكفاءة، ولا يقبلون تفويض المهام إلى غير أهلها؛ ويرون أنّ ذلك من السفاهة وإتلاف الأموال والأنفس والإمكانيات، هذا في الأمور البسيطة فكيف بالأمور المهمة الخطيرة، فإنّه كلما كان الأمر المفوّض أهم وأعلى قيمةً، تعتبر ضرورة هذا الوصف وإعمال الدقّة لإحرازه أوضح وأظهر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بحسب حكم العقل فإنّ العقل يستقبح تفويض الأمور إلى من ليس له المؤهّلات اللازمة من القدرة والكفاءة ويراه ظلمًا وتفويتًا للحقوق، بل يعدّ هذا الحكم العقلي من الأحكام الارتكازية الفطرية التي يكفي تصوّرها للتصديق بها ويعتبره العقل من القضايا الّتي قياساتها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ما أقيم لإثبات هذا الشرط من الأدلّة النقلية للكتاب والسنة يعتبر إرشادًا إلى حكم العقل الواضح الذي لا غبار عليه بذلك</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2517610_653776707"/>
      <w:bookmarkStart w:id="474" w:name="_Toc181"/>
      <w:bookmarkEnd w:id="473"/>
      <w:r>
        <w:rPr>
          <w:rtl w:val="true"/>
        </w:rPr>
        <w:t>المسألة الثالثة</w:t>
      </w:r>
      <w:r>
        <w:rPr>
          <w:rtl w:val="true"/>
        </w:rPr>
        <w:t xml:space="preserve">: </w:t>
      </w:r>
      <w:r>
        <w:rPr>
          <w:rtl w:val="true"/>
        </w:rPr>
        <w:t>دراسة الأدلة</w:t>
      </w:r>
      <w:r>
        <w:rPr>
          <w:rtl w:val="true"/>
        </w:rPr>
        <w:t>(</w:t>
      </w:r>
      <w:r>
        <w:rPr/>
        <w:t>2</w:t>
      </w:r>
      <w:r>
        <w:rPr>
          <w:rtl w:val="true"/>
        </w:rPr>
        <w:t>)</w:t>
      </w:r>
      <w:bookmarkEnd w:id="474"/>
    </w:p>
    <w:p>
      <w:pPr>
        <w:pStyle w:val="Heading5"/>
        <w:numPr>
          <w:ilvl w:val="4"/>
          <w:numId w:val="1"/>
        </w:numPr>
        <w:rPr/>
      </w:pPr>
      <w:bookmarkStart w:id="475" w:name="__RefHeading___Toc2517612_653776707"/>
      <w:bookmarkStart w:id="476" w:name="_Toc182"/>
      <w:bookmarkEnd w:id="475"/>
      <w:r>
        <w:rPr>
          <w:rtl w:val="true"/>
        </w:rPr>
        <w:t>حكم الكتاب الحكيم باشتراط الكفاءة وحسن الولاية</w:t>
      </w:r>
      <w:bookmarkEnd w:id="476"/>
    </w:p>
    <w:p>
      <w:pPr>
        <w:pStyle w:val="BookText"/>
        <w:rPr/>
      </w:pPr>
      <w:r>
        <w:rPr>
          <w:rFonts w:ascii="Amiri" w:hAnsi="Amiri" w:eastAsia="Amiri" w:cs="Amiri"/>
          <w:color w:val="111111"/>
          <w:sz w:val="28"/>
          <w:sz w:val="28"/>
          <w:szCs w:val="28"/>
          <w:rtl w:val="true"/>
          <w:lang w:bidi="ar-SA"/>
        </w:rPr>
        <w:t>ثمّة آيات في الذكر الحكيم تدلّ على اعتبار الكفاءة في من يتولّى أمرًا أو مهمّةً، تدلّ هذه الآيات على دور الكفاءة في بقاء عزّة الأمة وقوتها</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الآية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قصة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اصْطَفاهُ عَلَيْكُمْ وزادَهُ بَسْطَةً فِي الْعِلْمِ والْجِسْمِ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الآية في مقام الردّ على زعم المعارضين لملك طالوت، تبيّن و تشرح </w:t>
      </w:r>
    </w:p>
    <w:p>
      <w:pPr>
        <w:pStyle w:val="BookText"/>
        <w:rPr/>
      </w:pPr>
      <w:r>
        <w:rPr>
          <w:rFonts w:ascii="Amiri" w:hAnsi="Amiri" w:eastAsia="Amiri" w:cs="Amiri"/>
          <w:color w:val="111111"/>
          <w:sz w:val="28"/>
          <w:sz w:val="28"/>
          <w:szCs w:val="28"/>
          <w:rtl w:val="true"/>
          <w:lang w:bidi="ar-SA"/>
        </w:rPr>
        <w:t>أنّ تفوّقه في العلم والقدرات البدنيّة، من الأمور التي بُنِي عليه اختياره للولاية الإلهيّة</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ولا شك في أنّ زيادة البسطة في العلم تشمل العلم والخبرة بالأمور التي بيد الملك تنفيذها وإجراؤها من الأمور المرتبطة بإدارة البلد ونظم الجيش وفنون الحرب، فلا يختصّ العلم بالعلم بالأحكام الكلية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الزيادة في البسطة في الجسم تدلّ على القوة والقدرة الجسدية اللازمة للملك التي تجعله كفوءاً لأخذ زمام الأمور بيده؛ بل هذا الوصف يدلّ على قوّته الروحية وشجاعته العالية لركوب الأمور الصعبة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اللَّهُ مَثَلاً رَجُلَيْنِ أَحَدُهُما أَبْكَمُ لا يَقْدِرُ عَلى شيء وهُوَ كَلٌّ عَلى مَوْلاهُ أَيْنَما يُوَجِّهْهُ لا يَأْتِ بِخَيْرٍ هَلْ يَسْتَوي هُوَ ومَنْ يَأْمُرُ بِالْعَدْلِ وهُوَ عَلى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الآية تشير إلى رجلين، وتذكر أنّ الرّجل الأوّل أبكم لا يقدر على شيء ولا يأتي بخيرٍ، لجهله بصواب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الرجل الثاني، الخبير بكيفية التصرف لأنّه يأمر بالعدل ويقوم على الصراط المستقيم، وأسلوب الآية هو أسلوب الاستفهام الإنكاري، وهي تفيد نفي الاستواء بينهما بحكم الفطرة السليمة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أنّه يدخل في مجال عدم استوائهما، للأخذ بزمام الأمور وتولية الأمور، فإنّ هذا يعدّ من القدر المتيقّن لعدم استوائهما في الأمور وإن كانا مستويين في بعض المجالات الأخرى، فلا يرد على دلالة الآية ما أورده بعضهم</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حكاية لقصة يوسف واقتراحه لملك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عَلى خَزائِنِ الْأَرْضِ إِنِّي حَفيظٌ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477" w:name="pg8686_123911"/>
    </w:p>
    <w:p>
      <w:pPr>
        <w:pStyle w:val="BookText"/>
        <w:rPr/>
      </w:pPr>
      <w:bookmarkEnd w:id="477"/>
      <w:r>
        <w:rPr>
          <w:rFonts w:ascii="Amiri" w:hAnsi="Amiri" w:eastAsia="Amiri" w:cs="Amiri"/>
          <w:color w:val="111111"/>
          <w:sz w:val="28"/>
          <w:sz w:val="28"/>
          <w:szCs w:val="28"/>
          <w:rtl w:val="true"/>
          <w:lang w:bidi="ar-SA"/>
        </w:rPr>
        <w:t>فإنّ الظاهر من قوله تعالى إني عليمٌ، أنّه كان عليمًا بفنون حفظ خزائن الأرض وصرفها في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الظاهر من الآية بمقتضى التعليل الوارد فيها أنّها تدلّ على أنّ هذا العلم والخبرة من المواصفات اللازمة لولاية الأموال، وأنّ هذا الحكم لا يختص بيوسف فقط، فلا إشكال في دلالة الآية على المدّعى بهذا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لقصّة موسى وما قالته بنت شعيب في حقّ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إِحْداهُما يا أَبَتِ اسْتَأْجِرْهُ ان خَيْرَ مَنِ اسْتَأْجَرْتَ الْقَوِيُّ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في مقام التعليل لإثبات إن موسى كفؤا لرعاية الغنم تبين أنّه متّصف بوصفي القوّة والأمانة، فتدلّ الآية على اشتراط القوّة للراعي فكيف باعتبار القوّة في رعاية الأمة فلا شك في أن العرف بمناسبة الحكم والموضوع يستفيد من الآية اعتبار وصف القوة لمن يفوّض الأمر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عليه ما أورده بعضهم</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ويؤيّد ذلك ما ذكره القرآن الكريم في قصة سليمان حكاية عن العفريت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عِفْريتٌ مِنَ الْجِنِّ أَنَا آتيكَ بِهِ قَبْلَ ان تَقُومَ مِنْ مَقامِكَ وإِنِّي عَلَيْهِ لَقَوِيٌّ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2517614_653776707"/>
      <w:bookmarkStart w:id="479" w:name="_Toc183"/>
      <w:bookmarkEnd w:id="478"/>
      <w:r>
        <w:rPr>
          <w:rtl w:val="true"/>
        </w:rPr>
        <w:t>المسألة الرابعة</w:t>
      </w:r>
      <w:r>
        <w:rPr>
          <w:rtl w:val="true"/>
        </w:rPr>
        <w:t xml:space="preserve">: </w:t>
      </w:r>
      <w:r>
        <w:rPr>
          <w:rtl w:val="true"/>
        </w:rPr>
        <w:t>دراسة الأدلة</w:t>
      </w:r>
      <w:r>
        <w:rPr>
          <w:rtl w:val="true"/>
        </w:rPr>
        <w:t>(</w:t>
      </w:r>
      <w:r>
        <w:rPr/>
        <w:t>3</w:t>
      </w:r>
      <w:r>
        <w:rPr>
          <w:rtl w:val="true"/>
        </w:rPr>
        <w:t>)</w:t>
      </w:r>
      <w:bookmarkEnd w:id="479"/>
    </w:p>
    <w:p>
      <w:pPr>
        <w:pStyle w:val="Heading5"/>
        <w:numPr>
          <w:ilvl w:val="4"/>
          <w:numId w:val="1"/>
        </w:numPr>
        <w:rPr/>
      </w:pPr>
      <w:bookmarkStart w:id="480" w:name="__RefHeading___Toc2517616_653776707"/>
      <w:bookmarkStart w:id="481" w:name="_Toc184"/>
      <w:bookmarkEnd w:id="480"/>
      <w:r>
        <w:rPr>
          <w:rtl w:val="true"/>
        </w:rPr>
        <w:t>حكم السنّة باشتراط الكفاءة وحسن الولاية</w:t>
      </w:r>
      <w:bookmarkEnd w:id="48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ثمّة طائفة كثيرة من الأحاديث المروية عن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تدلّ على اعتبار الكفاءة وحسن الولاية في ولي أمر المجتمع الإسلامي، نشير في ما يأتي إلى بعض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سدير بن حكيم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رواها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إِبْرَاهِيمَ عَنْ صَالِحِ بْنِ السِّنْدِيِّ عَنْ جَعْفَرِ بْنِ بَشِيرٍ عَنْ حَنَان عَنْ أَبِيهِ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الْإمامةُ إِلَّا لِرَجُلٍ فِيهِ ثَلَاثُ خِصَالٍ وَرَعٌ يَحْجُزُهُ عَنْ مَعَاصِي اللَّهِ وحِلْمٌ يَمْلِكُ بِهِ غَضَبَهُ وحُسْنُ الْوِلَايَةِ عَلَى مَنْ يَلِي حَتَّى يَكُونَ لَهُمْ كَالْوَالِدِ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يَكُونَ لِلرَّعِيَّةِ كَالْأَبِ الرَّحِيم</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والرواية من ناحية السند معتبرةٌ عند أهل التحقيق في علم الرجال، ويمكن الإفتاء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الدلالة فدلالتها على المدّعى واضحة صريحة حيث إنّها في مقام ذكرها ما يعتبر في الإمام من الأوصاف حتى تثبت صلاحيته وأهليّته لإمامة المسلمين، يذكرحسن الولاية على من يلي؛ بل يمكن إلحاق الشرط الثاني المذكور في الحديث أعني الحلم أيضًا إلى الكفائة فالحاكم والوالي يجب أن يتزين بأوصاف متعددة يتوقّف حسن الولاية على اجتماعها في وجود الإمام من الشجاعة والحلم والتدبير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عيص بن القاسم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الكليني بإسناده عن على بْن إِبْرَاهِيمَ عَنْ أَبِيهِ عَنْ صَفْوَان بْنِ يَحْيَى عَنْ عِيصِ بْنِ الْقَاسِمِ قَالَ 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بِتَقْوَى اللَّهِ وَحْدَهُ لَا شَرِيكَ لَهُ وانْظُرُوا لأنفُسِكُمْ، فَوَاللَّهِ إنّ الرَّجُلَ لَيَكُونُ لَهُ الْغَنَمُ فِيهَا الرَّاعِي، فَإذا وَجَدَ رَجُلًا هُوَ أَعْلَمُ بِغَنَمِهِ مِنَ الَّذِي هُوَ فِيهَا يُخْرِجُهُ ويجيء بِذَلِكَ الرَّجُلِ الَّذِي هُوَ أَعْلَمُ بِغَنَمِهِ مِنَ الَّذِي كَان فِيهَا الحديث</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أوردنا هذه الرواية مرّتين سابقًا؛ مرّة في الفصل الثالث من المرحلة الأولی، </w:t>
      </w:r>
      <w:bookmarkStart w:id="482" w:name="pg8686_123918"/>
    </w:p>
    <w:p>
      <w:pPr>
        <w:pStyle w:val="BookText"/>
        <w:rPr/>
      </w:pPr>
      <w:bookmarkEnd w:id="482"/>
      <w:r>
        <w:rPr>
          <w:rFonts w:ascii="Amiri" w:hAnsi="Amiri" w:eastAsia="Amiri" w:cs="Amiri"/>
          <w:color w:val="111111"/>
          <w:sz w:val="28"/>
          <w:sz w:val="28"/>
          <w:szCs w:val="28"/>
          <w:rtl w:val="true"/>
          <w:lang w:bidi="ar-SA"/>
        </w:rPr>
        <w:t>في البحث عن الأدلّة المعارضة لضرورة إقامة الحكم الإسلامي، والمرّة الثانية في الفصل الأول من المرحلة الثانية ضمن الأدلّة الدّالّة على اعتبار العلم والفقاهة في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بما أن دلالة هذه الصحيحة مطلقة؛ حيث إنها معتمدة على ما يحكم به العقل والفطرة وما تسالم عليه العقلاء من إيكال الأمور وتفويضها إلى الأعلم بأمرها، وترجيحهم الأعلم على غير الأعلم حتّى في مثل رعي الغنم، فهي تصرّح بإمضائها حكم العقل والعقلاء مطلقًا في اعتبار الكفاءة العلمية والفنّية والتمتع بالمواصفات المؤهِّلة لإيكال الولاية والإمامة إلى الغير؛ فإطلاق الصحيحة يشمل كلا المجالين، اعتبار الأعلمية في مجال الأحكام الشرعية والفقاهة واعتبار الأعلمية في كيفية تدبير الأمور وإدارة المجتمع وفقًا للمصالح العالية الشاملة للإسلام وكافّة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لا مانع من الاستدلال لإثبات شرط الفقاهة ولاعتبار الكفاءة وحسن الولاية في ولي الأمر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الروايات المذكورة في المطوّلات الدّالّة على اعتبار الكفاءة وحسن الولاية في 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أعلاه، إلى أن اعتبار هذا الشرط من الأحكام العقلية الواضحة ومن القواعد المعترف بها في سيرة العقلاء فلا حاجة إلى إطالة الكلام في هذا البحث</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2517618_653776707"/>
      <w:bookmarkStart w:id="484" w:name="_Toc185"/>
      <w:bookmarkEnd w:id="483"/>
      <w:r>
        <w:rPr>
          <w:rtl w:val="true"/>
        </w:rPr>
        <w:t>فالنتيجة</w:t>
      </w:r>
      <w:r>
        <w:rPr>
          <w:rtl w:val="true"/>
        </w:rPr>
        <w:t>:</w:t>
      </w:r>
      <w:bookmarkEnd w:id="484"/>
    </w:p>
    <w:p>
      <w:pPr>
        <w:pStyle w:val="BookText"/>
        <w:rPr/>
      </w:pPr>
      <w:r>
        <w:rPr>
          <w:rFonts w:ascii="Amiri" w:hAnsi="Amiri" w:eastAsia="Amiri" w:cs="Amiri"/>
          <w:color w:val="111111"/>
          <w:sz w:val="28"/>
          <w:sz w:val="28"/>
          <w:szCs w:val="28"/>
          <w:rtl w:val="true"/>
          <w:lang w:bidi="ar-SA"/>
        </w:rPr>
        <w:t>أنّنا قد بحثنا في المرحلة الثانية عن الأوصاف اللازمة المعتبرة في ولي الأمر في عصر الغيبة وزمن قبض يد الإمام المعصوم وأثبتنا أولًا اعتبار العلم بل الأعلمية بمعناها الدقيق الواسع في الإمامة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أثبتنا اعتبار العدالة اللازمة في الإمامة المختلفة عن العدالة اللازمة في سائر المجالات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 أثبتنا اعتبار الكفاءة وحسن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نكون قد انتهينا من البحث </w:t>
      </w:r>
    </w:p>
    <w:p>
      <w:pPr>
        <w:pStyle w:val="BookText"/>
        <w:rPr/>
      </w:pPr>
      <w:r>
        <w:rPr>
          <w:rFonts w:ascii="IRNazanin" w:hAnsi="IRNazanin" w:eastAsia="IRNazanin"/>
          <w:color w:val="111111"/>
          <w:sz w:val="28"/>
          <w:sz w:val="28"/>
          <w:szCs w:val="28"/>
          <w:rtl w:val="true"/>
          <w:lang w:bidi="fa-IR"/>
        </w:rPr>
        <w:t>عن الأوصاف وإن كان هناك شروط أخرى مذكورة في المطولات كالذكورة والبلوغ والإسلام والإيمان والعقل وطهارة المولد والحرية إلى غيرها من الأوصاف نطوي الكلام عن البحث فيها ونوكل الطالب العزيز إلى الكتب والمؤلّفات المفصّلة في هذ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بقي البحث في كيفية تعيين ولي الأمر وأنه هل ثمّة نصبٌ من جانب الشارع الحکيم أو أنّ أمر اختيار وليّ الأمر موكول إلى انتخاب الأمّة لتصدّي الزعامة بالفعل؟</w:t>
      </w:r>
    </w:p>
    <w:p>
      <w:pPr>
        <w:pStyle w:val="BookText"/>
        <w:rPr/>
      </w:pPr>
      <w:r>
        <w:rPr>
          <w:rFonts w:ascii="Amiri" w:hAnsi="Amiri" w:eastAsia="Amiri" w:cs="Amiri"/>
          <w:color w:val="111111"/>
          <w:sz w:val="28"/>
          <w:sz w:val="28"/>
          <w:szCs w:val="28"/>
          <w:rtl w:val="true"/>
          <w:lang w:bidi="ar-SA"/>
        </w:rPr>
        <w:t>يوم دحو الأرض</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 ق</w:t>
      </w:r>
      <w:r>
        <w:rPr>
          <w:rFonts w:eastAsia="Amiri" w:cs="Amiri" w:ascii="Amiri" w:hAnsi="Amiri"/>
          <w:color w:val="111111"/>
          <w:sz w:val="28"/>
          <w:szCs w:val="28"/>
          <w:lang w:bidi="ar-SA"/>
        </w:rPr>
        <w:t>8/6/1395</w:t>
      </w:r>
      <w:r>
        <w:rPr>
          <w:rFonts w:ascii="Amiri" w:hAnsi="Amiri" w:eastAsia="Amiri" w:cs="Amiri"/>
          <w:color w:val="111111"/>
          <w:sz w:val="28"/>
          <w:sz w:val="28"/>
          <w:szCs w:val="28"/>
          <w:rtl w:val="true"/>
          <w:lang w:bidi="ar-SA"/>
        </w:rPr>
        <w:t xml:space="preserve">ه ش قم المقدس </w:t>
      </w:r>
      <w:bookmarkStart w:id="485" w:name="pg8686_123925"/>
    </w:p>
    <w:p>
      <w:pPr>
        <w:pStyle w:val="Heading2"/>
        <w:numPr>
          <w:ilvl w:val="1"/>
          <w:numId w:val="1"/>
        </w:numPr>
        <w:rPr/>
      </w:pPr>
      <w:bookmarkStart w:id="486" w:name="__RefHeading___Toc2517620_653776707"/>
      <w:bookmarkStart w:id="487" w:name="_Toc186"/>
      <w:bookmarkEnd w:id="485"/>
      <w:bookmarkEnd w:id="486"/>
      <w:r>
        <w:rPr>
          <w:rtl w:val="true"/>
        </w:rPr>
        <w:t>المرحلة الثالثة</w:t>
      </w:r>
      <w:r>
        <w:rPr>
          <w:rtl w:val="true"/>
        </w:rPr>
        <w:t>:</w:t>
      </w:r>
      <w:r>
        <w:rPr>
          <w:rtl w:val="true"/>
        </w:rPr>
        <w:t>کيفية تعيين ولي الامر فی عصر الغيبة</w:t>
      </w:r>
      <w:bookmarkEnd w:id="48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8" w:name="__RefHeading___Toc2517622_653776707"/>
      <w:bookmarkStart w:id="489" w:name="_Toc187"/>
      <w:bookmarkEnd w:id="488"/>
      <w:r>
        <w:rPr>
          <w:rtl w:val="true"/>
        </w:rPr>
        <w:t>اشارة</w:t>
      </w:r>
      <w:bookmarkEnd w:id="48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الفراغ عن ضرورة الحكومة في عصر الغيبة في المرحلة الأولى من كتابنا هذا وبيان الشروط اللازمة للحاكم وولي الأمر في عصر الغيبة وزمن قبض يد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المرحلة الثانية، يقع البحث في المرحلة الثالثة في كيفية تعيين وليّ الأمر وما تنعقد به إمامة المسلمين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الشروع في صلب البحث لا بدّ من أن نشير من باب المقدّمة إلى نفس هذا السؤال بالنسبة إلى عصر الحضور وبسط يد المعصوم، وأنّه كيف انعقدت إمامة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الأنبياء كيوسف وموسى وسليمان وداود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انعقدت ولاية أمير المؤمنين أيضا؟ وهل انعقدت ولايتهم وإمامتهم بتعيين الأمّة وانتخابها وبيعتها وهل أن الأمّة هي مبدأ الولاية ومنشأ مشروعية الإمامة ومصدر السلطة؟ أو أن صاحب السيادة ومبدأ الولاية هو الله تبارك وتعالى وبيده الحكم، فمن فوّض الله إليه الحكم ونصبه وجعله للناس إماماً ونصّ عليه بالولاية والإمامة فله حق الحكم والولاية وهؤلاء الأنبياء والأولياء انعقدت إمامتهم وولايتهم بالنص والتنصيب الإلهيّ، وأما من لم يفوَّض إليه الأمر بالنصّ والجعل الإلهي، فليس له حقّ الحكم والإمارة والولاية أصلا وأبدًا، وليس لبيعة الناس وتعيينهم في هذا المجال أعني مجال انعقاد الولاية والإمامة أثرٌ شرعيُّ وإن كان له أثرٌ في بعض المجالات الآخر أي في ما يرتبط بمرحلة إعمال الولاية وتنفيذ الحكم كما سيظهر وسيفصّل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 هي أنّ السؤال الأساس في المرحلة الثالثة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تنعقد الإمامة والولاية بالنصّ والتنصيب الإلهي أو بالبيعة وانتخاب الناس؟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0" w:name="pg8686_123937"/>
      <w:bookmarkStart w:id="491" w:name="pg8686_123937"/>
      <w:bookmarkEnd w:id="491"/>
    </w:p>
    <w:p>
      <w:pPr>
        <w:pStyle w:val="Heading3"/>
        <w:numPr>
          <w:ilvl w:val="2"/>
          <w:numId w:val="1"/>
        </w:numPr>
        <w:rPr/>
      </w:pPr>
      <w:bookmarkStart w:id="492" w:name="pg8686_123937"/>
      <w:bookmarkStart w:id="493" w:name="__RefHeading___Toc2517624_653776707"/>
      <w:bookmarkStart w:id="494" w:name="_Toc188"/>
      <w:bookmarkEnd w:id="492"/>
      <w:bookmarkEnd w:id="493"/>
      <w:r>
        <w:rPr>
          <w:rtl w:val="true"/>
        </w:rPr>
        <w:t>الفصل الأول</w:t>
      </w:r>
      <w:r>
        <w:rPr>
          <w:rtl w:val="true"/>
        </w:rPr>
        <w:t xml:space="preserve">: </w:t>
      </w:r>
      <w:r>
        <w:rPr>
          <w:rtl w:val="true"/>
        </w:rPr>
        <w:t>تعيين وليّ الأمر بالنصّ الشرعيّ والتنصيب الإلهي</w:t>
      </w:r>
      <w:bookmarkEnd w:id="494"/>
    </w:p>
    <w:p>
      <w:pPr>
        <w:pStyle w:val="Heading4"/>
        <w:numPr>
          <w:ilvl w:val="3"/>
          <w:numId w:val="1"/>
        </w:numPr>
        <w:rPr/>
      </w:pPr>
      <w:bookmarkStart w:id="495" w:name="__RefHeading___Toc2517626_653776707"/>
      <w:bookmarkStart w:id="496" w:name="_Toc189"/>
      <w:bookmarkEnd w:id="495"/>
      <w:r>
        <w:rPr>
          <w:rtl w:val="true"/>
        </w:rPr>
        <w:t>المسألة الأولى</w:t>
      </w:r>
      <w:r>
        <w:rPr>
          <w:rtl w:val="true"/>
        </w:rPr>
        <w:t xml:space="preserve">: </w:t>
      </w:r>
      <w:r>
        <w:rPr>
          <w:rtl w:val="true"/>
        </w:rPr>
        <w:t>إشارة إلى المباني المختلفة في مسألة تعيين وليّ الأمر</w:t>
      </w:r>
      <w:bookmarkEnd w:id="496"/>
    </w:p>
    <w:p>
      <w:pPr>
        <w:pStyle w:val="BookText"/>
        <w:rPr/>
      </w:pPr>
      <w:r>
        <w:rPr>
          <w:rFonts w:ascii="IRNazanin" w:hAnsi="IRNazanin" w:eastAsia="IRNazanin"/>
          <w:color w:val="111111"/>
          <w:sz w:val="28"/>
          <w:sz w:val="28"/>
          <w:szCs w:val="28"/>
          <w:rtl w:val="true"/>
          <w:lang w:bidi="fa-IR"/>
        </w:rPr>
        <w:t>للإجابة عن السؤال المذكور أعلاه ذهب جميع علماء المسلمين وكافّة المذاهب من الإمامية وغيرهم إلى أن الإمامة يمكن أن تنعقد عن طريق النصّ والجعل الإلهي بلا شبهة ولا ريب؛ ولكن الكلام كلّ الكلام في الحصر وعدمه، ووحدة الطريق أو تعدّده؟ فإنّ الإمامية ذهبوا إلى أنّ الإنعقاد الإمامة لایکون إلّا طريق واحد ينحصر أمر انعقاد الإمامة فيه، وهو الجعل والنصّ الإلهيّ، بينما ذهب أهل المذاهب الأخرى إلى أنّ الطريق لا ينحصر بالتنصيب الإلهي؛ بل إنّما تنعقد بالبيعة وانتخاب الأمّة أيضًا كما إنّها تنعقد بالاستخلاف أو بالقهر والغلبة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الحلّي في تذكرة الفقهاء ما ملخّصه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تنعقد الإمامة بالنصّ عندنا، ولا نتعقد بالبيعة خلافًا للعامّة بأسرهم فإنّهم أثبتوا إمامة أبي بكر بالبيعة، ووافقونا على صحة الانعقاد بالنصّ؛ لكنّهم جوّزوا انعقادها بأمورٍ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واختلفوا في عدد الذين تنعقد الإمامة ببيعتهم، فقال بعضهم لا بدّ من أربعين إلى أن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ثلاثة لأنّ الثلاثة مطلق الجمع، فإذا اتفقوا لم يجز مخالفة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إثنان لأنّ أقلّ الجمع إثنان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لأنّ عمر بن الخطّاب بايع أبا بكر أوّلًا ثمّ وافقه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استخلاف الإمام قبله وعهده إليه كما عهد أبو بكر إلى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 والغلبة فإذا مات الإمام فتصدّى الإمامة من يستجمع شرائطها من غير استخلاف وبيعة، وقهر الناس بشوكته وجنوده انعقدت الخلافة، لانتظام الشمل بما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ساقطٌ عندنا لأنّا قد بيّنا أنّ الإمامة لا تثبت إلّا بالنص لوجوب العصمة</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هو الرجوع إلى الملاك والمعيار وإلى مقتضى الأصل والقاعدة في هذه المسألة المهمّة التي لا توجد مسألة فقهية؛ بل كلامية أخطرَ بعد مسألة التوحيد من هذه المسألة، أعني مسألة الولاية، كما أشير إليه في بعض الأخبار مثل ما ورد في صحيحة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والحج والصوم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ثمّ لا ريب في أن المعيار في المسألة، كما بينّاه سابقًا في مباحث المرحلة الأولى من هذا الكتاب، هو الرجوع إلى الأصل في الولاية وهو أنّ الولاية منحصرة في اللهتبارك وتعالى فَاللَّهُ هُوَ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ولاية لأحد غيره إلا بإذنه تعالى وتشريعه ونصّه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فبمقتضى هذا الأصل المبرهن بالضرورة العقلية والفطرة السليمة، المستدلّ عليه بمئات الآيات القرآنية والأحاديث النبوية وروايات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الولاية بالأصالة ثابتةٌ للولي المطلق وهو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في الرتبة الثانية وفي طول ولايته تعالى؛ تثبت الولاية بإذنه تعالى 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بحکم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أولى بالمؤمنين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الرتبة الثالثة مبنيًّا على ما يعتقده الإمامية؛ أنّ الولاية ثابتة بنصِّ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والتشريع الإلهي لأمير المؤمنين ومن بعده لأحد عشر إمامًا من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مذهب الإمامية انعقاد الولاية للأنبياء والأولياء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هذا الطريق لا دليل عليه، لا بالبيعة والانتخاب، ولا الاستخلاف؛ لعدم وجود نصٍّ وتشريع معتبر يدلّ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العجيب في هذا المجال القول بشرعية الطريق الثالث وثبوت الولاية بالتغلّب والقهر؛ حيث إنّه بمقتضى معتقدات هذه المذاهب أنّ الخروج على الإمام المتسلّط والمستولي على الأمور حرامٌ وبغيٌ ومحاربةٌ يجب قتال الخارج ودفعه، ثم إذا فُرِض أحدٌ ارتکب الحرام وخرج على الإمام المستولي للأمر، ثم غلب عليه واستولى على الأمر؛ فحينئذٍ بمقتضى شرعية الطريق الثالث ينقلب هذا الباغي والمحارب إمامًا واجب الطّاعة وإن كان من أفسق الفسقة وأظلم الظلمة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 قولهم بانعقاد الولاية والإمامة بهذه الطرق الثلاثة وخاصّة بالطريق الثالث متأثّرٌ بالواقع التاريخيّ وبما جرى على الأمة الإسلامية بعد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كانوا غالبًا بصدد تبرير الوضع القائم، وتدبير الحوادث المتحقّقة في ما بينالمسلمين؛ فلذا ذهبوا إلى شرعية الاستخلاف أو البيعة بعدّة قليلة كثلاثة واثنين وواحد، وشرعية التغلب والاستيلاء</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فالولاية حسب ما تقتضيه الأصول الضرورية للإمامية بالنصّ </w:t>
      </w:r>
      <w:bookmarkStart w:id="497" w:name="pg8686_123947"/>
    </w:p>
    <w:p>
      <w:pPr>
        <w:pStyle w:val="BookText"/>
        <w:rPr/>
      </w:pPr>
      <w:bookmarkEnd w:id="497"/>
      <w:r>
        <w:rPr>
          <w:rFonts w:ascii="Amiri" w:hAnsi="Amiri" w:eastAsia="Amiri" w:cs="Amiri"/>
          <w:color w:val="111111"/>
          <w:sz w:val="28"/>
          <w:sz w:val="28"/>
          <w:szCs w:val="28"/>
          <w:rtl w:val="true"/>
          <w:lang w:bidi="ar-SA"/>
        </w:rPr>
        <w:t xml:space="preserve">الشرعي القطعي في عصر الحضور منعقدةٌ وثابتةٌ للأئمة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كلامنا في عصر الغيبة وزمن قبض يد الإمام المعصوم، فما هو الحكم في مسألة انعقاد الولاية؟ وجوابًا عن هذا السؤال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ذكرناه في مسائل المرحلة الثانية من هذا الكتاب؛ إنّ الولاية في عصر الغيبة مشروطة بشروط من أهمها الفقاهة والعدالة والكفاءة، فلا شك في أنّ الولاية ثابتة للفقيه العادل الكفء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لغيره حقّ الولاية وزعامة الأمّة؛ ولكن ثمّة سؤال أهم وأدقّ وهو أنّ هذه الولاية هل تثبت بالنصّ الشرعي وتنصيب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النص الشرعي غير ثابتٍ له وأنّ الأدلة غير كافية لإثبات ولاية الفقيه ونصبه الشرعي؟ فالأمر موكول إلى الأمّة فيجب عليهم انتخاب الفقيه الجامع لتلك الشّروط وليًّا وإمامًا لهم، وبانتخابهم تنعتقد له الإمامة والولاية، وأمّا ما دامت الأمة لم تنتخب أحدًا من الفقهاء المتّصفين بالشروط فالولاية ليست منعقدة ولا ثابتة لأحد منهم إلا بالقوّة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نحو الأهلية فقط، مقابل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اتّصافه بالشروط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فالولاية بالقوّة لأحد المتّصفين وأمّا الولاية الفعلية فهي تتحقق بالانتخاب الفعليّ لأحدهم؟</w:t>
      </w:r>
    </w:p>
    <w:p>
      <w:pPr>
        <w:pStyle w:val="BookText"/>
        <w:rPr/>
      </w:pPr>
      <w:r>
        <w:rPr>
          <w:rFonts w:ascii="Amiri" w:hAnsi="Amiri" w:eastAsia="Amiri" w:cs="Amiri"/>
          <w:color w:val="111111"/>
          <w:sz w:val="28"/>
          <w:sz w:val="28"/>
          <w:szCs w:val="28"/>
          <w:rtl w:val="true"/>
          <w:lang w:bidi="ar-SA"/>
        </w:rPr>
        <w:t>ففي المسألة احتمالان؛ الاحتمال الأوّل هو ثبوت النصّ الشرعيّ وتنصيب الأئمة الفقيهَ الجامعَ لشروط الولاية، والاحتمال الثاني هو انتخاب الأمّة وتعيين الشعب الفقيهَ المتّصفَ والموافقَ لشروط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ما كان فإنّ الفقيه المتوفّرة فيه الشروط هو المتعيِّن للولاية إمّا بالتنعيين والتنصيب، وإمّا بانتخاب الأمّة واختيارها</w:t>
      </w:r>
      <w:r>
        <w:rPr>
          <w:rFonts w:eastAsia="Amiri" w:cs="Amiri" w:ascii="Amiri" w:hAnsi="Amiri"/>
          <w:color w:val="111111"/>
          <w:sz w:val="28"/>
          <w:szCs w:val="28"/>
          <w:rtl w:val="true"/>
          <w:lang w:bidi="ar-SA"/>
        </w:rPr>
        <w:t>.</w:t>
      </w:r>
      <w:r>
        <w:rPr>
          <w:rStyle w:val="FootnoteAnchor"/>
          <w:rtl w:val="true"/>
        </w:rPr>
        <w:footnoteReference w:id="237"/>
      </w:r>
    </w:p>
    <w:p>
      <w:pPr>
        <w:pStyle w:val="Heading4"/>
        <w:numPr>
          <w:ilvl w:val="3"/>
          <w:numId w:val="1"/>
        </w:numPr>
        <w:rPr/>
      </w:pPr>
      <w:bookmarkStart w:id="498" w:name="__RefHeading___Toc2517628_653776707"/>
      <w:bookmarkStart w:id="499" w:name="_Toc190"/>
      <w:bookmarkEnd w:id="498"/>
      <w:r>
        <w:rPr>
          <w:rtl w:val="true"/>
        </w:rPr>
        <w:t>المسألة الثانية</w:t>
      </w:r>
      <w:r>
        <w:rPr>
          <w:rtl w:val="true"/>
        </w:rPr>
        <w:t xml:space="preserve">: </w:t>
      </w:r>
      <w:r>
        <w:rPr>
          <w:rtl w:val="true"/>
        </w:rPr>
        <w:t>نظرة عابرة في كلمات الأصحاب في المسألة</w:t>
      </w:r>
      <w:bookmarkEnd w:id="49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على من تتبّع كلمات الأصحاب، وراجع مؤلّفاتهم ومصنّفاتهم المدوّنة في المقام الخاصّة بولاية الحاكم وحدود صلاحيّاته ونحوهما، وضوح وصراحة هؤلاء العلماء، في أنّ الرأي الوحيد الذي يتبنّونه هو تعيّن التنصيب، </w:t>
      </w:r>
    </w:p>
    <w:p>
      <w:pPr>
        <w:pStyle w:val="BookText"/>
        <w:rPr/>
      </w:pPr>
      <w:r>
        <w:rPr>
          <w:rFonts w:ascii="Amiri" w:hAnsi="Amiri" w:eastAsia="Amiri" w:cs="Amiri"/>
          <w:color w:val="111111"/>
          <w:sz w:val="28"/>
          <w:sz w:val="28"/>
          <w:szCs w:val="28"/>
          <w:rtl w:val="true"/>
          <w:lang w:bidi="ar-SA"/>
        </w:rPr>
        <w:t xml:space="preserve">وأنّ الفقهاء الجامعين للشروط هم المنصوبون من قبل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بالتنصيب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نظرية الانتخاب، فليس لها سابقةٌ في تراث الطائفة، وإنّما طُرِحت في السنوات الأخيرة، بعد انتصار الثورة الإسلامية فللتعرّف على رأي فقهائنا العظام في هذا المجال نشير هنا إلى مختارات من كلماتهم الواضحة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المفيد أوّلًا في ضمن التعرّض لمسائل الوصية يشير إلى أن الوصيّ إن مات كان الناظر في أمور المسلمين يتولّى إنفاذ الوصية ومراده من الناظر في أمور المسلمين هو الإمام المعصوم المعبَّر عنه في كتب الأصحاب بالسلطان العادل،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عُدِم السلطان العادل في ما ذكرناه من هذه الأبواب، كان للفقهاء أهل الحقّ العدول من ذوي الرأي والعقل الفضل أن يتولّوا ما تولّاه السلطان</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فعلى حسب رأيه أنّ الفقيه المتّصف بهذه الأوصاف سيتولّى في عصر الغيبة، جميع ما يتولّاه الإمام المعصوم ولا شك في أنّ تمكنه من تولّي الأمور ثابت بالنصّ والتنصيب الشرعي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إنّه في البحث عن إقامة الحدود يرى أنّ سلطان الإسلام منصوب من قبل الله تعالى، وقد فوّضوا النّظر فيه إلى فقهاء شيعتهم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يصرّح بأنّ للفقهاء منشيعة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يقضوا بالحقّ، ويفعلوا جميع ما جُعِل للقضاة في الإسلام لأنّ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فوّضوا إليهم ذلك</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إنّ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كلمته الأخيرة في هذا المجال يعلن بالصراحة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لم يصلح للولاية على الناس لجهلٍ بالأحكام، أو عجزٍ عن القيام بما يُسنَد إليه من أمور الناس، فلا يحلّ له التعرّض لذلك، والتكلّف له فإنّ تكَلَّفَه فهو عاصٍ غير مأذون له </w:t>
      </w:r>
    </w:p>
    <w:p>
      <w:pPr>
        <w:pStyle w:val="BookText"/>
        <w:rPr/>
      </w:pPr>
      <w:r>
        <w:rPr>
          <w:rFonts w:ascii="Amiri" w:hAnsi="Amiri" w:eastAsia="Amiri" w:cs="Amiri"/>
          <w:color w:val="111111"/>
          <w:sz w:val="28"/>
          <w:sz w:val="28"/>
          <w:szCs w:val="28"/>
          <w:rtl w:val="true"/>
          <w:lang w:bidi="ar-SA"/>
        </w:rPr>
        <w:t>فيه من جهة صاحب الأمر الذي إليه الولايات</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فالشيخ المفيد يرى أنّ فقهاء الطائفة قد أُذِن لهم من قِبَل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يتولّوا أمر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يظهر أنّ كلام هذا الفقيه العظيم واضحُ الدلالة على أن الفقيه العدل الإماميّ مأذون في زمن الغيبة من قبل صاحب الأمر في أن يلي أمر الأمّة، ويفعل بهم ما يجب أن يفعله وليّ الأمر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يفتي بوضوح بأنّ الفقيه المذكور وليّ أمر الأمّة بالنصّ الشرعي والتنصيب الإلهي</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أبو الصلاح تقيّ الدين بن نجم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قدماء أصحابنا ممّن عاصر الشيخ المفيد، ومن تلامذة الشريف المرتضى والشيخ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في الفصول المختصّة بحقوق الأموال</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حينما يصل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جهة هذه الحقوق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كل من تعيّن عليه فرض زكاة أو فطرة أو خمس أو أنفال أن يخرِج ما وجب عليه من ذلك إلى سلطان الإسلام المنصوب من قبله سبحانه، أو إلى من ينصِّبه لقبض ذلك من شيعته ليضعه مواضعه، فإن تعذّر الأمران فإلى الفقيهالمأمون</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فعلى حسب رأيه في عصر الغيبة تحمل الحقوق الواجبة في الأموال إلى الفقيه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في فصل خاصّ لتنفيذ الأحكام، بعد بيان رأيه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تنفيذ الأحكام الشرعية والحكم بمقتضى التعبّد فيها من فروض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المختصّة بهم دون من عداهم ممّن لم يؤهِّلوه لذلك</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إلى فرض تعذّر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عصر الغيبة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تعذّر تنفيذها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وبالمأهول لها من قبلهم </w:t>
      </w:r>
    </w:p>
    <w:p>
      <w:pPr>
        <w:pStyle w:val="BookText"/>
        <w:rPr/>
      </w:pPr>
      <w:r>
        <w:rPr>
          <w:rFonts w:ascii="Amiri" w:hAnsi="Amiri" w:eastAsia="Amiri" w:cs="Amiri"/>
          <w:color w:val="111111"/>
          <w:sz w:val="28"/>
          <w:sz w:val="28"/>
          <w:szCs w:val="28"/>
          <w:rtl w:val="true"/>
          <w:lang w:bidi="ar-SA"/>
        </w:rPr>
        <w:t>لأحد الأسباب؛ لم يَجُز لغير شيعتهم تولّي ذلك، ولا التحاكم إليه ولا التوصّل بحكمه إلى الحقّ ولا تقليده الحكم مع الاختيار، ولا لمن لم يتكامل له شروط النائب عن الإمام في الحكم من شيعته،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بالحق في الحكم المردود إليه، والتمكّن من إمضائه على وجهه، واجتماع العقل والرأي، وسعة الحلم، والبصيرة بالوضع، وظهور العدالة، والورع، والتدين بالحكم، والقوة على القيام به ووضعه مواضعه</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وهذا البيان صريحٌ في أنّ الفقيه الجامع للشروط نائب عن إمام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تنفيذ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بعد ذكر أدلّته لشروط النيابة عن الحجة، يأتي إلى النتيجة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فمتى تكاملت هذه الشروط فقد أُذِن له في تقلّد الحكم وإن كان مقلِّده ظالماً متغلِّباً، وعليه متى عرض لذلك أن يتولّاه، لكون هذه الولاية أمرًا بمعروف ونهيًا عن منكر تعيّن فرضها بالتعريض للولاية عليه، وإن كان في الظاهر من قبل المتغلِّب، فهو نائبٌ عن وليّ الأمر في الحكم ومأهولٌ له لثبوت الإذن منه وآبائهم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المصدر ويبدو أنّ الصحيح ومن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بصفته في ذلك، ولا يحلّ له القعود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كلامه أخيرًا يشرح وظيفة المؤمنين في تلك الظروف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وإخوانه في الدين مأمورون بالتحاكم وحمل حقوق الأموال إليه والتمكين من أنفسهم لحدٍّ أوتأديبٍ تعيّن عليهم، لايحلّ لهم الرغبة عنه ولاالخروج عن حكمه، وأهل الباطل محجوجون بوجود من هذه صفته مكلّفون الرجوع إليه</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التأمل في كلامه في الفصول الخاصّة بحقوق الأموال والفصول المخصّصة للبحث في تنفيذ الأحكام يكشف عن أنّ نصّ عليه أستاذه الشيخ المفيد من كون الفقيه نائبًا عن الإمام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تنفيذ الأحكام الشرعية الإلهية وحمل حقوق الأموال من الزكاة والخمس والأنفال إليه وإقامة الحدود وغيرها، ولا شك في أنّ تولية هذه الأمور تدلّ على أن له الولاية على </w:t>
      </w:r>
    </w:p>
    <w:p>
      <w:pPr>
        <w:pStyle w:val="BookText"/>
        <w:rPr/>
      </w:pPr>
      <w:r>
        <w:rPr>
          <w:rFonts w:ascii="Amiri" w:hAnsi="Amiri" w:eastAsia="Amiri" w:cs="Amiri"/>
          <w:color w:val="111111"/>
          <w:sz w:val="28"/>
          <w:sz w:val="28"/>
          <w:szCs w:val="28"/>
          <w:rtl w:val="true"/>
          <w:lang w:bidi="ar-SA"/>
        </w:rPr>
        <w:t xml:space="preserve">الأمّة بالنصّ الشرعي ونصب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هذا بباب القضاء وما هو وظيفة القاضي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ممّا ذكره المحقق أبو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ما ذكره المحقق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الثاني علي بن الحسين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رأيه في مجال البحث عن كيفية تعيين الفقيه وليًّا للأمر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اتفق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الفقيه العدل الإمامي الجامع لشرائط الفتوى، المعبر عنه بالمجتهد في الأحكام الشرعية نائب من قبل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حال الغيبة في جميع ما للنيابة فيه 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استثنى الأصحاب القتل والحدود مطلقًا، فيجب التحاكم إليه، والانقياد إلى حكمه، وله أن يبيع مال الممتنع من أداء الحقّ إن احتيج إليه، ويلي أموال الغيّاب والأطفال والسفهاء والمفلسين، ويتصرف على المحجور عليهم، إلى آخر ما يثبت للحاكم المنصوب من قبل الإمام</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فيرى المحقّق الكركي أنّ مسألة نيابة الفقيه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الغيبة نيابةٌ مطلقةٌ من المسائل المتفق عليها بين أصحابنا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الفقيه جُعِل حاكمًا مطلقًا من قبل الإمام وبالتنصيب والنصّ الشرعي ولا شك في أنّ استثناء إقامة الحدود أو القتل لا يضرّ بالمدّعى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الفاضل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المولى محمد أحمد النراقي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عوائد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العائدة التي عقدها لبيان ولاية الحاكم وما لَه فيه الولاية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كان للنبيّ والإمام الذين </w:t>
      </w:r>
    </w:p>
    <w:p>
      <w:pPr>
        <w:pStyle w:val="BookText"/>
        <w:rPr/>
      </w:pPr>
      <w:r>
        <w:rPr>
          <w:rFonts w:ascii="Amiri" w:hAnsi="Amiri" w:eastAsia="Amiri" w:cs="Amiri"/>
          <w:color w:val="111111"/>
          <w:sz w:val="28"/>
          <w:sz w:val="28"/>
          <w:szCs w:val="28"/>
          <w:rtl w:val="true"/>
          <w:lang w:bidi="ar-SA"/>
        </w:rPr>
        <w:t>هم سلاطين الأنام وحصون الإسلام فيه الولاية وكان لهم؛ فللفقيه أيضًا ذلك، إلّا ما أخرجه الدليل من إجماع أو نصّ أو غيرهما</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ولا يخفى أنّ كلام الفاضل النراقي صريحٌ في أنّ الولاية للفقيه ثابتة في كلّ ما هو ثابت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الولاية والزعامة إلا ما استُثنِي وهذه الولاية ثابتةٌ بالتننصيب والنصّ الشرعي بلا 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وينصّ المحقّق الباهر الشيخ حسن النجفي الشهير بصاحب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الموسوعة الفقهيّة الكبيرة ، في خاتمة البحث عن الحدود وإقامتها في عصر الغيبة، على حقيقة الأمر في المسألة بوضوح وصراحة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عموم الولاية لبقيَ كثيرٌ من الأمور المتعلّقة بشيعتهم معطّلة، فمن الغريب وسوسة بعض الناس في ذلك، بل كأنّه ما ذاق من طعم الفقه شيئًا، ولا فَهِم من لحن قولهم ورموزهم أمرًا، ولا تأمّل المراد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جعلتُه عليكم حاكمًا وقاضيًا وحجةً وخليفةً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 ممّا يظهر منه إرادة نظم زمان الغيبة لشيعتهم في كثير من الأمور الراجعة إليهم</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فالأمر في المسألة بالنسبة إلى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درجة عاليةٍ من الوضوح، فهو يعبِّر عن رأيه بصراحة في أنّ الولاية الثابتة للفقيه ثابتةٌ بالنصّ الشرعيّ والجعل الإلهيّ الذي كشف عنه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المحقق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حسين الطباطبائي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إثباته ولاية الفقيه وتجويزه تصدّيه للأمور الاجتماعية والسياسية بدليلٍ خاصٍّ، يمكن عدّه من ابتكاراته، يرتّب دليله على طريقة القياس الاستثنائي المؤلّف من قضية منفصلة حقيقية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أنّه لم ينصِبِ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لهذه الأمور العامّة البلوى وأهملوها، وإمّا أنّهم نصبوا الفقيه لها؛ لكنّ الأوّل باطلٌ فثبتَ الثاني</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وهذا الكلام واضح الدلالة على أنّ ثبوت الولاية للفقيه بتنصيب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القائد الكبير للثورة الإسلامية والمؤسس العظيم للجمهورية الإسلامية في إيران، في بحثه عن ولاية الفقيه، بعد تسديده لأركان ولاية الفقيه وتشييده لجوانبها المختلفة، في مقام بيان نتائج البحث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فللفقيه العادل جميع ما للرسول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يرجع إلى الحكومة والسياسة، ولا يعقل الفرق؛ لأنّ الوالي، أيّ شخص كان، هو المجرِي لأحكام الشريعة، والمقيم للحدود الإلهية، والآخذ للخراج وسائر الضرائب، والمتصرّف فيها بما هو صلاح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الزاني مئة جلدة، والإمام كذلك، والفقيه كذلك، ويأخذون الصدقات بمنوالٍ واحد، ومع اقتضاء المصالح يأمرون الناس بالأوامر التي للوالي،وتجب إطاعتهم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فولاية الفقيه بعد تصوّر أطراف القضيّة، ليست أمراً نظريًّا يحتاج إلى برهان، ومع ذلك دلّت عليها بهذا المعنى الوسيع روايات</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مطلع بحثه في كتابه المسمّى بالحكومة الإسلامية يعتقد أيضًا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الفقيه فكرة عملية واضحة، قد لا تحتاج إلى برهان بمعنى أنّ من عرف الإسلام أحكامًا وعقائد يدرك بداهتها؛ ولكنّ وضعَ المجتمع الإسلامي ووضع مجامعنا العلميّة على وجه الخصوص، يضع هذا الموضوع بعيدًا عن الأذهان، حتى لقد عاد اليوم بحاجة إلى البرهان</w:t>
      </w:r>
      <w:r>
        <w:rPr>
          <w:rFonts w:eastAsia="Amiri" w:cs="Amiri" w:ascii="Amiri" w:hAnsi="Amiri"/>
          <w:color w:val="111111"/>
          <w:sz w:val="28"/>
          <w:szCs w:val="28"/>
          <w:rtl w:val="true"/>
          <w:lang w:bidi="ar-SA"/>
        </w:rPr>
        <w:t>».</w:t>
      </w:r>
      <w:r>
        <w:rPr>
          <w:rStyle w:val="FootnoteAnchor"/>
          <w:rtl w:val="true"/>
        </w:rPr>
        <w:footnoteReference w:id="253"/>
      </w:r>
      <w:bookmarkStart w:id="500" w:name="pg8686_123968"/>
    </w:p>
    <w:p>
      <w:pPr>
        <w:pStyle w:val="BookText"/>
        <w:rPr/>
      </w:pPr>
      <w:bookmarkEnd w:id="500"/>
      <w:r>
        <w:rPr>
          <w:rFonts w:ascii="Amiri" w:hAnsi="Amiri" w:eastAsia="Amiri" w:cs="Amiri"/>
          <w:color w:val="111111"/>
          <w:sz w:val="28"/>
          <w:sz w:val="28"/>
          <w:szCs w:val="28"/>
          <w:rtl w:val="true"/>
          <w:lang w:bidi="ar-SA"/>
        </w:rPr>
        <w:t xml:space="preserve">فكلام قائد الثورة ومحيي الشريعة في القرن الأخير ومشيِّد أركان ولاية الفقيه، في مقام بيان فكرته حول هذه المسألة يرى أنّ صلاحيات الفقيه وشعاع دائرة حكمه لا يختلف عن حدود صلاحيّات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فله الولاية المطلقة المحقّقة بالنصّ الشرعي وتنصيب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أنّنا قد ذكرنا في هذه المسألة سبعةَ أقوالٍ من أساطين الفقاهة كنموذج للتعرّف على الرأي السائد في المقام وعلى هذا الأساس وبعد تتبّع كلمات الأصحاب والتأمّل في مغزاها يظهر ويتّضح أنّ رأي أركان الفقه الإسلامي ورموزه في ولاية الفقيه يدور حول النصب العامّ للفقهاء وإثبات النصّ الشرعي لولايتهم، وأنّ الولاية والإمامة تنعقد لهم بالتعيين الإلهي</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2517630_653776707"/>
      <w:bookmarkStart w:id="502" w:name="_Toc191"/>
      <w:bookmarkEnd w:id="501"/>
      <w:r>
        <w:rPr>
          <w:rtl w:val="true"/>
        </w:rPr>
        <w:t>المسألة الثالثة</w:t>
      </w:r>
      <w:r>
        <w:rPr>
          <w:rtl w:val="true"/>
        </w:rPr>
        <w:t>:</w:t>
      </w:r>
      <w:r>
        <w:rPr>
          <w:rtl w:val="true"/>
        </w:rPr>
        <w:t xml:space="preserve">دراسة أدلة التنصيب العام للفقيه الجامع للشروط </w:t>
      </w:r>
      <w:r>
        <w:rPr>
          <w:rtl w:val="true"/>
        </w:rPr>
        <w:t>(</w:t>
      </w:r>
      <w:r>
        <w:rPr/>
        <w:t>1</w:t>
      </w:r>
      <w:r>
        <w:rPr>
          <w:rtl w:val="true"/>
        </w:rPr>
        <w:t>)</w:t>
      </w:r>
      <w:bookmarkEnd w:id="502"/>
    </w:p>
    <w:p>
      <w:pPr>
        <w:pStyle w:val="Heading5"/>
        <w:numPr>
          <w:ilvl w:val="4"/>
          <w:numId w:val="1"/>
        </w:numPr>
        <w:rPr/>
      </w:pPr>
      <w:bookmarkStart w:id="503" w:name="__RefHeading___Toc2517632_653776707"/>
      <w:bookmarkStart w:id="504" w:name="_Toc192"/>
      <w:bookmarkEnd w:id="503"/>
      <w:r>
        <w:rPr/>
        <w:t>1</w:t>
      </w:r>
      <w:r>
        <w:rPr>
          <w:rtl w:val="true"/>
        </w:rPr>
        <w:t xml:space="preserve">) </w:t>
      </w:r>
      <w:r>
        <w:rPr>
          <w:rtl w:val="true"/>
        </w:rPr>
        <w:t>دليل الإجماع</w:t>
      </w:r>
      <w:bookmarkEnd w:id="504"/>
    </w:p>
    <w:p>
      <w:pPr>
        <w:pStyle w:val="BookText"/>
        <w:rPr/>
      </w:pPr>
      <w:r>
        <w:rPr>
          <w:rFonts w:ascii="Amiri" w:hAnsi="Amiri" w:eastAsia="Amiri" w:cs="Amiri"/>
          <w:color w:val="111111"/>
          <w:sz w:val="28"/>
          <w:sz w:val="28"/>
          <w:szCs w:val="28"/>
          <w:rtl w:val="true"/>
          <w:lang w:bidi="ar-SA"/>
        </w:rPr>
        <w:t xml:space="preserve">من الأدلّة المستدلّ بها لإثبات ولاية الفقيه بالنصب الإلهي هو الإجماع، فمن اللازم أوّلًا الإشارة إلى الإجماعات المذكورة في كتب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دراستها وتقويمها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في بيان الإجماعات المذكورة للنصب العامّ</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أعلاه أنّ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اتفق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الفقيه العدل الإمامي الجامع لشرائط الفتوى، المُعبَّر عنه بالمجتهد في الأحكام الشرعية نائبٌ من قبل 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حال الغيبة في جميع ما للنيابة فيه مدخلٌ وربّما استثنى الأصحاب القتل والحدود مطلقا</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أنّ كلامه هذا ظاهرٌ في ادّعاء الاتفاق والإجماع على أنّ الفقيه </w:t>
      </w:r>
    </w:p>
    <w:p>
      <w:pPr>
        <w:pStyle w:val="BookText"/>
        <w:rPr/>
      </w:pPr>
      <w:r>
        <w:rPr>
          <w:rFonts w:ascii="Amiri" w:hAnsi="Amiri" w:eastAsia="Amiri" w:cs="Amiri"/>
          <w:color w:val="111111"/>
          <w:sz w:val="28"/>
          <w:sz w:val="28"/>
          <w:szCs w:val="28"/>
          <w:rtl w:val="true"/>
          <w:lang w:bidi="ar-SA"/>
        </w:rPr>
        <w:t xml:space="preserve">بحكم النائب بالنيابة العامّة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شرعًا للولاية والإمامة لأنّ الولاية من الأمور الّتي يكون للنيابة فيها مدخل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بهذا الإجماع استثناء القتل والحدود، فإنّ الولاية نيابةٌ عن المعصوم شيءٌ، واستثناء بعض الأمور من هذه النيابة العامّة لدليلٍ خاصٍّ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الولاية لا تتقوّم بإقامة الحدود والعقوبات التي تصل إلى حدّ القتل، فليس هذان الأمران جزءًا مقوّمًا للولاية، بحيث تنتفي بانتفائهما، نعم القتل قصاصًا ودفاعًا عن حياض الإسلام وسدًّا لأبواب الفساد، ومنعًا لاختلال النظام من الأمور الضروريذة لإقامة الحكم وولاية الأمر، ولا شك في أنّه لا مجال لأحد أن يخالفه فكيف بالفقيه؟فالمراد من استثناء القتل، بعض أفراد القتل المرتبط بالحدود وما شابهه لا جميع أنواع العقوبات التي تصل إلى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فعقوبة القتل في بعض الحالات لا شبهة في شرعيتها، كما إنّ دفع المنكر والفساد والمعاصي عن المجتمع من ضروريّات الحكم، ولا ينافي هذا مخالفة فقيه، لشرعية إقامة الحدود في عصر الغيبة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يظهر جواب ما أورد على الإجماع المذكور في كلمة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إرشاد الأذهان، إلى أنّ للفقيه الجامع لشرائط الإفتاء وهي العدالة والمعرفة بالأحکام الشرعیة عن أدلّتها التفصیلیة إقامة الحدود والحكم بين الناس بمذهب أهل الحق</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المحقّق المولى أحمد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شرحه لهذا الكلام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إشارةٌ إجمالیة إلى شرایط الاجتهاد وإجراء الأحکام وإقامة الحدود وللمجتهد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لا خلاف في جواز الفتوى والحكم له؛ بل في وجوبهما عليه ويؤيّده مقبولةُ عمر بن حنظلة وأبي خديجة</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ففي هذ الكلام يصرّح المحقق الأردبيلي بوجوب الفتوى والحكم للفقيه الجامع فهو بالنصّ والتنصيب يتصدّى لمنصب إجراء الأحكام وتنفيذها ولا يخفى أنّ إطلاق الحكم وخاصّة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إجراء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يشمل الولاية ولا يختص بمنصب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 يختصّ بمنصب القضاء فقط وشموله لموضع النزاع محلّ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الفاضل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نقلنا عنه في 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كل ما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فيه الولاية، كان للفقيه أيضًا ذلك إلّا ما أخرجه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الاستدلال على هذا المدّعى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فالدليل عليه بعدَ ظاهرِ الإجماع؛ حيث نصّ به كثير من الأصحاب بحيث يظهر منهم كونه من المسلمات، ما صرّحت به الأخبار</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فالتأمّل في كلامه يبيّن أنّ أوّل دليلٍ يدلّ على ثبوت الولاية المطلقة والإمامة العامّة للفقيه هو الإجماع الذي صرّح به كثير من الأصحاب، فكأنّه يدّعي أنّ هذ الإجماع في كلمات الأصحاب قد بلغ إلى حدّ الاستفاضة، وارتقي إلى رتبة المسلّمات والضروريّات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معقد هذا الإجماع، وهذا الأصل الضروري والقاعدة المسلّمة الفقهية، هو ثبوت الولاية بالنصب والنص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المحقق السيد مير عبد الفتاح الحسيني المراغي في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المدوّن لبيان القواعد الفقهية يخصّص العنوان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لولاية الحاكم الشرعي وفي مقام الاستدلال لهذه الولاية،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الأدلّة الدالّة على ولاية الحاكم الشرعي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المحصل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ومراده من هذا الإجماع كما بيّنه في كتابه، الإجماع على القاعدة، بمعنى انعقاد الإجماع على أنّ كلّ مقام لا دليل فيه على ولاية غير الحاكم فالحاكم وليٌّ له، كالإجماع على أصالة الطهارة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الإجماع واضح لمن تتبع كلمات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الإجماع في كلامهم على كون الحاكم وليًّا في ما لا دليل فيه على ولاية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الإجماع في كلامهم على هذا المعنى لعلّه مستفيضٌ في كلامهم</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فهذا الفقيه المحقّق بعد تبنّيه عموم ولاية الحاكم الشرعي، يثبت هذا العموم بالإجماع المحصّل بالتتبع في كلمات الأصحاب والإجماع المنقول في كلماتهم الذي يحتمل وصوله إلى حدّ الاستفاضة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فعموم ولاية الحاكم كقاعدة فقهية عامّة كلية قد قام عليه الإجماع المسلّم بكلا قسميه؛ الإجماع المحصل والإجماع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 مراده من الحاكم الشرعيّ هو الفقيه الجامع للشروط، ولا ريب في أنّ هذه الولاية ثابتةٌ معيّنةٌ له بنصب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الشرعي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يرى الشیخ محمد حسن النجفي المعروف بصاحب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مسألة ثبوت الولاية العامّة للفقيه من الواضحات الفقهية التي لا تحتاج إلى أدلّة </w:t>
      </w:r>
      <w:r>
        <w:rPr>
          <w:rStyle w:val="FootnoteAnchor"/>
          <w:rtl w:val="true"/>
        </w:rPr>
        <w:footnoteReference w:id="259"/>
      </w:r>
      <w:r>
        <w:rPr>
          <w:rFonts w:ascii="Amiri" w:hAnsi="Amiri" w:eastAsia="Amiri" w:cs="Amiri"/>
          <w:color w:val="111111"/>
          <w:sz w:val="28"/>
          <w:sz w:val="28"/>
          <w:szCs w:val="28"/>
          <w:rtl w:val="true"/>
          <w:lang w:bidi="ar-SA"/>
        </w:rPr>
        <w:t>و لا ريب في أنّ عدّ المسألة من الواضحات أقوى وأهمّ من ادعاء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قد أشير إلى هذا الإجماع في كلمات بعضٍ آخر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وطلبًا للاختصار، ورغبة في عدم الإطالة، نكتفي بذكر أسمائهم بعضهم، وهم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الفاضل الدربندي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 الأحكام</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 المحقق رضا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الخمس</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 المحقق محمد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الفقيه</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 الشيخ محمد تقي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في ولاية الحاكم الفقيه</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ثانيًا دراسة الإجماعات وتقويمها</w:t>
      </w:r>
    </w:p>
    <w:p>
      <w:pPr>
        <w:pStyle w:val="BookText"/>
        <w:rPr/>
      </w:pPr>
      <w:r>
        <w:rPr>
          <w:rFonts w:ascii="Amiri" w:hAnsi="Amiri" w:eastAsia="Amiri" w:cs="Amiri"/>
          <w:color w:val="111111"/>
          <w:sz w:val="28"/>
          <w:sz w:val="28"/>
          <w:szCs w:val="28"/>
          <w:rtl w:val="true"/>
          <w:lang w:bidi="ar-SA"/>
        </w:rPr>
        <w:t>ممّا ذكرناه أعلاه في المقام الأوّل تعرّفنا إلى الإجماعات المذكورة والمدّعاة لإثبات التنصيب العامّ للفقيه، وقد عرفنا أنّ الإجماع بقسميه ثابتٌ لعموم ولاية الفقيه كقاعدة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 ذكر في كلمات القوم لعلّه يبلغ حدَّ الاستفاضة وتعرّفنا على أن المسألة في كلماتهم تعدّ من المسلّمات والواضحات التي لا نحتاج إلى الأدلة لإثباتها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قد أُورِد على ادّعاء الإجماع بعض الإيرادات والملاحظات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كيف يمكن دعوى الإجماع مع مخالفة بعض الفقهاء، في الفتوى المدّعى الإجماع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الإجماع المدّعى مذكورٌ في كلمات المتأخّرين كالمحقق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في كلمات القدماء فلا قيمة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هذا الإجماع مدركيٌّ 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التخلّص من هذه الإيرادات بأمور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مخالفة بعض الفقهاء لها، ليست في أصل المسألة؛ بل لو كانت فإنها هي في حدود الصلاحيات؛ وإلّا فالكلّ متّفقون ومجمعون على ثبوت </w:t>
      </w:r>
    </w:p>
    <w:p>
      <w:pPr>
        <w:pStyle w:val="BookText"/>
        <w:rPr/>
      </w:pPr>
      <w:r>
        <w:rPr>
          <w:rFonts w:ascii="Amiri" w:hAnsi="Amiri" w:eastAsia="Amiri" w:cs="Amiri"/>
          <w:color w:val="111111"/>
          <w:sz w:val="28"/>
          <w:sz w:val="28"/>
          <w:szCs w:val="28"/>
          <w:rtl w:val="true"/>
          <w:lang w:bidi="ar-SA"/>
        </w:rPr>
        <w:t>الولاية للفقيه في الأمور الحسبية، أو جواز تصرّفه فيها من باب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إقامة الدولة وتأسيس نظام الحكم الإسلامي من أهم الأمور الحسبية بل في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ما يُرى من سيرتهم العملية من الالتزام بولاية الفقيه ولوازمها من أخذ أموال الإمام وصرفها في مصارفها، وتولية أمور من لا ولّي له وسائر الأمور الحسبية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فالرأي المخالف غير ثابتٍ في المسألة، وبذلك تتمّ شروط التمسك بالإجماع الحدسي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الإجماع أو ادّعاؤه وإن كان مطروحًا في كلمات متأخِّري المتأخِّرين؛ ولكن أصل الفكرة يمتدّ بامتداد تاريخ الشيعة الإماميّة، وقد ذكرنا سابقًا قولي الشيخ المفيد وأبي الصلاح الحلبي من القدماء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أنّ المسألة من المسائل العريقة في فقه الإمامية؛ بل تعدّ امتدادًا لمسألة إمامة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وولايتهم في عصر الغيبة، حتى لا يترك المجتمع الإسلامي بلا راعٍ ولا ولي أمرٍ، يدافع عنهم ويجمع شملهم نيابة عامّة عن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هذا الإجماع بأنّه مدركيٌّ هو ادّعاء قابلٌ للمناقشة صغرويًّا وكبرويًّا؛ لأنّه لا مبرِّر للحكم على هذا الإجماع بأنّه مدركيٌّ؛ بملاحظة أنّ هذا الإجماع يختلف عن سائر الإجماعات، فإنّه ليس إجماعًا على حكم فرعي فقط؛ بل هو إجماعٌ على القاعدة العامّة الفقهية، بل هو أمرٌ يعدّ من الواضحات عند الإمامية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 لا يمكن القول بعدم اعتبار الإجماع المدركيّ ونفي حجيته مطلقًا، مع احتمال أنّ المدرك الموجود بيد المجمعين قد كان محفوفًا بقرائن خاصة عندهم لكونهم قريبي العصر إلى زمن المعصوم، وبناء على تلك القرائن أجمعوا على أمرٍ اشتبه علينا، لأجل خفاء القرائن، ولكن بما </w:t>
      </w:r>
      <w:bookmarkStart w:id="505" w:name="pg8686_123988"/>
    </w:p>
    <w:p>
      <w:pPr>
        <w:pStyle w:val="BookText"/>
        <w:rPr/>
      </w:pPr>
      <w:bookmarkEnd w:id="505"/>
      <w:r>
        <w:rPr>
          <w:rFonts w:ascii="Amiri" w:hAnsi="Amiri" w:eastAsia="Amiri" w:cs="Amiri"/>
          <w:color w:val="111111"/>
          <w:sz w:val="28"/>
          <w:sz w:val="28"/>
          <w:szCs w:val="28"/>
          <w:rtl w:val="true"/>
          <w:lang w:bidi="ar-SA"/>
        </w:rPr>
        <w:t>أنّ اتفاق الاصحاب وإجماعهم انعقد على حكمٍ أو قاعدة مستفادة من تلك الأدلة فإذا كان الإجماع المدركيّ واجدًا لسائر شروط الاعتبار، والحجية لا نتركه بمجرد ادّعاء كونه مدركيًّا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هو فهم الفقهاء على امتداد التاريخ، وخاصّة فهم القدماء منهم واستظهارهم من الأدلّة وتفسيرهم لها ولمفرداتها ممّا يعين الفقيه ويساعده على فهم مغزى كلام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تساعد على إثباته سيرة العقلاء أيضًا، فإنّه إذا كانت هناك ظاهرة بحاجة إلى التفسير والشرح، فالعقلاء ينظرون إلى تفسير الآخرين من أهل الخبرة والتخصص فيها، وهذا ما نراه في معطيات العلوم في الفحوصات الطبيّة والفيزيائيّة والنجوم وغيرها فاستظهار أهل الخبرة للقضايا والحوادث وشرحهم وتفسيرهم لها من الأمور المساعدة للوصول إلى حدّ الاطمئنان والاعتبار والحجية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مسألة التنصيب العام للفقيه وإن سلّمنا مدركية الإجماع؛ ولكن فهم المجمعين للروايات والأدلّة وخاصة قريبي العهد إلى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يشكِّل قرينة للاستظهار من الأخبار والأدلّة، فهؤلاء المجمعون وأهل الخبرة لقرب عصرهم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لفهمهم ورموزهم ورواياتهم ومنهجهم ومدرستهم حينما أجمعوا على تفسير الروايات وفهموا فهمًا معينًا لها، فهذا قد يحقق قرينة لدفع الشبهة عن تلك الروايات وتبديلها من التشابه إلى الإحكام، والله العالم</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2517634_653776707"/>
      <w:bookmarkStart w:id="507" w:name="_Toc193"/>
      <w:bookmarkEnd w:id="506"/>
      <w:r>
        <w:rPr>
          <w:rtl w:val="true"/>
        </w:rPr>
        <w:t>المسألة الرابعة</w:t>
      </w:r>
      <w:r>
        <w:rPr>
          <w:rtl w:val="true"/>
        </w:rPr>
        <w:t xml:space="preserve">: </w:t>
      </w:r>
      <w:r>
        <w:rPr>
          <w:rtl w:val="true"/>
        </w:rPr>
        <w:t xml:space="preserve">دراسة أدلّة التنصيب العام للفقيه الجامع للشروط </w:t>
      </w:r>
      <w:r>
        <w:rPr>
          <w:rtl w:val="true"/>
        </w:rPr>
        <w:t>(</w:t>
      </w:r>
      <w:r>
        <w:rPr/>
        <w:t>2</w:t>
      </w:r>
      <w:r>
        <w:rPr>
          <w:rtl w:val="true"/>
        </w:rPr>
        <w:t>)</w:t>
      </w:r>
      <w:bookmarkEnd w:id="507"/>
    </w:p>
    <w:p>
      <w:pPr>
        <w:pStyle w:val="Heading5"/>
        <w:numPr>
          <w:ilvl w:val="4"/>
          <w:numId w:val="1"/>
        </w:numPr>
        <w:rPr/>
      </w:pPr>
      <w:bookmarkStart w:id="508" w:name="__RefHeading___Toc2517636_653776707"/>
      <w:bookmarkStart w:id="509" w:name="_Toc194"/>
      <w:bookmarkEnd w:id="508"/>
      <w:r>
        <w:rPr/>
        <w:t>2</w:t>
      </w:r>
      <w:r>
        <w:rPr>
          <w:rtl w:val="true"/>
        </w:rPr>
        <w:t xml:space="preserve">) </w:t>
      </w:r>
      <w:r>
        <w:rPr>
          <w:rtl w:val="true"/>
        </w:rPr>
        <w:t>دليل العقل</w:t>
      </w:r>
      <w:bookmarkEnd w:id="509"/>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الإلهية وعدم شرعية ولاية الجاهل</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الإذعان بالحكمة الإلهية والإقرار بأنّه تعالى حكيمٌ قديرٌ فمن المحال أن يجعل الجاهل والعاجز والضعيف والفاسق والظالم واليًا على المسلمين وحاكمًا على أموالهم وأنفسهم وأعراضهم؛ لمنافاته مع حكمته تعالى، فلا شك في أنّ </w:t>
      </w:r>
    </w:p>
    <w:p>
      <w:pPr>
        <w:pStyle w:val="BookText"/>
        <w:rPr/>
      </w:pPr>
      <w:r>
        <w:rPr>
          <w:rFonts w:ascii="Amiri" w:hAnsi="Amiri" w:eastAsia="Amiri" w:cs="Amiri"/>
          <w:color w:val="111111"/>
          <w:sz w:val="28"/>
          <w:sz w:val="28"/>
          <w:szCs w:val="28"/>
          <w:rtl w:val="true"/>
          <w:lang w:bidi="ar-SA"/>
        </w:rPr>
        <w:t>الجاهل والفاسق والضعيف خارج عن مدار الولاية وزعامة الأمور وهذا من المستقلّات العقلية التي لا غبار عليها ويؤيّدها القرآن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شك في أنّ الشرعية والحجية في جواز التصرف في البلاد والأعراض والأموال والنفوس تختصّ بالعالم بالأحكام الشرعية والكفء العادل، وإن الله تبارك وتعالى لا يرضى لعباده ولاية غير الفقيه الجامع للشرائط في عصر الغيبة وعدم بسط يد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منتخب الأمّة وقد بايعه الناس هذا من جانب عقد السلب وأمّا من جهة عقد الإيجاب فانظر إلى 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القياس الاستثنائي لاثبات نصب الفقيهإنّ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سابقاً، أقام برهانًا منطقيًّا على نهج القياس الاستثنائي لإثبات التنصيب العام للفقيه وبرهانُه متشكِّل من عدّة مقدّمات نذكرها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للمجتمع الإنساني حاجات اجتماعية لا يكون قضاؤها إلا على يد سائس المجتمع وقائده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الديانة المقدسة الإسلامية كما يظهر من التتبع في قوانينها ديانةٌ ممزوجةٌ ومختلطةٌ بالسياسة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يهمل الإسلام الحاجات الاجتماعية؛ بل شرّع أحكامًا كثيرة ذات علاقة بسياسة البلاد وتنظيم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سائس المسلمين بداية هو الذي وضع اللبنة الأساسيّة لإدارة المجتمع وهو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الخلفاء من بعده على رأي العامّة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الخاصّة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معتقد تابعي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الحوائج الاجتماعية والأمور السياسية تكون من حقوق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ويكونون هم المرجع لتلك الأمور في عصر الحضور وبسط أيديهم، وهذا كان من مرتكزات الإمامية وعلمائهم كأمثال زرارة ومحمد بن مسلم، فكانوا لا يرون الاعتبار والمرجعية لهذه الأمور إلا نفس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نصبوه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بعد هذه المقدمات الأربعة التي تُحسب من مباني هذا البرهان، نشير إلى متن البرهان بذكر بعض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الأمور السياسية والحاجات الاجتماعية، كانت محلًّا للابتلاء، وكانت مما لا بد منها؛ ولكن لم يكن الشيعة في عصر الحضور متمكنين من الرجوع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لتفرّقهم في البلاد وضغوط التقية وغيرها فلا محالة يحصل القطع بأنّهم </w:t>
      </w:r>
      <w:r>
        <w:rPr>
          <w:rFonts w:ascii="Amiri" w:hAnsi="Amiri" w:eastAsia="Amiri" w:cs="Amiri"/>
          <w:i/>
          <w:i/>
          <w:iCs/>
          <w:color w:val="111111"/>
          <w:sz w:val="28"/>
          <w:sz w:val="28"/>
          <w:szCs w:val="28"/>
          <w:rtl w:val="true"/>
          <w:lang w:bidi="ar-SA"/>
        </w:rPr>
        <w:t>وخاصة زرارة ومحمد بن مسلم وغيرهم من خواصّ الأئمة</w:t>
      </w:r>
      <w:r>
        <w:rPr>
          <w:rFonts w:ascii="Amiri" w:hAnsi="Amiri" w:eastAsia="Amiri" w:cs="Amiri"/>
          <w:color w:val="111111"/>
          <w:sz w:val="28"/>
          <w:sz w:val="28"/>
          <w:szCs w:val="28"/>
          <w:rtl w:val="true"/>
          <w:lang w:bidi="ar-SA"/>
        </w:rPr>
        <w:t xml:space="preserve"> كانوا يسألونهم عن المرجع وعن المنصوب لمثل تلك الأمور فيما لو لم يستطيعوا أن يلتقوا بالإمام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نستنتج من الأمر السابق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أهملوا هذا الأمر المهم؛ بل نصبوا للشيعة من يُرجع إليه حينما يكونون غير متمكِّنين من اللحوق بالإمام واللقاء به في عصر قبض اليد، وخاصة في عصر الغيبة التي كان طريق اللقاء واللحوق فيها مسدودًا، فهل من المحتمل أن يُنهى الشيعةُ عن الرجوع إلى الطاغوت وقضاة الجور، ومع ذلك يهمل لهم الأمر ولا يعيّن وينصّب لهم من يرجعون إليه في هذه الحوائج؟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يُستنتج من الأمرين السابقين أنّ الفقيه هو المعيّن والمنصوب لهذه الأمور والحوائج؛ إذ لم يقل أحدٌ بنصب غيره، بل من المحال أن ينصب غيره لمنافاته للحكمة فالأمر يدور بين عدم النصب وبين نصب الفقيه العادل، وإذا ثبت بطلان الأول يثبت صحة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قياس استثنائي مؤلَّف من قضية شرطية منفصلة حقيقية وقضية حملية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لم ينصبوا أحدًا أو نصبوه،</w:t>
      </w:r>
    </w:p>
    <w:p>
      <w:pPr>
        <w:pStyle w:val="BookText"/>
        <w:rPr/>
      </w:pPr>
      <w:r>
        <w:rPr>
          <w:rFonts w:ascii="Amiri" w:hAnsi="Amiri" w:eastAsia="Amiri" w:cs="Amiri"/>
          <w:color w:val="111111"/>
          <w:sz w:val="28"/>
          <w:sz w:val="28"/>
          <w:szCs w:val="28"/>
          <w:rtl w:val="true"/>
          <w:lang w:bidi="ar-SA"/>
        </w:rPr>
        <w:t>ولكنّ الأول باطلٌ؛ فالثاني صحيح</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المنصوب إمّا غير الفقيه أو الفقيه؛ لكن المقدم باطلٌ، فالتالي صحيح</w:t>
      </w:r>
      <w:r>
        <w:rPr>
          <w:rFonts w:eastAsia="Amiri" w:cs="Amiri" w:ascii="Amiri" w:hAnsi="Amiri"/>
          <w:color w:val="111111"/>
          <w:sz w:val="28"/>
          <w:szCs w:val="28"/>
          <w:rtl w:val="true"/>
          <w:lang w:bidi="ar-SA"/>
        </w:rPr>
        <w:t>.</w:t>
      </w:r>
      <w:r>
        <w:rPr>
          <w:rStyle w:val="FootnoteAnchor"/>
          <w:rtl w:val="true"/>
        </w:rPr>
        <w:footnoteReference w:id="265"/>
      </w:r>
      <w:bookmarkStart w:id="510" w:name="pg8686_123997"/>
    </w:p>
    <w:p>
      <w:pPr>
        <w:pStyle w:val="BookText"/>
        <w:rPr/>
      </w:pPr>
      <w:bookmarkEnd w:id="510"/>
      <w:r>
        <w:rPr>
          <w:rFonts w:ascii="Amiri" w:hAnsi="Amiri" w:eastAsia="Amiri" w:cs="Amiri"/>
          <w:color w:val="111111"/>
          <w:sz w:val="28"/>
          <w:sz w:val="28"/>
          <w:szCs w:val="28"/>
          <w:rtl w:val="true"/>
          <w:lang w:bidi="ar-SA"/>
        </w:rPr>
        <w:t xml:space="preserve">نتيجة دليل العقل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الحكمة الإلهية تقتضي عدم شرعية ولاية الجاهل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العقليّ يدلّ على ضرورة تنصيب الفقيه</w:t>
      </w:r>
    </w:p>
    <w:p>
      <w:pPr>
        <w:pStyle w:val="Heading4"/>
        <w:numPr>
          <w:ilvl w:val="3"/>
          <w:numId w:val="1"/>
        </w:numPr>
        <w:rPr/>
      </w:pPr>
      <w:bookmarkStart w:id="511" w:name="__RefHeading___Toc2517638_653776707"/>
      <w:bookmarkStart w:id="512" w:name="_Toc195"/>
      <w:bookmarkEnd w:id="511"/>
      <w:r>
        <w:rPr>
          <w:rtl w:val="true"/>
        </w:rPr>
        <w:t>المسألة الخامسة</w:t>
      </w:r>
      <w:r>
        <w:rPr>
          <w:rtl w:val="true"/>
        </w:rPr>
        <w:t xml:space="preserve">: </w:t>
      </w:r>
      <w:r>
        <w:rPr>
          <w:rtl w:val="true"/>
        </w:rPr>
        <w:t xml:space="preserve">دراسة أدلّة التنصيب العامّ للفقيه الجامع الشروط </w:t>
      </w:r>
      <w:r>
        <w:rPr>
          <w:rtl w:val="true"/>
        </w:rPr>
        <w:t>(</w:t>
      </w:r>
      <w:r>
        <w:rPr/>
        <w:t>3</w:t>
      </w:r>
      <w:r>
        <w:rPr>
          <w:rtl w:val="true"/>
        </w:rPr>
        <w:t>)</w:t>
      </w:r>
      <w:bookmarkEnd w:id="512"/>
    </w:p>
    <w:p>
      <w:pPr>
        <w:pStyle w:val="Heading5"/>
        <w:numPr>
          <w:ilvl w:val="4"/>
          <w:numId w:val="1"/>
        </w:numPr>
        <w:rPr/>
      </w:pPr>
      <w:bookmarkStart w:id="513" w:name="__RefHeading___Toc2517640_653776707"/>
      <w:bookmarkStart w:id="514" w:name="_Toc196"/>
      <w:bookmarkEnd w:id="513"/>
      <w:r>
        <w:rPr/>
        <w:t>3</w:t>
      </w:r>
      <w:r>
        <w:rPr>
          <w:rtl w:val="true"/>
        </w:rPr>
        <w:t xml:space="preserve">) </w:t>
      </w:r>
      <w:r>
        <w:rPr>
          <w:rtl w:val="true"/>
        </w:rPr>
        <w:t>سيرة المتشرعة ومؤسسة الوكالة</w:t>
      </w:r>
      <w:bookmarkEnd w:id="514"/>
    </w:p>
    <w:p>
      <w:pPr>
        <w:pStyle w:val="Heading6"/>
        <w:numPr>
          <w:ilvl w:val="5"/>
          <w:numId w:val="1"/>
        </w:numPr>
        <w:rPr/>
      </w:pPr>
      <w:bookmarkStart w:id="515" w:name="__RefHeading___Toc2517642_653776707"/>
      <w:bookmarkStart w:id="516" w:name="_Toc197"/>
      <w:bookmarkEnd w:id="515"/>
      <w:r>
        <w:rPr>
          <w:rtl w:val="true"/>
        </w:rPr>
        <w:t>اشارة</w:t>
      </w:r>
      <w:bookmarkEnd w:id="516"/>
    </w:p>
    <w:p>
      <w:pPr>
        <w:pStyle w:val="BookText"/>
        <w:rPr/>
      </w:pPr>
      <w:r>
        <w:rPr>
          <w:rFonts w:ascii="Amiri" w:hAnsi="Amiri" w:eastAsia="Amiri" w:cs="Amiri"/>
          <w:color w:val="111111"/>
          <w:sz w:val="28"/>
          <w:sz w:val="28"/>
          <w:szCs w:val="28"/>
          <w:rtl w:val="true"/>
          <w:lang w:bidi="ar-SA"/>
        </w:rPr>
        <w:t>وممّا يؤيّد ذلك، بل من الأدلّة الدالّة على نصب الفقيه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المستمرة للمتشرعة ومؤسسة الوكالة وسنفصلهما في المبحثين الآتيين</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2517644_653776707"/>
      <w:bookmarkStart w:id="518" w:name="_Toc198"/>
      <w:bookmarkEnd w:id="517"/>
      <w:r>
        <w:rPr>
          <w:rtl w:val="true"/>
        </w:rPr>
        <w:t>المبحث الأول</w:t>
      </w:r>
      <w:r>
        <w:rPr>
          <w:rtl w:val="true"/>
        </w:rPr>
        <w:t xml:space="preserve">: </w:t>
      </w:r>
      <w:r>
        <w:rPr>
          <w:rtl w:val="true"/>
        </w:rPr>
        <w:t>سيرة المتشرعة والمرجعية</w:t>
      </w:r>
      <w:bookmarkEnd w:id="518"/>
    </w:p>
    <w:p>
      <w:pPr>
        <w:pStyle w:val="BookText"/>
        <w:rPr/>
      </w:pPr>
      <w:r>
        <w:rPr>
          <w:rFonts w:ascii="Amiri" w:hAnsi="Amiri" w:eastAsia="Amiri" w:cs="Amiri"/>
          <w:color w:val="111111"/>
          <w:sz w:val="28"/>
          <w:sz w:val="28"/>
          <w:szCs w:val="28"/>
          <w:rtl w:val="true"/>
          <w:lang w:bidi="ar-SA"/>
        </w:rPr>
        <w:t xml:space="preserve">أما السيرة فإنّ من المسلّم منذ عصر الحضور وصولًا إلى عصر الغيبة أنّ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يرجعون إلى الفقهاء في أمورهم السياسية والاجتماعية المحتاجة إلى التولية من الأمور الحسبية وغيرها ولا شك في أنّ تحقّق هذه السيرة القطعية بين المتشرعة كان بإشارة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وإشرافهم؛ لأنّ هذه الأمور أولا وبالذات من وظائفهم وليس لأحد التدخّل فيها والتصدي لها والمبادرة إليها إلا بإذنِ من له الأمر ورضاه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نرى في الشيعة الإمامية منذ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عنوان المرجعية فيهم، وتأسيس هذه المؤسسة الضخمة الفخمة الثمينة التي تُحسب فخر الشيعة في قبال مؤسسات الطواغيت وحكّام الجور، وتعدّ رمز بقاء الطائفة في مقابل الأعداء الماكرين لهم والحالفين للقضاء عليهم برمّتهم</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2517646_653776707"/>
      <w:bookmarkStart w:id="520" w:name="_Toc199"/>
      <w:bookmarkEnd w:id="519"/>
      <w:r>
        <w:rPr>
          <w:rtl w:val="true"/>
        </w:rPr>
        <w:t>المبحث الثاني</w:t>
      </w:r>
      <w:r>
        <w:rPr>
          <w:rtl w:val="true"/>
        </w:rPr>
        <w:t xml:space="preserve">: </w:t>
      </w:r>
      <w:r>
        <w:rPr>
          <w:rtl w:val="true"/>
        </w:rPr>
        <w:t>مؤسسة الوكالة وأطروحة التنصيب</w:t>
      </w:r>
      <w:bookmarkEnd w:id="520"/>
    </w:p>
    <w:p>
      <w:pPr>
        <w:pStyle w:val="BookText"/>
        <w:rPr/>
      </w:pPr>
      <w:r>
        <w:rPr>
          <w:rFonts w:ascii="Amiri" w:hAnsi="Amiri" w:eastAsia="Amiri" w:cs="Amiri"/>
          <w:color w:val="111111"/>
          <w:sz w:val="28"/>
          <w:sz w:val="28"/>
          <w:szCs w:val="28"/>
          <w:rtl w:val="true"/>
          <w:lang w:bidi="ar-SA"/>
        </w:rPr>
        <w:t>وأمّا مؤسسة الوكالة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دراسة سيرة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عصر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تكشف تأسيس نظامٍ بإمكاننا أن نسمّيه بنظام الوكالة؛ لدعم الامتداد الشيعي في المناطق المختلفة والنواحي المتفرقة البعيدة والاتصال والعلاقة والترابط في ما </w:t>
      </w:r>
      <w:bookmarkStart w:id="521" w:name="pg8686_124000"/>
    </w:p>
    <w:p>
      <w:pPr>
        <w:pStyle w:val="BookText"/>
        <w:rPr/>
      </w:pPr>
      <w:bookmarkEnd w:id="521"/>
      <w:r>
        <w:rPr>
          <w:rFonts w:ascii="Amiri" w:hAnsi="Amiri" w:eastAsia="Amiri" w:cs="Amiri"/>
          <w:color w:val="111111"/>
          <w:sz w:val="28"/>
          <w:sz w:val="28"/>
          <w:szCs w:val="28"/>
          <w:rtl w:val="true"/>
          <w:lang w:bidi="ar-SA"/>
        </w:rPr>
        <w:t>بينهم وبين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فالضرورة فَرضت عليهم تشكيل مؤسسة الوكالة لحفظ علاقة الشيعة المتفرقين في المناطق المختلفة كالجزيرة العربية من المدينة ومكة واليمن والبحرين وصولًا إلى العراق كالكوفة والبصرة وبغداد وواسط والمدائن إلى شمال أفريقيا ومصر والمغرب إلى بلاد إيران كقم والري وقزوين والأهواز وهمدان وسبزوار ومرو وبلخ مع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نظام الوكالة هرميَّ الشكل، أُسِّس وكان في قمّته ورأسه الإمام ثم الوكلاء العارفين المسمّين بأبواب الإمام من ثَمّ الوكلاء المنتشرون بمختلف المناطق ثم من كان يعين ويسمّى بالسيار كالكوكب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أهم أهداف نظام الوكالة ومهامّه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حلقة الوصل بين الشيعة والإمام في أخذ الأموال الشرعية وصرفها في مصارفها، أو نقلها إلى الإمام، الإرشاد والتعليم، دعم الشيعة في مقابل نظام الجور، حلّ مشاكل الشيعة وإعدادهم لعصر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والسيرة ومؤسسة الوكالة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الشيعة الإمامية وتكوّن مؤسسة المرجعية منذ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ومؤيد؛ بل من الأدلّة المقامة لإثبات المدّعى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مؤسسة الوكالة مند عصر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عصر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ومؤيد بل من أدلة الدالّة لإثبات المدّعى</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2517648_653776707"/>
      <w:bookmarkStart w:id="523" w:name="_Toc200"/>
      <w:bookmarkEnd w:id="522"/>
      <w:r>
        <w:rPr>
          <w:rtl w:val="true"/>
        </w:rPr>
        <w:t>المسألة السادسة</w:t>
      </w:r>
      <w:r>
        <w:rPr>
          <w:rtl w:val="true"/>
        </w:rPr>
        <w:t xml:space="preserve">: </w:t>
      </w:r>
      <w:r>
        <w:rPr>
          <w:rtl w:val="true"/>
        </w:rPr>
        <w:t xml:space="preserve">دراسة أدلّة التنصيب العام للفقيه الجامع للشروط </w:t>
      </w:r>
      <w:r>
        <w:rPr>
          <w:rtl w:val="true"/>
        </w:rPr>
        <w:t>(</w:t>
      </w:r>
      <w:r>
        <w:rPr/>
        <w:t>4</w:t>
      </w:r>
      <w:r>
        <w:rPr>
          <w:rtl w:val="true"/>
        </w:rPr>
        <w:t>)</w:t>
      </w:r>
      <w:bookmarkEnd w:id="523"/>
    </w:p>
    <w:p>
      <w:pPr>
        <w:pStyle w:val="Heading5"/>
        <w:numPr>
          <w:ilvl w:val="4"/>
          <w:numId w:val="1"/>
        </w:numPr>
        <w:rPr/>
      </w:pPr>
      <w:bookmarkStart w:id="524" w:name="__RefHeading___Toc2517650_653776707"/>
      <w:bookmarkStart w:id="525" w:name="_Toc201"/>
      <w:bookmarkEnd w:id="524"/>
      <w:r>
        <w:rPr/>
        <w:t>4</w:t>
      </w:r>
      <w:r>
        <w:rPr>
          <w:rtl w:val="true"/>
        </w:rPr>
        <w:t xml:space="preserve">) </w:t>
      </w:r>
      <w:r>
        <w:rPr>
          <w:rtl w:val="true"/>
        </w:rPr>
        <w:t>الأدلة النقلية</w:t>
      </w:r>
      <w:r>
        <w:rPr>
          <w:rtl w:val="true"/>
        </w:rPr>
        <w:t xml:space="preserve">: </w:t>
      </w:r>
      <w:r>
        <w:rPr>
          <w:rtl w:val="true"/>
        </w:rPr>
        <w:t>القرآن الحكيم</w:t>
      </w:r>
      <w:bookmarkEnd w:id="52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التأمّل في بعض الآيات القرآنية يظهر أنّ هناك عدّة من الأنبياء والأولياء صرّحوا بأنّهم كانوا منصوبين بالتنصيب الخاص لإدارة المجتمع والحكم بين الناس وولاية أمرهم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منهم النبيّ إبراهيم خليل الله حيث قال الله تعالى في شأن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النبيّ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الله تعالى في شان خلافته وحكمه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داوُدُ إِنَّا جَعَلْناكَ خَليفَةً فِي الْأَرْضِ فَاحْكُمْ بَيْنَ النَّاسِ بِالْحَقِّ ولا تَتَّبِعِ الْهَوى فَيُضِلَّكَ عَنْ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داوُدُ جالُوتَ وآتاهُ اللَّهُ الْمُلْكَ والْحِكْمَةَ وعَلَّمَهُ مِمَّا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طالوت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لَهُمْ نَبِيُّهُمْ ان اللَّهَ قَدْ بَعَثَ لَكُمْ طالُوتَ مَلِكاً قالُوا أَنَّى يَكُونُ لَهُ الْمُلْكُ عَلَيْنا ونَحْنُ أَحَقُّ بِالْمُلْكِ مِنْهُ ولَمْ يُؤْتَ سَعَةً مِنَ الْمالِ قالَ ان اللَّهَ اصْطَفاهُ عَلَيْكُمْ وزادَهُ بَسْطَةً فِي الْعِلْمِ والْجِسْمِ واللَّهُ يُؤْتي مُلْكَهُ مَنْ يَشاءُ واللَّهُ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الله تعالى في شان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فَتَنَّا سُلَيْمان وأَلْقَيْنا عَلى كُرْسِيِّهِ جَسَداً ثُمَّ أَنابَ قالَ رَبِّ اغْفِرْ لي وهَبْ لي مُلْكاً لا يَنْبَغي لِأَحَدٍ مِنْ بَعْدي إِنَّكَ أَنْتَ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ذو القرنين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الله تعالى في شان ملكه وحكمه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مَكَّنَّا لَهُ فِي الْأَرْضِ وآتَيْناهُ مِنْ كُلِّ شيء سَبَباً فَأَتْبَعَ سَبَباً حَتَّى إذا بَلَغَ مَغْرِبَ الشَّمْسِ</w:t>
      </w:r>
    </w:p>
    <w:p>
      <w:pPr>
        <w:pStyle w:val="BookText"/>
        <w:rPr/>
      </w:pPr>
      <w:r>
        <w:rPr>
          <w:rFonts w:ascii="Amiri" w:hAnsi="Amiri" w:eastAsia="Amiri" w:cs="Amiri"/>
          <w:color w:val="111111"/>
          <w:sz w:val="28"/>
          <w:sz w:val="28"/>
          <w:szCs w:val="28"/>
          <w:rtl w:val="true"/>
          <w:lang w:bidi="ar-SA"/>
        </w:rPr>
        <w:t xml:space="preserve">وَجَدَها تَغْرُبُ في عَيْنٍ حَمِئَةٍ ووَجَدَ عِنْدَها قَوْماً قُلْنا يا ذَا الْقَرْنَيْنِ إِمَّا ان تُعَذِّبَ وإِمَّا ان تَتَّخِذَ فيهِمْ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النماذج من الحكومات والدول الدينية التي أشار إليها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آيات الذكر الحكيم على أنّ رئيس هذه الدول ووليّ أمرها كان منصوبًا خاصًّا بالنص الشرعي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كما ذكرناه أعلاه في المرحلة الثانية من الكتاب في شروط الولاية في ضمن الأدلّة القرآنية الدالّة على شرط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بعض الآيات تشير إلى ثبوت الحكموالولاية للنبيّين والربانيّين والأحبار والعلماء بالكتب الإلهية، وحلالها وحرامها؛ بالنص الإلهي وإذنه ونصبه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فيها هُدىً ونُورٌ يَحْكُمُ بِهَا النَّبِيُّونَ الَّذينَ أَسْلَمُوا لِلَّذينَ هادُوا والرَّبَّانِيُّونَ والْأَحْبارُ بِمَا اسْتُحْفِظُوا مِنْ كِتابِ اللَّهِ وكانُوا عَلَيْهِ شُهَداءَ فَلا تَخْشَوُا النَّاسَ واخْشَوْنِ ولا تَشْتَرُوا بِآياتي ثَمَناً قَليلاً ومَنْ لَمْ يَحْكُمْ بما أنزَلَ اللَّهُ فَأُولئِكَ هُمُ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كما بحثنا عنها سابقًا في المرحلة الثانية تدلّ على وجود طوائف ثلاثٍ أهلها مأذونون ومنصوصٌ عليهم في القرآن الحكيم ومنصوبون بالنّصب العامّ للحكومة بين الناس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الربانيّون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الأحبار والعلماء بالكتاب والشريعة وهي مشتملة على جميع ما يحتاج الناس إليه من الحلال والحرام</w:t>
      </w:r>
      <w:r>
        <w:rPr>
          <w:rFonts w:eastAsia="Amiri" w:cs="Amiri" w:ascii="Amiri" w:hAnsi="Amiri"/>
          <w:color w:val="111111"/>
          <w:sz w:val="28"/>
          <w:szCs w:val="28"/>
          <w:rtl w:val="true"/>
          <w:lang w:bidi="ar-SA"/>
        </w:rPr>
        <w:t xml:space="preserve">. </w:t>
      </w:r>
      <w:bookmarkStart w:id="526" w:name="pg8686_124010"/>
    </w:p>
    <w:p>
      <w:pPr>
        <w:pStyle w:val="BookText"/>
        <w:rPr/>
      </w:pPr>
      <w:bookmarkEnd w:id="526"/>
      <w:r>
        <w:rPr>
          <w:rFonts w:ascii="Amiri" w:hAnsi="Amiri" w:eastAsia="Amiri" w:cs="Amiri"/>
          <w:color w:val="111111"/>
          <w:sz w:val="28"/>
          <w:sz w:val="28"/>
          <w:szCs w:val="28"/>
          <w:rtl w:val="true"/>
          <w:lang w:bidi="ar-SA"/>
        </w:rPr>
        <w:t>وإنّ هذه الحكومة غير مختصّةٍ بالحكم والقضاء في المرافعات؛ بل تشمل الحكم على الناس مطلقًا ودليل الإطلاق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بِهَا النَّبِيُّونَ، وكذلك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اسْتُحْفِظُوا مِنْ كِتابِ اللَّهِ وكانُوا عَلَيْهِ شُهَداءَ؛ حيث إنّ المطلوب منهم ما يجب عليهم القيام به هو حفظ الكتاب، ولا يمكن امتثال هذا الأمر والتكليف إلا بالحكومة على الناس وولاية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شهادتهم على الكتاب هي سبب الحكم على الناس والأخذ بزعامتهم وولاية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فالقضاء من مصاديق الحفظ ولا ينحصر فيهثم إنّ هذه العلّة والسببية التي تشير إليها الآية الشريفة لا تختص بالتوراة؛ بل تشمل جميع الكتب السماوية؛ بل تعم الأمة الإسلامية</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فالتوراة كتابٌ منزلٌ مشتملٌ على هدى ونورٍ وهو مبيّن للمعارف والشريعة التي تحتاجها الأمّة، فإذا كان هذا حال التوراة؛ فهذا الحكم سارٍ وجارٍ بالنسبة إلى كل كتاب منزّل من عند الله تعالى مشتمل على المعارف والأحكام العملية ويؤيّد هذا المعنى ما ورد من الروايات في تفسير الآية</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2517652_653776707"/>
      <w:bookmarkStart w:id="528" w:name="_Toc202"/>
      <w:bookmarkEnd w:id="527"/>
      <w:r>
        <w:rPr>
          <w:rtl w:val="true"/>
        </w:rPr>
        <w:t>المسألة السابعة</w:t>
      </w:r>
      <w:r>
        <w:rPr>
          <w:rtl w:val="true"/>
        </w:rPr>
        <w:t xml:space="preserve">: </w:t>
      </w:r>
      <w:r>
        <w:rPr>
          <w:rtl w:val="true"/>
        </w:rPr>
        <w:t xml:space="preserve">دراسة أدلة التنصيب العام للفقيه الجامع </w:t>
      </w:r>
      <w:r>
        <w:rPr>
          <w:rtl w:val="true"/>
        </w:rPr>
        <w:t>(</w:t>
      </w:r>
      <w:r>
        <w:rPr/>
        <w:t>5</w:t>
      </w:r>
      <w:r>
        <w:rPr>
          <w:rtl w:val="true"/>
        </w:rPr>
        <w:t>)</w:t>
      </w:r>
      <w:bookmarkEnd w:id="528"/>
    </w:p>
    <w:p>
      <w:pPr>
        <w:pStyle w:val="Heading5"/>
        <w:numPr>
          <w:ilvl w:val="4"/>
          <w:numId w:val="1"/>
        </w:numPr>
        <w:rPr/>
      </w:pPr>
      <w:bookmarkStart w:id="529" w:name="__RefHeading___Toc2517654_653776707"/>
      <w:bookmarkStart w:id="530" w:name="_Toc203"/>
      <w:bookmarkEnd w:id="529"/>
      <w:r>
        <w:rPr/>
        <w:t>5</w:t>
      </w:r>
      <w:r>
        <w:rPr>
          <w:rtl w:val="true"/>
        </w:rPr>
        <w:t xml:space="preserve">) </w:t>
      </w:r>
      <w:r>
        <w:rPr>
          <w:rtl w:val="true"/>
        </w:rPr>
        <w:t>الأدلّة النقلية</w:t>
      </w:r>
      <w:r>
        <w:rPr>
          <w:rtl w:val="true"/>
        </w:rPr>
        <w:t xml:space="preserve">: </w:t>
      </w:r>
      <w:r>
        <w:rPr>
          <w:rtl w:val="true"/>
        </w:rPr>
        <w:t>الحديث الأول</w:t>
      </w:r>
      <w:r>
        <w:rPr>
          <w:rtl w:val="true"/>
        </w:rPr>
        <w:t xml:space="preserve">: </w:t>
      </w:r>
      <w:r>
        <w:rPr>
          <w:rtl w:val="true"/>
        </w:rPr>
        <w:t>مقبولة عمر بن حنظلة</w:t>
      </w:r>
      <w:bookmarkEnd w:id="530"/>
    </w:p>
    <w:p>
      <w:pPr>
        <w:pStyle w:val="Heading6"/>
        <w:numPr>
          <w:ilvl w:val="5"/>
          <w:numId w:val="1"/>
        </w:numPr>
        <w:rPr/>
      </w:pPr>
      <w:bookmarkStart w:id="531" w:name="__RefHeading___Toc2517656_653776707"/>
      <w:bookmarkStart w:id="532" w:name="_Toc204"/>
      <w:bookmarkEnd w:id="531"/>
      <w:r>
        <w:rPr>
          <w:rtl w:val="true"/>
        </w:rPr>
        <w:t>اشارة</w:t>
      </w:r>
      <w:bookmarkEnd w:id="53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الكليني عَنْ مُحَمَّدِ بْنِ يَحْيَى عَنْ مُحَمَّدِ بْنِ الْحُسَيْنِ عَنْ مُحَمَّدِ بْنِ عِيسَى عَنْ صَفْوَان بْنِ يَحْيَى عَنْ دَاوُدَ بْنِ الْحُصَيْنِ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رَجُلَيْنِ مِنْ أَصْحَابِنَا بَيْنَهُمَا مُنَازَعَةٌ فِي دَيْنٍ أَوْ مِيرَاثٍ فَتَحَاكَمَا إِلَى السُّلْطَان وإِلَى الْقُضَاةِ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فَإِنَّمَا تَحَاكَمَ إِلَى الطَّاغُوتِ،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يَنْظُرَان مَنْ كَان مِنْكُمْ مِمَّنْ قَدْ رَوَى حَدِيثَنَا ونَظَرَ فِي حَلَالِنَا وحَرَامِنَا وعَرَفَ أحكامنَا فَلْيَرْضَوْا بِهِ حَكَمًا، فَإِنِّي قَدْ جَعَلْتُهُ عَلَيْكُمْ حَاكِمًا فَإذا حَكَمَ بِحُكْمِنَا فَلَمْ </w:t>
      </w:r>
      <w:bookmarkStart w:id="533" w:name="pg8686_124013"/>
    </w:p>
    <w:p>
      <w:pPr>
        <w:pStyle w:val="BookText"/>
        <w:rPr/>
      </w:pPr>
      <w:bookmarkEnd w:id="533"/>
      <w:r>
        <w:rPr>
          <w:rFonts w:ascii="Amiri" w:hAnsi="Amiri" w:eastAsia="Amiri" w:cs="Amiri"/>
          <w:color w:val="111111"/>
          <w:sz w:val="28"/>
          <w:sz w:val="28"/>
          <w:szCs w:val="28"/>
          <w:rtl w:val="true"/>
          <w:lang w:bidi="ar-SA"/>
        </w:rPr>
        <w:t>يُقْبَلُ مِنهُ فَإِنَّمَا اسْتُخِفَّ بِحُكْمِ اللَّهِ، وعَلَيْنَا رُدَّ والرَّادُّ عَلَيْنَا الرَّادُّ عَلَى اللَّهِ، وهُوَ عَلَى حَدِّ 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الشَّيْخُ بِإِسْنَادِهِ عَنْ مُحَمَّدِ بْنِ يَحْيَى عَنْ مُحَمَّدِ بْنِ الْحَسَنِ بْنِ شَمُّونٍ عَنْ مُحَمَّدِ بْنِ عِيسَى وَبِإِسْنَادِهِ عَنْ مُحَمَّدِ بْنِ عِيسَى وبِإِسْنَادِهِ عَنْ مُحَمَّدِ بْنِ على بْنِ مَحْبُوبٍ عَنْ مُحَمَّدِ بْنِ عِيسَى نَحْوَهُ</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ثم إنّ دراسة الحديث وتقييم الاستدلال به تتمّ في بحوث</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2517658_653776707"/>
      <w:bookmarkStart w:id="535" w:name="_Toc205"/>
      <w:bookmarkEnd w:id="534"/>
      <w:r>
        <w:rPr>
          <w:rtl w:val="true"/>
        </w:rPr>
        <w:t>المبحث الأول</w:t>
      </w:r>
      <w:r>
        <w:rPr>
          <w:rtl w:val="true"/>
        </w:rPr>
        <w:t xml:space="preserve">: </w:t>
      </w:r>
      <w:r>
        <w:rPr>
          <w:rtl w:val="true"/>
        </w:rPr>
        <w:t>بحث سنديٌّ</w:t>
      </w:r>
      <w:bookmarkEnd w:id="535"/>
    </w:p>
    <w:p>
      <w:pPr>
        <w:pStyle w:val="BookText"/>
        <w:rPr/>
      </w:pPr>
      <w:r>
        <w:rPr>
          <w:rFonts w:ascii="Amiri" w:hAnsi="Amiri" w:eastAsia="Amiri" w:cs="Amiri"/>
          <w:color w:val="111111"/>
          <w:sz w:val="28"/>
          <w:sz w:val="28"/>
          <w:szCs w:val="28"/>
          <w:rtl w:val="true"/>
          <w:lang w:bidi="ar-SA"/>
        </w:rPr>
        <w:t>هذه الرواية صحيحة معتبرة مرويّةٌ بطُرقٍ مختلفةٍ في الكافي والتهذيب ومن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ولاشتهارها وعمل الأصحاب بها اشتهرت بوصفها بالمقبولة، فلا حاجة إلى البحث عن السند تفصيلًا ومع ذلك لئلّا يخلو الكتاب عن البحث الرجالي نكتفي ببيان رجال طريقه الأول ففي الطريق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محمد بن يعقوب الكليني هو من الأجلّاء ومن رموز الطائفة</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العطار هو من الأجلّاء ومن ثقات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 أبو جعفر العطار القمي، شيخ أصحابنا في زمانه، ثقة، عين، كثير الحديث، له كتب</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هو محمد بن الحسن الصفار، إمامي، ثقة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عبيد إمامي، ثقة، جليل قال النجاشي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عيسى بن يقطين بن موسى مولي أسد بن خزيمة أبو جعفر، جليل بين أصحابنا، ثقة، عين، كثير الرواية، حسن التصانيف</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البجلّي إمامي، ثقة، جليل، من أصحاب الإجماع، لا يروي ولا يرسل إلا عن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الْحُصَيْنِ الأسدي الواقفي، ثقة،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المشايخ أخذوا عنه قبل 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فالسند لا إشكال عليه إلى نفس الراوي أعني عمر بن حنظلة فإنّه قد وقع الخلاف في وثاقته حيث لم ينصّ أحد من القدماء على وثاقته وإن ذهب الشهيد الثاني من المتأخّرين إلى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ثقةٌ وذلك لعدّة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صفوان بن يحيى عنه في مواردَ متعدّدة في من لا يحضره الفقيه والتهذيب؛</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فهو من مشايخ صفوان، وصفوان من الّذين قال الشيخ في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عرفوا بأنهم لا يروون ولا يرسِلون إلّا عمّن يوثق به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ومنها كثرة الرواية عنه؛ بحيث تبلغ رواياته في الكتب الأربعة نحو سبعين موردًا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أنّ هذه الرواية المتّصفة بالقبول، قد قبلها الأصحاب وعملوا بها في أبواب مختلفة کباب القضاء وولاية الحاکم والأمر بالمعروف وأبواب الحدود من الکتب الفقهية، وأيضًا أبواب التعادل والتراجيح من الكتب الأصولية؛ ولا شك في أنّ هذا دليلٌ على اعتبار عمر بن حنظلة ووثاقته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رواية أصحاب الإجماع عنه؛ ورواية أصحاب الإجماع كما بُيِّن في محلّه، تدلّ على وثاقة كل من كان في الطريق إلى أصحاب الإجماع إلى الإمام المعصوم، ولا تختصّ بوثاقة الراوي المباشر الذي يروي عنه أصحاب الإجماع فقط</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ورود رواياتٍ في مدح عمر بن حنظلة بعضها روايات معتبرة كرواية </w:t>
      </w:r>
      <w:bookmarkStart w:id="536" w:name="pg8686_124019"/>
    </w:p>
    <w:p>
      <w:pPr>
        <w:pStyle w:val="BookText"/>
        <w:rPr/>
      </w:pPr>
      <w:bookmarkEnd w:id="536"/>
      <w:r>
        <w:rPr>
          <w:rFonts w:ascii="Amiri" w:hAnsi="Amiri" w:eastAsia="Amiri" w:cs="Amiri"/>
          <w:color w:val="111111"/>
          <w:sz w:val="28"/>
          <w:sz w:val="28"/>
          <w:szCs w:val="28"/>
          <w:rtl w:val="true"/>
          <w:lang w:bidi="ar-SA"/>
        </w:rPr>
        <w:t>يزيد بن خليفة؛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لا يكذب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الظاهر من هذه العبارة نفي أصل الكذب فتدلّ على وثاقته</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ومنها نصّ بعض الأصحاب على وثاقته كالشهيد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الأمور مجتمعةً تكفي لإثبات وثاقة عمر بن حنظله خاصّةً أنّه لم يرد في ذمّه شيءٌ، وغاية ما في الباب أنّه لم يرد فيه توثيق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القرائن تكفي لإثبات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هذه الرواية المبحوث عنها في المقام لا يمكن طرحها ولا الإعراض عنها؛ لأنّها مقبولة عند الأصحاب، وعمل بمضمونها فقهاء الطائفة في مختلف الأبواب الفقهية، فهي متّسمة بالشهرة الروائية والشهرة الفتوائية ومعتبرة، لا محيص من الاعتماد عليها والعمل بمفادها ومضمونها</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2517660_653776707"/>
      <w:bookmarkStart w:id="538" w:name="_Toc206"/>
      <w:bookmarkEnd w:id="537"/>
      <w:r>
        <w:rPr>
          <w:rtl w:val="true"/>
        </w:rPr>
        <w:t>المبحث الثاني</w:t>
      </w:r>
      <w:r>
        <w:rPr>
          <w:rtl w:val="true"/>
        </w:rPr>
        <w:t xml:space="preserve">: </w:t>
      </w:r>
      <w:r>
        <w:rPr>
          <w:rtl w:val="true"/>
        </w:rPr>
        <w:t>بحث دلاليٌّ</w:t>
      </w:r>
      <w:bookmarkEnd w:id="538"/>
    </w:p>
    <w:p>
      <w:pPr>
        <w:pStyle w:val="BookText"/>
        <w:rPr/>
      </w:pPr>
      <w:r>
        <w:rPr>
          <w:rFonts w:ascii="Amiri" w:hAnsi="Amiri" w:eastAsia="Amiri" w:cs="Amiri"/>
          <w:color w:val="111111"/>
          <w:sz w:val="28"/>
          <w:sz w:val="28"/>
          <w:szCs w:val="28"/>
          <w:rtl w:val="true"/>
          <w:lang w:bidi="ar-SA"/>
        </w:rPr>
        <w:t>إشارة تاريخية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مقبولة عمر بن حنظلة من الروايات المشهورة التي أشار إليها أو استدلّ بها كثيرٌ من فقهاء الطائفة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لإثبات ولاية الحاكم، من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الصلاح الحلبي إلى المحقق الكركي والفاضل النراقي وصاحب الجواهر والشيخ الأنصاري والميرزا النائيني والإمام الخميني وغيرهم</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بل وردت الإشارة في بعض الحوادث التاريخية إلى مضمون هذه الرواية الجليلة التي تعدّ من غرر حكم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الشيعة في طول التاريخ وحفظهم واستمرار خطّ الولاية في عمود الزمان، منها رسالة الشاه طهماسب، من ملوك الصفوية، إلى المحقق الكركي باللغة الفارسية وإشارته فيها إلىمقبولة عمر بن حنظلة ونصّه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ويلوح من الرواية أن مخالفة أحكام الفقهاء الحافظين لشريعة سيد المرسلين على حدّ الشرك</w:t>
      </w:r>
      <w:r>
        <w:rPr>
          <w:rFonts w:eastAsia="Amiri" w:cs="Amiri" w:ascii="Amiri" w:hAnsi="Amiri"/>
          <w:color w:val="111111"/>
          <w:sz w:val="28"/>
          <w:szCs w:val="28"/>
          <w:rtl w:val="true"/>
          <w:lang w:bidi="ar-SA"/>
        </w:rPr>
        <w:t xml:space="preserve">.» </w:t>
      </w:r>
      <w:bookmarkStart w:id="539" w:name="pg8686_124022"/>
    </w:p>
    <w:p>
      <w:pPr>
        <w:pStyle w:val="BookText"/>
        <w:rPr/>
      </w:pPr>
      <w:bookmarkEnd w:id="539"/>
      <w:r>
        <w:rPr>
          <w:rFonts w:ascii="Amiri" w:hAnsi="Amiri" w:eastAsia="Amiri" w:cs="Amiri"/>
          <w:color w:val="111111"/>
          <w:sz w:val="28"/>
          <w:sz w:val="28"/>
          <w:szCs w:val="28"/>
          <w:rtl w:val="true"/>
          <w:lang w:bidi="ar-SA"/>
        </w:rPr>
        <w:t xml:space="preserve">وفي تقرير للسيد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المحقق الكركي جاء إلى الشاه طهماسب فحينما وصل إليه، قال الشاه مخطابا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أحقّ بالملك؛ لأنّك نائب عن الإمام وإنّما أكون من عمّالك أقوم بأوامرك ونواهيك</w:t>
      </w:r>
      <w:r>
        <w:rPr>
          <w:rFonts w:eastAsia="Amiri" w:cs="Amiri" w:ascii="Amiri" w:hAnsi="Amiri"/>
          <w:color w:val="111111"/>
          <w:sz w:val="28"/>
          <w:szCs w:val="28"/>
          <w:rtl w:val="true"/>
          <w:lang w:bidi="ar-SA"/>
        </w:rPr>
        <w:t>».</w:t>
      </w:r>
      <w:r>
        <w:rPr>
          <w:rStyle w:val="FootnoteAnchor"/>
          <w:rtl w:val="true"/>
        </w:rPr>
        <w:footnoteReference w:id="273"/>
      </w:r>
    </w:p>
    <w:p>
      <w:pPr>
        <w:pStyle w:val="Heading6"/>
        <w:numPr>
          <w:ilvl w:val="5"/>
          <w:numId w:val="1"/>
        </w:numPr>
        <w:rPr/>
      </w:pPr>
      <w:bookmarkStart w:id="540" w:name="__RefHeading___Toc2517662_653776707"/>
      <w:bookmarkStart w:id="541" w:name="_Toc207"/>
      <w:bookmarkEnd w:id="540"/>
      <w:r>
        <w:rPr>
          <w:rtl w:val="true"/>
        </w:rPr>
        <w:t>تقريب الاستدلال</w:t>
      </w:r>
      <w:r>
        <w:rPr>
          <w:rtl w:val="true"/>
        </w:rPr>
        <w:t>:</w:t>
      </w:r>
      <w:bookmarkEnd w:id="541"/>
    </w:p>
    <w:p>
      <w:pPr>
        <w:pStyle w:val="BookText"/>
        <w:rPr/>
      </w:pPr>
      <w:r>
        <w:rPr>
          <w:rFonts w:ascii="Amiri" w:hAnsi="Amiri" w:eastAsia="Amiri" w:cs="Amiri"/>
          <w:color w:val="111111"/>
          <w:sz w:val="28"/>
          <w:sz w:val="28"/>
          <w:szCs w:val="28"/>
          <w:rtl w:val="true"/>
          <w:lang w:bidi="ar-SA"/>
        </w:rPr>
        <w:t>الاستدلال بالمقبولة لإثبات كون الفقيه منصوبًا لولاية الأمر في عصر الغيبة وزمن عدم بسط يد الإمام يظهر ببيان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الاستدلال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يَنْظُرَان مَنْ كَان مِنْكُمْ مِمَّنْ قَدْ رَوَى حَدِيثَنَا، ونَظَرَ فِي حَلَالِنَا وحَرَامِنَا، وعَرَفَ أحكامنَا؛ فَلْيَرْضَوْا بِهِ حَكَماً فَإِنِّي قَدْ جَعَلْتُهُ عَلَيْكُمْ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إنّه متضمّنٌ لشيئين أحدهما بيان التكليف في مورد سؤال السائل والثاني بيان التعليل، إما ببيان التكليف حينما سأل الراوي الإمام عن التحاكم إلى الطاغوت وقضاة الجور فالإمام بعد منعه عن ذلك يرجِعه إلى فقهاء الطائفة ويعلّل وجوب هذا الرجوع بأنّهم حكّام عليكم بجعلي إياهم للحكم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مِنْكُمْ مِمَّنْ قَدْ رَوَى حَدِيثَنَا ونَظَرَ فِي حَلَالِنَا وحَرَامِنَا وعَرَفَ 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لزوم الفقاهة وأن مَن يكون أهل الرأي والنظر في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ويعرفه عن اجتهاد واستنباط، مجعولٌ له الحكم على الطائفة الإمامية وأمّا المحدّثون ورواة الأخبار، فليس لهم هذا الشأن ولا الدخول في هذا المنصب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المنع عن التحاكم إلى السلطان والطاغوت وقضاة الجور والحث على التحاكم إلى الفقيه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التعليلوالتفريع مع التأكيد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وبيانه في جملة 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القرائن كلّها تدلّ بوضوح وصراحة أنّه في مقام تنصيب الفقيه وليًّا مطلقًا في مقابل السلطان وقاضي الجور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الولاية العامة، نحو المنصوب الخاص كذلك إلى أهل الأطراف الذي لا إشكال في ظهور الولاية العامّة في جميع الأمور المنصوب عليهم فيه</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فليرضوا به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منه قاضي التحكيم بل المراد وجوب قبول التحاكم إلى الفقيه حيث إنّه منصوب من قبل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ناصبٌ، ومنصوبٌ، ومنصوبٌ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الناصب فهو الإمام وأمّا المنصوب فهو الفقيه الإمامي، وأمّا المنصوب له أعني متعلّق التنصيب فهو الحكم على الطائفة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الجعل لا يقف على القضاء فقط ولا يختصّ به؛ وذلك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في اللغة والعرف غير القاضي فإنّ القاضي يحكم بين المتنازعين وأمّا الحاكم فهو الذي بيده الحكم يحكم على الناس بما يدبّر أمرهم، فصلاحيات القاضي تختلف عن صلاحيات الحاكم، فالقاضي يرفع الخصومة والنزاع في ما بين المتنازعين فيما إذا كان الحق غير معلومٍ فقط، وأمّا وظيفة الحاكم فهو تنفيذ الأحكام في شتّى المجالات حتى في ما إذا كان الحقّ معلومًا ولكن استيفاءه بحاجة إلى القوّة القهرية فيما إذا كان من عليه الحق لا يؤدّي الحقّ المعلوم فإنّ هذا القسم من المنازعات يرجع إلى الحاكم والأمير دون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قتل شخص ظلمًا ووقع النزاع فيما بين الأولياء فلا مرجع لرفعه إلا الوالي والحاكم لا القاضي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المتبادر عرفا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المتسلّط على الإطلاق، فهو نظير قول السلطان لأهل 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فلانًا حاكمًا عليكم، حيث يفهم منه تسلّطه على الرعيّة في جميع ما له دخل في أوامر السلطان جزئيًّا أو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وفيكلام آخر منه في وجه الاستدلال برواية التوقيع الشريف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تقريب الاستدلال بالتوقيع وبالمقبولة بوجهٍ أوضح،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نزاع في نفوذ حكم الحاكم في الموضوعات الخاصة إذا كانت محلًّا للتخاصم، فحينئذ </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تعليل الإمام وجوب الرضى بحكومته في الخصومات بجعله حاكمًا على الإطلاق وحجّة كذلك، يدلّ على أن حكمه في الخصومات والوقائع من فروع حكومته المطلقة وحجيته العامة، فلا يختص بصورة التخاصم</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ثانيًا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الاستعلاء يتناسب مع الولاية أكثر من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الرواية مصدر بمعنى الطغيان، كالجبروت والملكوت، للمبالغة في الطاغي والظالم الذي طغى في ظلمه وجوره فالإمام بقرينة المقابلة منع عن التحاكم وتولّي ولاية الطاغوت وأمر بالكفر به ونصب مكانه الفقيه وليًّا وحاكمًا، ففي مقابل نظام الحكم الطاغوتي المحرّم نصب نظام الحكم الإلهي المحلّل وسلب الشرعية عن الأول وأعطى الشرعية إلى للثاني ففي كل شيء من الموضوعات الخاصّة بالأمور الولائية من القضاء وغيره؛ تكون المرجعية مسلوبة عن الأنظمة الطاغوتية وثابتة للأنظمة الشرعية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النائيني في تقريب الاستدلال بالمقبولة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بالتمسّك بمقبولة عمر بن حنظلة؛ فإنّ صدرها ظاهر في ذلك حيث إنّ السّائل جعل القاضي مقابلًا للسّلطان والإمام قرّره على ذلك، فقال سألت أبا عبد اللّه عن رجلين من أصحابنا تنازعا في دين أو ميراث فتحاكما إلى السّلطان أو إلى القضاة أيحلّ ذلك إلى آخره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يدلّ عليه ذيلها أيضا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من كان منكم قد روى حديثنا ونظر في حلالنا وحرامنا وعرف أحكامنا فليرضوا به حكما فإنّي قد جعلته عليكم حاكمًا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الحكومة ظاهرة في الولاية العامّة فإنّ الحاكم هو الّذي يحكم بين النّاس بالسّيف والسّوط وليس ذلك شأن القاضي</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ما أورد على الاستدلال بالمقبولة</w:t>
      </w:r>
    </w:p>
    <w:p>
      <w:pPr>
        <w:pStyle w:val="BookText"/>
        <w:rPr/>
      </w:pPr>
      <w:r>
        <w:rPr>
          <w:rFonts w:ascii="Amiri" w:hAnsi="Amiri" w:eastAsia="Amiri" w:cs="Amiri"/>
          <w:color w:val="111111"/>
          <w:sz w:val="28"/>
          <w:sz w:val="28"/>
          <w:szCs w:val="28"/>
          <w:rtl w:val="true"/>
          <w:lang w:bidi="ar-SA"/>
        </w:rPr>
        <w:t>هناك بعض الملاحظات والإيرادات أوردت على الاستدلال بالمقبولة لإثبات التنصيب العامّ للفقيه، سنشير إلى ماهو الأهمّ منه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الظاهر أن الإمام الصادق لم يكن في مقام الثورة والقيام ضدّ نظام السلطة في عصره لكي ينصب واليًا وأميرًا في قبالها، بل كان بصدد رفع مشكلة الشيعة في عصره في باب الخصومات</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الجواب عن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مسألة المقبولة مسألة الثورة والإقدام على نظام الحكم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مسألة المقبولة مسألة حلّ مشكلة الشيعة في كلّ عصر وزمان وكل مكان ومنطقة في عصر الغيبة وفي عصرعدم بسط يد الإمام المعصوم في كلّ أمر يحتاج إلى الولي ومن يقوم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شيعة أهل البيت كانوا مأمورين بالكفر بالطاغوت مطلقًا وعدم التبعية للسلطة الغاصبة للحكم فكان الواجب على الإمام أن يشرح وظيفة شيعته في تلك الظروف فإنّ الكفر بالطاغوت وعدم قبول السلطة الحاكمة بحاجة إلى سلطة مشروعة بديلة ليتوجّه إليها في الأمور المحتاجة للسلطة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وحاجة الشيعة ما كانت منحصرة في القضاء فقط حتى ينصب قاضيًا لهم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كانت الحاجة أوسع وأشمل بكثيرمن جانب القضاء، من الأمورالحسبية والأمور الولائية كتنفيذ الأحكام الشرعية وإقامة الحدود والتعزيرات والقصاص والديات والأمر بالمعروف والنهي عن المنكر وأخذ الوجوه المالية كالخمس والأنفال، فالإمام بمقتضي دلالة هذه المقبولة وغيرها من الروايات جعل الفقيه لعصره ولما بعد عصره من الأعصار والأزمان القادمة وليًّا وحاكمًا مطلقًا بالنصب العام؛ والفقيه الجامع للشروط على حسب الظروف والقدرات وبقدر الاستطاعة يجب عليه كفايةً القيام بهذه الأمور ولا ينحصر الأمر بتأسيس نظام </w:t>
      </w:r>
      <w:bookmarkStart w:id="542" w:name="pg8686_124036"/>
    </w:p>
    <w:p>
      <w:pPr>
        <w:pStyle w:val="BookText"/>
        <w:rPr/>
      </w:pPr>
      <w:bookmarkEnd w:id="542"/>
      <w:r>
        <w:rPr>
          <w:rFonts w:ascii="Amiri" w:hAnsi="Amiri" w:eastAsia="Amiri" w:cs="Amiri"/>
          <w:color w:val="111111"/>
          <w:sz w:val="28"/>
          <w:sz w:val="28"/>
          <w:szCs w:val="28"/>
          <w:rtl w:val="true"/>
          <w:lang w:bidi="ar-SA"/>
        </w:rPr>
        <w:t xml:space="preserve">الحكم فقط؛ بل هذه ولاية مجعولة بالحكمة واللطف للشيعة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عصر وكل مصر لئلا يبقى الشيعة بلا راعٍ وحامٍ وحافظٍ ووليّ؛ بل حينما لا يتمكّنون من الرجوع إلى المعصوم يرجعون إلى نائبه العامّ في كلّ أمرٍ كان ذا علاقة مع الإمام المنوب عنه على قدر استطاعتهم وتمكّنهم من تنفيذ حكمٍ واحدٍ وإقامة حدٍّ واحدٍ فقط، وقضاءٍ في رفع التنازع بين المتنازعين إلى تشكيل الحكم الإسلامي وتأسيس الدولة وإقامة السلطة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يريد أن ينصب بديلاً للطاغوت وسلطان الجور لحلّ مشاكل الشيعه في ما يرتبط بزمام الحكم وولاية الامر وهذا هو السر في تغيير كلمة القاضي إلى الحاكم، فلو سلّم أنّ الإمام نصب قاضيًا لا وليًّا حاكمًا فالأمر أبتر وبعيدٌ عن حكمة الشارع أن يبادر إلى نصب المهم ولا يبادر إلى ما هو الأهمّ والأكثر احتياجًا إليه في حياة مجتمع تابعي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فبتنقيح المناط يظهرأنّ الجعل لاينحصر بالخصومة في الميراث؛ بل يشمل كلّ المنازعات والمرافعات فكذلك بتنقيح المناط القطعي يظهر أنّ الجعل لا ينحصر بالمرافعات فقط، بل يشمل جميع ما يرتبط بالحاكم من تنفيذ الأحكام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2517664_653776707"/>
      <w:bookmarkStart w:id="544" w:name="_Toc208"/>
      <w:bookmarkEnd w:id="543"/>
      <w:r>
        <w:rPr>
          <w:rtl w:val="true"/>
        </w:rPr>
        <w:t>المسألة الثامنة</w:t>
      </w:r>
      <w:r>
        <w:rPr>
          <w:rtl w:val="true"/>
        </w:rPr>
        <w:t xml:space="preserve">: </w:t>
      </w:r>
      <w:r>
        <w:rPr>
          <w:rtl w:val="true"/>
        </w:rPr>
        <w:t xml:space="preserve">دراسة أدلّة التنصيب العام للفقيه الجامع </w:t>
      </w:r>
      <w:r>
        <w:rPr>
          <w:rtl w:val="true"/>
        </w:rPr>
        <w:t>(</w:t>
      </w:r>
      <w:r>
        <w:rPr/>
        <w:t>6</w:t>
      </w:r>
      <w:r>
        <w:rPr>
          <w:rtl w:val="true"/>
        </w:rPr>
        <w:t>)</w:t>
      </w:r>
      <w:bookmarkEnd w:id="544"/>
    </w:p>
    <w:p>
      <w:pPr>
        <w:pStyle w:val="Heading5"/>
        <w:numPr>
          <w:ilvl w:val="4"/>
          <w:numId w:val="1"/>
        </w:numPr>
        <w:rPr/>
      </w:pPr>
      <w:bookmarkStart w:id="545" w:name="__RefHeading___Toc2517666_653776707"/>
      <w:bookmarkStart w:id="546" w:name="_Toc209"/>
      <w:bookmarkEnd w:id="545"/>
      <w:r>
        <w:rPr/>
        <w:t>6</w:t>
      </w:r>
      <w:r>
        <w:rPr>
          <w:rtl w:val="true"/>
        </w:rPr>
        <w:t xml:space="preserve">) </w:t>
      </w:r>
      <w:r>
        <w:rPr>
          <w:rtl w:val="true"/>
        </w:rPr>
        <w:t>الأدلّة النقلية؛ الحديث الثاني</w:t>
      </w:r>
      <w:r>
        <w:rPr>
          <w:rtl w:val="true"/>
        </w:rPr>
        <w:t xml:space="preserve">: </w:t>
      </w:r>
      <w:r>
        <w:rPr>
          <w:rtl w:val="true"/>
        </w:rPr>
        <w:t>التوقيع الشريف</w:t>
      </w:r>
      <w:bookmarkEnd w:id="546"/>
    </w:p>
    <w:p>
      <w:pPr>
        <w:pStyle w:val="Heading6"/>
        <w:numPr>
          <w:ilvl w:val="5"/>
          <w:numId w:val="1"/>
        </w:numPr>
        <w:rPr/>
      </w:pPr>
      <w:bookmarkStart w:id="547" w:name="__RefHeading___Toc2517668_653776707"/>
      <w:bookmarkStart w:id="548" w:name="_Toc210"/>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 xml:space="preserve">رواه الشيخ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مُحَمَّدِ بْنِ عِصَامٍ عَنْ مُحَمَّدِ بْنِ يَعْقُوبَ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أن يُوصِلَ لِي كتابًا قَدْ سَأَلْتُ فِيهِ عَنْ مَسَائِلَ أَشْكَلَتْ على فَوَرَدَ التَّوْقِيعُ بِخَطِّ مولانا صَاحِبِ الزَّمَانِ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سَأَلْتَ عَنْهُ أَرْشَدَكَ اللَّهُ وثَبَّتَكَ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مُحَمَّدُ بْنُ عُثْمَان الْعَمْرِيُّ رَضِيَ اللَّهُ عَنْهُ وعَنْ أَبِيهِ مِنْ قَبْلُ فَإِنَّهُ ثِقَتِي وكِتَابُهُ كِتَابِي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الشَّيْخُ فِي كِتَابِ الْغَيْبَةِ عَنْ جَمَاعَةٍ عَنْ جَعْفَرِ بْنِ مُحَمَّدِ بْنِ قُولَوَيْهِ </w:t>
      </w:r>
      <w:bookmarkStart w:id="549" w:name="pg8686_124039"/>
    </w:p>
    <w:p>
      <w:pPr>
        <w:pStyle w:val="BookText"/>
        <w:rPr/>
      </w:pPr>
      <w:bookmarkEnd w:id="549"/>
      <w:r>
        <w:rPr>
          <w:rFonts w:ascii="Amiri" w:hAnsi="Amiri" w:eastAsia="Amiri" w:cs="Amiri"/>
          <w:color w:val="111111"/>
          <w:sz w:val="28"/>
          <w:sz w:val="28"/>
          <w:szCs w:val="28"/>
          <w:rtl w:val="true"/>
          <w:lang w:bidi="ar-SA"/>
        </w:rPr>
        <w:t>وأبي غَالِبٍ الزُّرَارِيِّ وغَيْرِهِمَا كُلِّهِمْ عَنْ مُحَمَّدِ بْنِ يَعْقُوبَ ورَوَاهُ الطَّبْرِسِيُّ فِي الْاحْتِجَاجِ مِثْلَهُ</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وإنّ دراسة هذا الحديث وتقييم الاستدلال به تتمّ في بحوث</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2517670_653776707"/>
      <w:bookmarkStart w:id="551" w:name="_Toc211"/>
      <w:bookmarkEnd w:id="550"/>
      <w:r>
        <w:rPr>
          <w:rtl w:val="true"/>
        </w:rPr>
        <w:t>المبحث الأول</w:t>
      </w:r>
      <w:r>
        <w:rPr>
          <w:rtl w:val="true"/>
        </w:rPr>
        <w:t xml:space="preserve">: </w:t>
      </w:r>
      <w:r>
        <w:rPr>
          <w:rtl w:val="true"/>
        </w:rPr>
        <w:t>بحث سنديٌّ</w:t>
      </w:r>
      <w:bookmarkEnd w:id="551"/>
    </w:p>
    <w:p>
      <w:pPr>
        <w:pStyle w:val="BookText"/>
        <w:rPr/>
      </w:pPr>
      <w:r>
        <w:rPr>
          <w:rFonts w:ascii="Amiri" w:hAnsi="Amiri" w:eastAsia="Amiri" w:cs="Amiri"/>
          <w:color w:val="111111"/>
          <w:sz w:val="28"/>
          <w:sz w:val="28"/>
          <w:szCs w:val="28"/>
          <w:rtl w:val="true"/>
          <w:lang w:bidi="ar-SA"/>
        </w:rPr>
        <w:t xml:space="preserve">هذا التوقيع من رواية الشيخ الصدوق والشيخ الطوسي والشيخ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سند الصدوق إلى إسحاق بن يعقوب فلا بأس به، إلّا أنّه وقع في الطريق محمد بن عصام الكوفي الذي لم يُصرَّح بوثاقته؛ ولكن بما أنّه من مشايخ الصدوق كما ورد في مشيخة الفقيه، وقد ترضّى عنه صريحًا فعلى بعض المباني الرجالية أنّ هذا كافٍ للحكم بوثاقته والاعتماد عليه</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أمّا سند الشيخ الطوسي إلى إسحاق بن يعقوب فصحيحٌ وهو أفضل وأهمّ من سند الصدوق؛ لأنّ الرجال الواقعين في السند كلّهم من الأجلاء، فالجماعة الذين روى عنهم ابن قولويه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والحسين بن عبيد الله أحمد بن عبدويه على ما صرّح به نفسه في ترجمة ابن قولويه، كما إنّ ابن قولويه ومحمد بن يعقوب الكليني في درجة عالية من الوثاقة والجلالة واعتبار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طريق الطبرسي الذي هو من علماء القرن السادس إلى محمد بن يعقوب الكليني غير معلوم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إلّا الراوي المباشر للتوقيع وهو إسحاق بن يعقوب حيث إنّه لم يرد فيه توثيق ولا قدح ولا ذمّ؛ فهو مجهول والسند من هذه الجهة محلٌّ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كله هناك عدّة محاولات يُتمسَّك بها لإثبات وثاقته وهي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ورود التوقيع إليه مع ما فيه من المضامين العالية والدعاء له في أوّل التوقيع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أرشدك الله وثبّتك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التسليم عليه في آخر التوقيع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 يا إسحاق بن يعقوب وعلى من اتبع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الأمور تدلّ على وثاقته بل تدلّ على علوّ مكانته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يلاحظ عليه، أنّه هو راوي هذا التوقيع، ولا يستدلّ به على وثاقة شخصٍ برواية يرويها هو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إنّ رواية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عظمة شأنه وعلوّ قدره لهذ التوقيع ونقل ابن قولويه الذي يعدّ من رموز الطائفة، لجلالته وعظمته، لهذه الرواية ونقل جماعة كأمثال الشيخ المفيد والحسين بن عبد الله وأبي غالب الزراري، من المشايخ الكبار للطائفة، لهذا التوقيع الشريف فهذا كله يدلّ على وثاقة الرجل ولا شبهة في أنّ افتراء التوقيع على الحجة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بدايات الغيبة، وفي ظروف كان لورود التوقيع قيمته الخاصّة لا يمكن أن يخفى على أمثال الكليني وابن قولويه والجماعة مع ما هم عليه من ضبط ودقّة وأمانة وهم معاصرون للغيبة الصغرى ولعصر التوقيعات، خاصّة لو ثبت أنّ إسحاق بن يعقوب هو أخو محمد بن يعقوب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أورد على هذ الوجه من أنّه لو كان هذا صوابًا فلماذا لم يذكر الكليني التوقيع في كتابه القيّم الكافي</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فيُجاب عنه بأن عدم النقل التوقيع في الكافي لا يضرّ؛ إذ من المحتمل وصول هذا التوقيع إليه بعد تأليف الكافي مضافًا إلى أنّه ليس من منهج الكليني أن يذكر كل رواية ثبتت عنده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عدم نقله في الكافي لعلّه لأجل أنّ ذكر الخبر في الكافي كان سببًا لإشهار الراوي بين الناس وموجبًا لتعريف خواصّ الإمام ونائبه وهذا منافٍ للتقية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من المستبعد جدًّا أن لا يكون الكليني عارفًا بحال مثله من معاصريه وهو ينقل عنه التوقيع بخطّ الإمام الحجة رفالظاهر أنّه كان يعرف </w:t>
      </w:r>
      <w:bookmarkStart w:id="552" w:name="pg8686_124044"/>
    </w:p>
    <w:p>
      <w:pPr>
        <w:pStyle w:val="BookText"/>
        <w:rPr/>
      </w:pPr>
      <w:bookmarkEnd w:id="552"/>
      <w:r>
        <w:rPr>
          <w:rFonts w:ascii="Amiri" w:hAnsi="Amiri" w:eastAsia="Amiri" w:cs="Amiri"/>
          <w:color w:val="111111"/>
          <w:sz w:val="28"/>
          <w:sz w:val="28"/>
          <w:szCs w:val="28"/>
          <w:rtl w:val="true"/>
          <w:lang w:bidi="ar-SA"/>
        </w:rPr>
        <w:t xml:space="preserve">الرجل بالوثاقة والأهلية لمثل هذا التوقيع ولعلّه كما استظهره بعض هو أخو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متانة نصّ التوقيع وما تضمّنه كما حكاه الأردبيلي في جامع الرواة عن الأسترابادي يدلّ على علوّ قدره واعتباره، قال العلّامة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على من درس كلمات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وتركيبات الجمل التي يستخدمونها واللحن الخاصّ بهم؛ أن الحديث والتوقيع المذكور هو صادر عن الإمام بحيث لا يشوبه شك</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فبالنتيجة ملاحظة هذه القرائن خاصّة بعد تجميعها، كافٍ عادة للوصول إلى وثاقة إسحاق بن يعقوب بل جلالة قدره وشأنه واعتبار روايته والله العالم</w:t>
      </w:r>
      <w:r>
        <w:rPr>
          <w:rFonts w:eastAsia="Amiri" w:cs="Amiri" w:ascii="Amiri" w:hAnsi="Amiri"/>
          <w:color w:val="111111"/>
          <w:sz w:val="28"/>
          <w:szCs w:val="28"/>
          <w:rtl w:val="true"/>
          <w:lang w:bidi="ar-SA"/>
        </w:rPr>
        <w:t>.</w:t>
      </w:r>
      <w:r>
        <w:rPr>
          <w:rStyle w:val="FootnoteAnchor"/>
          <w:rtl w:val="true"/>
        </w:rPr>
        <w:footnoteReference w:id="282"/>
      </w:r>
    </w:p>
    <w:p>
      <w:pPr>
        <w:pStyle w:val="Heading6"/>
        <w:numPr>
          <w:ilvl w:val="5"/>
          <w:numId w:val="1"/>
        </w:numPr>
        <w:rPr/>
      </w:pPr>
      <w:bookmarkStart w:id="553" w:name="__RefHeading___Toc2517672_653776707"/>
      <w:bookmarkStart w:id="554" w:name="_Toc212"/>
      <w:bookmarkEnd w:id="553"/>
      <w:r>
        <w:rPr>
          <w:rtl w:val="true"/>
        </w:rPr>
        <w:t>المبحث الثاني</w:t>
      </w:r>
      <w:r>
        <w:rPr>
          <w:rtl w:val="true"/>
        </w:rPr>
        <w:t xml:space="preserve">: </w:t>
      </w:r>
      <w:r>
        <w:rPr>
          <w:rtl w:val="true"/>
        </w:rPr>
        <w:t>بحث دلاليٌّ في الفقرة الأولى من الحديث</w:t>
      </w:r>
      <w:bookmarkEnd w:id="554"/>
    </w:p>
    <w:p>
      <w:pPr>
        <w:pStyle w:val="BookText"/>
        <w:rPr/>
      </w:pPr>
      <w:r>
        <w:rPr>
          <w:rFonts w:ascii="Amiri" w:hAnsi="Amiri" w:eastAsia="Amiri" w:cs="Amiri"/>
          <w:color w:val="111111"/>
          <w:sz w:val="28"/>
          <w:sz w:val="28"/>
          <w:szCs w:val="28"/>
          <w:rtl w:val="true"/>
          <w:lang w:bidi="ar-SA"/>
        </w:rPr>
        <w:t>عدّة من الأجلة من الفقهاء العظام كصاحب الجواهر والشيخ الأعظم الأنصاري والمحقق آقا رضا الهمداني والسيد الإمام الخميني</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استدلّوا بالتوقيع الشريف لإثبات الولاية الفقيه منصبًا عامًّا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يتمسك عادةً بفقرتين من الرواية الفقرة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فِيهَا إِلَى رُوَاةِ حَدِيثِنَا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التعليل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حُجَّتِي عَلَيْكُمْ وأَنَا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الفقرة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الاستدلال بها ببيان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الجمع المحلّى بالألف واللام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العموم، وهو يشمل كل حادثةٍ لا بدّ من الرجوع فيها عرفًا أو عقلًا أو شرعًا إلى الوليّ، وليس المراد خصوص المسائل الشرعية كما نصّ عليه الشيخ الأعظم في مكاسبه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55" w:name="pg8686_124048"/>
    </w:p>
    <w:p>
      <w:pPr>
        <w:pStyle w:val="BookText"/>
        <w:rPr/>
      </w:pPr>
      <w:bookmarkEnd w:id="55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إرجاع نفس الحوادث إلى الرواة لا الرجوع في حكمها إليهم فإنّ وجوب الرجوع في المسائل الشرعية إلى العلماء هو من الأمور البديهية، ومما لم يكن يخفى على مثل إسحاق بن يعقوب ليسأل عن مثل هذا الأمر في عداد مسائل أشكلت عليه، فهذا بخلاف نفس الحوادث والمصالح العامّة التي بحاجة إلى الرجوع في غياب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المراد من رواة الحديث هو من يروي لفظ الحديث فقط، دون تفقّه وإدراك لمعناه؛ بداهةَ أنّه لا معنى لإرجاع الأصحاب إلى الراوي بهذا الوصف بل المراد بمناسبة الحكم والموضوع هو الراوي المتفقّه والمتفهم لدرك مضمون كلامهم من أهل الرأي والنظر من الفقهاء وأهل الاجتهاد والاستنباط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الرجوع في الحوادث الواقعة إلى الفقيه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الفقيه هو المرجع في إدارة الأمور وإصدار القرارات في هذه الحوادث الحسّاسة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يُلاحظ على الاستدلال بالفقرة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أنّها لام الجنس، وبالتالي لم تثبت إفادتها العموم؛ إذ من المحتمل أن تكون اللام لام العهد للإشارة إلى الحوادث التي كتب إسحاق بن يعقوب إلى الإمام يسأله عنها، وعلى هذا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إرجاعًا إليهم في تلك الحوادث المعهودة بين السائل والمجيب، ونحن لا نعلمها فلا ينعقد ظهور للكلام في العموم حتى يُتمسَّك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على هذا الاعتراض بأن هذا الاحتمال ضعيف، وهو خلاف الظاهر من أمره بالرجوع في هذه الحوادث؛ حيث إنّ الظاهر أنّه يأمر كل الطائفة بالرجوع في الحوادث إلى رواة الحديث</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2517674_653776707"/>
      <w:bookmarkStart w:id="557" w:name="_Toc213"/>
      <w:bookmarkEnd w:id="556"/>
      <w:r>
        <w:rPr>
          <w:rtl w:val="true"/>
        </w:rPr>
        <w:t>المبحث الثالث</w:t>
      </w:r>
      <w:r>
        <w:rPr>
          <w:rtl w:val="true"/>
        </w:rPr>
        <w:t xml:space="preserve">: </w:t>
      </w:r>
      <w:r>
        <w:rPr>
          <w:rtl w:val="true"/>
        </w:rPr>
        <w:t>بحثٌ دلاليٌّ في الفقرة الثانية من الحديث</w:t>
      </w:r>
      <w:bookmarkEnd w:id="55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بالفقرة الثانية للرواية وعموم التعليل الوارد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حجتي عليكم وأنا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حيث إنّه كالنصّ على المدّعى </w:t>
      </w:r>
    </w:p>
    <w:p>
      <w:pPr>
        <w:pStyle w:val="BookText"/>
        <w:rPr/>
      </w:pPr>
      <w:r>
        <w:rPr>
          <w:rFonts w:ascii="Amiri" w:hAnsi="Amiri" w:eastAsia="Amiri" w:cs="Amiri"/>
          <w:color w:val="111111"/>
          <w:sz w:val="28"/>
          <w:sz w:val="28"/>
          <w:szCs w:val="28"/>
          <w:rtl w:val="true"/>
          <w:lang w:bidi="ar-SA"/>
        </w:rPr>
        <w:t>فإنّ الحجة بمعنى الدليل والبرهان فعلّل الإمام وجوب الرجوع إلى رواة الحديث بأنّهم دليله وبرهانه على الشيعة ومن بهم يُحتجّ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فاء التفريع والتأكيد بأن، وإضافة لفظ الحجة إلى ياء المتكلم كلّها لبيان أن الفقيه حجّة الإمام على شيعته في ما يرتبط بالإمام وشيعته ولا شك في أنّ من وظائفه واختياراته تولّي أمورهم وإدارة شؤونهم بحسب ما يراه 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فالشيعة يجب عليهم الرجوع إلى الفقيه؛ لأنّه حجة الإمام كما إنّ الإمام حجّة الله على خلقه، وليس معنى الحجية هي بيان الأحكام الشرعية فقط؛ فالمراد من أنّ الإمام وآباءه الطاهرين حجج الله على خلقه؛ أنّه يُحتج بوجودهم وسيرتهم وأعمالهم وأقوالهم على العباد في جميع الشؤون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حجج على العباد بمعنى أنّه لو رجعوا إلى غيرهم في الأمور الشرعية والأحكام الإلهية من تدبير أمور المسلمين وتمشية سياستهم وما يتعلق بالحكومة الإسلامية لا عذر لهم في ذلك مع وجودهم</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ومن الواضح عند الإمامية أنّ كون الإمام حجة الله تعالى، عبارة أخرى عن ولايته ومنصبه الإلهي على كافّة شؤون المسلمين لا مرجعًا للأحكام فقط، فكذلك الأمر بالنسبة إلى حجية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فكلمة الحجة المكرّرة في هذه الفقرة من التوقيع تشير إلى معنى واحد وهو زعامة الأمر وإمامة الأمة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يظهر الجواب عمّا أُورد على الاستدلال بأنّ الظاهر من الحجية هو الحجة بالنسبة إلى كشف الأحكام وبيانها؛ فلا صلة لمسألة الحجّة بالزعامة والولاية السياسية؛ وذلك لأنّ تفسير الحجّة بمفسِّر الأحكام ومبيِّنها، لا يتوافق مع ما ما فهمه الشيعة الإمامية في طول التاريخ من هذه الكلمة، ومع ما يبدو أنّه الفهم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الحجة كالبرهان والدليل عرفًا ما يكون سببًا للاحتجاج على الآخرين، وكما إنّ الإمام حجةٌ يُحتجّ به فكذلك الفقيه فلا تنحصر الحجية في </w:t>
      </w:r>
      <w:bookmarkStart w:id="558" w:name="pg8686_124054"/>
    </w:p>
    <w:p>
      <w:pPr>
        <w:pStyle w:val="BookText"/>
        <w:rPr/>
      </w:pPr>
      <w:bookmarkEnd w:id="558"/>
      <w:r>
        <w:rPr>
          <w:rFonts w:ascii="Amiri" w:hAnsi="Amiri" w:eastAsia="Amiri" w:cs="Amiri"/>
          <w:color w:val="111111"/>
          <w:sz w:val="28"/>
          <w:sz w:val="28"/>
          <w:szCs w:val="28"/>
          <w:rtl w:val="true"/>
          <w:lang w:bidi="ar-SA"/>
        </w:rPr>
        <w:t xml:space="preserve">بيان الأحكام فقط خاصّة حسب ما هو مرتكِزٌ عند الإمامية في معنى الحجّة فإنّ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الله على خلقه معناه أنّهم المعيار والملاك ولهم المرجعية العلمية والسياسة في كل الأمور الدينية، ولا تختصّ هذه الحجية بشأنٍ دون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هي أنّ دلالة التوقيع الشريف وخاصة الفقرة الثانية منه، دلالة تامّة واضحة كالنصّ على المدّعى</w:t>
      </w:r>
      <w:r>
        <w:rPr>
          <w:rFonts w:eastAsia="Amiri" w:cs="Amiri" w:ascii="Amiri" w:hAnsi="Amiri"/>
          <w:color w:val="111111"/>
          <w:sz w:val="28"/>
          <w:szCs w:val="28"/>
          <w:rtl w:val="true"/>
          <w:lang w:bidi="ar-SA"/>
        </w:rPr>
        <w:t>.</w:t>
      </w:r>
      <w:r>
        <w:rPr>
          <w:rStyle w:val="FootnoteAnchor"/>
          <w:rtl w:val="true"/>
        </w:rPr>
        <w:footnoteReference w:id="284"/>
      </w:r>
    </w:p>
    <w:p>
      <w:pPr>
        <w:pStyle w:val="Heading4"/>
        <w:numPr>
          <w:ilvl w:val="3"/>
          <w:numId w:val="1"/>
        </w:numPr>
        <w:rPr/>
      </w:pPr>
      <w:bookmarkStart w:id="559" w:name="__RefHeading___Toc2517676_653776707"/>
      <w:bookmarkStart w:id="560" w:name="_Toc214"/>
      <w:bookmarkEnd w:id="559"/>
      <w:r>
        <w:rPr>
          <w:rtl w:val="true"/>
        </w:rPr>
        <w:t>المسألة التاسعة</w:t>
      </w:r>
      <w:r>
        <w:rPr>
          <w:rtl w:val="true"/>
        </w:rPr>
        <w:t xml:space="preserve">: </w:t>
      </w:r>
      <w:r>
        <w:rPr>
          <w:rtl w:val="true"/>
        </w:rPr>
        <w:t xml:space="preserve">دراسة أدلة التنصيب العام للفقيه الجامع </w:t>
      </w:r>
      <w:r>
        <w:rPr>
          <w:rtl w:val="true"/>
        </w:rPr>
        <w:t>(</w:t>
      </w:r>
      <w:r>
        <w:rPr/>
        <w:t>7</w:t>
      </w:r>
      <w:r>
        <w:rPr>
          <w:rtl w:val="true"/>
        </w:rPr>
        <w:t>)</w:t>
      </w:r>
      <w:bookmarkEnd w:id="560"/>
    </w:p>
    <w:p>
      <w:pPr>
        <w:pStyle w:val="Heading5"/>
        <w:numPr>
          <w:ilvl w:val="4"/>
          <w:numId w:val="1"/>
        </w:numPr>
        <w:rPr/>
      </w:pPr>
      <w:bookmarkStart w:id="561" w:name="__RefHeading___Toc2517678_653776707"/>
      <w:bookmarkStart w:id="562" w:name="_Toc215"/>
      <w:bookmarkEnd w:id="561"/>
      <w:r>
        <w:rPr/>
        <w:t>7</w:t>
      </w:r>
      <w:r>
        <w:rPr>
          <w:rtl w:val="true"/>
        </w:rPr>
        <w:t xml:space="preserve">) </w:t>
      </w:r>
      <w:r>
        <w:rPr>
          <w:rtl w:val="true"/>
        </w:rPr>
        <w:t>الأدلة النقلية</w:t>
      </w:r>
      <w:r>
        <w:rPr>
          <w:rtl w:val="true"/>
        </w:rPr>
        <w:t xml:space="preserve">: </w:t>
      </w:r>
      <w:r>
        <w:rPr>
          <w:rtl w:val="true"/>
        </w:rPr>
        <w:t>الحديث الثالث</w:t>
      </w:r>
      <w:r>
        <w:rPr>
          <w:rtl w:val="true"/>
        </w:rPr>
        <w:t xml:space="preserve">: </w:t>
      </w:r>
      <w:r>
        <w:rPr>
          <w:rtl w:val="true"/>
        </w:rPr>
        <w:t>موثقة علي بن حمزة</w:t>
      </w:r>
      <w:bookmarkEnd w:id="562"/>
    </w:p>
    <w:p>
      <w:pPr>
        <w:pStyle w:val="Heading6"/>
        <w:numPr>
          <w:ilvl w:val="5"/>
          <w:numId w:val="1"/>
        </w:numPr>
        <w:rPr/>
      </w:pPr>
      <w:bookmarkStart w:id="563" w:name="__RefHeading___Toc2517680_653776707"/>
      <w:bookmarkStart w:id="564" w:name="_Toc216"/>
      <w:bookmarkEnd w:id="563"/>
      <w:r>
        <w:rPr>
          <w:rtl w:val="true"/>
        </w:rPr>
        <w:t>اشارة</w:t>
      </w:r>
      <w:bookmarkEnd w:id="564"/>
    </w:p>
    <w:p>
      <w:pPr>
        <w:pStyle w:val="BookText"/>
        <w:rPr/>
      </w:pPr>
      <w:r>
        <w:rPr>
          <w:rFonts w:ascii="Amiri" w:hAnsi="Amiri" w:eastAsia="Amiri" w:cs="Amiri"/>
          <w:color w:val="111111"/>
          <w:sz w:val="28"/>
          <w:sz w:val="28"/>
          <w:szCs w:val="28"/>
          <w:rtl w:val="true"/>
          <w:lang w:bidi="ar-SA"/>
        </w:rPr>
        <w:t xml:space="preserve">فقد روى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الكافي عن مُحَمَّدُ بْنُ يَحْيَى عَنْ أَحْمَدَ بْنِ مُحَمَّدٍ عَنِ ابْنِ مَحْبُوبٍ عَنْ على بْنِ أبي حَمْزَةَ قَالَ سَمِعْتُ أبا الْحَسَنِ مُوسَى بْنَ جَعْفَرٍ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 بَكَتْ عَلَيْهِ الْمَلَائِكَةُ وبِقَاعُ الْأَرْضِ الَّتِي كَان يَعْبُدُ اللَّهَ عَلَيْهَاوأَبْوَابُ السَّمَاءِ الَّتِي كَان يُصْعَدُ فِيهَا بِأَعْمَالِهِ، وثُلِمَ فِي الْإسلام ثُلْمَةٌ لَا يَسُدُّهَا شيء؛ لأنّ الْمُؤْمِنِينَ الْفُقَهَاءَ حُصُونُ الْإسلام كَحِصْنِ سُورِ الْمَدِينَةِ لَهَا</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ثم إنّ دراسة الحديث وكيفية الاستدلال به يتمّ ضمن بحوث</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2517682_653776707"/>
      <w:bookmarkStart w:id="566" w:name="_Toc217"/>
      <w:bookmarkEnd w:id="565"/>
      <w:r>
        <w:rPr>
          <w:rtl w:val="true"/>
        </w:rPr>
        <w:t>المبحث الأول</w:t>
      </w:r>
      <w:r>
        <w:rPr>
          <w:rtl w:val="true"/>
        </w:rPr>
        <w:t xml:space="preserve">: </w:t>
      </w:r>
      <w:r>
        <w:rPr>
          <w:rtl w:val="true"/>
        </w:rPr>
        <w:t>بحث سندي</w:t>
      </w:r>
      <w:bookmarkEnd w:id="566"/>
    </w:p>
    <w:p>
      <w:pPr>
        <w:pStyle w:val="BookText"/>
        <w:rPr/>
      </w:pPr>
      <w:r>
        <w:rPr>
          <w:rFonts w:ascii="Amiri" w:hAnsi="Amiri" w:eastAsia="Amiri" w:cs="Amiri"/>
          <w:color w:val="111111"/>
          <w:sz w:val="28"/>
          <w:sz w:val="28"/>
          <w:szCs w:val="28"/>
          <w:rtl w:val="true"/>
          <w:lang w:bidi="ar-SA"/>
        </w:rPr>
        <w:t>إنّ رجال السند كلّهم من الثقات والأجلّاء وليس في السند من يُتأمّل فيه إلا علي بن حمزة البطائني وهو من رؤوس الواقفة ومشهور بضعفه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يبعد إثبات وثاقته عن طرق</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 ما قاله الشيخ في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ولأجل ما قلناه عملت الطائفة بأخبار الفطحية مثل عبد الله بن بكير وغيره وأخبار الواقفة مثل سماعة بن مهران وعلي بن أبي </w:t>
      </w:r>
      <w:bookmarkStart w:id="567" w:name="pg8686_124057"/>
    </w:p>
    <w:p>
      <w:pPr>
        <w:pStyle w:val="BookText"/>
        <w:rPr/>
      </w:pPr>
      <w:bookmarkEnd w:id="567"/>
      <w:r>
        <w:rPr>
          <w:rFonts w:ascii="Amiri" w:hAnsi="Amiri" w:eastAsia="Amiri" w:cs="Amiri"/>
          <w:color w:val="111111"/>
          <w:sz w:val="28"/>
          <w:sz w:val="28"/>
          <w:szCs w:val="28"/>
          <w:rtl w:val="true"/>
          <w:lang w:bidi="ar-SA"/>
        </w:rPr>
        <w:t>حمزة وعثمان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شهادة من الشيخ بكونه ثقة في الحديث وبأنّ الطائفة الإمامية عملت بأخباره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رواية المشايخ الثلاث وهم صفوان بن يحيي وابن أبي عمير والبزنطي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الشيخ في العدّة إنّ هؤلاء الثلاثة لا يروون ولا يرسلون إلا عمّن يوثق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رواية أصحاب الإجماع عنه كرواية حمّاد بن عيسى وعثمان بن عيسى وعبد الله بن المغيرة وحسن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كونه من أصحاب الإجماع</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إلى غير ذلك من الطرق المتعددة التي يثبت بها وثاقته فلا إشكال في الحديث سندًا</w:t>
      </w:r>
    </w:p>
    <w:p>
      <w:pPr>
        <w:pStyle w:val="Heading6"/>
        <w:numPr>
          <w:ilvl w:val="5"/>
          <w:numId w:val="1"/>
        </w:numPr>
        <w:rPr/>
      </w:pPr>
      <w:bookmarkStart w:id="568" w:name="__RefHeading___Toc2517684_653776707"/>
      <w:bookmarkStart w:id="569" w:name="_Toc218"/>
      <w:bookmarkEnd w:id="568"/>
      <w:r>
        <w:rPr>
          <w:rtl w:val="true"/>
        </w:rPr>
        <w:t>المبحث الثاني</w:t>
      </w:r>
      <w:r>
        <w:rPr>
          <w:rtl w:val="true"/>
        </w:rPr>
        <w:t xml:space="preserve">: </w:t>
      </w:r>
      <w:r>
        <w:rPr>
          <w:rtl w:val="true"/>
        </w:rPr>
        <w:t>دراسة اختلاف نسخ الحديث</w:t>
      </w:r>
      <w:bookmarkEnd w:id="569"/>
    </w:p>
    <w:p>
      <w:pPr>
        <w:pStyle w:val="BookText"/>
        <w:rPr/>
      </w:pPr>
      <w:r>
        <w:rPr>
          <w:rFonts w:ascii="Amiri" w:hAnsi="Amiri" w:eastAsia="Amiri" w:cs="Amiri"/>
          <w:color w:val="111111"/>
          <w:sz w:val="28"/>
          <w:sz w:val="28"/>
          <w:szCs w:val="28"/>
          <w:rtl w:val="true"/>
          <w:lang w:bidi="ar-SA"/>
        </w:rPr>
        <w:t>قبل بيان الاستدلال بالحديث لا بدّ من الالتفات إلى اختلاف النسخ المنقول فيها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بالنسبة إلى صدر الحديث بدلًا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ابن أبي عمير، عن بعض أصحابه عن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 الفقيه ثُلِم في الإسلام ثلمة لا يسدّها شيء</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المحتمل سقوط لفظ الفقيه من صدر رواية علي بن أبي حمزة، خاصّة أنّ الجهات المذكورة في الرواية تتناسب مع موت الفقيه، مضافًا إلى أن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عنون الباب الذي روى هذا الحديث فيه بباب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شاهدٌ على وجود العنوان الفقهاء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وأن سائر أخبار هذا الباب أيضًا موضوعها موت الفقيه أو العالم، على أن في دوران الأمر بين النقص والزيادة، قد يقال إنّ العقلاء يحكمون بوقوع الحذف وأن احتمال الزيادة لا يُعتنى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بأس من الأخذ بالمرسلة لاعتبارها سندًاأيضًا ولا منافاة بين النقلين ليُحمل المطلق على المقيد</w:t>
      </w:r>
      <w:r>
        <w:rPr>
          <w:rFonts w:eastAsia="Amiri" w:cs="Amiri" w:ascii="Amiri" w:hAnsi="Amiri"/>
          <w:color w:val="111111"/>
          <w:sz w:val="28"/>
          <w:szCs w:val="28"/>
          <w:rtl w:val="true"/>
          <w:lang w:bidi="ar-SA"/>
        </w:rPr>
        <w:t xml:space="preserve">. </w:t>
      </w:r>
      <w:bookmarkStart w:id="570" w:name="pg8686_124060"/>
    </w:p>
    <w:p>
      <w:pPr>
        <w:pStyle w:val="BookText"/>
        <w:rPr/>
      </w:pPr>
      <w:bookmarkEnd w:id="570"/>
      <w:r>
        <w:rPr>
          <w:rFonts w:ascii="Amiri" w:hAnsi="Amiri" w:eastAsia="Amiri" w:cs="Amiri"/>
          <w:color w:val="111111"/>
          <w:sz w:val="28"/>
          <w:sz w:val="28"/>
          <w:szCs w:val="28"/>
          <w:rtl w:val="true"/>
          <w:lang w:bidi="ar-SA"/>
        </w:rPr>
        <w:t>ثانيًا هذا الحديث يرويه أيضًا الشيخ الكليني عن عدة من أصحابنا عن سهل بن زياد وعن على بن إبراهيم عن أبيه جميعًا عن ابن محبوب عن على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المؤمنين حصون الإسلام كحصن سور المدينة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الفقهاء محذوفة من الذيل، فلا يمكن التمسّك بها في الاستدلال؛ ولكن بما قلنا في دوران الأمر بين الزيادة والنقيصة فأصالة عدم الزيادة مقدّمة على أصالة عدم النقيصة عند العقلاء، ولكثرة الخطأ بالسقط، على أن الأمور والجهات المذكورة في الرواية كالثلمة والحصن بحسب تناسب الحكم والموضوع تتناسب مع موت الفقيه فالقدر المتيقن من ثبوت حصن الإسلام، ثبوتهاللفقهاء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هذ العنوان بسندٍ معتبر فلا إشكال في الأخذ والاستدلال به</w:t>
      </w:r>
      <w:r>
        <w:rPr>
          <w:rFonts w:eastAsia="Amiri" w:cs="Amiri" w:ascii="Amiri" w:hAnsi="Amiri"/>
          <w:color w:val="111111"/>
          <w:sz w:val="28"/>
          <w:szCs w:val="28"/>
          <w:rtl w:val="true"/>
          <w:lang w:bidi="ar-SA"/>
        </w:rPr>
        <w:t>.</w:t>
      </w:r>
      <w:r>
        <w:rPr>
          <w:rStyle w:val="FootnoteAnchor"/>
          <w:rtl w:val="true"/>
        </w:rPr>
        <w:footnoteReference w:id="287"/>
      </w:r>
    </w:p>
    <w:p>
      <w:pPr>
        <w:pStyle w:val="Heading6"/>
        <w:numPr>
          <w:ilvl w:val="5"/>
          <w:numId w:val="1"/>
        </w:numPr>
        <w:rPr/>
      </w:pPr>
      <w:bookmarkStart w:id="571" w:name="__RefHeading___Toc2517686_653776707"/>
      <w:bookmarkStart w:id="572" w:name="_Toc219"/>
      <w:bookmarkEnd w:id="571"/>
      <w:r>
        <w:rPr>
          <w:rtl w:val="true"/>
        </w:rPr>
        <w:t>المبحث الثالث</w:t>
      </w:r>
      <w:r>
        <w:rPr>
          <w:rtl w:val="true"/>
        </w:rPr>
        <w:t xml:space="preserve">: </w:t>
      </w:r>
      <w:r>
        <w:rPr>
          <w:rtl w:val="true"/>
        </w:rPr>
        <w:t>تقريب الاستدلال</w:t>
      </w:r>
      <w:bookmarkEnd w:id="572"/>
    </w:p>
    <w:p>
      <w:pPr>
        <w:pStyle w:val="BookText"/>
        <w:rPr/>
      </w:pPr>
      <w:r>
        <w:rPr>
          <w:rFonts w:ascii="Amiri" w:hAnsi="Amiri" w:eastAsia="Amiri" w:cs="Amiri"/>
          <w:color w:val="111111"/>
          <w:sz w:val="28"/>
          <w:sz w:val="28"/>
          <w:szCs w:val="28"/>
          <w:rtl w:val="true"/>
          <w:lang w:bidi="ar-SA"/>
        </w:rPr>
        <w:t>إنّ الاستدلال بالحديث يتوقّف على شرح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الحديث لا يُراد منها معناها اللغوي؛ بل المراد منها إمّا الفقيه في الدين الذي له فهم معمّق لجميع الدين ومعارفه من العقيدة والأحكام والأخلاق، وإمّا المراد منه الفقيه بالمعنى الاصطلاحي وهو المجتهد لاستنباط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شائعًا هذا المصطلح في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 ما يظهر من الحديث إنّ عنوان حُصُونُ الإسلام ليس مجازًا ولا مبالغة ولا تشريفًا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إنّ المراد من حصن الإسلام وتشبيه الفقيه بحصن سور المدينة هو حفظ الإسلام بجميع أبعاده عن هجوم المخالف والمعاند والأعداء كما إنّ سور المدينة وهو حائط عظيم في نهاية القوة والثبات يُبنى للدفاع عن المدينة وأهلها ودفع الشرور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فالفقهاء أيضًا حصون الإسلام </w:t>
      </w:r>
      <w:bookmarkStart w:id="573" w:name="pg8686_124062"/>
    </w:p>
    <w:p>
      <w:pPr>
        <w:pStyle w:val="BookText"/>
        <w:rPr/>
      </w:pPr>
      <w:bookmarkEnd w:id="573"/>
      <w:r>
        <w:rPr>
          <w:rFonts w:ascii="IRNazanin" w:hAnsi="IRNazanin" w:eastAsia="IRNazanin"/>
          <w:color w:val="111111"/>
          <w:sz w:val="28"/>
          <w:sz w:val="28"/>
          <w:szCs w:val="28"/>
          <w:rtl w:val="true"/>
          <w:lang w:bidi="fa-IR"/>
        </w:rPr>
        <w:t>وهذا وصف حقيقيٌّ جعله الإمام لهم للكناية عن حفظهم الإسلام في جوانب شتّى من النشاطات العلمية والثقافية ودفع الشبهات ونشر المعارف والإفتاء وإبداء الرأي في المجالات المختلفة الفقهية والكلامية والتفسير یه وحفظه عن الاندراس والبدعة والخرافة والانحراف وحفظه أيضًا في جانب القوة والتنفيذ والسلطة لئلا تتسلّط قوّة الأعداء على نواميس الإسلام وأعراض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ريب في أنّه لا يصدق على الفقيه أنّه حصن الإسلام إلا إذا قام بدوره في الشؤون المختلفة العلمية والاجتماعية والسياسية، فلا يفسح المجال لأعداء الإسلام للإغارة على الإسلام والمسلمين وإراقة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الفقيه لا يكون حصن الإسلام كسور البلد له إلا بأن يكون حافظًا لجميع الشؤون من بسط العدالة وإجراء الحدود وسدّ الثغور وأخذ الخراجات والماليّات وصرفها في مصالح المسلمين ونصب الولاة في الأصقاع وإلّا فصرف الأحكام ليس بإسلام؛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الحكومة بجميع شؤونها والأحكام قوانين الإسلام وهي شأن من شؤونها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الأحكام مطلوبات بالعرض وأمور آلية لإجرائها وبسط العدالة، فكون الفقيه حصنًا للإسلام كحصن سور المدينة لها، لا معنى له إلّا كونه واليًا له، نحو ما لرسول الله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الولاية على جميع الأمور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كلامه رفع مقامه</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وعلى هذا فالفقيه بحكم الحديث جُعِل حصنًا للإسلام من دون انتظار انضمام شيء آخر كانتخاب المسلمين وغيره</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2517688_653776707"/>
      <w:bookmarkStart w:id="575" w:name="_Toc220"/>
      <w:bookmarkEnd w:id="574"/>
      <w:r>
        <w:rPr>
          <w:rtl w:val="true"/>
        </w:rPr>
        <w:t>المبحث الرابع</w:t>
      </w:r>
      <w:r>
        <w:rPr>
          <w:rtl w:val="true"/>
        </w:rPr>
        <w:t xml:space="preserve">: </w:t>
      </w:r>
      <w:r>
        <w:rPr>
          <w:rtl w:val="true"/>
        </w:rPr>
        <w:t>دراسة بعض الملاحظات الواردة على الاستدلال</w:t>
      </w:r>
      <w:bookmarkEnd w:id="57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ذكرناه أعلاه من تقريب الاستدلال يظهر الجواب عمّا أُورِد على الاستدلال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وصف الحصنية وإن سلّمنا أنّه ثابت للفقهاء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يتعيّن كونه بالنصب؛ بل لعلّ المراد أنّه يجب عليهم ترشيحه بأنفسهم وإعداد </w:t>
      </w:r>
      <w:bookmarkStart w:id="576" w:name="pg8686_124066"/>
    </w:p>
    <w:p>
      <w:pPr>
        <w:pStyle w:val="BookText"/>
        <w:rPr/>
      </w:pPr>
      <w:bookmarkEnd w:id="576"/>
      <w:r>
        <w:rPr>
          <w:rFonts w:ascii="Amiri" w:hAnsi="Amiri" w:eastAsia="Amiri" w:cs="Amiri"/>
          <w:color w:val="111111"/>
          <w:sz w:val="28"/>
          <w:sz w:val="28"/>
          <w:szCs w:val="28"/>
          <w:rtl w:val="true"/>
          <w:lang w:bidi="ar-SA"/>
        </w:rPr>
        <w:t>القويّ ويجب على المسلمين القيام والتعاون وانتخابهم له، فيصير المنتخب بانتخاب الأمة واليًا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لأنّه خلاف الظاهر، حيث إنّ الظّاهر أنّ الإمام في مقام الجعل والإنشاء وإثبات وصف الحصنية لهم بالفعل، لا بالقوّة بأن يثبت لهم هذا الوصف بعد انتخاب الناس لهم نعم لاشك في أنّه لا يمكن لهم القيام بهذا الواجب إلّا بعد تبعية الناس لهم والتعاون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فتحقق الحفظ والحصنية بحاجة إلى وجود الناصر وحضور الحاضر طبعًا، وإلا فالإسلام لايحفظ بالإجبار والإكراه والقهر والغلبة</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وأما مايقال من أنّ المتبادر من حصن الإسلام هو صونه وحفظه عن البدع والانحراف ودفع الشبهة والدفاع عنه بالأبحاث العلمية والنشاطات الثقافية؛ فهذا الاحتمال أيضًا خلاف ما يظهر من الحديث لأنّ أمر الحصن لا يختص بهذه الجهة، ولاينحصر فيه فهو بإطلاقه يشمل جميع الجهات والساحات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وهو الأهم أنّ حفظ الإسلام من البدع والضلال والانحراف لايمكن تحقيقه ولا يتحقّق معناه الواقعيّ في وسط المجتمع إلّا بالسلطة والتمكن والولاية فإنّها هي الأساس وهي المفتاح لجميع الجهات كما في بعض الأخبار</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2517690_653776707"/>
      <w:bookmarkStart w:id="578" w:name="_Toc221"/>
      <w:bookmarkEnd w:id="577"/>
      <w:r>
        <w:rPr>
          <w:rtl w:val="true"/>
        </w:rPr>
        <w:t>المسألة العاشرة</w:t>
      </w:r>
      <w:r>
        <w:rPr>
          <w:rtl w:val="true"/>
        </w:rPr>
        <w:t xml:space="preserve">: </w:t>
      </w:r>
      <w:r>
        <w:rPr>
          <w:rtl w:val="true"/>
        </w:rPr>
        <w:t xml:space="preserve">دراسة أدلة التنصيب العام للفقيه الجامع </w:t>
      </w:r>
      <w:r>
        <w:rPr>
          <w:rtl w:val="true"/>
        </w:rPr>
        <w:t>(</w:t>
      </w:r>
      <w:r>
        <w:rPr/>
        <w:t>8</w:t>
      </w:r>
      <w:r>
        <w:rPr>
          <w:rtl w:val="true"/>
        </w:rPr>
        <w:t>)</w:t>
      </w:r>
      <w:bookmarkEnd w:id="578"/>
    </w:p>
    <w:p>
      <w:pPr>
        <w:pStyle w:val="Heading5"/>
        <w:numPr>
          <w:ilvl w:val="4"/>
          <w:numId w:val="1"/>
        </w:numPr>
        <w:rPr/>
      </w:pPr>
      <w:bookmarkStart w:id="579" w:name="__RefHeading___Toc2517692_653776707"/>
      <w:bookmarkStart w:id="580" w:name="_Toc222"/>
      <w:bookmarkEnd w:id="579"/>
      <w:r>
        <w:rPr/>
        <w:t>8</w:t>
      </w:r>
      <w:r>
        <w:rPr>
          <w:rtl w:val="true"/>
        </w:rPr>
        <w:t xml:space="preserve">) </w:t>
      </w:r>
      <w:r>
        <w:rPr>
          <w:rtl w:val="true"/>
        </w:rPr>
        <w:t>الأدلّة النقلية</w:t>
      </w:r>
      <w:r>
        <w:rPr>
          <w:rtl w:val="true"/>
        </w:rPr>
        <w:t xml:space="preserve">: </w:t>
      </w:r>
      <w:r>
        <w:rPr>
          <w:rtl w:val="true"/>
        </w:rPr>
        <w:t>الحديث الرابع</w:t>
      </w:r>
      <w:r>
        <w:rPr>
          <w:rtl w:val="true"/>
        </w:rPr>
        <w:t>: (</w:t>
      </w:r>
      <w:r>
        <w:rPr>
          <w:rtl w:val="true"/>
        </w:rPr>
        <w:t>موثقة السكوني</w:t>
      </w:r>
      <w:r>
        <w:rPr>
          <w:rtl w:val="true"/>
        </w:rPr>
        <w:t>)</w:t>
      </w:r>
      <w:bookmarkEnd w:id="58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ممّا ذكرنا أعلاه من البحث عن رواية موثقة علي بن حمزة تقريب الاستدلال بموثقة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النَّوْفَلِيِّ عَنِ السَّكُونِيِّ عَنْ أبي عَبْدِ اللَّه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أُمَنَاءُ الرُّسُلِ مَا لَمْ يَدْخُلُوا فِي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دُخُولُهُمْ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فَعَلُوا ذَلِكَ فَاحْذَرُوهُمْ عَلَى دِينِكُمْ</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وهذه الرواية من الروايات المشهورة مرويّةٌ أيضًا في مصادر أخرى كالمستدرك ونوادر الراوندي وفي كنز العمال أيضًا من مصادر أهل السنّة</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وسندها لا إشكال فيه إلّا من جهة النوفلي والسكوني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في محلّه وثاقتهما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النوفلي وهو الحسين بن يزيد فلم يرد فيه قدح؛ ولكثرة روايته، ورواية الأجلّاء عنه، ووقوعه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إشكال في اعتباره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السكوني وهو إسماعيل بن مسلم أبو زياد، فلم يقل أحدٌ من الأصحاب بعدم وثاقته؛ بل غاية ما قيل فيه إنّه عاميٌّ؛ ولكن بما أنّه كثير الرواية، ولشهادة الشيخ الطوسي في العدّة بعمل الطائفة بما رواه أمثال السكوني فيُستفاد منه اعتباره ووثاقته</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وأمّا دلالة الحديث فيمكن شرحها بنفس التقريب المتقدّم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حصون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يدلّ على أنّ الفقهاء أمناء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الشؤون المتعلّقة برسالته، وأوضحها زعامة الأمّة وإمامتها لبسط العدالة وتنفيذ الأحكام وإقامة الحدود، فالفقيه أمين لرسول الله وحصن للإسلام، فله الولاية المطلقة على الأمّة لأجل القيام بتحقّق هذه الأوصاف</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581" w:name="pg8686_124073"/>
    </w:p>
    <w:p>
      <w:pPr>
        <w:pStyle w:val="Heading4"/>
        <w:numPr>
          <w:ilvl w:val="3"/>
          <w:numId w:val="1"/>
        </w:numPr>
        <w:rPr/>
      </w:pPr>
      <w:bookmarkStart w:id="582" w:name="__RefHeading___Toc2517694_653776707"/>
      <w:bookmarkStart w:id="583" w:name="_Toc223"/>
      <w:bookmarkEnd w:id="581"/>
      <w:bookmarkEnd w:id="582"/>
      <w:r>
        <w:rPr>
          <w:rtl w:val="true"/>
        </w:rPr>
        <w:t>المسألة الحادية عشرة</w:t>
      </w:r>
      <w:r>
        <w:rPr>
          <w:rtl w:val="true"/>
        </w:rPr>
        <w:t xml:space="preserve">: </w:t>
      </w:r>
      <w:r>
        <w:rPr>
          <w:rtl w:val="true"/>
        </w:rPr>
        <w:t xml:space="preserve">دراسة أدلّة التنصيب </w:t>
      </w:r>
      <w:r>
        <w:rPr>
          <w:rtl w:val="true"/>
        </w:rPr>
        <w:t>(</w:t>
      </w:r>
      <w:r>
        <w:rPr/>
        <w:t>9</w:t>
      </w:r>
      <w:r>
        <w:rPr>
          <w:rtl w:val="true"/>
        </w:rPr>
        <w:t>)</w:t>
      </w:r>
      <w:bookmarkEnd w:id="583"/>
    </w:p>
    <w:p>
      <w:pPr>
        <w:pStyle w:val="Heading5"/>
        <w:numPr>
          <w:ilvl w:val="4"/>
          <w:numId w:val="1"/>
        </w:numPr>
        <w:rPr/>
      </w:pPr>
      <w:bookmarkStart w:id="584" w:name="__RefHeading___Toc2517696_653776707"/>
      <w:bookmarkStart w:id="585" w:name="_Toc224"/>
      <w:bookmarkEnd w:id="584"/>
      <w:r>
        <w:rPr/>
        <w:t>9</w:t>
      </w:r>
      <w:r>
        <w:rPr>
          <w:rtl w:val="true"/>
        </w:rPr>
        <w:t xml:space="preserve">) </w:t>
      </w:r>
      <w:r>
        <w:rPr>
          <w:rtl w:val="true"/>
        </w:rPr>
        <w:t>الأدلّة النقلية</w:t>
      </w:r>
      <w:r>
        <w:rPr>
          <w:rtl w:val="true"/>
        </w:rPr>
        <w:t xml:space="preserve">: </w:t>
      </w:r>
      <w:r>
        <w:rPr>
          <w:rtl w:val="true"/>
        </w:rPr>
        <w:t xml:space="preserve">الحديث الخامس </w:t>
      </w:r>
      <w:r>
        <w:rPr>
          <w:rtl w:val="true"/>
        </w:rPr>
        <w:t>(</w:t>
      </w:r>
      <w:r>
        <w:rPr>
          <w:rtl w:val="true"/>
        </w:rPr>
        <w:t>صحيحة القدّاح</w:t>
      </w:r>
      <w:r>
        <w:rPr>
          <w:rtl w:val="true"/>
        </w:rPr>
        <w:t xml:space="preserve">) </w:t>
      </w:r>
      <w:r>
        <w:rPr>
          <w:rtl w:val="true"/>
        </w:rPr>
        <w:t xml:space="preserve">والحديث السادس </w:t>
      </w:r>
      <w:r>
        <w:rPr>
          <w:rtl w:val="true"/>
        </w:rPr>
        <w:t>(</w:t>
      </w:r>
      <w:r>
        <w:rPr>
          <w:rtl w:val="true"/>
        </w:rPr>
        <w:t>مرسلة الصدوق</w:t>
      </w:r>
      <w:r>
        <w:rPr>
          <w:rtl w:val="true"/>
        </w:rPr>
        <w:t>)</w:t>
      </w:r>
      <w:bookmarkEnd w:id="585"/>
    </w:p>
    <w:p>
      <w:pPr>
        <w:pStyle w:val="Heading6"/>
        <w:numPr>
          <w:ilvl w:val="5"/>
          <w:numId w:val="1"/>
        </w:numPr>
        <w:rPr/>
      </w:pPr>
      <w:bookmarkStart w:id="586" w:name="__RefHeading___Toc2517698_653776707"/>
      <w:bookmarkStart w:id="587" w:name="_Toc225"/>
      <w:bookmarkEnd w:id="586"/>
      <w:r>
        <w:rPr>
          <w:rtl w:val="true"/>
        </w:rPr>
        <w:t>اشارة</w:t>
      </w:r>
      <w:bookmarkEnd w:id="58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حَمَّادِ بْنِ عِيسَى عَنِ عبد الله بن ميمون الْقَدَّاحِ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سَلَكَ طَرِيقًا يَطْلُبُ فِيهِ عِلْمًا سَلَكَ اللَّهُ بِهِ طَرِيقًا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الْمَلَائِكَةَ لَتَضَعُ أَجْنِحَتَهَا لِطَالِبِ الْعِلْمِ رِضًا بِهِ، وإِنَّهُ يَسْتَغْفِرُ لِطَالِبِ الْعِلْمِ مَنْ فِي السَّمَاءِ، ومَنْ فِي الْأَرْضِ، حَتَّى الْحُوتِ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الْعَالِمِ عَلَى الْعَابِدِ كَفَضْلِ الْقَمَرِ عَلَى سَائِرِ النُّجُومِ لَيْلَةَ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وإنّالْعُلَمَاءَ وَرَثَةُ الأنبِيَاءِ، إنّ الأنبِيَاءَ لَمْ يُوَرِّثُوا دِينَارًا ولَا دِرْهَمًا؛ ولَكِنْ وَرَّثُوا الْعِلْمَ فَمَنْ أَخَذَ مِنْهُ أَخَذَ بِحَظٍّ وَافِر</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ورواها أيضًا الشيخ الكليني عن عبد الله بن ميمون بطرق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إنّها مرويةٌ في أمالي الصدوق وثواب الأعمال وبصائر الدرجات والرواية صحيحةٌ سندًا وفي غاية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الوراثة على علماء الأمة الإسلامية، ومقتضى هذا الإطلاق، انتقال كل ما كان لهم إليهم، إلّا ما ثبت أنّه غير ممكن الانتقال كالولاية الكلية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في أنّ الولاية الاعتبارية قابلة للانتقال كالسلطنة التي كانت عند أهل الجور وقد ورثوها خلفًا عن سلفٍ</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العلماء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العلماء</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وفيه ما لا يخفى؛ ضرورة أنّه مع عدم القرينة يكون لفظ العلماء ظاهرًا في الفقهاء غير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قوله في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سلك طريقًا يطلب فيه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ينطبق على الأئمة بالضرورة، فهذا أيضًا قرينة على أن المراد غير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يُقال من أنّ وراثة الأنبياء بما هم أنبياء لا تقتضي إلا تبليغ الأحكام، فإنّ الوصف العنواني مأخوذ في القضية وشأن الأنبياء بما هم أنبياء ليس إلا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فيجاب عنه بأنّ هذ التحليل خارجٌ عن فهم العرف، ولا ينقدح في الأذهان من هذه العبارة؛ إلّا الوراثة عن موسى وعيسى وغيرهم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لا شبهة في أنّ ما ثبت لعنوان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والسنة يرثه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الأحزاب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ثمّة إشكالٌ آخر وهو أن احتفاف الرواية بتعظيم العلماء، ثم قوله في ذيل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الأنبياء لم يورثوا دينارًا ولا درهمًا ولكن ورثوا العلم فمن أخذ منه أخذ بحظّ 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يمنع عن فهم عموم الشؤون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الصدوق</w:t>
      </w:r>
    </w:p>
    <w:p>
      <w:pPr>
        <w:pStyle w:val="BookText"/>
        <w:rPr/>
      </w:pP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من خلفاؤك؟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بعدي ويروون حديثي وسنتي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في عيون أخبار الرضا إلّا أنّه زيد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فيعلِّمون الناس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الأخبار ومروي أيضًا في مستدرك الوسائل وعوالي اللآلي وغيرها من المصادر الإماميّة</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وقريب منه ما هو </w:t>
      </w:r>
      <w:bookmarkStart w:id="588" w:name="pg8686_124080"/>
    </w:p>
    <w:p>
      <w:pPr>
        <w:pStyle w:val="BookText"/>
        <w:rPr/>
      </w:pPr>
      <w:bookmarkEnd w:id="588"/>
      <w:r>
        <w:rPr>
          <w:rFonts w:ascii="Amiri" w:hAnsi="Amiri" w:eastAsia="Amiri" w:cs="Amiri"/>
          <w:color w:val="111111"/>
          <w:sz w:val="28"/>
          <w:sz w:val="28"/>
          <w:szCs w:val="28"/>
          <w:rtl w:val="true"/>
          <w:lang w:bidi="ar-SA"/>
        </w:rPr>
        <w:t>مرويٌّ في كنز العمال من مصادر أهل السنّة</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والرواية من جهة السند وإن كانت 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وفي سائر المصادر أيضًا لا يخلو رجالها من ضعاف ومجاهيل؛ ولكن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كثرة أسناد الحديث وطرقه</w:t>
      </w:r>
    </w:p>
    <w:p>
      <w:pPr>
        <w:pStyle w:val="BookText"/>
        <w:rPr/>
      </w:pPr>
      <w:r>
        <w:rPr>
          <w:rFonts w:ascii="Amiri" w:hAnsi="Amiri" w:eastAsia="Amiri" w:cs="Amiri"/>
          <w:color w:val="111111"/>
          <w:sz w:val="28"/>
          <w:sz w:val="28"/>
          <w:szCs w:val="28"/>
          <w:rtl w:val="true"/>
          <w:lang w:bidi="ar-SA"/>
        </w:rPr>
        <w:t xml:space="preserve">ثانيًا إرسال الحديث إرسال المسلَّمات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اشتراط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الكتاب أن يروي ما يفتي به ويحكم بصحته ويعتقد أنّه حجة</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مراسيل الصدوق جزمًا لا تقصر عن مراسيل ابن أبي عمير</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فهذا كله يوجب الاطمئنان بصدور الحديث واعتباره</w:t>
      </w:r>
      <w:r>
        <w:rPr>
          <w:rFonts w:eastAsia="Amiri" w:cs="Amiri" w:ascii="Amiri" w:hAnsi="Amiri"/>
          <w:color w:val="111111"/>
          <w:sz w:val="28"/>
          <w:szCs w:val="28"/>
          <w:rtl w:val="true"/>
          <w:lang w:bidi="ar-SA"/>
        </w:rPr>
        <w:t>.</w:t>
      </w:r>
    </w:p>
    <w:p>
      <w:pPr>
        <w:pStyle w:val="Heading6"/>
        <w:numPr>
          <w:ilvl w:val="5"/>
          <w:numId w:val="1"/>
        </w:numPr>
        <w:rPr/>
      </w:pPr>
      <w:bookmarkStart w:id="589" w:name="__RefHeading___Toc2517700_653776707"/>
      <w:bookmarkStart w:id="590" w:name="_Toc226"/>
      <w:bookmarkEnd w:id="589"/>
      <w:r>
        <w:rPr>
          <w:rtl w:val="true"/>
        </w:rPr>
        <w:t>تقريب الاستدلال</w:t>
      </w:r>
      <w:bookmarkEnd w:id="590"/>
    </w:p>
    <w:p>
      <w:pPr>
        <w:pStyle w:val="BookText"/>
        <w:rPr/>
      </w:pPr>
      <w:r>
        <w:rPr>
          <w:rFonts w:ascii="Amiri" w:hAnsi="Amiri" w:eastAsia="Amiri" w:cs="Amiri"/>
          <w:color w:val="111111"/>
          <w:sz w:val="28"/>
          <w:sz w:val="28"/>
          <w:szCs w:val="28"/>
          <w:rtl w:val="true"/>
          <w:lang w:bidi="ar-SA"/>
        </w:rPr>
        <w:t xml:space="preserve">من جهة الدلالة 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للدعاء، ونداء لله تبارك وتعالى؛ ولكن يُراد بها إخبار الناس بأن هؤلاء العلماء الفقهاء الذين يأتون من بعده ويروون حديثه وسنّته هم خلفاء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الخلافة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واضحٌ ليس فيه أيّ 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يأتون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 للخلفاء، لا محدّد لمعناها؛ فيظهر من الرواية أنّ للعلماء جميع 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يدلّ دليل على إخراجه فيُتبع</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أنّ المراد من الخلفاء هو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الوهن؛ فإنّ التعبير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برواة الحديث غير معهود، فإنّهم خزّان علمه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الاختصاص بالراوي والمحدّث دون الفقيه أوهن من سابقه؛ لأنّ المحدث والراوي ليس شغله تعليم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 فقيهًا كأمثال الكليني والصدوقين ونظائرهم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إلى نسخة عيون </w:t>
      </w:r>
    </w:p>
    <w:p>
      <w:pPr>
        <w:pStyle w:val="BookText"/>
        <w:rPr/>
      </w:pPr>
      <w:r>
        <w:rPr>
          <w:rFonts w:ascii="Amiri" w:hAnsi="Amiri" w:eastAsia="Amiri" w:cs="Amiri"/>
          <w:color w:val="111111"/>
          <w:sz w:val="28"/>
          <w:sz w:val="28"/>
          <w:szCs w:val="28"/>
          <w:rtl w:val="true"/>
          <w:lang w:bidi="ar-SA"/>
        </w:rPr>
        <w:t xml:space="preserve">أخبار الرضا التي فيها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فيعلِّمون الناس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نسخة الفقيه التي ليس فيها هذا الذيل؛ فلأنه لا شك في أنّ المطلوب من بسط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ما ينسب إليه ولو كان كذبًا وعلى خلاف سنته، والذي يتيسّر له تمييز السُّنّة عن غيرها هو المجتهد المتبحِّر والمحدث الفقيه لا ناقل الحديث كائنًا من كان</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ما 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ريب بناء على أصول مذهب الإمامية في أنّ أمر الخلافة بعد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على الأمّة موكول إلى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الخلفاء بعده منحصرون في الأئمة الاثني عشر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فالسؤال الأساسُ هو عن كيفية الجمع بين أصل خلافة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 هذه الرواية من ثبوت الخلافة للفقهاء والعلماء من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بحاجة إلى شرح ورفع إبهام عن معنى الرواية وإلّا بظاهره، فظاهر الحديث يعارض ذلك الأصل الثابت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يبقى هناك إلا لزوم التصرّف في المعنى لرفع المعارضة، وهو إمّا حمل الخلافة المذكورة في الحديث على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الحمل وإن كان خلاف الظاهر؛ ولكن أصل خلافة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عليه فتختص الرواية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تشمل الفقهاء</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تُحمل الخلافة على الخلافة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تبليغ السنة وتعليم حقائقها، لا على الخلافة المعهودة والولاية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الرواية تشمل الفقهاء أو تختصّ بهم ولا إشكال في أنّ كلا الحملين موافقٌ للجمع العرفيّ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حمل الرواية عل خصوص الفقهاء وإرادة ثبوت الخلافة المطلقة والولاية الكلية للفقهاء، فهو خلاف الظاهر، خاصةً أنّ ولاية الفقيه لا تكون في عرض ولاية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هي في طول ولايتهم وخلافتهم نيابة عنهم؛ ففي الحقيقة </w:t>
      </w:r>
      <w:bookmarkStart w:id="591" w:name="pg8686_124086"/>
    </w:p>
    <w:p>
      <w:pPr>
        <w:pStyle w:val="BookText"/>
        <w:rPr/>
      </w:pPr>
      <w:bookmarkEnd w:id="591"/>
      <w:r>
        <w:rPr>
          <w:rFonts w:ascii="Amiri" w:hAnsi="Amiri" w:eastAsia="Amiri" w:cs="Amiri"/>
          <w:color w:val="111111"/>
          <w:sz w:val="28"/>
          <w:sz w:val="28"/>
          <w:szCs w:val="28"/>
          <w:rtl w:val="true"/>
          <w:lang w:bidi="ar-SA"/>
        </w:rPr>
        <w:t xml:space="preserve">إنّ الفقيه ليس خليفة الرسول؛ بل هو خليفة الخليفة في عصر الغيبة وفي زمن عدم بسط يد المعصوم </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2517702_653776707"/>
      <w:bookmarkStart w:id="593" w:name="_Toc227"/>
      <w:bookmarkEnd w:id="592"/>
      <w:r>
        <w:rPr>
          <w:rtl w:val="true"/>
        </w:rPr>
        <w:t>المسألة الثانية عشرة</w:t>
      </w:r>
      <w:r>
        <w:rPr>
          <w:rtl w:val="true"/>
        </w:rPr>
        <w:t xml:space="preserve">: </w:t>
      </w:r>
      <w:r>
        <w:rPr>
          <w:rtl w:val="true"/>
        </w:rPr>
        <w:t xml:space="preserve">دراسة أدلّة التنصيب </w:t>
      </w:r>
      <w:r>
        <w:rPr>
          <w:rtl w:val="true"/>
        </w:rPr>
        <w:t>(</w:t>
      </w:r>
      <w:r>
        <w:rPr/>
        <w:t>10</w:t>
      </w:r>
      <w:r>
        <w:rPr>
          <w:rtl w:val="true"/>
        </w:rPr>
        <w:t>)</w:t>
      </w:r>
      <w:bookmarkEnd w:id="593"/>
    </w:p>
    <w:p>
      <w:pPr>
        <w:pStyle w:val="Heading5"/>
        <w:numPr>
          <w:ilvl w:val="4"/>
          <w:numId w:val="1"/>
        </w:numPr>
        <w:rPr/>
      </w:pPr>
      <w:bookmarkStart w:id="594" w:name="__RefHeading___Toc2517704_653776707"/>
      <w:bookmarkStart w:id="595" w:name="_Toc228"/>
      <w:bookmarkEnd w:id="594"/>
      <w:r>
        <w:rPr/>
        <w:t>10</w:t>
      </w:r>
      <w:r>
        <w:rPr>
          <w:rtl w:val="true"/>
        </w:rPr>
        <w:t xml:space="preserve">) </w:t>
      </w:r>
      <w:r>
        <w:rPr>
          <w:rtl w:val="true"/>
        </w:rPr>
        <w:t>الأدلة النقلية</w:t>
      </w:r>
      <w:r>
        <w:rPr>
          <w:rtl w:val="true"/>
        </w:rPr>
        <w:t xml:space="preserve">: </w:t>
      </w:r>
      <w:r>
        <w:rPr>
          <w:rtl w:val="true"/>
        </w:rPr>
        <w:t>الحديث السابع</w:t>
      </w:r>
      <w:r>
        <w:rPr>
          <w:rtl w:val="true"/>
        </w:rPr>
        <w:t>: (</w:t>
      </w:r>
      <w:r>
        <w:rPr>
          <w:rtl w:val="true"/>
        </w:rPr>
        <w:t>مرسلة تحف العقول</w:t>
      </w:r>
      <w:r>
        <w:rPr>
          <w:rtl w:val="true"/>
        </w:rPr>
        <w:t xml:space="preserve">) </w:t>
      </w:r>
      <w:r>
        <w:rPr>
          <w:rtl w:val="true"/>
        </w:rPr>
        <w:t>والحديث الثامن</w:t>
      </w:r>
      <w:r>
        <w:rPr>
          <w:rtl w:val="true"/>
        </w:rPr>
        <w:t>: (</w:t>
      </w:r>
      <w:r>
        <w:rPr>
          <w:rtl w:val="true"/>
        </w:rPr>
        <w:t>الخطبة الشقشقية</w:t>
      </w:r>
      <w:r>
        <w:rPr>
          <w:rtl w:val="true"/>
        </w:rPr>
        <w:t>)</w:t>
      </w:r>
      <w:bookmarkEnd w:id="59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مرسلة 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الحسن بن علي بن الحسين بن شعبة الحرّاني في كتابه الشهير تحف العقول عن آل الرسول، من كلام أبي عبد الله الحسين في طيّ خطبة طويلةٍ في منى خطبها لعلماء الأمّة؛ بعد بيان أهمّية 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أَيَّتُهَا الْعِصَابَةُ عِصَابَةٌ بِالْعِلْمِ مَشْهُورَةٌ، وبِالْخَيْرِ مَذْكُورَةٌ وبِالنَّصِيحَةِ مَعْرُوفَةٌ، وبِاللَّهِ فِي أَنْفُسِ النَّاسِ مَهَابَةٌ يَهَابُكُمُ الشَّرِيفُ ويُكْرِمُكُمُ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أَعْظَمُ النَّاسِ مُصِيبَةً لِمَا غُلِبْتُمْ عَلَيْهِ مِنْ مَنَازِلِ الْعُلَمَاءِ، لَوْ كُنْتُمْ تَشْعُرُونَ ذَلِكَ بِأنّ مَجَارِيَ الْأُمُورِ والْأحكام عَلَى أَيْدِي الْعُلَمَاءِ بِاللَّهِ الْأُمَنَاءِ عَلَى حَلَالِهِ وحَرَامِهِ، فَأَنْتُمُ الْمَسْلُوبُونَ تِلْكَ الْمَنْزِلَةَ، ومَا سُلِبْتُمْ ذَلِكَ إِلَّا بِتَفَرُّقِكُمْ عَنِ الْحَقِّ واخْتِلَافِكُمْ فِي السُّنَّةِ بَعْدَ الْبَيِّنَةِ الْوَاضِحَةِ ولَوْ صَبَرْتُمْ عَلَى الْأَذَى وتَحَمَّلْتُمُ الْمَؤونَةَ فِي ذَاتِ اللَّهِ كَانَتْ أُمُورُ اللَّهِ عَلَيْكُمْ تَرِدُ وعَنْكُمْ تَصْدُرُ وإِلَيْكُمْ تَرْجِع</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بحث 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الرواية وإن كانت بحسب الظاهر مرسلةً؛ ولكن يمكن إثبات اعتبارها بالالتفات إلى أمور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إنّ ابن شعبة الحرّاني ثقةٌ معتمدٌ عليه، وقد وصفه الشيخ الحرّ العامليّ في الوسائل بالشيخ الصّدوق، وقال عنه في أمل الآمل فاضلٌ محدِّثٌ جليلٌ وله ترجمةٌ في رياض العلماء وروضات الجنّات وتنقيح المقال وأمل الآمل وعلى </w:t>
      </w:r>
    </w:p>
    <w:p>
      <w:pPr>
        <w:pStyle w:val="BookText"/>
        <w:rPr/>
      </w:pPr>
      <w:r>
        <w:rPr>
          <w:rFonts w:ascii="Amiri" w:hAnsi="Amiri" w:eastAsia="Amiri" w:cs="Amiri"/>
          <w:color w:val="111111"/>
          <w:sz w:val="28"/>
          <w:sz w:val="28"/>
          <w:szCs w:val="28"/>
          <w:rtl w:val="true"/>
          <w:lang w:bidi="ar-SA"/>
        </w:rPr>
        <w:t xml:space="preserve">هذا فالمؤلف من أصحابنا القدماء يروي عنه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جليل القدر</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ثانيًا كتاب تحف العقول لا يعدّ من المراسيل؛ بل للأصحاب طريقٌ إليه وصاحب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الكتب المعتمدة التي وصلت إلينا كما صرّح به في الفائدة الرابعة والفائدة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مؤلّف الكتاب قد صرّح في مقدمة كتابه بأنّ روايات الكتب كانت مسندةً، وأكثرها كان له بها سماعٌ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وأسقطت الأسانيد تخفيفًا وإيجازًا وإن كان أكثره لي سماعًا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وشهده على اعتبار روايات الكتاب بأمر معاشر الشيعة بالعمل بما فيالكتاب،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تلقّوا ما نقله الثقات عن السادات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بالسمع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شهادة واضحةٌ منه بأنّ رواة الكتاب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يبعد القول باعتبار مراسيل تحف العقول</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للحديث الشريف دلالة واضحة على أن ولاية الأمة، المعبّر عنها بمجاري الأمور، قائمة على أيدي العلماء بالله والأمناء على حلاله وحرامه وعليهم أن يقوموا ويسعوا لأن يتولّوا أمور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يقال بأنّ المراد من العلماء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الأمناء على حلاله وحرامه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العلماء بأحكام الله، فهم بواسطة الفيوضات التكوينية والتشريعية، تكون مجاري الأمور بيدهم لا جعلًا، فهي دليل على الولاية الباطنية لا الولاية الظاهرية المجعولة</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فيُلاحَظ عليه بأنّ هذا خلاف التحقيق بلا ريب ولا شك، فإنّ الدّقة والتأمّل </w:t>
      </w:r>
    </w:p>
    <w:p>
      <w:pPr>
        <w:pStyle w:val="BookText"/>
        <w:rPr/>
      </w:pPr>
      <w:r>
        <w:rPr>
          <w:rFonts w:ascii="Amiri" w:hAnsi="Amiri" w:eastAsia="Amiri" w:cs="Amiri"/>
          <w:color w:val="111111"/>
          <w:sz w:val="28"/>
          <w:sz w:val="28"/>
          <w:szCs w:val="28"/>
          <w:rtl w:val="true"/>
          <w:lang w:bidi="ar-SA"/>
        </w:rPr>
        <w:t xml:space="preserve">في الرواية من صدرها إلى ذيلها تكشف عن عدم صحة حمل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فيها على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خطاب الرواية متوجّهة إلى العلماء المعاصرين لأبي عبد الله من الصحابة والتابعين في عصر معاوية الذين ما قاموا بوظيفتهم من إقامة الحق فيخاطبهم ويوبّخهم على ذلك، كما إنّ حملها على الولاية الباطنية، خلاف الظاهر كما لا يخفى</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 الشقشقية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ذيل الخطبة الثالثة من خطب نهج البلاغة للشريف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والَّذِي فَلَقَ الْحَبَّةَ وبَرَأَ النَّسَمَةَ، لَوْلَا حُضُورُ الْحَاضِرِ وقِيَامُ الْحُجَّةِ بِوُجُودِ النَّاصِرِ، ومَا أَخَذَ اللَّهُ عَلَى الْعُلَمَاءِ، أَلَّا يُقَارُّوا عَلَى كِظَّةِ ظَالِمٍ، ولَا سَغَبِ مَظْلُومٍ، لَأَلْقَيْتُ حَبْلَهَا عَلَى غَارِبِهَا ولَسَقَيْتُ آخِرَهَا بِكَأْسِ أَوَّلِهَا ولَأَلْفَيْتُمْ دُنْيَاكُمْ هَذِهِ أَزْهَدَ عِنْدِي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الخطبة وإن رُوِيت مرسلةً في نهج البلاغة كسائر روايات هذا الكتاب؛ ولكن كما فصّل في محلّه إنّ روايات نهج البلاغة كانت مسندة وحُذِفت أسنادها لأجل غرض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تأليف كتاب في بلاغة كلمات أمير المؤمنين فقط؛ هذا أوّلًا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هذه الخطبة، قبل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رواها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علل الشرائع ومعاني الأخبار، وفي كلّ منهما بسندين ورواها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بسند آخر في أماليه ورواها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 بصحة سند الخطبة واعتبارها بالإسناد المذكور في علل الشرائع ومعاني الأخبار</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وعلى أيّ حالٍ كثرة الطرق وتعدّد الأسناد وقوّة المضمون وإتقان المتن كلها قرائن توجب الاطمئنان باعتبار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الخطبة قد أنشأها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ذكرت الخلافة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وفيها بما هو من ضروريات الإمامية وأصول معتقداتهم من أنّ الخلافة وتولّي الأمور الأمّة كانت حقًّا له قد نهبها وغصبها الآخرون ثمّ في آخر الخطبة، يفصح عن سرّ قبوله للبيعة بعد مقتل الخليفة الثالثة؛ لأنّها كانت وظيفة دينية ومسؤولية الإلهية، قد جعلها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ذمّة العلماء بعد تحقّق شروط تنجزّها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ذكرأن قبوله للخلافة وتولية للأمور هو العهد الذي أخذه من العلماء أن لايسكنوا ولايسكتوا أبدًا، في قبال الظلم الشديد الذي يأتي به الظالمون على حقوق المظلومين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يقارّوا على كظّة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العلماء أن لايصبروا على امتلاء الظالم من المال الحرام،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لايقاروا من قارّ يقارّ بمعنى السكون وعدم التحرك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 فلان عمّه أي قرّ معه وسكن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كظّة بمعنى الامتلاء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وسغب مظلوم، السغب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ومعناه منع المظلوم من حقّه الواجب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حبلها على غاربها، هذا مثلٌ،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حبل البعير على غاربه أي على سنامه ليرعى كيف شاء وأنّى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وَلَأَلْفَيْتُمْ دُنْيَاكُمْ هَذِهِ أَزْهَدَ عِنْدِي مِنْ عَفْطَةِ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فالزهيد أي القليل والعفطة الريح الذي يخرج من أنف المعز</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فبهذه العبارات يبيّن الإمام أن العهد الإلهي على العلماء ثابت للقيام بأخذ الحقوق للمظلوم من الظالم، إذا تحقق الشرط اللازم لهذا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وتنجّزَت هذه الوظيفة والمسؤولية بحضور الحاضر ووجود الناصر؛ فحينئذٍ الحجّة على العالم تتمّ وعليه أن يقوم بواجبه فالناس المظلومون يجب عليهم الحضور ونصرة العالم؛ ولكنّهم إذا عصوا ولم يمتثلوا الأمر بالحضور والنصرة، فلا يمكن للعالم القيام وأخذ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شك في أنّ المراد من العلماء، ليس كل عالم، بل بمناسبة الحكم والموضوع، يظهر أنّ المراد به العلم بالإسلام وأحكامه وحلاله وحرامه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صيغة الجمع المحلّى بالألف واللام بعموميته يشمل جميع العلماء والفقهاء الخبراء في الدين الحنيف والجامعين للشروط،في جميع الأعصار والأمصار، ولا يختص هذا بالأئمة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العلماء هم في الرتبة العليا وفي الصفّ الأول؛ ولكنّ هذا لايمنع من ثبوت الولاية وهذا العهد الإلهي لسائرالعلماء غير المعصومين الذين يقعون في المرتبة الثانية من مرتبتهم والدرجة النازلة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علم الإمام علم لدنّي بحقيقة الإسلام كشفًا وشهودًا وعلم غيرهم من العلماء علمٌكسبيٌّ حصوليٌّ اعتباريٌّ عن اجتهاد ونظر في الأدلّة القرآنية والروايات؛ ولكن عموم قوله العلماء يشمل جميع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يقتضي هذا أن يكون العالم غير المعصوم في عرض الإمام المعصوم؛ لأنّ مقتضى الجمع بين هذا الدليل والأدلّة الدالّة على ولاية الأئمة الهداة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ولاية العلماء غير المعصومين في طول ولاية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التمكّن من الإمام المعصوم وبسط يده وحضور الحاضر وتمامية الحجّة بوجود الناصر له، هو يقوم بإدارة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بسط يده وغيبته، فالأمر موكولٌ إلى العلماء مع تنجّز التكليف في حقهم أيضًا من حضور الحاضر ووجود الناصر لتمامية الحجّة حينئذٍ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كما سنبيّن في الفصل التالي، أن بقية الناس وانتخاب الأمّة وإن لم يكن له دخلٌ في ثبوت ولاية الأولياء الإلهيين ولكن لا ريب في أنّ حضورهم وبيعتهم وإعلانهم التبعيةَ للوليّ من شروط تنجّز هذه المسؤولية على عائق الولي الإلهي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القيام لأخذ حقّ المظلوم من الظالم لا صلة له بالولاية وتولية أمور الناس، فإنّه لا شك ولا ريب في أنّ أخذ حقوق المظلومين مع مالها من السعة </w:t>
      </w:r>
      <w:bookmarkStart w:id="596" w:name="pg8686_124101"/>
    </w:p>
    <w:p>
      <w:pPr>
        <w:pStyle w:val="BookText"/>
        <w:rPr/>
      </w:pPr>
      <w:bookmarkEnd w:id="596"/>
      <w:r>
        <w:rPr>
          <w:rFonts w:ascii="Amiri" w:hAnsi="Amiri" w:eastAsia="Amiri" w:cs="Amiri"/>
          <w:color w:val="111111"/>
          <w:sz w:val="28"/>
          <w:sz w:val="28"/>
          <w:szCs w:val="28"/>
          <w:rtl w:val="true"/>
          <w:lang w:bidi="ar-SA"/>
        </w:rPr>
        <w:t>والتعميم بحاجة إلى القوة والقدرة والسلطة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لا يكون له السيف واليد على الظالم فكيف يستطيع القيام بهذا الواجب؟ وعلى هذا ثبوت الملازمة بين الواجب التكليفي وجعل الحكم الوضعيّ واضحٌ ولا مجال للمناقشة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2517706_653776707"/>
      <w:bookmarkStart w:id="598" w:name="_Toc229"/>
      <w:bookmarkEnd w:id="597"/>
      <w:r>
        <w:rPr>
          <w:rtl w:val="true"/>
        </w:rPr>
        <w:t>المسألة الثالثة عشرة</w:t>
      </w:r>
      <w:r>
        <w:rPr>
          <w:rtl w:val="true"/>
        </w:rPr>
        <w:t xml:space="preserve">: </w:t>
      </w:r>
      <w:r>
        <w:rPr>
          <w:rtl w:val="true"/>
        </w:rPr>
        <w:t>النظرة الجامعة الموحّدة لمجموع أخبار الباب</w:t>
      </w:r>
      <w:bookmarkEnd w:id="598"/>
    </w:p>
    <w:p>
      <w:pPr>
        <w:pStyle w:val="BookText"/>
        <w:rPr/>
      </w:pPr>
      <w:r>
        <w:rPr>
          <w:rFonts w:ascii="Amiri" w:hAnsi="Amiri" w:eastAsia="Amiri" w:cs="Amiri"/>
          <w:color w:val="111111"/>
          <w:sz w:val="28"/>
          <w:sz w:val="28"/>
          <w:szCs w:val="28"/>
          <w:rtl w:val="true"/>
          <w:lang w:bidi="ar-SA"/>
        </w:rPr>
        <w:t>قد درسنا في مسائل هذا الفصل الروايات المستدلّ بها لثبوت منصب الولاية للفقيه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ورأينا أنّ معظمها تامٌّ سندًا ودلالةً بلا شك وريب، كمقبولة عمر بن حنظلة والتوقيع الشريف، وموثّقة علي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تامٌّ دلالةً كرواية تحف العقول، والخطبة الشقشقية، وأمّا بحسب السند فقد أُوردت على هذه الطائفة من الأخبار بعضُالملاحظات؛ ولكن ثمّة مجال لردّ هذه الملاحظات ومعالجتها، بحيث يمكن وصفها بأنّها تامّة السند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طائفة ثالثة من الروايات تامةُ السند؛ ولكن في دلالتها على المدّعى مجالٌ للمناقشة والتأمّل ويمكن أن تكون هذه الطائفة مؤيِّدة لما يُراد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سلّمنا، ورفعنا اليد عن دلالة كلّ واحدٍ من أخبار الطائفة الأولى والثانية؛ ولكن هناك تقريب آخر للاستدلال على المدّعى، وهو الاستدلال بمجموع الأخبار ذكره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شافٍ ووافٍ بالمقصود</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التقريب منه، لا ينظر إلى هذه الأخبار واحدًا تلو آخر ومنفصلًا بعضها عن بعض؛ بل ينظر إليها بنظرةٍ واحدة شاملةٍ جامعةٍ،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مدّعاه؛ وحاصله أنّ كلّ ولايةٍ ثابتةٍ للنبيّ والإمام الذين هم سلاطين الأنام وحصون الإسلام ، فللفقيه أيضًا ذلك إلا ما أخرجه الدليل من إجماعٍ أو نصٍّ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مقام الاستدلال على المدّعى، بعد الإجماع، يشرح أنّ الدليل عليه هو </w:t>
      </w:r>
    </w:p>
    <w:p>
      <w:pPr>
        <w:pStyle w:val="BookText"/>
        <w:rPr/>
      </w:pPr>
      <w:r>
        <w:rPr>
          <w:rFonts w:ascii="Amiri" w:hAnsi="Amiri" w:eastAsia="Amiri" w:cs="Amiri"/>
          <w:color w:val="111111"/>
          <w:sz w:val="28"/>
          <w:sz w:val="28"/>
          <w:szCs w:val="28"/>
          <w:rtl w:val="true"/>
          <w:lang w:bidi="ar-SA"/>
        </w:rPr>
        <w:t>ما صرّحت به الأخبار المتقدِّمة من كونه وارث الأنبياء وأمين الرسول وخليفة الرسول وحصن الإسلام ومثل الأنبياء وبمنزلتهم والحاكم والقاضي والحجّة من قِبَلهم، وأنّه المرجع في جميع الحوادث وأنّ على يده مجاري الأمور والأحكام، وأنّه الكافل لأيتامهم الذين يُراد بهم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البديهيات التي يفهمها كلّ عاميٍّ وعالمٍ ويحكم بها، أنّه إذا قال نبيٌّ لأحد عند سفره أو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وارثي ومثلي وبمنزلتي وخليفتي وأميني وحجّتي، والحاكم من قِبَلي عليكم، والمرجع لكم في جميع حوادثكم، وبيده مجاري أموركم وأحكامكم، وهو الكافل لرعيَّتي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يسمع هذا الكلام يفهم منه أنّ له كلّ ما كان لذلك النبيّ في أمور الرعية، وما يتعلّق بأمّته بحيث لا يشكّ فيه أحدٌ ويتبادر منه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أكثر النصوص الواردة في حقّ الأوصياء المعصومين المستدلّ بها في المقامات لإثبات الولاية والإمامة المتضمنين لولاية جميع ما للنبي فيه الولاية ليس متضمّنا لأكثر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ولمزيد من التوضيح لمقصوده ومراده ؛ يشبّه المقام بما لو كان حاكم أو سلطان في ناحية وأراد السفر إلى ناحية أخرى وقال إنّ هذه الأوصاف والألقاب المذكورة في روايات الباب في حقّ أحدٍ، فلا يبقى لأحد الشك في أنّه له فعل ما كان للسلطان في أمور رعية تلك الناحية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 ضعف تلك الأخبار بعد الانجبار بعمل الأصحاب وانضمام بعض ببعض وورودها في الكتب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أنّه؛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فهموا من هذه الأخبار أن للفقيه النيابة العامّة في عصر الغيبة،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عملوا وفق هذا المفهوم وهذا المعنى ونفس هذه القرينة حجّة على المدّعى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يظهر الجواب عن الملاحظة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الجمل لم تذكر </w:t>
      </w:r>
      <w:bookmarkStart w:id="599" w:name="pg8686_124107"/>
    </w:p>
    <w:p>
      <w:pPr>
        <w:pStyle w:val="BookText"/>
        <w:rPr/>
      </w:pPr>
      <w:bookmarkEnd w:id="599"/>
      <w:r>
        <w:rPr>
          <w:rFonts w:ascii="Amiri" w:hAnsi="Amiri" w:eastAsia="Amiri" w:cs="Amiri"/>
          <w:color w:val="111111"/>
          <w:sz w:val="28"/>
          <w:sz w:val="28"/>
          <w:szCs w:val="28"/>
          <w:rtl w:val="true"/>
          <w:lang w:bidi="ar-SA"/>
        </w:rPr>
        <w:t>في سياقٍ واحدٍ؛ بل كلّ جملة منها ذكرت في رواية مستقلّة مع قرينة صالحة لتقييدها</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تفرّق هذه الأوصاف والألقاب لا يضرّ بالاستدلال بعد فهم الأصحاب النيابة العامّة منها وعملهم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إلى مجموعها يشكّل قرينةً واضحةً على منزلةِ الفقيه في الأمّة الإسلامية في غياب الإمام المعصوم وكما إنّ أدلّة ولاية أمير المؤمنين إذا نُظر إليها متفرّقة مشتّتة قد يُحتمل فيها وجود قرينة متّصلة صالحة لتقييدها، ولكن إذا نُظِر إلى مجموعها يرتفع الشكّ، ويضمحلّ احتمال وجود قرينة صارفة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في ما نحن فيه؛ حيث إنّ النظر إلى مجموعها يبيّن رأي الشارع بالنسبة إلى شأن الفقيه ومنزلته، ويكشف عن أنّ دوره دورٌ رساليٌّ وقياديٌّ في حياة المجتمع بالنيابةً عن الإمام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2517708_653776707"/>
      <w:bookmarkStart w:id="601" w:name="_Toc230"/>
      <w:bookmarkEnd w:id="600"/>
      <w:r>
        <w:rPr>
          <w:rtl w:val="true"/>
        </w:rPr>
        <w:t>المسألة الرابعة عشرة</w:t>
      </w:r>
      <w:r>
        <w:rPr>
          <w:rtl w:val="true"/>
        </w:rPr>
        <w:t xml:space="preserve">: </w:t>
      </w:r>
      <w:r>
        <w:rPr>
          <w:rtl w:val="true"/>
        </w:rPr>
        <w:t>إشارة إلى غاية ما يمكن أن يذكره المعارض في الباب</w:t>
      </w:r>
      <w:bookmarkEnd w:id="601"/>
    </w:p>
    <w:p>
      <w:pPr>
        <w:pStyle w:val="BookText"/>
        <w:rPr/>
      </w:pPr>
      <w:r>
        <w:rPr>
          <w:rFonts w:ascii="Amiri" w:hAnsi="Amiri" w:eastAsia="Amiri" w:cs="Amiri"/>
          <w:color w:val="111111"/>
          <w:sz w:val="28"/>
          <w:sz w:val="28"/>
          <w:szCs w:val="28"/>
          <w:rtl w:val="true"/>
          <w:lang w:bidi="ar-SA"/>
        </w:rPr>
        <w:t>ممّا بحثناه في هذه المسائل من هذا الفصل حول الأدلّة النقلية الدالّة على ثبوت منصب الولاية الفقيه الجامع، يظهر الجواب عمّا ذكره السيد الخوئي رحمه الله في المقام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ذهب إلى أنّ الاخبار المستدلّ بها على الولاية المطلقة قاصرةُ السند أو الدلالة؛ وذهب ثانيًا إلى أنّ الفقيه في الأمور الحسبية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الأمور التي لا بدّ من التصدّي لها قربةً إلى الله، ولا يرضى الشارع بإهمالها وتركها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القدر المتيقّن لنفوذ التصرّف فيها بنفسه أو وكيله، فإنّ تلك الأمور لا يرضى الشارع بإهمالها، كما لا يحتمل أن يرخّص فيها لغير الفقيه بإدارتها ولا يرخّص الفقيه بذلك، فيستنتج من ذلك أنّ الفقيه هو القدر المتيقن في تلك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الولاية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لا بدّ من استخدام مصطلح الولاية، فهي ولاية جزئية </w:t>
      </w:r>
    </w:p>
    <w:p>
      <w:pPr>
        <w:pStyle w:val="BookText"/>
        <w:rPr/>
      </w:pPr>
      <w:r>
        <w:rPr>
          <w:rFonts w:ascii="Amiri" w:hAnsi="Amiri" w:eastAsia="Amiri" w:cs="Amiri"/>
          <w:color w:val="111111"/>
          <w:sz w:val="28"/>
          <w:sz w:val="28"/>
          <w:szCs w:val="28"/>
          <w:rtl w:val="true"/>
          <w:lang w:bidi="ar-SA"/>
        </w:rPr>
        <w:t>تثبت في موارد محدّدة هي الأمور الحسبية التي لا بد من التصدّي لها ومتابعتها، ومعنى الولاية هنا هو نفوذ تصرفاته فيها بنفسه أو وكيله</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من قصور سند الأخبار أو عدم تمامية دلالتها، فقد ذكرنا في طي المسائل السابقة أنّ عددًا منها تامٌّ سندًا ودلالةً على أن تقريب الاستدلال الأخير من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للجواب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ما ذكره أخيرًا من ثبوت الولاية الجزئية للفقيه في الأمور الحسبية، بمعنى نفوذ تصرفاته فيها بنفسه أو وكيله؛ فهذا القول أقصى ما ذُكِر في المخالفة للمدّعى؛ ولكن بالتأمّل وإعمال الدقّة في هذا الرأي تظهر نقاط مهمّة للبحث حيث إنّ قوله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موافِقٌ لرأي المجمعين وما اتفقت عليه فتوى أصحابنا من ثبوت الولاية للفقيه الجامع للشروط، في أمور الحسبة، وإن عبّر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بأنّ الفقيه هو القدر المتيقَّن لنفوذ التصرّف فيه بنفسه أو وكيله وعلى كلا الرأيين لا مجال شرعًا لأحد غير الفقيه لأن يتصدّى لإعمال الولاية فيها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في أنّ إدارة المجتمع وتولّي أمور المسلمين من الأمور الحسبية؛ بل من أهمّها وفي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للشارع إهمالها مع منعه عن الرجوع إلى الطاغوت وأمره بالكفر به؟ وكيف يُحتمل أن يرخّص فيها لغير الفقيه دون الفقيه؟ فالفقيه هو القدر المتيقّن لجواز التصرف فيها؛ فبذلك يثبت أصل المدّعى وهو ثبوت الإذن الشرعي وجواز تصرّف الفقيه في ما يرتبط بأمور المجتمع وسياسته وزعامة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الإذن الشرعي ثابتٌ للفقيه في عصر الغيبة وزمن بسط يد الإمام المعصوم، بلا حاجة إلى شرط آخر من انتخاب الناس ولزوم بيعتهم له، نعم كما ذكرناه سابقًا حضور الحاضر وقيام الحجة بوجود الناصر من شروطها على قدر المستطاع، فهو بقدر ما يستطيع وما يتمكّن من تنفيذ الأحكام وإقامة الحدود الشريعة يتولّى أمور 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تمام الكلام في دراسة الأدلة النقليّة الدالّة على ثبوت منصب الولاية للفقيه الجامع للشروط</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ندرس في الفصل اللاحق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كيفية تعيين الفقيه الولّي مع تعدد الفقهاء؛ وثانيهما دور الشعب ومدى سلطته في مجال إقامة الحكم الإسلامي</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2" w:name="pg8686_124119"/>
      <w:bookmarkStart w:id="603" w:name="pg8686_124119"/>
      <w:bookmarkEnd w:id="603"/>
    </w:p>
    <w:p>
      <w:pPr>
        <w:pStyle w:val="Heading3"/>
        <w:numPr>
          <w:ilvl w:val="2"/>
          <w:numId w:val="1"/>
        </w:numPr>
        <w:rPr/>
      </w:pPr>
      <w:bookmarkStart w:id="604" w:name="pg8686_124119"/>
      <w:bookmarkStart w:id="605" w:name="__RefHeading___Toc2517710_653776707"/>
      <w:bookmarkStart w:id="606" w:name="_Toc231"/>
      <w:bookmarkEnd w:id="604"/>
      <w:bookmarkEnd w:id="605"/>
      <w:r>
        <w:rPr>
          <w:rtl w:val="true"/>
        </w:rPr>
        <w:t>الفصل الثاني</w:t>
      </w:r>
      <w:r>
        <w:rPr>
          <w:rtl w:val="true"/>
        </w:rPr>
        <w:t xml:space="preserve">: </w:t>
      </w:r>
      <w:r>
        <w:rPr>
          <w:rtl w:val="true"/>
        </w:rPr>
        <w:t>نظرية التنصيب وكيفية تعيين الفقيه الولي</w:t>
      </w:r>
      <w:bookmarkEnd w:id="606"/>
    </w:p>
    <w:p>
      <w:pPr>
        <w:pStyle w:val="Heading4"/>
        <w:numPr>
          <w:ilvl w:val="3"/>
          <w:numId w:val="1"/>
        </w:numPr>
        <w:rPr/>
      </w:pPr>
      <w:bookmarkStart w:id="607" w:name="__RefHeading___Toc2517712_653776707"/>
      <w:bookmarkStart w:id="608" w:name="_Toc232"/>
      <w:bookmarkEnd w:id="607"/>
      <w:r>
        <w:rPr>
          <w:rtl w:val="true"/>
        </w:rPr>
        <w:t>اشارة</w:t>
      </w:r>
      <w:bookmarkEnd w:id="608"/>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الفراغ عن ضرورة إقامة الحكم الإسلامي في عصر قبض يد المعصوم، وفي زمان الغيبة في المرحلة الأولى من البحث، ومتابعة البحث في المرحلة الثانية عن الشروط اللازمة للإمامة والقيادة في تلك الظروف وصلنا إلى 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ولي أمر الأمّة يجب أن يكون متّصفاً بصفات في مقدّمها العلم والعدالة والكفاءة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المرحلة الثالثة بدأنا بالبحث في الفصل الأول عن كيفية تعيين ولي الأمر المتّصف بتلك الأوصاف وهل أن ولايته وإمامته بالتنصيب الإلهي والتعيين الشرعي أم بغيره من الطرق كالانتخاب أو الاستخلاف أو التغلّب؟</w:t>
      </w:r>
    </w:p>
    <w:p>
      <w:pPr>
        <w:pStyle w:val="BookText"/>
        <w:rPr/>
      </w:pPr>
      <w:r>
        <w:rPr>
          <w:rFonts w:ascii="Amiri" w:hAnsi="Amiri" w:eastAsia="Amiri" w:cs="Amiri"/>
          <w:color w:val="111111"/>
          <w:sz w:val="28"/>
          <w:sz w:val="28"/>
          <w:szCs w:val="28"/>
          <w:rtl w:val="true"/>
          <w:lang w:bidi="ar-SA"/>
        </w:rPr>
        <w:t>فوصلنا إلى هذا الجواب كنتيجة للبحث المذكورة في مسائل الفصل الأول من المرحلة الثالثة وهي أنّ الإمام المعصوم قد نصّب بالتنصيب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الجامع لتولّي أمور المسلمين وأنفذ تصرّفاته في مايرتبط بإقامة النظام الإسلامي وتدبير المجتمع وكما إنّ للولي المعصوم، عن طريق التنصيب الإلهيّ، حقّ الولاية على الأموال والأنفس، وكذلك للولي الفقيه عن طريق تنصيب الإمام حقّ الولاية له على المجتمع، غاية الأمر أنّ هذا التنصيب في طول ذلك وبالنيابة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خلاصة ما استنتجنا من الأبحاث السابقة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نبدأ في مسائل الفصل الثاني بدراسة مسألة تعيين الفقيه الولي في حالة </w:t>
      </w:r>
      <w:bookmarkStart w:id="609" w:name="pg8686_124122"/>
    </w:p>
    <w:p>
      <w:pPr>
        <w:pStyle w:val="BookText"/>
        <w:rPr/>
      </w:pPr>
      <w:bookmarkEnd w:id="609"/>
      <w:r>
        <w:rPr>
          <w:rFonts w:ascii="Amiri" w:hAnsi="Amiri" w:eastAsia="Amiri" w:cs="Amiri"/>
          <w:color w:val="111111"/>
          <w:sz w:val="28"/>
          <w:sz w:val="28"/>
          <w:szCs w:val="28"/>
          <w:rtl w:val="true"/>
          <w:lang w:bidi="ar-SA"/>
        </w:rPr>
        <w:t>تعدّد الفقهاء الذين تتوفّر فيهم الشروط، بناء على نظرية التنصيب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الذي يُطرحهنا هو عن كيفية إمكان الجمع بين القول بالتنصيب العامّ للفقهاء، وبين اختيار واحدٍ من هؤلاء الفقهاء المتعدّدين الكُثُر المتّصفين بشروط الإمامة والقيادة الذين قد يبلغ عددهم العشرات ؟</w:t>
      </w:r>
    </w:p>
    <w:p>
      <w:pPr>
        <w:pStyle w:val="Heading4"/>
        <w:numPr>
          <w:ilvl w:val="3"/>
          <w:numId w:val="1"/>
        </w:numPr>
        <w:rPr/>
      </w:pPr>
      <w:bookmarkStart w:id="610" w:name="__RefHeading___Toc2517714_653776707"/>
      <w:bookmarkStart w:id="611" w:name="_Toc233"/>
      <w:bookmarkEnd w:id="610"/>
      <w:r>
        <w:rPr>
          <w:rtl w:val="true"/>
        </w:rPr>
        <w:t>المسألة الأولى</w:t>
      </w:r>
      <w:r>
        <w:rPr>
          <w:rtl w:val="true"/>
        </w:rPr>
        <w:t xml:space="preserve">: </w:t>
      </w:r>
      <w:r>
        <w:rPr>
          <w:rtl w:val="true"/>
        </w:rPr>
        <w:t>نظرة إلى جذور السؤال تاريخيًّا</w:t>
      </w:r>
      <w:bookmarkEnd w:id="61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جذور مشكلة التعيين تاريخيًّا إلى عصر الشهيد الأول وكيفية تعيين القاضي من بين الفقهاء المتعدّدين، فيقول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غيبة الإمام ينفُذُ قضاء الفقيه الجامع للشرائط، ويجب الترافع إليه، وحكمه حكم المنصوب من قبل الإمام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تعدّد فكتعدّد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يتعيّن الترافع إلى الأعلم، فإن تساويا فالأورع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أحدهما أعلم والآخر أورع، رُجِّح الأعلم</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وهذا الكلام من الشهيد الأول وإن كان صدر عنه في باب القضاء؛ ولكن يمكن تعميم السؤال وعدم تخصيصه بالقضاء، بل هو يشمل ولاية القضاء وسائر الولايات التي نُصِب الفقيه وليًّا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الطريق لتعيين الفقيه مع تعدّد الفقهاء؟</w:t>
      </w:r>
    </w:p>
    <w:p>
      <w:pPr>
        <w:pStyle w:val="BookText"/>
        <w:rPr/>
      </w:pPr>
      <w:r>
        <w:rPr>
          <w:rFonts w:ascii="Amiri" w:hAnsi="Amiri" w:eastAsia="Amiri" w:cs="Amiri"/>
          <w:color w:val="111111"/>
          <w:sz w:val="28"/>
          <w:sz w:val="28"/>
          <w:szCs w:val="28"/>
          <w:rtl w:val="true"/>
          <w:lang w:bidi="ar-SA"/>
        </w:rPr>
        <w:t>الطريق الذي يسلكه الشهيد الأول لحلّ المشكل هو الرجوع إلى المرجّحات الواقعية الثبوتيّة من العلم والورع، دون التخيير ودون الرجوع إلى المرجّحات الإثباتية كانتخاب الشعب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كيفية تعيين الولي الحاكم تاريخيًّا ترجع إلى حوالى مئة وعشرين سنة سابقة؛ إذ أوّل من تعرّض للمشكلة وأسّس بنيان الشبهة هو الشيخ محمد علي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الولايات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من جاء بعده وقصد التركيز على المشكل في الحقيقة ما أتى </w:t>
      </w:r>
    </w:p>
    <w:p>
      <w:pPr>
        <w:pStyle w:val="BookText"/>
        <w:rPr/>
      </w:pPr>
      <w:r>
        <w:rPr>
          <w:rFonts w:ascii="Amiri" w:hAnsi="Amiri" w:eastAsia="Amiri" w:cs="Amiri"/>
          <w:color w:val="111111"/>
          <w:sz w:val="28"/>
          <w:sz w:val="28"/>
          <w:szCs w:val="28"/>
          <w:rtl w:val="true"/>
          <w:lang w:bidi="ar-SA"/>
        </w:rPr>
        <w:t xml:space="preserve">بشيءٍ جديدٍ، على الرغم من عدم التصريح أحيانًا بأنّ المبدع لبيان الإشكال هو الشيخ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الخاصّة بالموضوع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بعد التصريح بأن الحاكم لا خلاف في ولايته إجماعًا وبالضرورة من مذهبنا وأنّ النصوص في ذلك مستفيضة</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بدأ بالبحث عن حدود ولاية الحاكم وفي سياق بيان موارد ولايته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ولايتُه في جميع الأمور الراجعة إلى السلطان من جباية الخراج، وتجهيز الجيوش، وسدّ الثغور، وأمثالها؛ إذ لا بدّ من سلطان يتصدّى نظمَ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والسلطنة من الأمور التي نعلم عدم رضاء الشارع بتعطيلها، ولا متولّي لها في زمن الغيبة فتنحصر بالحاكم</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وبحسب رأيه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في جميع الأمور الراجعة إلى أمر السلطنة؛ فظاهرُ الأصحاب رجوعها إلى المجتهد، وهو الوليّ فيها، وله أن يقوم بأمورها من جباية الخراج، وتجنيد الجنود، وحفظ الخزائن، وأمثالها؛ والعلّة في ذلك، مضافا إلى الأخبار، أنّ الناس لا بدّ لهم من سلطان ظاهر، وإلّا اختلط أمر معاشهم ومعادهم؛ ولا استقرار للناس في يوم واحد بغير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قائم على عدم سلطنة غير المجتهد، فيتعيّن فيه</w:t>
      </w:r>
      <w:r>
        <w:rPr>
          <w:rFonts w:eastAsia="Amiri" w:cs="Amiri" w:ascii="Amiri" w:hAnsi="Amiri"/>
          <w:color w:val="111111"/>
          <w:sz w:val="28"/>
          <w:szCs w:val="28"/>
          <w:rtl w:val="true"/>
          <w:lang w:bidi="ar-SA"/>
        </w:rPr>
        <w:t>.»</w:t>
      </w:r>
      <w:r>
        <w:rPr>
          <w:rStyle w:val="FootnoteAnchor"/>
          <w:rtl w:val="true"/>
        </w:rPr>
        <w:footnoteReference w:id="314"/>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بدأ بالإشكال والاعتراض على ما تقدّم ذكره من ولاية الحاكم في جميع الأمور الراجعة إلى السلطنة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مجتهد سلطان حينئذٍ أو بعضهم معينًا أو غير معيّن؛ لا سبيل إلى واحد من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فلحكم العقل والعقلاء بقبح جعل السلطانين فضلًا عن سلاطين متعدّدة في مملكةٍ واحدةٍ لأنّ ذلك ينتهي إلى الهرج والمرج لجهة اختلاف الآراء والمذاهب، وإن فرضناهما عادلين لأنّ العدالة لا توجب اتفاق الرأي والعقيدة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 ذلك البعض إن فُرِض معيّنًا، فلا قائل به؛ على أنّه 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 معيّن فهو مستحيل؛ </w:t>
      </w:r>
    </w:p>
    <w:p>
      <w:pPr>
        <w:pStyle w:val="BookText"/>
        <w:rPr/>
      </w:pPr>
      <w:r>
        <w:rPr>
          <w:rFonts w:ascii="Amiri" w:hAnsi="Amiri" w:eastAsia="Amiri" w:cs="Amiri"/>
          <w:color w:val="111111"/>
          <w:sz w:val="28"/>
          <w:sz w:val="28"/>
          <w:szCs w:val="28"/>
          <w:rtl w:val="true"/>
          <w:lang w:bidi="ar-SA"/>
        </w:rPr>
        <w:t>إذ الولاية صفة عارضة، لا بدّ لها من معروض ومن يتّصف بها فعلا في الخارج، وكلّ واحد من المجتهدين لا بدّ إمّاأن يتّصف بهذه الصفة، فيصحّ إطلاق هذا المنصب في حقّه، أو يتّصف بعدمها؛ إذ لا واسطة بين الإثبات والنفي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في جواب من ادّعى سلطنة أحدهم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منهم إن كان متّصفًا بالولاية حينئذ يلزم القسم الأوّل، وهو كون جميعهم سلاطين، وإن كان متّصفًا بعدمها، فيلزم عدم كون أحدهم سلطان؛ لأنّ النفي عن تمام آحاد الأفراد يستلزم النفي عن المجموع</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وبهذا الإشكال والاعتراض بين الشيخ محمد علي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بثبوت منصب الولاية للمجتهدين في عصر الغيبة يواجه عويصة يجب التخلص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آخر كلامه يستدرك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يقال بأنها وظيفة الأعلم فالأعلم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وجوه من الإشكال فتأمّل جدًّا</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وبهذا البيان يريد أن يتخلّص عن الإشكال باللجوء إلى المرجّحات والأوصاف الثبوتية والواقعية كما سيظهر الكلام حولها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بعد الشيخ محمدعلي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تصدّى بعض</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الكتّاب لحلّ الإشكال، ولكنّ الملاحظ أنّه أنكر تنصيب الحاكم، وبذلك يكون قد غيّر أساس الفكرة الموجودة في ولاية الحاكم في طول تاريخ الفقه، وخالف معقد إجماع الأصحاب، وما يستفاد من الروايات المستفيضة المرويّة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دعواه أنّ الولاية الثابتة للمجتهد، ليست ولاية إخبارية أخبر بها الشارع، بل هي ولاية إنشائية ينشئها الشعب وتتضمّن الاعتراف بالسيادة للشعب وأنّه هو مصدر السلطة ومانح الولاية</w:t>
      </w:r>
      <w:r>
        <w:rPr>
          <w:rFonts w:eastAsia="Amiri" w:cs="Amiri" w:ascii="Amiri" w:hAnsi="Amiri"/>
          <w:color w:val="111111"/>
          <w:sz w:val="28"/>
          <w:szCs w:val="28"/>
          <w:rtl w:val="true"/>
          <w:lang w:bidi="ar-SA"/>
        </w:rPr>
        <w:t>.</w:t>
      </w:r>
      <w:r>
        <w:rPr>
          <w:rStyle w:val="FootnoteAnchor"/>
          <w:rtl w:val="true"/>
        </w:rPr>
        <w:footnoteReference w:id="317"/>
      </w:r>
      <w:bookmarkStart w:id="612" w:name="pg8686_124131"/>
    </w:p>
    <w:p>
      <w:pPr>
        <w:pStyle w:val="BookText"/>
        <w:rPr/>
      </w:pPr>
      <w:bookmarkEnd w:id="612"/>
      <w:r>
        <w:rPr>
          <w:rFonts w:ascii="Amiri" w:hAnsi="Amiri" w:eastAsia="Amiri" w:cs="Amiri"/>
          <w:color w:val="111111"/>
          <w:sz w:val="28"/>
          <w:sz w:val="28"/>
          <w:szCs w:val="28"/>
          <w:rtl w:val="true"/>
          <w:lang w:bidi="ar-SA"/>
        </w:rPr>
        <w:t xml:space="preserve">فبإحداث هذا المصطلح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السيادة الشعبية أو سيادة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يريد أن ينكر ما اتّفق عليه الأصحاب، وأن يخالف إجماعهم على تنصيب الفقيه من قبلالشارع، وبذلك يذهب إلى رأيٍ مخترع حاصله إعطاء الولاية والسلطة للناس، دون الشارع كما ذهب إليه أهل السنّة بعد النبي الأعظم </w:t>
      </w:r>
      <w:r>
        <w:rPr>
          <w:rFonts w:eastAsia="Amiri" w:cs="Amiri" w:ascii="Amiri" w:hAnsi="Amiri"/>
          <w:color w:val="111111"/>
          <w:sz w:val="28"/>
          <w:szCs w:val="28"/>
          <w:lang w:bidi="ar-SA"/>
        </w:rPr>
        <w:t>2</w:t>
      </w:r>
    </w:p>
    <w:p>
      <w:pPr>
        <w:pStyle w:val="Heading4"/>
        <w:numPr>
          <w:ilvl w:val="3"/>
          <w:numId w:val="1"/>
        </w:numPr>
        <w:rPr/>
      </w:pPr>
      <w:bookmarkStart w:id="613" w:name="__RefHeading___Toc2517716_653776707"/>
      <w:bookmarkStart w:id="614" w:name="_Toc234"/>
      <w:bookmarkEnd w:id="613"/>
      <w:r>
        <w:rPr>
          <w:rtl w:val="true"/>
        </w:rPr>
        <w:t>المسألة الثانية</w:t>
      </w:r>
      <w:r>
        <w:rPr>
          <w:rtl w:val="true"/>
        </w:rPr>
        <w:t xml:space="preserve">: </w:t>
      </w:r>
      <w:r>
        <w:rPr>
          <w:rtl w:val="true"/>
        </w:rPr>
        <w:t>تقريبٌ جديدٌ لبيان المشكل</w:t>
      </w:r>
      <w:bookmarkEnd w:id="614"/>
    </w:p>
    <w:p>
      <w:pPr>
        <w:pStyle w:val="BookText"/>
        <w:rPr/>
      </w:pPr>
      <w:r>
        <w:rPr>
          <w:rFonts w:ascii="Amiri" w:hAnsi="Amiri" w:eastAsia="Amiri" w:cs="Amiri"/>
          <w:color w:val="111111"/>
          <w:sz w:val="28"/>
          <w:sz w:val="28"/>
          <w:szCs w:val="28"/>
          <w:rtl w:val="true"/>
          <w:lang w:bidi="ar-SA"/>
        </w:rPr>
        <w:t>ثم إنّ هناك بعض التقارير الجديدة للإشكال المذكور أعلاه وإن كانت لا تختلف عما حكينا أعلاه؛ ولكن بتقريب جديد بمحتملات خمسة بدلًا عن السؤال أو الإشكال الذي عرضناه والمبنيّ على الموازنة بين ثلاثة 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المحتملات الخمسة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المنصوبون هم الفقهاء جميعًا، بنحو العموم الاستغراقي؛ فيكون لكلّ واحدٍ منهم منفردًا الولاية الفعلية والحقّ في إعمالها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المنصوبون هم الفقهاء جميعًا كالاحتمال السابق؛ ولكن مع عدم جواز إعمال الولاية إلّا لواحد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المنصوب واحدًا منهم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المنصوب الجميع؛ ولكن يتقيّد إعمال الولاية لكلِّ واحدٍ منهم بالاتفاق 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المنصوب للولاية هو المجموع من حيث المجموع؛ فيكون المجموع بمنزلة إمامٍ واحدٍ وتثبت الولاية لهم 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واحدٍ من هذه الاحتمالات له ما يبطله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يرد على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اختلاف آراء الفقهاء غالبًا في استنباط الأحكام وفي تشخيص الحوادث والموضوعات مما لا ينكر، فعلى فرض نصب الجميع يلزم الهرج والمرج ونقض الغرض من تأسيس الحكومة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يعين من له الحقّ في التصدّي فعلًا؟ فإن كان ذلك بانتخاب الأمة أو أهل الحل والعقد أو خصوص الفقهاء لواحد منهم صارالانتخاب معيارًا لتعيين الولي، اللهم إلا أن يقال إنّ التنصيب أيضًا مما لا بدّ منه لمشروعية الولاية وانتهائه إلى الله فالنصب للمشروعية والانتخاب لتعيين من له التصدّي فعلًا ولكن نقول على أيّ حال فإنّ غير المنتخب لا يجوز له التدخل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الولاية حينئذٍ للباقين لغوٌ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يُعيَّن من جُعِلت له الولاية الفعلية؟ فإن لم يكن ثمّة طريق إلى التعيين صار الجعل لغوًا وهو قبيح؛ وإن قيل إنّه بالانتخاب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التنصيب لغوًا وتنعقد الإمامة بالانتخاب لا به، اللهم إلّا أن يقال بالجمع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 الاحتمال الرابع وكذا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لسيرة العقلاء والمتشرِّعة وممّا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تنصيب الفقهاء في عصر الغيبة؛ بحيث تثبت الولاية الفعلية بمجرّد التنصيب بمحتملاته الخمسه قابلٌ للخدشة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يصح بحسب مقام الثبوت فلا تصل النوبة إلى البحث فيه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ترشيحهم لذلك من قبل الشارع حتى لا تحوم الأمة حول غيرهم</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تقريب ثالث للمشكل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ثّمة تقريبٌ آخر للإشكال، لا بأس من بيانه ملخّصًا، وهو أنّه لو قلنا بعموم التنصيب لجميع الفقهاء الذين تتوفّر فيهم الشروط، كان مقتضى ذلك جواز بل وجوبُ تصدّي كلِّ واحدٍ منهم بالوجوب الكفائيّ لشؤون الولاية والرئاسة ووجب قهرًا على الأمة طاعتهم والتسليم لهم؛ بل يجب على كلٍّ من الفقهاء أيضًا طاعة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أذعنوا بكون الحاكم المتصدّي واجدًا للشرائط وأمّا إذا لم يُذعِنوا بذلك فلا تجب </w:t>
      </w:r>
      <w:bookmarkStart w:id="615" w:name="pg8686_124137"/>
    </w:p>
    <w:p>
      <w:pPr>
        <w:pStyle w:val="BookText"/>
        <w:rPr/>
      </w:pPr>
      <w:bookmarkEnd w:id="615"/>
      <w:r>
        <w:rPr>
          <w:rFonts w:ascii="Amiri" w:hAnsi="Amiri" w:eastAsia="Amiri" w:cs="Amiri"/>
          <w:color w:val="111111"/>
          <w:sz w:val="28"/>
          <w:sz w:val="28"/>
          <w:szCs w:val="28"/>
          <w:rtl w:val="true"/>
          <w:lang w:bidi="ar-SA"/>
        </w:rPr>
        <w:t>الطاعة قهرًا، وإن أمكن القول بحرمة التجاهر بالمخالفة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من هذه النقطة أيضًا ينشأ التشاجر والاختلاف واختلال النظام وفوت المصالح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قلنا بعدم التنصيب، وقلنا بكون الفقيه الواجد للشروط أهلًا للولاية، وإنّما تنعقد ولايتهم بالفعل فتستحكم الولاية ويحصل النظام ويدفع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ترك الناس العمل بهذه الفريضة المهمة أمكن القول بوجوب تصدّي الفقهاء الواجدين للشرائط للأمور المعطلة من باب الحسبة</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هذه خلاصة الشبهة العويصة في المسألة، ألا وهي كيفية تعيين الفقيه الوليّ واختياره من بين عددٍ من الفقهاء المؤهّلين لتولّي منصب الولاية</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2517718_653776707"/>
      <w:bookmarkStart w:id="617" w:name="_Toc235"/>
      <w:bookmarkEnd w:id="616"/>
      <w:r>
        <w:rPr>
          <w:rtl w:val="true"/>
        </w:rPr>
        <w:t>المسألة الثالثة</w:t>
      </w:r>
      <w:r>
        <w:rPr>
          <w:rtl w:val="true"/>
        </w:rPr>
        <w:t xml:space="preserve">: </w:t>
      </w:r>
      <w:r>
        <w:rPr>
          <w:rtl w:val="true"/>
        </w:rPr>
        <w:t xml:space="preserve">دراسة حلول مشكلة تعيين الفقيه الولي </w:t>
      </w:r>
      <w:r>
        <w:rPr>
          <w:rtl w:val="true"/>
        </w:rPr>
        <w:t>(</w:t>
      </w:r>
      <w:r>
        <w:rPr/>
        <w:t>1</w:t>
      </w:r>
      <w:r>
        <w:rPr>
          <w:rtl w:val="true"/>
        </w:rPr>
        <w:t>)</w:t>
      </w:r>
      <w:bookmarkEnd w:id="617"/>
    </w:p>
    <w:p>
      <w:pPr>
        <w:pStyle w:val="Heading5"/>
        <w:numPr>
          <w:ilvl w:val="4"/>
          <w:numId w:val="1"/>
        </w:numPr>
        <w:rPr/>
      </w:pPr>
      <w:bookmarkStart w:id="618" w:name="__RefHeading___Toc2517720_653776707"/>
      <w:bookmarkStart w:id="619" w:name="_Toc236"/>
      <w:bookmarkEnd w:id="618"/>
      <w:r>
        <w:rPr>
          <w:rtl w:val="true"/>
        </w:rPr>
        <w:t>اشارة</w:t>
      </w:r>
      <w:bookmarkEnd w:id="619"/>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ثمّة نظرياتٍ عدّة طُرِحت لحلّ مشكلة تعيين الوليّ من بين الفقهاء المتعدّدين الذين قد يصل عددهم في بعض الأزمنة إلى عشرات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وبالنظر إلى أهميّة كلٍّ من هذه النظريات والأطروحات، سوف نذكر كل واحدةٍ منها لدراستها تفصيلًا</w:t>
      </w:r>
    </w:p>
    <w:p>
      <w:pPr>
        <w:pStyle w:val="Heading5"/>
        <w:numPr>
          <w:ilvl w:val="4"/>
          <w:numId w:val="1"/>
        </w:numPr>
        <w:rPr/>
      </w:pPr>
      <w:bookmarkStart w:id="620" w:name="__RefHeading___Toc2517722_653776707"/>
      <w:bookmarkStart w:id="621" w:name="_Toc237"/>
      <w:bookmarkEnd w:id="620"/>
      <w:r>
        <w:rPr>
          <w:rtl w:val="true"/>
        </w:rPr>
        <w:t>النظرية الأولى</w:t>
      </w:r>
      <w:r>
        <w:rPr>
          <w:rtl w:val="true"/>
        </w:rPr>
        <w:t xml:space="preserve">: </w:t>
      </w:r>
      <w:r>
        <w:rPr>
          <w:rtl w:val="true"/>
        </w:rPr>
        <w:t xml:space="preserve">شورى الفقهاء </w:t>
      </w:r>
      <w:r>
        <w:rPr>
          <w:rtl w:val="true"/>
        </w:rPr>
        <w:t>(</w:t>
      </w:r>
      <w:r>
        <w:rPr>
          <w:rtl w:val="true"/>
        </w:rPr>
        <w:t>مجلس القيادة</w:t>
      </w:r>
      <w:r>
        <w:rPr>
          <w:rtl w:val="true"/>
        </w:rPr>
        <w:t>)</w:t>
      </w:r>
      <w:bookmarkEnd w:id="621"/>
    </w:p>
    <w:p>
      <w:pPr>
        <w:pStyle w:val="Heading6"/>
        <w:numPr>
          <w:ilvl w:val="5"/>
          <w:numId w:val="1"/>
        </w:numPr>
        <w:rPr/>
      </w:pPr>
      <w:bookmarkStart w:id="622" w:name="__RefHeading___Toc2517724_653776707"/>
      <w:bookmarkStart w:id="623" w:name="_Toc238"/>
      <w:bookmarkEnd w:id="622"/>
      <w:r>
        <w:rPr>
          <w:rtl w:val="true"/>
        </w:rPr>
        <w:t>اشارة</w:t>
      </w:r>
      <w:bookmarkEnd w:id="623"/>
    </w:p>
    <w:p>
      <w:pPr>
        <w:pStyle w:val="BookText"/>
        <w:rPr/>
      </w:pPr>
      <w:r>
        <w:rPr>
          <w:rFonts w:ascii="Amiri" w:hAnsi="Amiri" w:eastAsia="Amiri" w:cs="Amiri"/>
          <w:color w:val="111111"/>
          <w:sz w:val="28"/>
          <w:sz w:val="28"/>
          <w:szCs w:val="28"/>
          <w:rtl w:val="true"/>
          <w:lang w:bidi="ar-SA"/>
        </w:rPr>
        <w:t>النظرية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Style w:val="FootnoteAnchor"/>
          <w:rtl w:val="true"/>
        </w:rPr>
        <w:footnoteReference w:id="320"/>
      </w: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القيادة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نظرية الشورى ترى أنّ القيادة جُعِلت للمجموع، وأنّ هناك مجموعة من الفقهاء تتصدّى لأمر الولاية بدلًا من الشخص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النظريّة نقطتان تستحقّان البحث، إحداهما قضية الشورى وتاريخها، والثانية الاستدلال بها لتأييد هذا الحلّ</w:t>
      </w:r>
      <w:r>
        <w:rPr>
          <w:rFonts w:eastAsia="Amiri" w:cs="Amiri" w:ascii="Amiri" w:hAnsi="Amiri"/>
          <w:color w:val="111111"/>
          <w:sz w:val="28"/>
          <w:szCs w:val="28"/>
          <w:rtl w:val="true"/>
          <w:lang w:bidi="ar-SA"/>
        </w:rPr>
        <w:t xml:space="preserve">. </w:t>
      </w:r>
      <w:bookmarkStart w:id="624" w:name="pg8686_124141"/>
    </w:p>
    <w:p>
      <w:pPr>
        <w:pStyle w:val="Heading6"/>
        <w:numPr>
          <w:ilvl w:val="5"/>
          <w:numId w:val="1"/>
        </w:numPr>
        <w:rPr/>
      </w:pPr>
      <w:bookmarkStart w:id="625" w:name="__RefHeading___Toc2517726_653776707"/>
      <w:bookmarkStart w:id="626" w:name="_Toc239"/>
      <w:bookmarkEnd w:id="624"/>
      <w:bookmarkEnd w:id="625"/>
      <w:r>
        <w:rPr>
          <w:rtl w:val="true"/>
        </w:rPr>
        <w:t>المبحث الأول</w:t>
      </w:r>
      <w:r>
        <w:rPr>
          <w:rtl w:val="true"/>
        </w:rPr>
        <w:t xml:space="preserve">) </w:t>
      </w:r>
      <w:r>
        <w:rPr>
          <w:rtl w:val="true"/>
        </w:rPr>
        <w:t>نظرة إلى تاريخ الشورى في التراث الإسلامي</w:t>
      </w:r>
      <w:bookmarkEnd w:id="626"/>
    </w:p>
    <w:p>
      <w:pPr>
        <w:pStyle w:val="BookText"/>
        <w:rPr/>
      </w:pPr>
      <w:r>
        <w:rPr>
          <w:rFonts w:ascii="Amiri" w:hAnsi="Amiri" w:eastAsia="Amiri" w:cs="Amiri"/>
          <w:color w:val="111111"/>
          <w:sz w:val="28"/>
          <w:sz w:val="28"/>
          <w:szCs w:val="28"/>
          <w:rtl w:val="true"/>
          <w:lang w:bidi="ar-SA"/>
        </w:rPr>
        <w:t>لا تحظى هذه النظرية بسابقة تاريخيّة تنسجم معها وتؤيّدها، لا عند الشيعة الإماميّة، ولا عند أهل السنّة نعم في التاريخ الإسلام كلامٌ عن أنّ الخليفة الثانية جعلأمر الخلافة شورى بين عدد من الأشخاص لتعيين الخليفة الثالثة، واختار ستة أشخاص ليكونوا أعضاء في هذه اللجنة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ثمّة فرق بين تلك الشورى التي أسسها لتعيين الولي والشورى في المقام لإدارة المجتمع وإعمال الولاية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فانعقاد الشورى للإمامة والقيادة لا سابقة لها وغاية ما يرى من جذور الشورى على حدّ الاحتمال نظريًّا في تراثنا العلميّ فقط هو ما ذكره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شورى القضاء؛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تعدّد القضاة في بلد واحد، سواء شرّك بينهم بأن جعل كلًّا منهم مستقلًّا أو فُوّض إلى كلّ منهم محلّة وطرفًا، ولو شرط اتفاقهم في حكم فالأقرب الجواز</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فحسب فكرة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القضاة في بلدٍ واحدٍ يجوز ويُتصوَّر على ثلاثة وجوه، إمّا كلّ واحد منهم مستقلًّا أو تفويض أمر كل محلّة وناحية إلى واحد، وأمّا الطريق الثالث فهو تشريكهما في الحكم؛ لكن هذا في القضاء أمّا في الإمامة والقيادة فلا خبر عن هذا الشكل من أشكال الحكم قبل لا في الواقع ولا في الطرح النظريّ، حتى ما قبل انتصار الثورة الإسلامية في إيران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الثورة وكتابة دستور الجمهورية الإسلامية في إيران ففي المادّة السابعة بعد المئة قبل التعديل أشير إلى شورى القيادة في هذا النصّ الدستوريّ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نودي بأحد الفقهاء الواجدين للشروط المذكورة في المادة الخامسة من هذا القانون مرجعًا وقائدًا من قبل الأغلبية الساحقة للشعب كما حصل مع مرجع التقليد الكبير وقائدة الثورة سماحة آية الله العظمى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حينئذٍ تقع ولاية الأمر وجميع المسؤوليات المتفرّعة </w:t>
      </w:r>
      <w:bookmarkStart w:id="627" w:name="pg8686_124143"/>
    </w:p>
    <w:p>
      <w:pPr>
        <w:pStyle w:val="BookText"/>
        <w:rPr/>
      </w:pPr>
      <w:bookmarkEnd w:id="627"/>
      <w:r>
        <w:rPr>
          <w:rFonts w:ascii="Amiri" w:hAnsi="Amiri" w:eastAsia="Amiri" w:cs="Amiri"/>
          <w:color w:val="111111"/>
          <w:sz w:val="28"/>
          <w:sz w:val="28"/>
          <w:szCs w:val="28"/>
          <w:rtl w:val="true"/>
          <w:lang w:bidi="ar-SA"/>
        </w:rPr>
        <w:t>عنها على عاتق هذا القائد، وفي غير هذه الحالة يقوم الخبراء المنتخبون من قبل الشعب بالمراجعة والتشاور في ما بينهم بشأن جميع الاشخاص الذين يمتلكون الأهليه للمرجعية والقيادة، فإذا وجدوا مرجعًا يمتلك ميزة خاصةًللقيادة يقومون بتعريفه إلى الشعب وإعلانه قائدًا له، وإلا فيقومون باختيار ثلاثة أو خمسة مراجع ممن توفّر فيهم شروط القيادة كأعضاء في مجلس القيادة وتعريفهم للشعب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النصّ المعدّل للدستور عُدِّلت هذه المادة، ونصّ التعديل على أنّه في فرض عدم وجدان المرجع الواحد الذي يمتلك ميزة خاصّة للقيادة ينتخبون أحد الاشخاص الذين تتوفّر فيهم شروط القيادة ويعلنونه قائدًا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ذكرناه أعلاه كان نظرةً عابرة إلى تاريخ الشورى في التراث الإسلامي والآن يجب أن نبين أصل فكرة الشورى</w:t>
      </w:r>
      <w:r>
        <w:rPr>
          <w:rFonts w:eastAsia="Amiri" w:cs="Amiri" w:ascii="Amiri" w:hAnsi="Amiri"/>
          <w:color w:val="111111"/>
          <w:sz w:val="28"/>
          <w:szCs w:val="28"/>
          <w:rtl w:val="true"/>
          <w:lang w:bidi="ar-SA"/>
        </w:rPr>
        <w:t>.</w:t>
      </w:r>
    </w:p>
    <w:p>
      <w:pPr>
        <w:pStyle w:val="Heading6"/>
        <w:numPr>
          <w:ilvl w:val="5"/>
          <w:numId w:val="1"/>
        </w:numPr>
        <w:rPr/>
      </w:pPr>
      <w:bookmarkStart w:id="628" w:name="__RefHeading___Toc2517728_653776707"/>
      <w:bookmarkStart w:id="629" w:name="_Toc240"/>
      <w:bookmarkEnd w:id="628"/>
      <w:r>
        <w:rPr>
          <w:rtl w:val="true"/>
        </w:rPr>
        <w:t>المبحث الثاني</w:t>
      </w:r>
      <w:r>
        <w:rPr>
          <w:rtl w:val="true"/>
        </w:rPr>
        <w:t xml:space="preserve">) </w:t>
      </w:r>
      <w:r>
        <w:rPr>
          <w:rtl w:val="true"/>
        </w:rPr>
        <w:t>بيان نظرية شورى الفقهاء</w:t>
      </w:r>
      <w:bookmarkEnd w:id="629"/>
    </w:p>
    <w:p>
      <w:pPr>
        <w:pStyle w:val="BookText"/>
        <w:rPr/>
      </w:pPr>
      <w:r>
        <w:rPr>
          <w:rFonts w:ascii="Amiri" w:hAnsi="Amiri" w:eastAsia="Amiri" w:cs="Amiri"/>
          <w:color w:val="111111"/>
          <w:sz w:val="28"/>
          <w:sz w:val="28"/>
          <w:szCs w:val="28"/>
          <w:rtl w:val="true"/>
          <w:lang w:bidi="ar-SA"/>
        </w:rPr>
        <w:t>صاحب نظرية الشورى يرى أنّ الطريق الوحيد والمشروع لإعمال الولاية في فرض تعدّد الفقهاء هو القول بالشورى وانعقاد مجلس القيادة فإنّ الطريق ينحصر بحسب الحصر العقلي في خمسةٍ أربعةٌ منها غير صحيحة وغير مقبولة، فلا يبقى إلا الطريق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الطرق الأربعة الأولى فهي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نفوذ رأي كلّ فقيه على مقلّديه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يؤدّي إلى اختلال النظام والهرج والمرج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نفوذ رأي الفقيه غير المعين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هذا محال لأنّ غير المعين ثبوتًا وإثباتًا أمر محال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نفوذ رأي الفقيه المعين كالأعلم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هذا أولًا ترجيح بلا مرجّح، ثانيًا لا دليل على اعتبار الأعلمية، ثالثًا </w:t>
      </w:r>
      <w:bookmarkStart w:id="630" w:name="pg8686_124147"/>
    </w:p>
    <w:p>
      <w:pPr>
        <w:pStyle w:val="BookText"/>
        <w:rPr/>
      </w:pPr>
      <w:bookmarkEnd w:id="630"/>
      <w:r>
        <w:rPr>
          <w:rFonts w:ascii="Amiri" w:hAnsi="Amiri" w:eastAsia="Amiri" w:cs="Amiri"/>
          <w:color w:val="111111"/>
          <w:sz w:val="28"/>
          <w:sz w:val="28"/>
          <w:szCs w:val="28"/>
          <w:rtl w:val="true"/>
          <w:lang w:bidi="ar-SA"/>
        </w:rPr>
        <w:t>هناك اختلاف شاسع في ضابطة الأعلمية وفي تعيين مصداقها، رابعًا إنّ كل فقيهٍ يرى نفسهالأعلم يرى استحقاق التدخّل في الأمور فتصير الأمور فوضى وتنجرّ إلى اختلال النظام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نفوذ رأي الفقيه المنتخب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يؤدّي إلى اختلال النظام والفوضى؛ لأنّ لكل طائفة من الناس الحقّ في انتخاب فقيه فهذا يوجب الضرر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المعيار هو الأكثريّة؛ بحيث يتعيّن الفقيه الذي تختاره أكثريّة الناس؛ يرد عليها أوّلًا أنّ رأي الأكثرية لا شرعية له ولا يكون في عرض الأحكام والتشريعيات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إنّ الأدلّة الدالّة على ثبوت الولاية للفقيه، مطلقة غير مقيدة برأي 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بعد إحراز بطلان هذه الطرق الأربعة، لا يبقى إلّا طريق خامس، وهو القول بنفوذ رأي أكثرية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عبارة أخرى عن شورى الفقهاء، وهو طريق لحلّ مشكل تعيين الولي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كله أنّ هذا الطريق يسدّ باب الاستبداد بالرأي الذي يتحقق غالبًا في القيادة الفردية</w:t>
      </w:r>
      <w:r>
        <w:rPr>
          <w:rFonts w:eastAsia="Amiri" w:cs="Amiri" w:ascii="Amiri" w:hAnsi="Amiri"/>
          <w:color w:val="111111"/>
          <w:sz w:val="28"/>
          <w:szCs w:val="28"/>
          <w:rtl w:val="true"/>
          <w:lang w:bidi="ar-SA"/>
        </w:rPr>
        <w:t>.</w:t>
      </w:r>
      <w:r>
        <w:rPr>
          <w:rStyle w:val="FootnoteAnchor"/>
          <w:rtl w:val="true"/>
        </w:rPr>
        <w:footnoteReference w:id="322"/>
      </w:r>
    </w:p>
    <w:p>
      <w:pPr>
        <w:pStyle w:val="Heading4"/>
        <w:numPr>
          <w:ilvl w:val="3"/>
          <w:numId w:val="1"/>
        </w:numPr>
        <w:rPr/>
      </w:pPr>
      <w:bookmarkStart w:id="631" w:name="__RefHeading___Toc2517730_653776707"/>
      <w:bookmarkStart w:id="632" w:name="_Toc241"/>
      <w:bookmarkEnd w:id="631"/>
      <w:r>
        <w:rPr>
          <w:rtl w:val="true"/>
        </w:rPr>
        <w:t>المسألة الرابعة</w:t>
      </w:r>
      <w:r>
        <w:rPr>
          <w:rtl w:val="true"/>
        </w:rPr>
        <w:t xml:space="preserve">: </w:t>
      </w:r>
      <w:r>
        <w:rPr>
          <w:rtl w:val="true"/>
        </w:rPr>
        <w:t>تقويم نظرية شورى الفقهاء</w:t>
      </w:r>
      <w:bookmarkEnd w:id="63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نظرية الشورى وإن ذكرها بعض المعاصرين كطريق حلّ لعويصة تعيين الفقيه الوليّ؛ ولكن مضافًا إلى عدم وجود تجربة تاريخيّة تستحقّ الذكر لهذه النظرية في واقع التاريخ أو التراث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ذكرها بعض المعاصرين كطريق لحلّ عويصة تعيين الولي الفقيه، ولكن ما واجه إقبالًا من جانب الحوزات والمراكز العلمية والشخصيات الفكرية والفقهية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p>
    <w:p>
      <w:pPr>
        <w:pStyle w:val="BookText"/>
        <w:rPr/>
      </w:pPr>
      <w:r>
        <w:rPr>
          <w:rFonts w:ascii="Amiri" w:hAnsi="Amiri" w:eastAsia="Amiri" w:cs="Amiri"/>
          <w:color w:val="111111"/>
          <w:sz w:val="28"/>
          <w:sz w:val="28"/>
          <w:szCs w:val="28"/>
          <w:rtl w:val="true"/>
          <w:lang w:bidi="ar-SA"/>
        </w:rPr>
        <w:t>مواجهة هذه النظرية لمشكلات عديدة قد تعلو على أصل مشكلة تعيين الفقيه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هذه الإشكالات والردود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نظريةٌ مخالفةٌ لظاهر أدلّة ولاية الفقيه، فإنّ مفادها ثبوت الولاية للجميع على سبيل عموم الاستغراقي، لا أنّ الولاية ثابتة للمجموع على سبيل العموم المجموعي</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فلا يمكن اللجوء إليها والموافقة عليها إلّا بعد الضرورة والاضطرار إلى رفع اليد عن ظاهر الأدلّة لأجل رفع الشبهة وإلّا ما دام هناك حلول لرفع الإشكال؛ فلا موجب لرفع اليد عن ظهور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نظريّة شورى الفقهاء ومجلس القيادة مخالِفةٌ لما ثبت من التجربة التاريخيّة للأمم الأمم والملل في مجال الأنظمة السياسية والحكومات والدول، ومخالِفة لما جرت عليه سيرة المسلمين؛ بل سيرة العقلاء من وحدة الحاكم ووليّ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أنّ إدارة المجتمع ولا سيما في المواقع الخطيرة المهمّة تتوقّف على وحدة مركز القرار لحفظ المصالح والأولويات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الشورى والتعدّد فيوجبان تفويت المصالح وضياع الأولويات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هو معلومٌ ومعروفٌ من سيرة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وأحاديثهم</w:t>
      </w:r>
    </w:p>
    <w:p>
      <w:pPr>
        <w:pStyle w:val="BookText"/>
        <w:rPr/>
      </w:pPr>
      <w:r>
        <w:rPr>
          <w:rFonts w:ascii="Amiri" w:hAnsi="Amiri" w:eastAsia="Amiri" w:cs="Amiri"/>
          <w:color w:val="111111"/>
          <w:sz w:val="28"/>
          <w:sz w:val="28"/>
          <w:szCs w:val="28"/>
          <w:rtl w:val="true"/>
          <w:lang w:bidi="ar-SA"/>
        </w:rPr>
        <w:t xml:space="preserve">ورواياتهم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كانوا عليه من شدّة الخلاف والإنكار على سلاطين عصرهم الأنظمة الظالمة وكانوا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يرون لها حظًّا من الحقّ والشرعيّة؛ ولكن مع ذلك كلّه ما تعرّضوا لها من جانب لزوم كون الولاية في الشورى، وأنه لا يجوز الحكم برأي فردٍ واحدٍ، فمن خلال هذه السيرة يُعرف أنّ الشورى والتعدّد ليس من شروط الحكم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حال من الأحوال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الروايات المنقولة عن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التعدّد </w:t>
      </w:r>
    </w:p>
    <w:p>
      <w:pPr>
        <w:pStyle w:val="BookText"/>
        <w:rPr/>
      </w:pPr>
      <w:r>
        <w:rPr>
          <w:rFonts w:ascii="Amiri" w:hAnsi="Amiri" w:eastAsia="Amiri" w:cs="Amiri"/>
          <w:color w:val="111111"/>
          <w:sz w:val="28"/>
          <w:sz w:val="28"/>
          <w:szCs w:val="28"/>
          <w:rtl w:val="true"/>
          <w:lang w:bidi="ar-SA"/>
        </w:rPr>
        <w:t>وكون الحكم شورى أمرٌ لا يقرّونه ولا يقبلون به، مثل ما رواه الفضل بن شاذان عن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المعروفة المفصّلة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يجوز أن يكونفي الأرض إمامان في وقتٍ واحدٍ أو أكثر من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الواحد لا يختلف فعله وتدبيره، والاثنين لا يتفق فعلهما وتدبيرهما</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وما رُويَ عن أمير المؤمين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الشركة في الملك تؤدّي إلى الاضطراب</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فهذه الأخبار وإن كان ظاهر بعضها يشير إلى خصوص الإمام المعصوم ولكن بالتأمل في فلسفة الحكم ومغزى الكلام والعلة المشار إليها في بعضها يظهر أنّ الحكم بحاجة إلى وحدة مركز أخذ القرار، وهذا لا ينسجم مع الشورى والتعدّد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السر الذي دعا لجنة تعديل الدستور في الجمهوريّة الجمهورية الإسلامية، إلى إلغاء فكرة مجلس القيادة من الدستور كما ذكرنا أعلاه</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فبالنتيجة إن التشاور والمشاورة وإن كانت من الأمور المهمّة التي حثّ عليها العقل والكتاب والسنة؛ ولكن نظرية مجلس الشورى ومجلس القيادة المتشكلة من الفقهاء وغير الفقهاء لأخذ القرارات، ولتولّي إدارة المجتمع أمر مخالفٌ لما ذهب إليه العقل والعقلاء، ولما هو معروف من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لا يلزم منه إلا الفوضى واختلال النظام والتفرقة وتفويت الحكم واضمحلال الدولة</w:t>
      </w:r>
      <w:r>
        <w:rPr>
          <w:rFonts w:eastAsia="Amiri" w:cs="Amiri" w:ascii="Amiri" w:hAnsi="Amiri"/>
          <w:color w:val="111111"/>
          <w:sz w:val="28"/>
          <w:szCs w:val="28"/>
          <w:rtl w:val="true"/>
          <w:lang w:bidi="ar-SA"/>
        </w:rPr>
        <w:t xml:space="preserve">. </w:t>
      </w:r>
      <w:bookmarkStart w:id="633" w:name="pg8686_124156"/>
    </w:p>
    <w:p>
      <w:pPr>
        <w:pStyle w:val="Heading4"/>
        <w:numPr>
          <w:ilvl w:val="3"/>
          <w:numId w:val="1"/>
        </w:numPr>
        <w:rPr/>
      </w:pPr>
      <w:bookmarkStart w:id="634" w:name="__RefHeading___Toc2517732_653776707"/>
      <w:bookmarkStart w:id="635" w:name="_Toc242"/>
      <w:bookmarkEnd w:id="633"/>
      <w:bookmarkEnd w:id="634"/>
      <w:r>
        <w:rPr>
          <w:rtl w:val="true"/>
        </w:rPr>
        <w:t>المسألة الخامسة</w:t>
      </w:r>
      <w:r>
        <w:rPr>
          <w:rtl w:val="true"/>
        </w:rPr>
        <w:t>:</w:t>
      </w:r>
      <w:r>
        <w:rPr>
          <w:rtl w:val="true"/>
        </w:rPr>
        <w:t>دراسة النظريات لحل مشكلة تعيين الفقيه الولي</w:t>
      </w:r>
      <w:r>
        <w:rPr>
          <w:rtl w:val="true"/>
        </w:rPr>
        <w:t>(</w:t>
      </w:r>
      <w:r>
        <w:rPr/>
        <w:t>2</w:t>
      </w:r>
      <w:r>
        <w:rPr>
          <w:rtl w:val="true"/>
        </w:rPr>
        <w:t>)</w:t>
      </w:r>
      <w:bookmarkEnd w:id="635"/>
    </w:p>
    <w:p>
      <w:pPr>
        <w:pStyle w:val="Heading5"/>
        <w:numPr>
          <w:ilvl w:val="4"/>
          <w:numId w:val="1"/>
        </w:numPr>
        <w:rPr/>
      </w:pPr>
      <w:bookmarkStart w:id="636" w:name="__RefHeading___Toc2517734_653776707"/>
      <w:bookmarkStart w:id="637" w:name="_Toc243"/>
      <w:bookmarkEnd w:id="636"/>
      <w:r>
        <w:rPr>
          <w:rtl w:val="true"/>
        </w:rPr>
        <w:t>النظرية الثانية</w:t>
      </w:r>
      <w:r>
        <w:rPr>
          <w:rtl w:val="true"/>
        </w:rPr>
        <w:t xml:space="preserve">: </w:t>
      </w:r>
      <w:r>
        <w:rPr>
          <w:rtl w:val="true"/>
        </w:rPr>
        <w:t>نظرية التخيير الجمعي دراسةٌ ونقدٌ</w:t>
      </w:r>
      <w:bookmarkEnd w:id="637"/>
    </w:p>
    <w:p>
      <w:pPr>
        <w:pStyle w:val="Heading6"/>
        <w:numPr>
          <w:ilvl w:val="5"/>
          <w:numId w:val="1"/>
        </w:numPr>
        <w:rPr/>
      </w:pPr>
      <w:bookmarkStart w:id="638" w:name="__RefHeading___Toc2517736_653776707"/>
      <w:bookmarkStart w:id="639" w:name="_Toc244"/>
      <w:bookmarkEnd w:id="638"/>
      <w:r>
        <w:rPr>
          <w:rtl w:val="true"/>
        </w:rPr>
        <w:t>أ</w:t>
      </w:r>
      <w:r>
        <w:rPr>
          <w:rtl w:val="true"/>
        </w:rPr>
        <w:t xml:space="preserve">) </w:t>
      </w:r>
      <w:r>
        <w:rPr>
          <w:rtl w:val="true"/>
        </w:rPr>
        <w:t>دراسة نظرية التخيير الجمعي</w:t>
      </w:r>
      <w:bookmarkEnd w:id="639"/>
    </w:p>
    <w:p>
      <w:pPr>
        <w:pStyle w:val="BookText"/>
        <w:rPr/>
      </w:pPr>
      <w:r>
        <w:rPr>
          <w:rFonts w:ascii="Amiri" w:hAnsi="Amiri" w:eastAsia="Amiri" w:cs="Amiri"/>
          <w:color w:val="111111"/>
          <w:sz w:val="28"/>
          <w:sz w:val="28"/>
          <w:szCs w:val="28"/>
          <w:rtl w:val="true"/>
          <w:lang w:bidi="ar-SA"/>
        </w:rPr>
        <w:t>صاحب هذه النظرية وإن كان يناقش جميع الأدلّة المذكورة لإثبات مشروعية الانتخاب لتعيين وليّ الأمر في عصر الغيبة؛ ولكن لحل شبهة استحالة النصب ثبوتًا وكيفية تعيين الفقيه الوليّ في فرض التعدّد يبدي رأيًا في هذ المجال ضمن مقدمات فيقول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مقتضى الإطلاق الشمولي للأدلة اللفظية لولاية الفقيه ثبوت حقّ الولاية لجميع الفقهاء العدول الجامعين للشروط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فرض عدم وقوع التزاحم في إعمال الولاية والتصدّي لها، فلا إشكال في جواز التصدّي لمن يقدم على إعمال الولاية، فلا يرى إشكال في البين فأي واحد من الفقهاء الجامعين للشروط بادر إلى استلام زمام الحكم وإعمال الولاية كان على الناس أن يتّبعوه ويطيعوه من دون حاجة إلى الانتخاب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فرض وقوع التزاحم في ما بينهم يتحوّل الإطلاق الشمولي إلى الإطلاق البدليّ، بمعنى وجوب طاعة واحد منهم على سبيل البدل، وذلك بقرينة عقلائية ارتكازية، وهي عدم إمكان الالتزام بالتساقط في فرض وقوع التعارض بين الفقهاء في إعمال الولاية والتصدّي لها؛ لأنّه يؤدّي إلى بقاء المجتمع بلا 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الإطلاق البدلي بالمعنى المذكور يؤدّي إلى تخيير الأمّة في انتخاب الولي كمرجّح إثباتي لحلّ التعارض، وأما اللجوء إلى القرعة مثلاً كطريق لحلّ إشكال التعارض، وكمرجّح فلا نذهب إليه؛ لأنّ الأدلّة اللفظية لولاية الفقيه بعد عدم إمكان حملها على الإطلاق الشمولي تنصرف إلى الإطلاق البدلي الموجب للتخيير وانتخاب الأمة</w:t>
      </w:r>
      <w:r>
        <w:rPr>
          <w:rFonts w:eastAsia="Amiri" w:cs="Amiri" w:ascii="Amiri" w:hAnsi="Amiri"/>
          <w:color w:val="111111"/>
          <w:sz w:val="28"/>
          <w:szCs w:val="28"/>
          <w:rtl w:val="true"/>
          <w:lang w:bidi="ar-SA"/>
        </w:rPr>
        <w:t xml:space="preserve">. </w:t>
      </w:r>
      <w:bookmarkStart w:id="640" w:name="pg8686_124159"/>
    </w:p>
    <w:p>
      <w:pPr>
        <w:pStyle w:val="BookText"/>
        <w:rPr/>
      </w:pPr>
      <w:bookmarkEnd w:id="64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فيتحوّل ظهور الدليل اللفظي على ضوء ما ذكرنا أعلاه إلى التخيير الجمعي الحاصل بالانتخاب العامّ وترجيح رأي الاكثرية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افتراض الترجيح بصفة واقعية بحتة في الولي كالأعلمية والأكفئية من دون دخل لاختيار الأكثرية وانتخابهم إيّاه في ذلك، أمرٌ غير محتمل؛ إذ أوّلًا قد يتفق تساوي فقيهين مثلًا في تلك الصفة الواقعية فنقع مرة أخرى في الفساد؛ وثانيًا إن الترجيح بأمر واقعي بحت إنّما يمكن في العمل الفرديّ كباب التقليد، وكذلك في موارد إعمال الولاية بشكل فردي أو جزئي قبل بلوغ الأمة مستوى استلام زمام الحكم، وأمّا في الولاية على المجتمع فالترجيح بصفة واقعية بحتة غير ممكن؛ لأنّ الناس يختلفون في تشخيص من هو الأكفأ أو الأعلم؛ فنتورّط مرّة أخرى في الفساد الذي ينشأ من تعدّد الأولياء فالتخيير الفردي غير ممكن في باب الولاية العامّة فلا حلّ إلا التخيير الجمعي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فبالنتيجة يتحول ظهور الدليل اللفظي لولاية الفقيه على ضوء ما ذكرنا أعلاه إلى التخيير الجمعي الحاصل بالانتخاب العامّ، وترجيح رأي الأكثرية في فرض التعارض في مجال إعمال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لكل واحد منهم إعمال الولاية بشكل فردي وجزئي في ما لا يوجب خللًا للنظام والفساد</w:t>
      </w:r>
      <w:r>
        <w:rPr>
          <w:rFonts w:eastAsia="Amiri" w:cs="Amiri" w:ascii="Amiri" w:hAnsi="Amiri"/>
          <w:color w:val="111111"/>
          <w:sz w:val="28"/>
          <w:szCs w:val="28"/>
          <w:rtl w:val="true"/>
          <w:lang w:bidi="ar-SA"/>
        </w:rPr>
        <w:t>.</w:t>
      </w:r>
      <w:r>
        <w:rPr>
          <w:rStyle w:val="FootnoteAnchor"/>
          <w:rtl w:val="true"/>
        </w:rPr>
        <w:footnoteReference w:id="327"/>
      </w:r>
    </w:p>
    <w:p>
      <w:pPr>
        <w:pStyle w:val="Heading6"/>
        <w:numPr>
          <w:ilvl w:val="5"/>
          <w:numId w:val="1"/>
        </w:numPr>
        <w:rPr/>
      </w:pPr>
      <w:bookmarkStart w:id="641" w:name="__RefHeading___Toc2517738_653776707"/>
      <w:bookmarkStart w:id="642" w:name="_Toc245"/>
      <w:bookmarkEnd w:id="641"/>
      <w:r>
        <w:rPr>
          <w:rtl w:val="true"/>
        </w:rPr>
        <w:t>ب</w:t>
      </w:r>
      <w:r>
        <w:rPr>
          <w:rtl w:val="true"/>
        </w:rPr>
        <w:t xml:space="preserve">) </w:t>
      </w:r>
      <w:r>
        <w:rPr>
          <w:rtl w:val="true"/>
        </w:rPr>
        <w:t>تقويم نظرية التخيير الجمعي</w:t>
      </w:r>
      <w:bookmarkEnd w:id="642"/>
    </w:p>
    <w:p>
      <w:pPr>
        <w:pStyle w:val="BookText"/>
        <w:rPr/>
      </w:pPr>
      <w:r>
        <w:rPr>
          <w:rFonts w:ascii="Amiri" w:hAnsi="Amiri" w:eastAsia="Amiri" w:cs="Amiri"/>
          <w:color w:val="111111"/>
          <w:sz w:val="28"/>
          <w:sz w:val="28"/>
          <w:szCs w:val="28"/>
          <w:rtl w:val="true"/>
          <w:lang w:bidi="ar-SA"/>
        </w:rPr>
        <w:t>إنّ نظرية التخيير الجمعي مع ما لها من الميزات والمزايا للخروج عن الإشكال وبيان الحلّ وفقًا لصناعة الفقاهة وللأصول المقبولة والمدروسة في سبيل الاستنباط الفقهي، ولكن قد يُواجه بعض المناقشات وهي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النظرية لا تنظر إلى المرجِّح الثبوتي دفعًا للفساد والفوضى، وتلجأ إلى المرجّح الإثباتيّ وهو انتخاب الأمّة، مع أن هناك طريقًا آخر وهو الأولى، ألا وهو أن يُجعل المرجح الثبوتي هو المعيار؛ ولكن لدفع الفساد والاختلاف يلجأ في تعيين المصداق وتشخيص من له المرجح الثبوتي إلى </w:t>
      </w:r>
    </w:p>
    <w:p>
      <w:pPr>
        <w:pStyle w:val="BookText"/>
        <w:rPr/>
      </w:pPr>
      <w:r>
        <w:rPr>
          <w:rFonts w:ascii="Amiri" w:hAnsi="Amiri" w:eastAsia="Amiri" w:cs="Amiri"/>
          <w:color w:val="111111"/>
          <w:sz w:val="28"/>
          <w:sz w:val="28"/>
          <w:szCs w:val="28"/>
          <w:rtl w:val="true"/>
          <w:lang w:bidi="ar-SA"/>
        </w:rPr>
        <w:t>الانتخاب فبذلك يجمع بين المرجح الثبوتي والإثباتي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أكثر إتقانًا وأدقّ، المعيار هو الترجيح بالصفات في مقام الثبوت؛ ولكنّ طريق الوصول إليه هو رأي الأكثرية، فالمعيار هو الشخص الأصلح بحسب جميع الأوصاف والطريق إليه هو الانتخاب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رأي أكثرية الناس وانتخاب الأمة في مرحلة واحدة محلّ تأمل ونظر؛ لأنّ تمييز الفقيه الواجد للشروط بحاجة إلى الخبرة والتجربة، وعامّة الناس لا توجد عندهم الصلاحيات اللازمة لتشخيص هذه الأمور المحتاجة إلى التخصص والخبرة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خلطًا في هذه النظرية بين التشخيص والانتخاب واكتشاف الفقيه الولي واختياره، فإن أردنا أن نقيس محلّ الكلام على باب تقليد الأعلم نرى أنّ المكلف بتشخيص الأعلم يرجع إلى أهل الخبرة وشهادتهم، وليس لانتخابه دورٌ في هذا المجال، نعم إذا كان الأعلم مردّدًا بين شخصين أو عدّة أشخاص، فإنّه بالخيار في اختيار أحدهم مقلَّدًا له ومرجعًا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البحث عن الفقيه الولي فما هو الواجب في المرحلة الأولى هو تشخيص الواجد للشروط وهو شخص واحد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يتفق أن يتردّد بين أشخاص متعدّدين، فحينئذٍ للانتخاب والاختيار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قياس ما نحن فيه على اختيار الماء للوضوء إذا كان هناك عدّة أواني للتوضّؤ منها فمحلّ 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نظرية التخيير الجمعي لا تجيب عن سؤال مشروعية سلطة الفقيه وعلاقتها بالانتخاب، وأنّ الانتخاب هل هو جزء لمشروعيّته أو شرطٌ لها؟ أو لا هذا ولا ذلك بل طريق لإعمال الولاية والخروج عن مشكلة التعدّد؟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عنوان التعارض على المقام ومحلّ البحث قابلٌ للتأمل؛ لأنّ تعدّد الفقهاء المنصوبين من قبل الشارع لا ينطبق عليه عنوان التعارض، فإنّ قوام التعارضبالتكاذب لأنّ المجعول أمر واحد مع أنّه ليس في ما نحن فيه </w:t>
      </w:r>
      <w:bookmarkStart w:id="643" w:name="pg8686_124165"/>
    </w:p>
    <w:p>
      <w:pPr>
        <w:pStyle w:val="BookText"/>
        <w:rPr/>
      </w:pPr>
      <w:bookmarkEnd w:id="643"/>
      <w:r>
        <w:rPr>
          <w:rFonts w:ascii="Amiri" w:hAnsi="Amiri" w:eastAsia="Amiri" w:cs="Amiri"/>
          <w:color w:val="111111"/>
          <w:sz w:val="28"/>
          <w:sz w:val="28"/>
          <w:szCs w:val="28"/>
          <w:rtl w:val="true"/>
          <w:lang w:bidi="ar-SA"/>
        </w:rPr>
        <w:t>تكاذبٌ، ولا شك في أن المجعول هو الولاية لكل شخص جامع للشروط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هو قابل للانطباق في محلّ الكلام هو عنوان التزاحم كما سيأتي تفصيله</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2517740_653776707"/>
      <w:bookmarkStart w:id="645" w:name="_Toc246"/>
      <w:bookmarkEnd w:id="644"/>
      <w:r>
        <w:rPr>
          <w:rtl w:val="true"/>
        </w:rPr>
        <w:t>المسألة السادسة</w:t>
      </w:r>
      <w:r>
        <w:rPr>
          <w:rtl w:val="true"/>
        </w:rPr>
        <w:t xml:space="preserve">: </w:t>
      </w:r>
      <w:r>
        <w:rPr>
          <w:rtl w:val="true"/>
        </w:rPr>
        <w:t xml:space="preserve">دراسة الحلول لمشكلة تعيين الفقيه الولي </w:t>
      </w:r>
      <w:r>
        <w:rPr>
          <w:rtl w:val="true"/>
        </w:rPr>
        <w:t>(</w:t>
      </w:r>
      <w:r>
        <w:rPr/>
        <w:t>3</w:t>
      </w:r>
      <w:r>
        <w:rPr>
          <w:rtl w:val="true"/>
        </w:rPr>
        <w:t>)</w:t>
      </w:r>
      <w:bookmarkEnd w:id="645"/>
    </w:p>
    <w:p>
      <w:pPr>
        <w:pStyle w:val="Heading5"/>
        <w:numPr>
          <w:ilvl w:val="4"/>
          <w:numId w:val="1"/>
        </w:numPr>
        <w:rPr/>
      </w:pPr>
      <w:bookmarkStart w:id="646" w:name="__RefHeading___Toc2517742_653776707"/>
      <w:bookmarkStart w:id="647" w:name="_Toc247"/>
      <w:bookmarkEnd w:id="646"/>
      <w:r>
        <w:rPr>
          <w:rtl w:val="true"/>
        </w:rPr>
        <w:t>النظرية الثالثة</w:t>
      </w:r>
      <w:r>
        <w:rPr>
          <w:rtl w:val="true"/>
        </w:rPr>
        <w:t xml:space="preserve">: </w:t>
      </w:r>
      <w:r>
        <w:rPr>
          <w:rtl w:val="true"/>
        </w:rPr>
        <w:t>نظرية التزاحم دراسةٌ ونقدٌ</w:t>
      </w:r>
      <w:bookmarkEnd w:id="647"/>
    </w:p>
    <w:p>
      <w:pPr>
        <w:pStyle w:val="Heading6"/>
        <w:numPr>
          <w:ilvl w:val="5"/>
          <w:numId w:val="1"/>
        </w:numPr>
        <w:rPr/>
      </w:pPr>
      <w:bookmarkStart w:id="648" w:name="__RefHeading___Toc2517744_653776707"/>
      <w:bookmarkStart w:id="649" w:name="_Toc248"/>
      <w:bookmarkEnd w:id="648"/>
      <w:r>
        <w:rPr>
          <w:rtl w:val="true"/>
        </w:rPr>
        <w:t>أ</w:t>
      </w:r>
      <w:r>
        <w:rPr>
          <w:rtl w:val="true"/>
        </w:rPr>
        <w:t xml:space="preserve">) </w:t>
      </w:r>
      <w:r>
        <w:rPr>
          <w:rtl w:val="true"/>
        </w:rPr>
        <w:t>دراسة نظرية التزاحم</w:t>
      </w:r>
      <w:r>
        <w:rPr>
          <w:rtl w:val="true"/>
        </w:rPr>
        <w:t>:</w:t>
      </w:r>
      <w:bookmarkEnd w:id="649"/>
    </w:p>
    <w:p>
      <w:pPr>
        <w:pStyle w:val="BookText"/>
        <w:rPr/>
      </w:pPr>
      <w:r>
        <w:rPr>
          <w:rFonts w:ascii="Amiri" w:hAnsi="Amiri" w:eastAsia="Amiri" w:cs="Amiri"/>
          <w:color w:val="111111"/>
          <w:sz w:val="28"/>
          <w:sz w:val="28"/>
          <w:szCs w:val="28"/>
          <w:rtl w:val="true"/>
          <w:lang w:bidi="ar-SA"/>
        </w:rPr>
        <w:t>يمكن تلخيص حلّ مشكلة تعيين الفقيه الولي، وفق قواعد التزاحم في الأمور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عموم التنصيب، يعني أنّه لا تعارض ولا تكاذب بين الأدلّة الدالّة على عموم التنصيب؛ لأنّ ذلك يفترض أنّ إنشاء الولاية لأحد الفقهاء لا ينافي إنشاءها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من هذا العموم إنّما هو التزاحم بين هذه الولايات في مرحلة الممارسة الفعلية للولاية؛ حيث إنّ إعمال الولاية بحسب الحقيقة والماهية لا يقبل التعدّد والتكثر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 في باب التزاحم يختلف عن الحلّ المعتمد لرفع التعارض، كما ذكر في كتب الأصول، وهو اللجوء إلى الترجيح على أساس الملاكات، وتعيين ما هو الأهم والأقوى 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الملاك هو المرجح الثبوتي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الولاية السياسية المرجّح الثبوتي الأهم هو الفقاهة والتقوى والكفاءة، وبالتالي ينبغي الاعتقاد بثبوت الولاية الفعلية للفقيه الذي تتوفّر فيه هذه الملاكات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المحصّل منها بصورة أقوى</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اتفقت</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الأمة واجتمعت على فقيه لاعتقادها أنّه هو</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الأصلح لتوفّر الملاكات الأهمّ المشار إليها أعلاه فيه، من الأعلمية والأورعية والكفاءة، يتعين له الحقّ في إعمال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اختلفت الأمّة في تعيين الأصلح ومن هو أوفر حظًّا من ناحية الاتّصاف بالصفات المذكورة، فلا حيلة حينئذٍ إلا قبول </w:t>
      </w:r>
      <w:bookmarkStart w:id="650" w:name="pg8686_124168"/>
    </w:p>
    <w:p>
      <w:pPr>
        <w:pStyle w:val="BookText"/>
        <w:rPr/>
      </w:pPr>
      <w:bookmarkEnd w:id="650"/>
      <w:r>
        <w:rPr>
          <w:rFonts w:ascii="Amiri" w:hAnsi="Amiri" w:eastAsia="Amiri" w:cs="Amiri"/>
          <w:color w:val="111111"/>
          <w:sz w:val="28"/>
          <w:sz w:val="28"/>
          <w:szCs w:val="28"/>
          <w:rtl w:val="true"/>
          <w:lang w:bidi="ar-SA"/>
        </w:rPr>
        <w:t>رأي أكثرية الشعب أو الأكثرية بين النخب الاجتماعية وأهل الخبرة؛ وإلا يجب اللجوء إمّا إلى القرعة، وإمّا العمل برأي الأقلية، وإما إهمال أمرالولاية وقبول الفوضى، وإما قبول الولاية الفعلية لأكثر من واحد الأمر الذي ينجرّ إلى الفساد؛ ولا يخفى أن العقلاء لا يعترفون من هذه الطرق الخمسة إلا بالطريق الأول، وهو جعل رأي الأكثرية معيارًا وملاكًا لتشخيص الفقيه الولي وتمييزه من بين الآخرين</w:t>
      </w:r>
      <w:r>
        <w:rPr>
          <w:rFonts w:eastAsia="Amiri" w:cs="Amiri" w:ascii="Amiri" w:hAnsi="Amiri"/>
          <w:color w:val="111111"/>
          <w:sz w:val="28"/>
          <w:szCs w:val="28"/>
          <w:rtl w:val="true"/>
          <w:lang w:bidi="ar-SA"/>
        </w:rPr>
        <w:t>.</w:t>
      </w:r>
      <w:r>
        <w:rPr>
          <w:rStyle w:val="FootnoteAnchor"/>
          <w:rtl w:val="true"/>
        </w:rPr>
        <w:footnoteReference w:id="328"/>
      </w:r>
    </w:p>
    <w:p>
      <w:pPr>
        <w:pStyle w:val="Heading6"/>
        <w:numPr>
          <w:ilvl w:val="5"/>
          <w:numId w:val="1"/>
        </w:numPr>
        <w:rPr/>
      </w:pPr>
      <w:bookmarkStart w:id="651" w:name="__RefHeading___Toc2517746_653776707"/>
      <w:bookmarkStart w:id="652" w:name="_Toc249"/>
      <w:bookmarkEnd w:id="651"/>
      <w:r>
        <w:rPr>
          <w:rtl w:val="true"/>
        </w:rPr>
        <w:t>ب</w:t>
      </w:r>
      <w:r>
        <w:rPr>
          <w:rtl w:val="true"/>
        </w:rPr>
        <w:t xml:space="preserve">) </w:t>
      </w:r>
      <w:r>
        <w:rPr>
          <w:rtl w:val="true"/>
        </w:rPr>
        <w:t>تقويم نظرية التزاحم</w:t>
      </w:r>
      <w:bookmarkEnd w:id="65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التعبير عن هذه الحالة بمصطلح التزاحم لا يخلو من تسامح؛ لأنّ باب التزاحم الاصطلاحيّ يختص بالتزاحم بين حكمين فيرجّح أحدهما في مقام العمل لأهميّة ملاكه، إذا لم يمكن استيفاء الملاكين فيهما كإنقاد الغريقين، ولا ينطبق هذا المفهوم أي مفهوم التزاحم على محل البحث، فإنّه ليس في المقام إلا ملاك واحد يجب استيفاؤه والإتيان به وهو التدبير وإعمال الولاية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الملاك لايمكن استيفاؤه إلا بشخص واحد لعدم إمكان التعدّد والتشتت، وهذا لا يعبر عنه في المصطلح الأصولي لا بالتزاحم ولا بالتعارض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بإمكاننا أن نطلق عليه التزاحم لغةً؛ لأنّ کلّ واحد يزاحم الآخر في تولّي الأمر، ولا يمكن إعمال ولايتهما معًا، بل لا بدّ من امتثال رأي أحدهما دون الآخر أو الآخرين، فحينئذٍ إذا كان هناك عدّة أشخاص يستطيع كل واحد أن يتصدّى لاستيفاء الملاك في واقعة من الوقائع ويمكن أن يتحقق بينهم التزاحم ، وحينئذٍ لا مفرّ عقلًا ولا عقلائيًّ من اللجوء إلى منتتوفّر فيه مرجحات ثبوتية كالأعلمية والأورعية الاقوائية وغيرهما مما يستطيع بها ان يستوفي الملاك بنحو احسن واعلى ويمتثل التكليف المولي ويتحقق أغراضه وأمنياته بنحو أوفي وأكثر</w:t>
      </w:r>
      <w:r>
        <w:rPr>
          <w:rFonts w:eastAsia="IRNazanin" w:cs="IRNazanin"/>
          <w:color w:val="111111"/>
          <w:sz w:val="28"/>
          <w:szCs w:val="28"/>
          <w:rtl w:val="true"/>
          <w:lang w:bidi="fa-IR"/>
        </w:rPr>
        <w:t xml:space="preserve">. </w:t>
      </w:r>
      <w:bookmarkStart w:id="653" w:name="pg8686_124171"/>
    </w:p>
    <w:p>
      <w:pPr>
        <w:pStyle w:val="BookText"/>
        <w:rPr/>
      </w:pPr>
      <w:bookmarkEnd w:id="653"/>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النظرية خلافًا لنظرية التخيير الجمعي ترى أن التصويت ورأي الأكثرية لا موضوعية له؛ بل إن رأي الأكثرية طريق لكشف الملاك ومرجح ثبوتي؛ ولكن هذه النظرية لا تجيب عن وجه حجية رأي الأكثرية وجواز التبعية لمختارهم وما اتفقت عليه آراؤهم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الأقلية أيضًا يرون أنّ من يختارونه هم هو الأصلح وهو الذي تتوفّر فيه ملاكات الترجيح التي تسمح له بإعمال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كله أن هذه النظرية تواجه بعض الإبهامات من حيث إنّها تعبر عن إعمال الولاية بالولاية الفعلية، مع أنّه بناء على عموم التنصيب، الولاية لكل فقيه واجد للشروط فعليةٌ لا شأنيةٌ ولا اقتضائيةٌ، ولا تتوقّف فعلية ولايته على الانتخاب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إذا كانت فعلية الولاية متوقفة على الانتخاب، فما هي الفائدة من جعل الولاية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جعل الولاية لأكثر من واحد لغوًا وخلافًا للحكمة الإلهية؟</w:t>
      </w:r>
    </w:p>
    <w:p>
      <w:pPr>
        <w:pStyle w:val="Heading4"/>
        <w:numPr>
          <w:ilvl w:val="3"/>
          <w:numId w:val="1"/>
        </w:numPr>
        <w:rPr/>
      </w:pPr>
      <w:bookmarkStart w:id="654" w:name="__RefHeading___Toc2517748_653776707"/>
      <w:bookmarkStart w:id="655" w:name="_Toc250"/>
      <w:bookmarkEnd w:id="654"/>
      <w:r>
        <w:rPr>
          <w:rtl w:val="true"/>
        </w:rPr>
        <w:t>المسألة السابعة</w:t>
      </w:r>
      <w:r>
        <w:rPr>
          <w:rtl w:val="true"/>
        </w:rPr>
        <w:t xml:space="preserve">: </w:t>
      </w:r>
      <w:r>
        <w:rPr>
          <w:rtl w:val="true"/>
        </w:rPr>
        <w:t xml:space="preserve">دراسة الحلول لمشكلة تعيين الفقيه الولي </w:t>
      </w:r>
      <w:r>
        <w:rPr>
          <w:rtl w:val="true"/>
        </w:rPr>
        <w:t>(</w:t>
      </w:r>
      <w:r>
        <w:rPr/>
        <w:t>4</w:t>
      </w:r>
      <w:r>
        <w:rPr>
          <w:rtl w:val="true"/>
        </w:rPr>
        <w:t>)</w:t>
      </w:r>
      <w:bookmarkEnd w:id="655"/>
    </w:p>
    <w:p>
      <w:pPr>
        <w:pStyle w:val="Heading5"/>
        <w:numPr>
          <w:ilvl w:val="4"/>
          <w:numId w:val="1"/>
        </w:numPr>
        <w:rPr/>
      </w:pPr>
      <w:bookmarkStart w:id="656" w:name="__RefHeading___Toc2517750_653776707"/>
      <w:bookmarkStart w:id="657" w:name="_Toc251"/>
      <w:bookmarkEnd w:id="656"/>
      <w:r>
        <w:rPr>
          <w:rtl w:val="true"/>
        </w:rPr>
        <w:t>النظرية الرابعة</w:t>
      </w:r>
      <w:r>
        <w:rPr>
          <w:rtl w:val="true"/>
        </w:rPr>
        <w:t xml:space="preserve">: </w:t>
      </w:r>
      <w:r>
        <w:rPr>
          <w:rtl w:val="true"/>
        </w:rPr>
        <w:t>نظرية الوجوب الكفائي</w:t>
      </w:r>
      <w:bookmarkEnd w:id="657"/>
    </w:p>
    <w:p>
      <w:pPr>
        <w:pStyle w:val="Heading6"/>
        <w:numPr>
          <w:ilvl w:val="5"/>
          <w:numId w:val="1"/>
        </w:numPr>
        <w:rPr/>
      </w:pPr>
      <w:bookmarkStart w:id="658" w:name="__RefHeading___Toc2517752_653776707"/>
      <w:bookmarkStart w:id="659" w:name="_Toc252"/>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 في علم الأصول في البحث عن أقسام الواجب، أن الواجب ينقسم إلى قسمين كفائيّ وعينيّ، والكفائي هو الواجب الذي تتعلّق إرادة المولى بتحقّقه بغضّ النظر عن الشخص الذي يأتي به؛ ولذلك لا يتوجّه التكليف به إلى شخص محدّد، بل يُطلب تحقّقه من المسلمين جميعًا فإذا أتى به واحدٌ سقط عن الآخرين واكتُفي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كمافي الأمر بدفن الميت وتجهيزه حيث إنّ المطلوب وجوده في الخارج من أي واحد من المكلفين</w:t>
      </w:r>
      <w:r>
        <w:rPr>
          <w:rFonts w:eastAsia="Amiri" w:cs="Amiri" w:ascii="Amiri" w:hAnsi="Amiri"/>
          <w:color w:val="111111"/>
          <w:sz w:val="28"/>
          <w:szCs w:val="28"/>
          <w:rtl w:val="true"/>
          <w:lang w:bidi="ar-SA"/>
        </w:rPr>
        <w:t>.</w:t>
      </w:r>
      <w:r>
        <w:rPr>
          <w:rStyle w:val="FootnoteAnchor"/>
          <w:rtl w:val="true"/>
        </w:rPr>
        <w:footnoteReference w:id="32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هذه الإشارة فالنظرية الرابعة تقوم على أساس ركنين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الأول يرتبط بالفقيه وهو وجوب إقامة الحكم الإسلامي عليه كفائيًّا مشروطا بتمام </w:t>
      </w:r>
      <w:bookmarkStart w:id="660" w:name="pg8686_124174"/>
    </w:p>
    <w:p>
      <w:pPr>
        <w:pStyle w:val="BookText"/>
        <w:rPr/>
      </w:pPr>
      <w:bookmarkEnd w:id="660"/>
      <w:r>
        <w:rPr>
          <w:rFonts w:ascii="Amiri" w:hAnsi="Amiri" w:eastAsia="Amiri" w:cs="Amiri"/>
          <w:color w:val="111111"/>
          <w:sz w:val="28"/>
          <w:sz w:val="28"/>
          <w:szCs w:val="28"/>
          <w:rtl w:val="true"/>
          <w:lang w:bidi="ar-SA"/>
        </w:rPr>
        <w:t>الحجة بوجود الناصر؛ والركن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بالناس وسيادتهم وما لهم وما عليهم من إعانتهم للفقيه لإقامة الحكم الإسلامي وتحقيق العدل الإلهي</w:t>
      </w:r>
      <w:r>
        <w:rPr>
          <w:rFonts w:eastAsia="Amiri" w:cs="Amiri" w:ascii="Amiri" w:hAnsi="Amiri"/>
          <w:color w:val="111111"/>
          <w:sz w:val="28"/>
          <w:szCs w:val="28"/>
          <w:rtl w:val="true"/>
          <w:lang w:bidi="ar-SA"/>
        </w:rPr>
        <w:t>.</w:t>
      </w:r>
    </w:p>
    <w:p>
      <w:pPr>
        <w:pStyle w:val="Heading6"/>
        <w:numPr>
          <w:ilvl w:val="5"/>
          <w:numId w:val="1"/>
        </w:numPr>
        <w:rPr/>
      </w:pPr>
      <w:bookmarkStart w:id="661" w:name="__RefHeading___Toc2517754_653776707"/>
      <w:bookmarkStart w:id="662" w:name="_Toc253"/>
      <w:bookmarkEnd w:id="661"/>
      <w:r>
        <w:rPr>
          <w:rtl w:val="true"/>
        </w:rPr>
        <w:t>بيان الركن الأول</w:t>
      </w:r>
      <w:r>
        <w:rPr>
          <w:rtl w:val="true"/>
        </w:rPr>
        <w:t xml:space="preserve">: </w:t>
      </w:r>
      <w:r>
        <w:rPr>
          <w:rtl w:val="true"/>
        </w:rPr>
        <w:t>ضرورة إقامة الحكم الإسلامي</w:t>
      </w:r>
      <w:bookmarkEnd w:id="662"/>
    </w:p>
    <w:p>
      <w:pPr>
        <w:pStyle w:val="BookText"/>
        <w:rPr/>
      </w:pPr>
      <w:r>
        <w:rPr>
          <w:rFonts w:ascii="Amiri" w:hAnsi="Amiri" w:eastAsia="Amiri" w:cs="Amiri"/>
          <w:color w:val="111111"/>
          <w:sz w:val="28"/>
          <w:sz w:val="28"/>
          <w:szCs w:val="28"/>
          <w:rtl w:val="true"/>
          <w:lang w:bidi="ar-SA"/>
        </w:rPr>
        <w:t>وأما هذا الركن فشرحه موقوف على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أدلة ولاية الفقيه كما بينّاه في الفصل الأول من المرحلة الثالثة، هو التنصيب العام على سبيل العموم الاستغراقي لكل فقيه جامع للشروط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الولاية للفقيه حكم وضعي يلازم تكليفه بالتصدي لإقامة الحكم وتولّيه الأمور مشروطًا بالتمكن وقدرته على إقامته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يتعدّد الفقهاء الواجدون للشروط فتصدّي جميعهم لإعمال الحكم يوجب الفوضى؛ وما يوجب اختلال النظام والهرج والمرج ليس أصل عموم التنصيب، وجعل الولاية لعدّة من الفقهاء كما زعمه المستشكل؛ فإنه لا تعارض ولا تزاحم ولا تنافي في أصل ثبوت الولاية لهم فإنّ للتنصيب العام مصالح ومنافع كثيرة في طول التاريخ بعد عصر الغيبة؛ بل قبله في زمن قبض يد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فبيمن هذا العموم وبركته كان يجوز أن يتصدى كلّ واحد من الفقهاء لإعمال الولاية الجزئية في صقع من الأصقاع كتولية وقف عام، أو حفظ أموال غائب أو قاصر، أو إقامة حكم على واحد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مستوجب لاختلال النظام هو التصدي لإعمال الولاية الكلية السياسية في صقع واحد معين من أكثر واحد منهم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ممارسة الحكم والتصدّي لإقامة النظام الإسلامي وإن كان واجبًا كفاية على الفقيه؛ ولكن هذا الوجوب من جانب مقيّد بعدم كونه موجبًا لاختلال النظام الإسلامي والهرج والمرج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اختلال النظام حرام عينًا وحفظ النظام واجب عينًا على كل مكلّف، والوجوب الكفائي لإقامة النظام مشروط ومقيد بعدم استلزامه للهرج والمرج والفوضى واختلال النظام؛ وإلّا </w:t>
      </w:r>
      <w:bookmarkStart w:id="663" w:name="pg8686_124176"/>
    </w:p>
    <w:p>
      <w:pPr>
        <w:pStyle w:val="BookText"/>
        <w:rPr/>
      </w:pPr>
      <w:bookmarkEnd w:id="663"/>
      <w:r>
        <w:rPr>
          <w:rFonts w:ascii="Amiri" w:hAnsi="Amiri" w:eastAsia="Amiri" w:cs="Amiri"/>
          <w:color w:val="111111"/>
          <w:sz w:val="28"/>
          <w:sz w:val="28"/>
          <w:szCs w:val="28"/>
          <w:rtl w:val="true"/>
          <w:lang w:bidi="ar-SA"/>
        </w:rPr>
        <w:t>يحرم القيام به؛ وذلك لأهمية حفظ النظام ملاكًا ومبغوضية اختلال النظام شرعًا ومن جانب آخر أهم وهو أن الوجوب مشروط بحضور الحاضر وتمامية الحجّة بوجود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الأرضية المناسبة لتولية الأمور شرط وجوب لإقامة الحكم وتأسيس النظام السياسي في الإسلام وفي هذا الشرط لا فرق بين دولة المعصوم ودولة غير المعصوم من الفقهاء العظام والمؤمنين العدول، فعلى هذا إذا توفّرت الشروط والإمكانيات لإقامة الحكم الإسلامي في المجتمع من جميع الجهات فحينئذٍ فإن كان الشخص الموجود لإقامة الحكم والجامع لجميع الشروط هو الفقيه الواحد فهو يقوم بإقامة الواجب بلا وجود لأي تزاحم وتناقش وتقابل وتعارض في البين؛ ولكن بشرط حضور الحاضر وبيعة الناس وانتخابهم له وإلّا بلا حضور الحاضر وعدم بيعة الناس، فليس عليه تكليف بل لا يبعد القول بحرمة الإقامة عليه إذا انجرّ إلى اختلال النظام والهرج والمرج وتفويت المصالح العليا للمسلمين والإسلام؛ نعم يجب عليه على قدر المستطاع الإرشاد والأمر بالمعروف والدعوة لقيام الشعب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الفقيه المتّصف بالشروط متعددًا فلا يقدّم لإقامة الحكم من بينهم إلا من تمت الشروط بالنسبة إليه وتحققت الفعلية اللازمة لإقامة الحكم من حضور الحاضر وتمامية بيعة الناس له وتمامية الحجّة عليه؛ فحنيئذٍ هو يبادر لإقامة الحكم وأما غيره فالوجوب الكفائي مع عدم تحقق الفعلية اللازمة وعدم تمامية الحجة بالنسبة إليه في الخارج مرفوع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الأمور كلها بالنسبة إلى الركن الأول</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2517756_653776707"/>
      <w:bookmarkStart w:id="665" w:name="_Toc254"/>
      <w:bookmarkEnd w:id="664"/>
      <w:r>
        <w:rPr>
          <w:rtl w:val="true"/>
        </w:rPr>
        <w:t>بيان الركن الثاني</w:t>
      </w:r>
      <w:r>
        <w:rPr>
          <w:rtl w:val="true"/>
        </w:rPr>
        <w:t xml:space="preserve">: </w:t>
      </w:r>
      <w:r>
        <w:rPr>
          <w:rtl w:val="true"/>
        </w:rPr>
        <w:t>سيادة الشعب</w:t>
      </w:r>
      <w:bookmarkEnd w:id="665"/>
    </w:p>
    <w:p>
      <w:pPr>
        <w:pStyle w:val="BookText"/>
        <w:rPr/>
      </w:pPr>
      <w:r>
        <w:rPr>
          <w:rFonts w:ascii="Amiri" w:hAnsi="Amiri" w:eastAsia="Amiri" w:cs="Amiri"/>
          <w:color w:val="111111"/>
          <w:sz w:val="28"/>
          <w:sz w:val="28"/>
          <w:szCs w:val="28"/>
          <w:rtl w:val="true"/>
          <w:lang w:bidi="ar-SA"/>
        </w:rPr>
        <w:t>لتوضيح المقام وشرح المسألة لا بدّ من أن نذكر أمورًا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خلق مختارًا مريدًا تكوينيًّا وتشريعيًّا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معناه سيادة الإنسان وسيادة المجتمع فالمجتمع صاحب السيادة وله السلطة على </w:t>
      </w:r>
    </w:p>
    <w:p>
      <w:pPr>
        <w:pStyle w:val="BookText"/>
        <w:rPr/>
      </w:pPr>
      <w:r>
        <w:rPr>
          <w:rFonts w:ascii="IRNazanin" w:hAnsi="IRNazanin" w:eastAsia="IRNazanin"/>
          <w:color w:val="111111"/>
          <w:sz w:val="28"/>
          <w:sz w:val="28"/>
          <w:szCs w:val="28"/>
          <w:rtl w:val="true"/>
          <w:lang w:bidi="fa-IR"/>
        </w:rPr>
        <w:t>شؤونه؛</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ولكن في نفس الوقت كما إن هناك أمام الإرادة التكوينية للإنسان حواجز وموانع تسدّه عن الوصول إلى ما يريد، فكذلك إن إرادته الحرّة التشريعية مقيدة بقيود عقلاً وشرعاً؛ حيث إن العقل والأخلاق والقيم والفطرة الإنسانية لا يسمح له أن يقدِم على كل شيء يريده فلا يجوز له يأمر أحد الناس بقتله، أو يجعل نفسه عبدًا لغيره ويجعل نفسه تحت قيمومية آخرين وولايتهم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حكمٌ يحكم به العقل والشرع، ومن المتّفق عليه بين جميع العقلاء، وأبناء البشر، وقد أثبتنا في البحث عن الأصل في الولاية في المرحلة الأولى أنّ الأصل عدم ولاية أحد على أحد، وأنّ الولاية منحصرة في ذاته تعالى إلا ما خرج بالدليل، كولاية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ولايتهم تكون بإذنه وتأييده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سيادة الإنسان والشعب ثابتةٌ له على نفسه عقلًا وشرعًا؛ ولكن تحت إطار معين ومحدّد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تطبيقاً للأمر الأول لا يجوز للإنسان ولا للمجتمع أن يجعل وليًّا ويختار قيمًا وينتخب حاكمًا على نفسه، إلا إذا كان بإذنه تعالى وتحت إطار القواعد والشروط العقلية والأحكام التشريعية الإلهية والقِيم الأخلاقية، فإذا عيّن شخصٌ بتعيين الإلهي وتنصيب ربّاني للولاية على الأمة كالنبي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الشعب أن يطيعوه ويقبلونه إمامًا وقيمًا على أنفسهم وأموالهم وشؤونهم،ويجب عليهم أن يعلنوا بيعتهم ويأذنوا بأن رضاهم رضا الله ورضا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بالنسبة إلى دور بيعتهم للمعصوم ورأيهم وانتخابهم 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حضر الحاضر وأعلن الجمهور وفاءهم وبيعتهم لمن جعله الله وليًّا عليهم، فحينئذٍ تقوم الحجة عليه وتتحقق الشروط لتولّيه الأمر </w:t>
      </w:r>
    </w:p>
    <w:p>
      <w:pPr>
        <w:pStyle w:val="BookText"/>
        <w:rPr/>
      </w:pPr>
      <w:r>
        <w:rPr>
          <w:rFonts w:ascii="Amiri" w:hAnsi="Amiri" w:eastAsia="Amiri" w:cs="Amiri"/>
          <w:color w:val="111111"/>
          <w:sz w:val="28"/>
          <w:sz w:val="28"/>
          <w:szCs w:val="28"/>
          <w:rtl w:val="true"/>
          <w:lang w:bidi="ar-SA"/>
        </w:rPr>
        <w:t>وتنفيذ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 أمير المؤمنين ذلك بوضوح في الخطبة المعروفة بخطبة 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والَّذِي فَلَقَ الْحَبَّةَ وبَرَأَ النَّسَمَةَ لَوْلَا حُضُورُ الْحَاضِرِ وقِيَامُ الْحُجَّةِ بِوُجُودِ النَّاصِرِ، ومَا أَخَذَ اللَّهُ عَلَى الْعُلَمَاءِ أَلَّا يُقَارُّوا عَلَى كِظَّةِ ظَالِمٍ ولَا سَغَبِ مَظْلُومٍ، لَأَلْقَيْتُ حَبْلَهَا عَلَى غَارِبِهَا ولَسَقَيْتُ آخِرَهَا بِكَأْسِ أَوَّلِهَا ولَأَلْفَيْتُمْ دُنْيَاكُمْ هَذِهِ أَزْهَدَ عِنْدِي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كما ذكرناه سابقًا في مقام الاستدلال بها لتنصيب الفقيه معتبرة لا إشكال عليها سندًان وإن رويت مرسلة في نهج البلاغة؛ ولكن بما أنّها رويت في المجامع الأخرى قبل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كالأمالي للشيخ الطوسي، والإرشاد للمفيد، وفي علل الشرائع ومعاني الأخبار للصدوق بأسناد معتبرة فتكون حجة لإثبات سيادة الشعب كما إنها تكون حجة لإثبات ولاية الفقيه بالتنصيب العامّ</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فهذه الرواية بصوت عالٍ تدلّ أولا على ما يجب على الشعب والجمهور من مبايعة ولي الأمر ونصرته وأن يكونوا حاضرين للطاعة والوفاء بالبيعة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البيعة وهذا الحضور والنصرة لا تعطي الشرعية الإلهية والولاية وحقّ الحكم إلى ولي الأمر فإنّه يأخذ هذا الحقّ من التنصيب والجعل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لولا حضور الحاضر وبيعة الشعب وانتخاب الناس لا تقوم الحجّة ولا يتحقّق شرط وجوب القيام لإقامة الحكم وبسط العدالة وأخذ الحق للمظلوم من الظالم؛ فقيام الشعب والمظلومون لأخذ حقّهم من الظالمين وبيعتهم للولي الإلهي شرطٌ لوجوب قيام ولي الأمر وتأسيسه للحكم وإقامة العدل وتنفيذ القسط، فالتكليفالإلهي والوظيفة الشرعية مشروطةٌ بقيام الحجة بوجود الناصر وحضور الحاضر وإلا فالولي لا يحسب مبسوط اليد فلا شيء عليه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اشتراط وجوب إقامة الحكم والنظام السياسي الإسلامي بحضور الحاضر قضية مطلقة لا يستثنى منها أيّ دولة من الدول العادلة الحقّة </w:t>
      </w:r>
    </w:p>
    <w:p>
      <w:pPr>
        <w:pStyle w:val="BookText"/>
        <w:rPr/>
      </w:pPr>
      <w:r>
        <w:rPr>
          <w:rFonts w:ascii="Amiri" w:hAnsi="Amiri" w:eastAsia="Amiri" w:cs="Amiri"/>
          <w:color w:val="111111"/>
          <w:sz w:val="28"/>
          <w:sz w:val="28"/>
          <w:szCs w:val="28"/>
          <w:rtl w:val="true"/>
          <w:lang w:bidi="ar-SA"/>
        </w:rPr>
        <w:t xml:space="preserve">الإسلامية، سواء كانت دولة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وحكومة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دولة أمير المؤمنين أو غيره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الشرط نفسه يسري على دولة الفقيه ودولة عدول المؤمنين، ففي كلّ دولة من الدول الحقّة الإسلامية المشروعة على جميع مراتبها وأصنافها ما لم يتحقق هذا الشرط، لا يثبت التكليف الإلهيّ على عاتق ولي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أثبتنا في الأمر الرابع أنّ الولي الإلهي يجب عليه القيام بعد تحقق الشرط وحضور الحاضر؛ ولكن متى يجب على الشعب الحضور والبيعة وانتخاب وليّ الأمر، وما هو شرط ذلك؟</w:t>
      </w:r>
    </w:p>
    <w:p>
      <w:pPr>
        <w:pStyle w:val="BookText"/>
        <w:rPr/>
      </w:pPr>
      <w:r>
        <w:rPr>
          <w:rFonts w:ascii="Amiri" w:hAnsi="Amiri" w:eastAsia="Amiri" w:cs="Amiri"/>
          <w:color w:val="111111"/>
          <w:sz w:val="28"/>
          <w:sz w:val="28"/>
          <w:szCs w:val="28"/>
          <w:rtl w:val="true"/>
          <w:lang w:bidi="ar-SA"/>
        </w:rPr>
        <w:t>وفي الكلام على هذا الشرط تفصيل بين أقسام الدولة الحقّة العادلة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الدولة دولة الأنبياء ومنهم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دولة الإمام المعصوم فتكليف الحضور والبيعة ونصرة الوليّ غير مقيد بشرط إلا الشروط العامّة للتكليف من القدرة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العلم بالولي المعصوم وشخصه، فهو شرط لتنجّز التكليف لا لأصل التكليف كما بُيِّن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الدولة متعلقة بغير المعصوم كالفقيه، فهناك شرط آخر لوجوب الحضور والطاعة زائدًا على الشروط العامة، وهو تشخيص الفقيه الواجد للشروط من العلم والعدالة والكفاءة وغيرها من شروط الولاية وتمييزه من الآخرين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هذه الحالة يجب على الناس تجب الطاعة والانتخاب والبيعة إذا كان الفقيه الموصوف بالصفات اللازمة موجودًا مكشوفًا ومبينًا لديهم بصورة واضحة بلا شك ولا ريب، فحينئذٍ إذا كان الفقيه الواجد لأوصاف الولاية وزعامة الأمة واحدًا فبعد اكتشافهلدى الجمهور وعلمهم بأنّه يليق بالزعامة فحينئذٍ يجب عليهم بيعته وإعلانهم لطاعته وتنفيذ أوامره وتمكّنهم له لإقامة الدولة الحقّة العادلة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تعدّد الفقهاء الواجدين للشروط وإن جُعلت الولاية لهم بالتنصيب العامّ؛ ولكنّ إقامة الدولة كما ذكرنا أعلاه مشروطةٌ بحضور الحاضر وانتخاب الناس؛ نعم، تمكينهم له وحضورهم وبيعتهم هو تكليف عليهم بعد اكتشافهم للفقيه الواجد للشروط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بعد رجوعهم إلى أهل الخبرة وبعد التفحّص لاكتشاف ولي الأمر الواجد للشروط حينما يواجهون عددًا من الأشخاص الواجدين لشروط الزعامة والقيادة، فحينئذٍ المتبع هو حكم العقل وسيرة العقلاء، وهو اختيار أحدهم إذا لم يتوفّر أساسٌ للترجيح، وإلا يختار وينتخب ويبايع مع من عنده المرجّحات الآخر الثبوتية من الأعلمية والأورعية والأكفئية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الأمر في المرجعية والتقليد كذلك، فإن الناس وعموم المكلفين يبحثون ويراجعون إلى أهل الخبرة لتشخيص الفقيه المتصف بشروط المرجعية، فإذا كان المتصف واحدًا يختارونه مرجعًا لهم وإن كان المتصف متعدّدًا يقدّمون الأعلم وإن كان الأعلم في ضمن عدّة منهم يختارون واحدًا منهم للتقليد وأخذ الفتوى هذا في التكليف الفردي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الأمر في التكليف الجمعي فعند تعدّد الفقهاء بما أن الحكم والسلطة غير قابل للتعدّد فالمجتمع بعد الفحص والبحث عمن عنده المرجّح فينتخبه زعيمًا وقائدًا لتولية الأمر وإن كان في ضمن عدد من الفقهاء فيختار أحدهم للتولية وإن كان هذا الفرض لا يتفق في الخارج إلا قليلًا جدًّا؛ حيث إنّ الزعامة والقيادة بحاجة إلى أوصاف متعدّدة كثيرة قلّما يتفق اجتماعها في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آليات تنفيذ الاختيار والانتخاب حقٌّ للناس، والشعب له السيادة وله حقّ الانتخاب كما عليه التكليف عقلًا وشرعًا للانتخاب ففي طريق تنفيذ هذا الحق وفي سبيل امتثال هذا التكليف</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الشعب أن يبحث ويفحص لاكتشاف الولي الجامع للصفات وذاك بالرجوع إلى أهل الخبرة فإذا انتخب الناس عدّة من الخبراء كما يرى في </w:t>
      </w:r>
    </w:p>
    <w:p>
      <w:pPr>
        <w:pStyle w:val="BookText"/>
        <w:rPr/>
      </w:pPr>
      <w:r>
        <w:rPr>
          <w:rFonts w:ascii="Amiri" w:hAnsi="Amiri" w:eastAsia="Amiri" w:cs="Amiri"/>
          <w:color w:val="111111"/>
          <w:sz w:val="28"/>
          <w:sz w:val="28"/>
          <w:szCs w:val="28"/>
          <w:rtl w:val="true"/>
          <w:lang w:bidi="ar-SA"/>
        </w:rPr>
        <w:t>دستور الجمهورية الإسلامية في ايران،</w:t>
      </w:r>
      <w:r>
        <w:rPr>
          <w:rStyle w:val="FootnoteAnchor"/>
          <w:rtl w:val="true"/>
        </w:rPr>
        <w:footnoteReference w:id="332"/>
      </w:r>
      <w:r>
        <w:rPr>
          <w:rFonts w:ascii="Amiri" w:hAnsi="Amiri" w:eastAsia="Amiri" w:cs="Amiri"/>
          <w:color w:val="111111"/>
          <w:sz w:val="28"/>
          <w:sz w:val="28"/>
          <w:szCs w:val="28"/>
          <w:rtl w:val="true"/>
          <w:lang w:bidi="ar-SA"/>
        </w:rPr>
        <w:t>لأجل هذه المهمة فإنهم بعد البحث والفحص إن رأوا أن هناك شخص واحد هو الوحيد اللائق لتولية الأمر وأن الأمر منحصر به، فحينئذٍ عليهم أمران أساسيان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 إلى الجمهور والشعب إجابة لما طلبوا منهم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تعيينه واختياره لتولّي الأمور وزعامة الأمة والبيعة له أصالة من عند أنفسهم ونيابة عن الجمهور والشعب؛ حيث إنهم وكلاء الأمة ونوابهم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أمامهم عدّة خيارات فيلتجئون إلى المرجحات المختلفة وينتخبون واحدًا منهم عن طريق التصويت فيما بينهم ويعلنونه قائدًا ويبايعونه عن أنفسهم أصالة ويبايعونه عن الشعب 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الانتخاب يختلف ماهية عن الانتخاب المذكور في نظرية الانتخاب مقابلًا لنظرية التنصيب كما سيأتي تفصيله في الفصل المقبل حيث إن صاحب نظرية الانتخاب يرى أن الشعب هو المصدر لإعطاء الولاية إلى المنتخب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إن الطريق لتنفيذ الشعب سيادته وحقّه الشرعي والعقلي والعرفي بناء على نظرية التنصيب هو رجوعه وانتخابه للخبراء وتعيينهم وكيلًا ونائبًا عنه أولًا لتشخيص الصالح وكشفه بعد المراجعة والتشاور؛ وثانيًا انتخابه وإعلانه قائدًا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يرى أي عويصة أو مشكلة بناء على نظرية التنصيب لتعيين زعيم المجتمع من اختلال النظام أو الهرج والمرج أو اللغوية أو غير ذلك من الشبهات والإيرادات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6" w:name="pg8686_124196"/>
      <w:bookmarkStart w:id="667" w:name="pg8686_124196"/>
      <w:bookmarkEnd w:id="667"/>
    </w:p>
    <w:p>
      <w:pPr>
        <w:pStyle w:val="Heading3"/>
        <w:numPr>
          <w:ilvl w:val="2"/>
          <w:numId w:val="1"/>
        </w:numPr>
        <w:rPr/>
      </w:pPr>
      <w:bookmarkStart w:id="668" w:name="pg8686_124196"/>
      <w:bookmarkStart w:id="669" w:name="__RefHeading___Toc2517758_653776707"/>
      <w:bookmarkStart w:id="670" w:name="_Toc255"/>
      <w:bookmarkEnd w:id="668"/>
      <w:bookmarkEnd w:id="669"/>
      <w:r>
        <w:rPr>
          <w:rtl w:val="true"/>
        </w:rPr>
        <w:t>الفصل الثالث</w:t>
      </w:r>
      <w:r>
        <w:rPr>
          <w:rtl w:val="true"/>
        </w:rPr>
        <w:t xml:space="preserve">: </w:t>
      </w:r>
      <w:r>
        <w:rPr>
          <w:rtl w:val="true"/>
        </w:rPr>
        <w:t>نظرية الانتخاب بين الدراسة والنقد</w:t>
      </w:r>
      <w:bookmarkEnd w:id="670"/>
    </w:p>
    <w:p>
      <w:pPr>
        <w:pStyle w:val="Heading4"/>
        <w:numPr>
          <w:ilvl w:val="3"/>
          <w:numId w:val="1"/>
        </w:numPr>
        <w:rPr/>
      </w:pPr>
      <w:bookmarkStart w:id="671" w:name="__RefHeading___Toc2517760_653776707"/>
      <w:bookmarkStart w:id="672" w:name="_Toc256"/>
      <w:bookmarkEnd w:id="671"/>
      <w:r>
        <w:rPr>
          <w:rtl w:val="true"/>
        </w:rPr>
        <w:t>اشارة</w:t>
      </w:r>
      <w:bookmarkEnd w:id="672"/>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بعض، بعد أن رأى بزعمه أنّ القول بالتنصيب قابل للخدشة ثبوتًا أو إثباتًا، إلى نظرية الانتخاب وأن الفقيه غير منصوب للولاية فعلًا؛ بل الفقيه الواجد للشرائط أهلٌ للولاية وصالحٌ لها وأصلح من غيره وإنّما تنعقد ولايته بالفعل بانتخاب الأمة بمرحلة واحدة أو بمرحلتين، فلا محالة يصير الوالي بالفعل من الفقهاء من انتخبته الأمة وفوّضت إليه الامر فعلى هذا الفرض أمر الولاية الفعلية بيد الأمّة، وإن وجب عليهم في مقام الانتخاب رعاية الشرائط التي اعتبرها الشارع في الوالي من الفقاهة وغيرها</w:t>
      </w:r>
      <w:r>
        <w:rPr>
          <w:rFonts w:eastAsia="Amiri" w:cs="Amiri" w:ascii="Amiri" w:hAnsi="Amiri"/>
          <w:color w:val="111111"/>
          <w:sz w:val="28"/>
          <w:szCs w:val="28"/>
          <w:rtl w:val="true"/>
          <w:lang w:bidi="ar-SA"/>
        </w:rPr>
        <w:t>.</w:t>
      </w:r>
      <w:r>
        <w:rPr>
          <w:rStyle w:val="FootnoteAnchor"/>
          <w:rtl w:val="true"/>
        </w:rPr>
        <w:footnoteReference w:id="33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هذا الفصل طيّ مسائل عدّة سوف نبحث عن أدلة هذا الرأي وما أورد عليها وإن كان ما بحثناه في الفصل السابق يغنينا عن ذلك حيث درسنا في ذلك الفصل زعم استحالة التنصيب ثبوتًا، وأثبتنا أنّ النصب العام ممكن ثبوتًا أولًا، وثانيًا أنّه أمر ضروريٌّ على الشارع القيام به والمبادرة إليه، لحلّ أزمات الأمة الإسلامية في جميع الأزمنة والأمكنة في طول عصرالغيبة وحتى في عصرالحضور، وقبض يد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فالتنصيب العام أمر اقتضته الحكمة الإلهية والربوبية التشريعية الإلهية، وما وجب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تولية أمور </w:t>
      </w:r>
      <w:bookmarkStart w:id="673" w:name="pg8686_124201"/>
    </w:p>
    <w:p>
      <w:pPr>
        <w:pStyle w:val="BookText"/>
        <w:rPr/>
      </w:pPr>
      <w:bookmarkEnd w:id="673"/>
      <w:r>
        <w:rPr>
          <w:rFonts w:ascii="Amiri" w:hAnsi="Amiri" w:eastAsia="Amiri" w:cs="Amiri"/>
          <w:color w:val="111111"/>
          <w:sz w:val="28"/>
          <w:sz w:val="28"/>
          <w:szCs w:val="28"/>
          <w:rtl w:val="true"/>
          <w:lang w:bidi="ar-SA"/>
        </w:rPr>
        <w:t>المجتمع وهداية الناس وإرشادهم إلى السعادة، حيث لاسبيل للقيام بهذه الأمور إلا عن طريق التنصيب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قد دلّ على التنصيب العام عددٌ من الأدلّة النقلية من الكتاب والسنة فلا حاجة إلى التكرار وعلى هذا لامجال لنظرية الانتخاب ولاتصل النوبة إلى البحث عنها؛ ولكن مع ذلك لاستيفاء البحث ندرس أدلة هذه النظرية في هذا الفصل باختصار</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2517762_653776707"/>
      <w:bookmarkStart w:id="675" w:name="_Toc257"/>
      <w:bookmarkEnd w:id="674"/>
      <w:r>
        <w:rPr>
          <w:rtl w:val="true"/>
        </w:rPr>
        <w:t>المسألة الأولى</w:t>
      </w:r>
      <w:r>
        <w:rPr>
          <w:rtl w:val="true"/>
        </w:rPr>
        <w:t xml:space="preserve">: </w:t>
      </w:r>
      <w:r>
        <w:rPr>
          <w:rtl w:val="true"/>
        </w:rPr>
        <w:t xml:space="preserve">دراسة أدلة الانتخاب </w:t>
      </w:r>
      <w:r>
        <w:rPr>
          <w:rtl w:val="true"/>
        </w:rPr>
        <w:t>(</w:t>
      </w:r>
      <w:r>
        <w:rPr/>
        <w:t>1</w:t>
      </w:r>
      <w:r>
        <w:rPr>
          <w:rtl w:val="true"/>
        </w:rPr>
        <w:t>)</w:t>
      </w:r>
      <w:bookmarkEnd w:id="675"/>
    </w:p>
    <w:p>
      <w:pPr>
        <w:pStyle w:val="Heading5"/>
        <w:numPr>
          <w:ilvl w:val="4"/>
          <w:numId w:val="1"/>
        </w:numPr>
        <w:rPr/>
      </w:pPr>
      <w:bookmarkStart w:id="676" w:name="__RefHeading___Toc2517764_653776707"/>
      <w:bookmarkStart w:id="677" w:name="_Toc258"/>
      <w:bookmarkEnd w:id="676"/>
      <w:r>
        <w:rPr>
          <w:rtl w:val="true"/>
        </w:rPr>
        <w:t>الدليل الأول</w:t>
      </w:r>
      <w:r>
        <w:rPr>
          <w:rtl w:val="true"/>
        </w:rPr>
        <w:t xml:space="preserve">: </w:t>
      </w:r>
      <w:r>
        <w:rPr>
          <w:rtl w:val="true"/>
        </w:rPr>
        <w:t>حكم العقل</w:t>
      </w:r>
      <w:bookmarkEnd w:id="677"/>
    </w:p>
    <w:p>
      <w:pPr>
        <w:pStyle w:val="Heading6"/>
        <w:numPr>
          <w:ilvl w:val="5"/>
          <w:numId w:val="1"/>
        </w:numPr>
        <w:rPr/>
      </w:pPr>
      <w:bookmarkStart w:id="678" w:name="__RefHeading___Toc2517766_653776707"/>
      <w:bookmarkStart w:id="679" w:name="_Toc259"/>
      <w:bookmarkEnd w:id="678"/>
      <w:r>
        <w:rPr>
          <w:rtl w:val="true"/>
        </w:rPr>
        <w:t>أ</w:t>
      </w:r>
      <w:r>
        <w:rPr>
          <w:rtl w:val="true"/>
        </w:rPr>
        <w:t xml:space="preserve">) </w:t>
      </w:r>
      <w:r>
        <w:rPr>
          <w:rtl w:val="true"/>
        </w:rPr>
        <w:t>تقريب الدليل الأول</w:t>
      </w:r>
      <w:bookmarkEnd w:id="679"/>
    </w:p>
    <w:p>
      <w:pPr>
        <w:pStyle w:val="BookText"/>
        <w:rPr/>
      </w:pPr>
      <w:r>
        <w:rPr>
          <w:rFonts w:ascii="Amiri" w:hAnsi="Amiri" w:eastAsia="Amiri" w:cs="Amiri"/>
          <w:color w:val="111111"/>
          <w:sz w:val="28"/>
          <w:sz w:val="28"/>
          <w:szCs w:val="28"/>
          <w:rtl w:val="true"/>
          <w:lang w:bidi="ar-SA"/>
        </w:rPr>
        <w:t>العقل الذي هو أمّ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بالبداهة بقبح الفوضى والهرج والفتنة ووجوب إقامة النظام تحت ظلّ دولة صالحة عادلة ذات شوكة، ولا يحصل هذا إلا بخضوع الأمة في قبالها والطاعة لها هذا ما حكم به العقل وكلّ ما حكم به العقل حكم به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والدولة لا تخلو من أن توجد بالتعيين والتنصيب من قبل الله تعالى أو بقهر قاهر على الأمة أو بانتخاب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مفروض العدم، والثاني ظلمٌ على الأمة يحكم العقل بقبحه، فالثالث 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استمرار سيرة العقلاء في جميع الأعصار والظروف على الاهتمام بذلك وتعيين الولاة والحكام بانتخاب ما هو الأصلح والأليق بنظرهم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تبارك وتعالى جعل في الإنسان غريزة الانتخاب ومدح عباده على إعمال هذه الغريزة وانتخاب المصداق الأحسن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الَّذِينَ يَسْتَمِعُونَ الْقَوْلَ فَيَتَّبِعُونَ أَحْسَنَهُ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680" w:name="__RefHeading___Toc2517768_653776707"/>
      <w:bookmarkStart w:id="681" w:name="_Toc260"/>
      <w:bookmarkEnd w:id="680"/>
      <w:r>
        <w:rPr>
          <w:rtl w:val="true"/>
        </w:rPr>
        <w:t>ب</w:t>
      </w:r>
      <w:r>
        <w:rPr>
          <w:rtl w:val="true"/>
        </w:rPr>
        <w:t xml:space="preserve">) </w:t>
      </w:r>
      <w:r>
        <w:rPr>
          <w:rtl w:val="true"/>
        </w:rPr>
        <w:t>تقويم الدليل الأول</w:t>
      </w:r>
      <w:r>
        <w:rPr>
          <w:rtl w:val="true"/>
        </w:rPr>
        <w:t>:</w:t>
      </w:r>
      <w:bookmarkEnd w:id="68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ما في هذا الوجه الذي سمّاه بأمّ الحجج من الضعف، فإن حكم العقل يجب أن يكون حكمًا بيّنًا قطعيًّا، بلا تخصيص ولا استثناء</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فلو حكم </w:t>
      </w:r>
      <w:bookmarkStart w:id="682" w:name="pg8686_124203"/>
    </w:p>
    <w:p>
      <w:pPr>
        <w:pStyle w:val="BookText"/>
        <w:rPr/>
      </w:pPr>
      <w:bookmarkEnd w:id="682"/>
      <w:r>
        <w:rPr>
          <w:rFonts w:ascii="Amiri" w:hAnsi="Amiri" w:eastAsia="Amiri" w:cs="Amiri"/>
          <w:color w:val="111111"/>
          <w:sz w:val="28"/>
          <w:sz w:val="28"/>
          <w:szCs w:val="28"/>
          <w:rtl w:val="true"/>
          <w:lang w:bidi="ar-SA"/>
        </w:rPr>
        <w:t>العقل بضرورة انتخاب الأمة فكيف يجوز من ناحية الشرع؛ بل من ناحية الله تبارك وتعالى التنصيب؟ وكيف يجوز لله تعالى ارتكاب ما يكون مخالفًا لحكم العقل القطعي مع أنّه محال على الله لمخالفته للحكمة؟وعلى هذا فالأقسام الثلاثة المذكورة في الدليل من التنصيب والانتخاب متداخلة وليست دائرة بين النفي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تناقض ولا تهافت بين التنصيب والانتخاب، فإن الناس إذا حضروا ورضوا بالمنصوب من قبل الله تبارك وتعالى يصير هو أيضًا منتخب الأمة، وعلى هذا لا يُرى أيّ تزاحم أو تضادٍّ</w:t>
      </w:r>
    </w:p>
    <w:p>
      <w:pPr>
        <w:pStyle w:val="BookText"/>
        <w:rPr/>
      </w:pPr>
      <w:r>
        <w:rPr>
          <w:rFonts w:ascii="Amiri" w:hAnsi="Amiri" w:eastAsia="Amiri" w:cs="Amiri"/>
          <w:color w:val="111111"/>
          <w:sz w:val="28"/>
          <w:sz w:val="28"/>
          <w:szCs w:val="28"/>
          <w:rtl w:val="true"/>
          <w:lang w:bidi="ar-SA"/>
        </w:rPr>
        <w:t>أو تناقض بين التنصيب والانتخاب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ظهر ضعف ما قاله من السيرة المستمرة العقلائيّة على الانتخاب؛ فإن السيرة لو كانت هكذا فكيف ارتكب الشارع الحكيم ما هو مخالف لها اللهم إلا أن يُقال كما ذكرنا أعلاه إن العقلاء يرون التنصيب موافقًا مع الانتخاب لا مقابلًا وقسيمًا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أخيرًا من الاستناد إلى الآية الشريفة فضعفه واضحٌ جدًّا؛ حيث إنّ الآية أجنبية عن المقام وتدلّ على لزوم اتباع القول 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الدلالة على لزوم انتخاب الحاكم وإعطائة الولاية كمصداق للأحسن فهي لا إشعار لها بهذا، مع أن أمر الولاية كلّها بحكم الأصل في الولاية بيد الله تبارك وتعالى، والآيه ليست ناظرة إلى هذا الاصل حتى تكون مخصصة أو منافية له في الولاية</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2517770_653776707"/>
      <w:bookmarkStart w:id="684" w:name="_Toc261"/>
      <w:bookmarkEnd w:id="683"/>
      <w:r>
        <w:rPr>
          <w:rtl w:val="true"/>
        </w:rPr>
        <w:t>المسألة الثانية</w:t>
      </w:r>
      <w:r>
        <w:rPr>
          <w:rtl w:val="true"/>
        </w:rPr>
        <w:t xml:space="preserve">: </w:t>
      </w:r>
      <w:r>
        <w:rPr>
          <w:rtl w:val="true"/>
        </w:rPr>
        <w:t xml:space="preserve">دراسة أدلة الانتخاب </w:t>
      </w:r>
      <w:r>
        <w:rPr>
          <w:rtl w:val="true"/>
        </w:rPr>
        <w:t>(</w:t>
      </w:r>
      <w:r>
        <w:rPr/>
        <w:t>2</w:t>
      </w:r>
      <w:r>
        <w:rPr>
          <w:rtl w:val="true"/>
        </w:rPr>
        <w:t>)</w:t>
      </w:r>
      <w:bookmarkEnd w:id="684"/>
    </w:p>
    <w:p>
      <w:pPr>
        <w:pStyle w:val="Heading5"/>
        <w:numPr>
          <w:ilvl w:val="4"/>
          <w:numId w:val="1"/>
        </w:numPr>
        <w:rPr/>
      </w:pPr>
      <w:bookmarkStart w:id="685" w:name="__RefHeading___Toc2517772_653776707"/>
      <w:bookmarkStart w:id="686" w:name="_Toc262"/>
      <w:bookmarkEnd w:id="685"/>
      <w:r>
        <w:rPr>
          <w:rtl w:val="true"/>
        </w:rPr>
        <w:t>الدليل الثاني</w:t>
      </w:r>
      <w:r>
        <w:rPr>
          <w:rtl w:val="true"/>
        </w:rPr>
        <w:t xml:space="preserve">: </w:t>
      </w:r>
      <w:r>
        <w:rPr>
          <w:rtl w:val="true"/>
        </w:rPr>
        <w:t>سيرة العقلاء</w:t>
      </w:r>
      <w:bookmarkEnd w:id="686"/>
    </w:p>
    <w:p>
      <w:pPr>
        <w:pStyle w:val="Heading6"/>
        <w:numPr>
          <w:ilvl w:val="5"/>
          <w:numId w:val="1"/>
        </w:numPr>
        <w:rPr/>
      </w:pPr>
      <w:bookmarkStart w:id="687" w:name="__RefHeading___Toc2517774_653776707"/>
      <w:bookmarkStart w:id="688" w:name="_Toc263"/>
      <w:bookmarkEnd w:id="687"/>
      <w:r>
        <w:rPr>
          <w:rtl w:val="true"/>
        </w:rPr>
        <w:t>أ</w:t>
      </w:r>
      <w:r>
        <w:rPr>
          <w:rtl w:val="true"/>
        </w:rPr>
        <w:t xml:space="preserve">) </w:t>
      </w:r>
      <w:r>
        <w:rPr>
          <w:rtl w:val="true"/>
        </w:rPr>
        <w:t>تقريب الدليل الثاني</w:t>
      </w:r>
      <w:bookmarkEnd w:id="68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استمرار سيرة العقلاء في جميع الأعصار والظروف على الاستنابة في بعض الأعمال، ومن ذلك الأمور العامّة التي يحتاج إليها المجتمع، ولا يتيسّر لكل فرد فرد تحصيلها فينتخبون لذلك واليًا متمكنًا ويفوضونها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w:t>
      </w:r>
      <w:bookmarkStart w:id="689" w:name="pg8686_124206"/>
    </w:p>
    <w:p>
      <w:pPr>
        <w:pStyle w:val="BookText"/>
        <w:rPr/>
      </w:pPr>
      <w:bookmarkEnd w:id="689"/>
      <w:r>
        <w:rPr>
          <w:rFonts w:ascii="Amiri" w:hAnsi="Amiri" w:eastAsia="Amiri" w:cs="Amiri"/>
          <w:color w:val="111111"/>
          <w:sz w:val="28"/>
          <w:sz w:val="28"/>
          <w:szCs w:val="28"/>
          <w:rtl w:val="true"/>
          <w:lang w:bidi="ar-SA"/>
        </w:rPr>
        <w:t>إجراء الحدود والتعزيرات وفصل الخصومات، حيث يُفوّض إجراؤها وتنفيذها إلى من يتبلور فيه كل المجتمع وهو الوالي 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والاستنابة والتوكيل أمر عقلائي استمرّت عليه السيرةوأمضاه الشارع أيضًا كما في نهج البلاغة في كتاب له إلى أصحاب الخراج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فإنكم خزّان الرعية ووكلاء الأمة وسفراء الأئمة</w:t>
      </w:r>
      <w:r>
        <w:rPr>
          <w:rFonts w:eastAsia="Amiri" w:cs="Amiri" w:ascii="Amiri" w:hAnsi="Amiri"/>
          <w:color w:val="111111"/>
          <w:sz w:val="28"/>
          <w:szCs w:val="28"/>
          <w:rtl w:val="true"/>
          <w:lang w:bidi="ar-SA"/>
        </w:rPr>
        <w:t>».</w:t>
      </w:r>
      <w:r>
        <w:rPr>
          <w:rStyle w:val="FootnoteAnchor"/>
          <w:rtl w:val="true"/>
        </w:rPr>
        <w:footnoteReference w:id="335"/>
      </w:r>
    </w:p>
    <w:p>
      <w:pPr>
        <w:pStyle w:val="Heading6"/>
        <w:numPr>
          <w:ilvl w:val="5"/>
          <w:numId w:val="1"/>
        </w:numPr>
        <w:rPr/>
      </w:pPr>
      <w:bookmarkStart w:id="690" w:name="__RefHeading___Toc2517776_653776707"/>
      <w:bookmarkStart w:id="691" w:name="_Toc264"/>
      <w:bookmarkEnd w:id="690"/>
      <w:r>
        <w:rPr>
          <w:rtl w:val="true"/>
        </w:rPr>
        <w:t>ب</w:t>
      </w:r>
      <w:r>
        <w:rPr>
          <w:rtl w:val="true"/>
        </w:rPr>
        <w:t xml:space="preserve">) </w:t>
      </w:r>
      <w:r>
        <w:rPr>
          <w:rtl w:val="true"/>
        </w:rPr>
        <w:t>تقويم الدليل الثاني</w:t>
      </w:r>
      <w:r>
        <w:rPr>
          <w:rtl w:val="true"/>
        </w:rPr>
        <w:t>:</w:t>
      </w:r>
      <w:bookmarkEnd w:id="691"/>
    </w:p>
    <w:p>
      <w:pPr>
        <w:pStyle w:val="BookText"/>
        <w:rPr/>
      </w:pPr>
      <w:r>
        <w:rPr>
          <w:rFonts w:ascii="Amiri" w:hAnsi="Amiri" w:eastAsia="Amiri" w:cs="Amiri"/>
          <w:color w:val="111111"/>
          <w:sz w:val="28"/>
          <w:sz w:val="28"/>
          <w:szCs w:val="28"/>
          <w:rtl w:val="true"/>
          <w:lang w:bidi="ar-SA"/>
        </w:rPr>
        <w:t>مضافاً إلى أنّ هذا الدليل تكرار لجزء من الدليل الأول، وقد بينّا ضعفه، فإنّه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الدليل من عجيب الكلام؛ فإن القول بأن الاستنابة والتوكيل أمر عقلائي أمضاه الشارع أمر صحيح وصواب لا غبار عليه، ولكن لا تخفى المغالطة الموجودة في الدليل من تطبيق هذه القضية على المقام، فإن الاستنابة الصحيحة النافذة مشروطة بأن تكون في الأمور القابلة للاستنابة والتوكيل، وأما إذا كان الأمر من الأمور التي لا صلة للإنسان به، وليس من شؤونه؛ بل كانت من شؤون الغير والتصرف فيها، فالتوكيل والاستنابة فيها لا معنى له فإن الإنسان لا يجوز له التوكيل والاستنابة في شؤون الآخرين، ولا شك في أنّ تولية أمور المجتمع وخاصّة ما مثّل به المستدلّ من إجراء الحدود والتعزيرات، وفصل الخصومات ليس من شؤون الإنسان حتى يستنيب أحدًا فيها، بل هذه الأمور، من الأمور الولائية التي هي موكولة إلى الله تبارك وتعالى، وهو الشارع الحكيم، وليس لغيره شأن بالنسبة إليها، فإنّ الإمامة أمر إلهيٌّ من الله تبارك تعالى، وليس للتوكيل فيها مجال وقد ورد في الروايات أن إقامة الحدود إلى من إليه الحكم</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ما ادّعاه من استمرار سيرة العقلاء على انتخاب الوالي للمجتمع في جميع الأعصار والأمصار، أمر يشهد لخلافه ما هو مدوّنٌ في تاريخ البشرية، فإنّ التاريخ، إلا ما شذّ وقلّ، مليء بالحكومات الفاسدة القاهرة المتغلبة على الأمور بالظلم والعدوان والفساد والقتل من الملوك المستبدة الفاجرة، </w:t>
      </w:r>
      <w:bookmarkStart w:id="692" w:name="pg8686_124210"/>
    </w:p>
    <w:p>
      <w:pPr>
        <w:pStyle w:val="BookText"/>
        <w:rPr/>
      </w:pPr>
      <w:bookmarkEnd w:id="692"/>
      <w:r>
        <w:rPr>
          <w:rFonts w:ascii="Amiri" w:hAnsi="Amiri" w:eastAsia="Amiri" w:cs="Amiri"/>
          <w:color w:val="111111"/>
          <w:sz w:val="28"/>
          <w:sz w:val="28"/>
          <w:szCs w:val="28"/>
          <w:rtl w:val="true"/>
          <w:lang w:bidi="ar-SA"/>
        </w:rPr>
        <w:t>ويكفي لذلك شاهدًا ما جرى في تاريخ الأمة الإسلامية، من حكومة الأمويّين والعباسيّين والعثمانيّين وسلسلة الملوك الوراثيةكالقاجاريّين والبهلويّين في إيران فكيف يمكن لأحدٍ أن يدّعي استمرار السيرة على الانتخاب؟</w:t>
      </w:r>
    </w:p>
    <w:p>
      <w:pPr>
        <w:pStyle w:val="BookText"/>
        <w:rPr/>
      </w:pPr>
      <w:r>
        <w:rPr>
          <w:rFonts w:ascii="Amiri" w:hAnsi="Amiri" w:eastAsia="Amiri" w:cs="Amiri"/>
          <w:color w:val="111111"/>
          <w:sz w:val="28"/>
          <w:sz w:val="28"/>
          <w:szCs w:val="28"/>
          <w:rtl w:val="true"/>
          <w:lang w:bidi="ar-SA"/>
        </w:rPr>
        <w:t>فالقول بأن السيرة على ضدّ الانتخاب لعلّه أصح واوفق بما مرّ في التاريخ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العصور الأخيرة من تاريخ الغرب الأوروبي والأمريكي، يُرى أن الحكومات الانتخابية ظاهرة باسم الديموقراطية وإن كان الواقع هو خضوع اختيار الناس لسلطان المال والدعاية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جرى في التاريخ من السيرة غير القابلة للإنكار في هذا المجال هو أنّ العقلاء طوعًا أو كرهًا في حال عدم التمكن يستسلمون لأمرالحاكم الغالب حقنًا لدمائهم وأموالهم وحفظًا لأنفسهم ودفعًا للفساد واختلال النظام والهرج والمرج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الانتخاب فلا سيرة مستمرّة للعقلاء تسمح بنسبتها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استند إليه في آخر الدليل بكلام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أوضح؛ فإنّ أمر عمّال الخراج بيد الحاكم والوالي وليس موكولًا إلى الناس فالمراد من الوكالة في كلامه ليست الوكالة المصطلحة</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2517778_653776707"/>
      <w:bookmarkStart w:id="694" w:name="_Toc265"/>
      <w:bookmarkEnd w:id="693"/>
      <w:r>
        <w:rPr>
          <w:rtl w:val="true"/>
        </w:rPr>
        <w:t>المسألة الثالثة</w:t>
      </w:r>
      <w:r>
        <w:rPr>
          <w:rtl w:val="true"/>
        </w:rPr>
        <w:t xml:space="preserve">: </w:t>
      </w:r>
      <w:r>
        <w:rPr>
          <w:rtl w:val="true"/>
        </w:rPr>
        <w:t xml:space="preserve">دراسة أدلة الانتخاب </w:t>
      </w:r>
      <w:r>
        <w:rPr>
          <w:rtl w:val="true"/>
        </w:rPr>
        <w:t>(</w:t>
      </w:r>
      <w:r>
        <w:rPr/>
        <w:t>3</w:t>
      </w:r>
      <w:r>
        <w:rPr>
          <w:rtl w:val="true"/>
        </w:rPr>
        <w:t>)</w:t>
      </w:r>
      <w:bookmarkEnd w:id="694"/>
    </w:p>
    <w:p>
      <w:pPr>
        <w:pStyle w:val="Heading5"/>
        <w:numPr>
          <w:ilvl w:val="4"/>
          <w:numId w:val="1"/>
        </w:numPr>
        <w:rPr/>
      </w:pPr>
      <w:bookmarkStart w:id="695" w:name="__RefHeading___Toc2517780_653776707"/>
      <w:bookmarkStart w:id="696" w:name="_Toc266"/>
      <w:bookmarkEnd w:id="695"/>
      <w:r>
        <w:rPr>
          <w:rtl w:val="true"/>
        </w:rPr>
        <w:t>الدليل الثالث</w:t>
      </w:r>
      <w:r>
        <w:rPr>
          <w:rtl w:val="true"/>
        </w:rPr>
        <w:t xml:space="preserve">: </w:t>
      </w:r>
      <w:r>
        <w:rPr>
          <w:rtl w:val="true"/>
        </w:rPr>
        <w:t>فحوى قاعدة السلطنة</w:t>
      </w:r>
      <w:bookmarkEnd w:id="696"/>
    </w:p>
    <w:p>
      <w:pPr>
        <w:pStyle w:val="Heading6"/>
        <w:numPr>
          <w:ilvl w:val="5"/>
          <w:numId w:val="1"/>
        </w:numPr>
        <w:rPr/>
      </w:pPr>
      <w:bookmarkStart w:id="697" w:name="__RefHeading___Toc2517782_653776707"/>
      <w:bookmarkStart w:id="698" w:name="_Toc267"/>
      <w:bookmarkEnd w:id="697"/>
      <w:r>
        <w:rPr>
          <w:rtl w:val="true"/>
        </w:rPr>
        <w:t>أ</w:t>
      </w:r>
      <w:r>
        <w:rPr>
          <w:rtl w:val="true"/>
        </w:rPr>
        <w:t xml:space="preserve">) </w:t>
      </w:r>
      <w:r>
        <w:rPr>
          <w:rtl w:val="true"/>
        </w:rPr>
        <w:t>تقريب الدليل الثالث</w:t>
      </w:r>
      <w:bookmarkEnd w:id="698"/>
    </w:p>
    <w:p>
      <w:pPr>
        <w:pStyle w:val="BookText"/>
        <w:rPr/>
      </w:pPr>
      <w:r>
        <w:rPr>
          <w:rFonts w:ascii="Amiri" w:hAnsi="Amiri" w:eastAsia="Amiri" w:cs="Amiri"/>
          <w:color w:val="111111"/>
          <w:sz w:val="28"/>
          <w:sz w:val="28"/>
          <w:szCs w:val="28"/>
          <w:rtl w:val="true"/>
          <w:lang w:bidi="ar-SA"/>
        </w:rPr>
        <w:t xml:space="preserve">بحكم العقل وسيرة العقلاء إنّ الناس مسلّطون على أموالهم، وقد نفّذ الشارع هذا الحكم وصار من مسلمات فقه الفريقين وقد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الناس مسلّطون على أموالهم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فرض سلطة الناس على أموالهم، وأن لهم أن يتصرّفوا فيها بما شاؤوا إلا ما حرمه الله فهم بطريق أولى مسلّطون على أنفسهم فإنّ السلطنة على النفس مقدمة رتبةعلى السلطة على المال؛ بل العلّة والملاك لها هي السلطة على </w:t>
      </w:r>
      <w:bookmarkStart w:id="699" w:name="pg8686_124213"/>
    </w:p>
    <w:p>
      <w:pPr>
        <w:pStyle w:val="BookText"/>
        <w:rPr/>
      </w:pPr>
      <w:bookmarkEnd w:id="699"/>
      <w:r>
        <w:rPr>
          <w:rFonts w:ascii="Amiri" w:hAnsi="Amiri" w:eastAsia="Amiri" w:cs="Amiri"/>
          <w:color w:val="111111"/>
          <w:sz w:val="28"/>
          <w:sz w:val="28"/>
          <w:szCs w:val="28"/>
          <w:rtl w:val="true"/>
          <w:lang w:bidi="ar-SA"/>
        </w:rPr>
        <w:t>الذات والنفس؛ لأنّ المال نتيجة عملها وفكرها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خلق حرًّا مختارًا مسلّطًا على ذاته، وليس لأحد أن يحدّ حرّيات الأفراد أو يتصرف في مقدراتهم بغير إذنهم وللأفراد أن ينتخبوا الأصلح ويولّوه على أنفسهم، إلا إذا كان هناك إمام منصوص عليه من قبل الله تبارك وتعالى، فلا بدّ من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عدمه فالمتّبع هو ما يختاره الناس وينتخبونه</w:t>
      </w:r>
      <w:r>
        <w:rPr>
          <w:rFonts w:eastAsia="Amiri" w:cs="Amiri" w:ascii="Amiri" w:hAnsi="Amiri"/>
          <w:color w:val="111111"/>
          <w:sz w:val="28"/>
          <w:szCs w:val="28"/>
          <w:rtl w:val="true"/>
          <w:lang w:bidi="ar-SA"/>
        </w:rPr>
        <w:t>.</w:t>
      </w:r>
      <w:r>
        <w:rPr>
          <w:rStyle w:val="FootnoteAnchor"/>
          <w:rtl w:val="true"/>
        </w:rPr>
        <w:footnoteReference w:id="337"/>
      </w:r>
    </w:p>
    <w:p>
      <w:pPr>
        <w:pStyle w:val="Heading6"/>
        <w:numPr>
          <w:ilvl w:val="5"/>
          <w:numId w:val="1"/>
        </w:numPr>
        <w:rPr/>
      </w:pPr>
      <w:bookmarkStart w:id="700" w:name="__RefHeading___Toc2517784_653776707"/>
      <w:bookmarkStart w:id="701" w:name="_Toc268"/>
      <w:bookmarkEnd w:id="700"/>
      <w:r>
        <w:rPr>
          <w:rtl w:val="true"/>
        </w:rPr>
        <w:t>ب</w:t>
      </w:r>
      <w:r>
        <w:rPr>
          <w:rtl w:val="true"/>
        </w:rPr>
        <w:t xml:space="preserve">) </w:t>
      </w:r>
      <w:r>
        <w:rPr>
          <w:rtl w:val="true"/>
        </w:rPr>
        <w:t>تقويم الدليل الثالث</w:t>
      </w:r>
      <w:r>
        <w:rPr>
          <w:rtl w:val="true"/>
        </w:rPr>
        <w:t>:</w:t>
      </w:r>
      <w:bookmarkEnd w:id="701"/>
    </w:p>
    <w:p>
      <w:pPr>
        <w:pStyle w:val="BookText"/>
        <w:rPr/>
      </w:pPr>
      <w:r>
        <w:rPr>
          <w:rFonts w:ascii="Amiri" w:hAnsi="Amiri" w:eastAsia="Amiri" w:cs="Amiri"/>
          <w:color w:val="111111"/>
          <w:sz w:val="28"/>
          <w:sz w:val="28"/>
          <w:szCs w:val="28"/>
          <w:rtl w:val="true"/>
          <w:lang w:bidi="ar-SA"/>
        </w:rPr>
        <w:t>يرد على فحوى قاعدة السلطنة بعد تسليم أصل القاعدة؛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مفهوم الموافقة وقياس الأولوية مشروطة بكونها قطعية لا يشوبها شك وريب،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 لهما أفٍّ؛ حيث إن ظهور الآية في الفحوى ظهور بين واضح وإلّا مجرد احتمال الأولوية، لا قيمة له، وهو من القياس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ذلك كما قيل إنه لو كانت الأولوية قطعية، لكان مقتضاها عدم إمكان نصب أحدٍ للولاية على الأمّة، فإنّه خلاف تلك الأولوية مع أنّ تنصيب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للولاية مقطوع به</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سلطة الناس على أنفسهم؛ ولكن المدّعى ليس ذلك؛ بل المدّعى هو سلطة الناس على أن يسلطوا غيرهم على أنفسهم ويجعلونه قيمًا على أمرهم وهذا أول الكلام؛ فهل تبرّر سلطة الناس على أنفسهم أن يجعلوا أنفسهم رقًّا وعبيدًا للآخرين؟ أو هل يجوز لهم الإذن لأحدٍ من الناس بقتلهم؟ لا يبدو أنّ صاحب الدعوى يوافق على هذه اللوازم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تدلّ على سلطة الناس على أموالهم وأنفسهم لا على أموال الآخرين وأنفسهم</w:t>
      </w:r>
      <w:r>
        <w:rPr>
          <w:rFonts w:eastAsia="Amiri" w:cs="Amiri" w:ascii="Amiri" w:hAnsi="Amiri"/>
          <w:color w:val="111111"/>
          <w:sz w:val="28"/>
          <w:szCs w:val="28"/>
          <w:rtl w:val="true"/>
          <w:lang w:bidi="ar-SA"/>
        </w:rPr>
        <w:t xml:space="preserve">. </w:t>
      </w:r>
      <w:bookmarkStart w:id="702" w:name="pg8686_124216"/>
    </w:p>
    <w:p>
      <w:pPr>
        <w:pStyle w:val="Heading4"/>
        <w:numPr>
          <w:ilvl w:val="3"/>
          <w:numId w:val="1"/>
        </w:numPr>
        <w:rPr/>
      </w:pPr>
      <w:bookmarkStart w:id="703" w:name="__RefHeading___Toc2517786_653776707"/>
      <w:bookmarkStart w:id="704" w:name="_Toc269"/>
      <w:bookmarkEnd w:id="702"/>
      <w:bookmarkEnd w:id="703"/>
      <w:r>
        <w:rPr>
          <w:rtl w:val="true"/>
        </w:rPr>
        <w:t>المسألة الرابعة</w:t>
      </w:r>
      <w:r>
        <w:rPr>
          <w:rtl w:val="true"/>
        </w:rPr>
        <w:t xml:space="preserve">: </w:t>
      </w:r>
      <w:r>
        <w:rPr>
          <w:rtl w:val="true"/>
        </w:rPr>
        <w:t xml:space="preserve">دراسة أدلة الانتخاب </w:t>
      </w:r>
      <w:r>
        <w:rPr>
          <w:rtl w:val="true"/>
        </w:rPr>
        <w:t>(</w:t>
      </w:r>
      <w:r>
        <w:rPr/>
        <w:t>4</w:t>
      </w:r>
      <w:r>
        <w:rPr>
          <w:rtl w:val="true"/>
        </w:rPr>
        <w:t>)</w:t>
      </w:r>
      <w:bookmarkEnd w:id="704"/>
    </w:p>
    <w:p>
      <w:pPr>
        <w:pStyle w:val="Heading5"/>
        <w:numPr>
          <w:ilvl w:val="4"/>
          <w:numId w:val="1"/>
        </w:numPr>
        <w:rPr/>
      </w:pPr>
      <w:bookmarkStart w:id="705" w:name="__RefHeading___Toc2517788_653776707"/>
      <w:bookmarkStart w:id="706" w:name="_Toc270"/>
      <w:bookmarkEnd w:id="705"/>
      <w:r>
        <w:rPr>
          <w:rtl w:val="true"/>
        </w:rPr>
        <w:t>الدليل الرابع</w:t>
      </w:r>
      <w:r>
        <w:rPr>
          <w:rtl w:val="true"/>
        </w:rPr>
        <w:t xml:space="preserve">: </w:t>
      </w:r>
      <w:r>
        <w:rPr>
          <w:rtl w:val="true"/>
        </w:rPr>
        <w:t>أدلّة لزوم الوفاء بالعقد</w:t>
      </w:r>
      <w:bookmarkEnd w:id="706"/>
    </w:p>
    <w:p>
      <w:pPr>
        <w:pStyle w:val="Heading6"/>
        <w:numPr>
          <w:ilvl w:val="5"/>
          <w:numId w:val="1"/>
        </w:numPr>
        <w:rPr/>
      </w:pPr>
      <w:bookmarkStart w:id="707" w:name="__RefHeading___Toc2517790_653776707"/>
      <w:bookmarkStart w:id="708" w:name="_Toc271"/>
      <w:bookmarkEnd w:id="707"/>
      <w:r>
        <w:rPr>
          <w:rtl w:val="true"/>
        </w:rPr>
        <w:t>أ</w:t>
      </w:r>
      <w:r>
        <w:rPr>
          <w:rtl w:val="true"/>
        </w:rPr>
        <w:t xml:space="preserve">) </w:t>
      </w:r>
      <w:r>
        <w:rPr>
          <w:rtl w:val="true"/>
        </w:rPr>
        <w:t>تقريب الدليل الرابع</w:t>
      </w:r>
      <w:r>
        <w:rPr>
          <w:rtl w:val="true"/>
        </w:rPr>
        <w:t>:</w:t>
      </w:r>
      <w:bookmarkEnd w:id="708"/>
    </w:p>
    <w:p>
      <w:pPr>
        <w:pStyle w:val="BookText"/>
        <w:rPr/>
      </w:pPr>
      <w:r>
        <w:rPr>
          <w:rFonts w:ascii="Amiri" w:hAnsi="Amiri" w:eastAsia="Amiri" w:cs="Amiri"/>
          <w:color w:val="111111"/>
          <w:sz w:val="28"/>
          <w:sz w:val="28"/>
          <w:szCs w:val="28"/>
          <w:rtl w:val="true"/>
          <w:lang w:bidi="ar-SA"/>
        </w:rPr>
        <w:t>الإمامة وتفويض الولاية كما ذهب إليه بعض علماء أهل السنّة عقدٌ كسائر العقود، إيجابه من الأمة وقبوله من الإمام</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ويدلّ على صحته ونفوذه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إقدام الناس على انتخاب الإمام دارج ورائج بين العقلاء وشائع بين القبائل والعشائر والأمم فالآية الشريفة تقتضي باعتباره وصحته؛ لأنها ناظرة إلى العقود العقلائية المتعارفة</w:t>
      </w:r>
      <w:r>
        <w:rPr>
          <w:rFonts w:eastAsia="Amiri" w:cs="Amiri" w:ascii="Amiri" w:hAnsi="Amiri"/>
          <w:color w:val="111111"/>
          <w:sz w:val="28"/>
          <w:szCs w:val="28"/>
          <w:rtl w:val="true"/>
          <w:lang w:bidi="ar-SA"/>
        </w:rPr>
        <w:t>.</w:t>
      </w:r>
      <w:r>
        <w:rPr>
          <w:rStyle w:val="FootnoteAnchor"/>
          <w:rtl w:val="true"/>
        </w:rPr>
        <w:footnoteReference w:id="340"/>
      </w:r>
    </w:p>
    <w:p>
      <w:pPr>
        <w:pStyle w:val="Heading6"/>
        <w:numPr>
          <w:ilvl w:val="5"/>
          <w:numId w:val="1"/>
        </w:numPr>
        <w:rPr/>
      </w:pPr>
      <w:bookmarkStart w:id="709" w:name="__RefHeading___Toc2517792_653776707"/>
      <w:bookmarkStart w:id="710" w:name="_Toc272"/>
      <w:bookmarkEnd w:id="709"/>
      <w:r>
        <w:rPr>
          <w:rtl w:val="true"/>
        </w:rPr>
        <w:t>ب</w:t>
      </w:r>
      <w:r>
        <w:rPr>
          <w:rtl w:val="true"/>
        </w:rPr>
        <w:t xml:space="preserve">) </w:t>
      </w:r>
      <w:r>
        <w:rPr>
          <w:rtl w:val="true"/>
        </w:rPr>
        <w:t>تقويم الدليل الرابع</w:t>
      </w:r>
      <w:r>
        <w:rPr>
          <w:rtl w:val="true"/>
        </w:rPr>
        <w:t>:</w:t>
      </w:r>
      <w:bookmarkEnd w:id="710"/>
    </w:p>
    <w:p>
      <w:pPr>
        <w:pStyle w:val="BookText"/>
        <w:rPr/>
      </w:pPr>
      <w:r>
        <w:rPr>
          <w:rFonts w:ascii="Amiri" w:hAnsi="Amiri" w:eastAsia="Amiri" w:cs="Amiri"/>
          <w:color w:val="111111"/>
          <w:sz w:val="28"/>
          <w:sz w:val="28"/>
          <w:szCs w:val="28"/>
          <w:rtl w:val="true"/>
          <w:lang w:bidi="ar-SA"/>
        </w:rPr>
        <w:t>يرد على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ولكن أدلّة وجوب الوفاء بالعقد لا تقتضي أزيد من وجوب الوفاء بالعقد على خصوص المتعاقدين ولا يدلّ على وجوب الوفاء على غيرهما، فلا تدلّ هذه الأدلّة على وجوب الوفاء والطاعة على الأقلية الذين لم يجري العقد بينهم وبين الإمام </w:t>
      </w:r>
      <w:r>
        <w:rPr>
          <w:rFonts w:eastAsia="Amiri" w:cs="Amiri" w:ascii="Amiri" w:hAnsi="Amiri"/>
          <w:color w:val="111111"/>
          <w:sz w:val="28"/>
          <w:szCs w:val="28"/>
          <w:rtl w:val="true"/>
          <w:lang w:bidi="ar-SA"/>
        </w:rPr>
        <w:t>.</w:t>
      </w:r>
      <w:r>
        <w:rPr>
          <w:rStyle w:val="FootnoteAnchor"/>
          <w:rtl w:val="true"/>
        </w:rPr>
        <w:footnoteReference w:id="34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عنوان العقد المتعارف بين العقلاء على الإمامة والولاية، هو أول الكلام؛ فإن قوام العقود بحسب الحقيقة والماهية بمبادلة ما بين طرفي العقد، فهل يجوز عند العقلاء أن يعقد الإنسان على حرّيته وإرادته ويجعل نفسه مطيعًا وتابعًا لإرادة الغير وتحت قيموميته ولولايته ورقيته؟ فهذا محلّ تأمّل وإشكال؛ بل العقلاءوالعقل يحكمان بعدم صحة عقد الرقية وما شابهه وعقد الإمامة الولاية من هذا القبيل وخارج عن الأمور القابلة للتوكيل والتفويض</w:t>
      </w:r>
      <w:r>
        <w:rPr>
          <w:rFonts w:eastAsia="Amiri" w:cs="Amiri" w:ascii="Amiri" w:hAnsi="Amiri"/>
          <w:color w:val="111111"/>
          <w:sz w:val="28"/>
          <w:szCs w:val="28"/>
          <w:rtl w:val="true"/>
          <w:lang w:bidi="ar-SA"/>
        </w:rPr>
        <w:t xml:space="preserve">. </w:t>
      </w:r>
      <w:bookmarkStart w:id="711" w:name="pg8686_124219"/>
    </w:p>
    <w:p>
      <w:pPr>
        <w:pStyle w:val="BookText"/>
        <w:rPr/>
      </w:pPr>
      <w:bookmarkEnd w:id="711"/>
      <w:r>
        <w:rPr>
          <w:rFonts w:ascii="Amiri" w:hAnsi="Amiri" w:eastAsia="Amiri" w:cs="Amiri"/>
          <w:color w:val="111111"/>
          <w:sz w:val="28"/>
          <w:sz w:val="28"/>
          <w:szCs w:val="28"/>
          <w:rtl w:val="true"/>
          <w:lang w:bidi="ar-SA"/>
        </w:rPr>
        <w:t>ثالثًا تمامية هذا الدليل موقوفةٌ عل التمسك بسيرة العقلاء والقول بأن الإمامة والولاية عقد متعارف بين العقلاء والشارع، يحكم عليه بالصحة والنفاذ، بعموم أدلة الوفاء بالعقود مع أن إثبات هذه السيرة كما مرّ في مناقشة الدليل الأول والثاني محلّ تأمل ومنع، فليس هناك سيرة عقلائية دالّة على تفويض الأمور إلى الوالي والحاكم، بل السيرة الغالبة في تاريخ البشر وفي جميع القبائل والعشائر والامم هو الاستسلام طوعًا أو كرهًا لمن غلب على الأمر بالقهر أو بالوراثة أو بالشيخوخة أو بالثقافة الدارجة فيما بينهم وأما الانتخاب فلا</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2517794_653776707"/>
      <w:bookmarkStart w:id="713" w:name="_Toc273"/>
      <w:bookmarkEnd w:id="712"/>
      <w:r>
        <w:rPr>
          <w:rtl w:val="true"/>
        </w:rPr>
        <w:t>المسألة الخامسة</w:t>
      </w:r>
      <w:r>
        <w:rPr>
          <w:rtl w:val="true"/>
        </w:rPr>
        <w:t xml:space="preserve">: </w:t>
      </w:r>
      <w:r>
        <w:rPr>
          <w:rtl w:val="true"/>
        </w:rPr>
        <w:t xml:space="preserve">دراسة أدلّة الانتخاب </w:t>
      </w:r>
      <w:r>
        <w:rPr>
          <w:rtl w:val="true"/>
        </w:rPr>
        <w:t>(</w:t>
      </w:r>
      <w:r>
        <w:rPr/>
        <w:t>5</w:t>
      </w:r>
      <w:r>
        <w:rPr>
          <w:rtl w:val="true"/>
        </w:rPr>
        <w:t>)</w:t>
      </w:r>
      <w:bookmarkEnd w:id="713"/>
    </w:p>
    <w:p>
      <w:pPr>
        <w:pStyle w:val="Heading5"/>
        <w:numPr>
          <w:ilvl w:val="4"/>
          <w:numId w:val="1"/>
        </w:numPr>
        <w:rPr/>
      </w:pPr>
      <w:bookmarkStart w:id="714" w:name="__RefHeading___Toc2517796_653776707"/>
      <w:bookmarkStart w:id="715" w:name="_Toc274"/>
      <w:bookmarkEnd w:id="714"/>
      <w:r>
        <w:rPr>
          <w:rtl w:val="true"/>
        </w:rPr>
        <w:t>الدليل الخامس</w:t>
      </w:r>
      <w:r>
        <w:rPr>
          <w:rtl w:val="true"/>
        </w:rPr>
        <w:t xml:space="preserve">: </w:t>
      </w:r>
      <w:r>
        <w:rPr>
          <w:rtl w:val="true"/>
        </w:rPr>
        <w:t>عمومات الشورى</w:t>
      </w:r>
      <w:bookmarkEnd w:id="715"/>
    </w:p>
    <w:p>
      <w:pPr>
        <w:pStyle w:val="Heading6"/>
        <w:numPr>
          <w:ilvl w:val="5"/>
          <w:numId w:val="1"/>
        </w:numPr>
        <w:rPr/>
      </w:pPr>
      <w:bookmarkStart w:id="716" w:name="__RefHeading___Toc2517798_653776707"/>
      <w:bookmarkStart w:id="717" w:name="_Toc275"/>
      <w:bookmarkEnd w:id="716"/>
      <w:r>
        <w:rPr>
          <w:rtl w:val="true"/>
        </w:rPr>
        <w:t>أ</w:t>
      </w:r>
      <w:r>
        <w:rPr>
          <w:rtl w:val="true"/>
        </w:rPr>
        <w:t xml:space="preserve">) </w:t>
      </w:r>
      <w:r>
        <w:rPr>
          <w:rtl w:val="true"/>
        </w:rPr>
        <w:t>تقريب الدليل الخامس</w:t>
      </w:r>
      <w:r>
        <w:rPr>
          <w:rtl w:val="true"/>
        </w:rPr>
        <w:t>:</w:t>
      </w:r>
      <w:bookmarkEnd w:id="717"/>
    </w:p>
    <w:p>
      <w:pPr>
        <w:pStyle w:val="BookText"/>
        <w:rPr/>
      </w:pPr>
      <w:r>
        <w:rPr>
          <w:rFonts w:ascii="Amiri" w:hAnsi="Amiri" w:eastAsia="Amiri" w:cs="Amiri"/>
          <w:color w:val="111111"/>
          <w:sz w:val="28"/>
          <w:sz w:val="28"/>
          <w:szCs w:val="28"/>
          <w:rtl w:val="true"/>
          <w:lang w:bidi="ar-SA"/>
        </w:rPr>
        <w:t xml:space="preserve">تمسّك بعض علماء أهل السنّة بأدلّة الشورى لإثبات مشروعية الخلافة بعد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بّان المسلمين استندوا إلى الشورى لتكون أساسًا للخلافة</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ولكن الشيعة وأتباع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ناقشوهم في ذلك بعد التسليم بثبوت النصّ والتنصيب على ولاية أمير المؤمنين والأئمة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بالنسبة إلى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عصر الغيبة فالمستدلّ يدّعي فقد النصّ فتصل النوبة إلى الشورى قهرًا بمقتضي عمومات الشورى،</w:t>
      </w:r>
      <w:r>
        <w:rPr>
          <w:rStyle w:val="FootnoteAnchor"/>
          <w:rtl w:val="true"/>
        </w:rPr>
        <w:footnoteReference w:id="343"/>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شُورَى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جاءكم يريد أن يفرّق الجماعة، ويغصب الأمّة أمرها ويتولّى من غير مشورة فاقتلوه فإنّ الله قد أذن بذلك</w:t>
      </w:r>
      <w:r>
        <w:rPr>
          <w:rFonts w:eastAsia="Amiri" w:cs="Amiri" w:ascii="Amiri" w:hAnsi="Amiri"/>
          <w:color w:val="111111"/>
          <w:sz w:val="28"/>
          <w:szCs w:val="28"/>
          <w:rtl w:val="true"/>
          <w:lang w:bidi="ar-SA"/>
        </w:rPr>
        <w:t>».</w:t>
      </w:r>
      <w:r>
        <w:rPr>
          <w:rStyle w:val="FootnoteAnchor"/>
          <w:rtl w:val="true"/>
        </w:rPr>
        <w:footnoteReference w:id="344"/>
      </w:r>
      <w:bookmarkStart w:id="718" w:name="pg8686_124222"/>
    </w:p>
    <w:p>
      <w:pPr>
        <w:pStyle w:val="BookText"/>
        <w:rPr/>
      </w:pPr>
      <w:bookmarkEnd w:id="718"/>
      <w:r>
        <w:rPr>
          <w:rFonts w:ascii="Amiri" w:hAnsi="Amiri" w:eastAsia="Amiri" w:cs="Amiri"/>
          <w:color w:val="111111"/>
          <w:sz w:val="28"/>
          <w:sz w:val="28"/>
          <w:szCs w:val="28"/>
          <w:rtl w:val="true"/>
          <w:lang w:bidi="ar-SA"/>
        </w:rPr>
        <w:t>وكلمة الأمر في الآية الشريفة وفي الروايات تنصرف إلى الحكومة، أو هي القدر المتيقن منه، فالولاية تنعقد بشورى أهل الخبرة وانتخابهم ويعقبه انتخاب الأمّة قهرًا ولا منافاة بين كون الولاية أمر الله وعهده وبين كونها من أمور الأمة</w:t>
      </w:r>
      <w:r>
        <w:rPr>
          <w:rFonts w:eastAsia="Amiri" w:cs="Amiri" w:ascii="Amiri" w:hAnsi="Amiri"/>
          <w:color w:val="111111"/>
          <w:sz w:val="28"/>
          <w:szCs w:val="28"/>
          <w:rtl w:val="true"/>
          <w:lang w:bidi="ar-SA"/>
        </w:rPr>
        <w:t>.</w:t>
      </w:r>
      <w:r>
        <w:rPr>
          <w:rStyle w:val="FootnoteAnchor"/>
          <w:rtl w:val="true"/>
        </w:rPr>
        <w:footnoteReference w:id="345"/>
      </w:r>
    </w:p>
    <w:p>
      <w:pPr>
        <w:pStyle w:val="Heading6"/>
        <w:numPr>
          <w:ilvl w:val="5"/>
          <w:numId w:val="1"/>
        </w:numPr>
        <w:rPr/>
      </w:pPr>
      <w:bookmarkStart w:id="719" w:name="__RefHeading___Toc2517800_653776707"/>
      <w:bookmarkStart w:id="720" w:name="_Toc276"/>
      <w:bookmarkEnd w:id="719"/>
      <w:r>
        <w:rPr>
          <w:rtl w:val="true"/>
        </w:rPr>
        <w:t>ب</w:t>
      </w:r>
      <w:r>
        <w:rPr>
          <w:rtl w:val="true"/>
        </w:rPr>
        <w:t xml:space="preserve">) </w:t>
      </w:r>
      <w:r>
        <w:rPr>
          <w:rtl w:val="true"/>
        </w:rPr>
        <w:t>تقويم الدليل الخامس</w:t>
      </w:r>
      <w:r>
        <w:rPr>
          <w:rtl w:val="true"/>
        </w:rPr>
        <w:t>:</w:t>
      </w:r>
      <w:bookmarkEnd w:id="72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الأمر وجمعه الأمور مطلق يشمل جميع أمور الناس، ولا اختصاص له ولا انصراف إلى خصوص ولاية أمر الأمّة، إلا إذا كانت هناك قرينة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معنى آخر في مقابل النهي وجمعه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بعيد عن الآية؛ فعلى هذا تدلّ الآية على أن من الصفات المحمودة للمؤمنين كإقامة الصلاة والاستجابة للربّ، اعتناء كلّ منهم بشؤون الآخرين بحيث يستفيد كلّ منهم من التشاور مع غيره؛ ليجمع عقل الناس مع عقله، إلا أنّه بعد المشورة فالأمر بيده،</w:t>
      </w:r>
      <w:r>
        <w:rPr>
          <w:rStyle w:val="FootnoteAnchor"/>
          <w:rtl w:val="true"/>
        </w:rPr>
        <w:footnoteReference w:id="346"/>
      </w:r>
      <w:r>
        <w:rPr>
          <w:rFonts w:ascii="Amiri" w:hAnsi="Amiri" w:eastAsia="Amiri" w:cs="Amiri"/>
          <w:color w:val="111111"/>
          <w:sz w:val="28"/>
          <w:sz w:val="28"/>
          <w:szCs w:val="28"/>
          <w:rtl w:val="true"/>
          <w:lang w:bidi="ar-SA"/>
        </w:rPr>
        <w:t>فلسان الآية كلسان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شَاوِرْهُمْ فِي الْأَمْرِ ۖ فَإِذَا عَزَمْتَ فَتَوَكَّلْ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دلالة الآية بالعموم وشمولها لولاية أمر الأمة؛ ولكن لا شك في خروج الولاية عن هذا العموم لأنّ الولاية لله تعالى، وللمنصوبين من قبله تعالى من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وأمير المؤمنين إلى غيره من الأئمة الهداة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وفي عصر الغيبة الولاية تختص بالإمام الحجة الثاني عشر وليس للناس في ثبوتها شأن أصلًا؛ فإنها تصرّف في شؤون الغير وهو حرام وباطل، كما عليه عقائد طائفة الإمامية، فلا مجالللتمسك بعموم أدلّة الشورى بعد خروج الولاية عن محلها قطعًا، لا في عصر الحضور ولا 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والملاك عند الشك هو التمسك بالأصل في الولاية كما ذكرناه سابقًا في المرحلة الأولى</w:t>
      </w:r>
      <w:r>
        <w:rPr>
          <w:rFonts w:eastAsia="Amiri" w:cs="Amiri" w:ascii="Amiri" w:hAnsi="Amiri"/>
          <w:color w:val="111111"/>
          <w:sz w:val="28"/>
          <w:szCs w:val="28"/>
          <w:rtl w:val="true"/>
          <w:lang w:bidi="ar-SA"/>
        </w:rPr>
        <w:t xml:space="preserve">. </w:t>
      </w:r>
      <w:bookmarkStart w:id="721" w:name="pg8686_124225"/>
    </w:p>
    <w:p>
      <w:pPr>
        <w:pStyle w:val="Heading4"/>
        <w:numPr>
          <w:ilvl w:val="3"/>
          <w:numId w:val="1"/>
        </w:numPr>
        <w:rPr/>
      </w:pPr>
      <w:bookmarkStart w:id="722" w:name="__RefHeading___Toc2517802_653776707"/>
      <w:bookmarkStart w:id="723" w:name="_Toc277"/>
      <w:bookmarkEnd w:id="721"/>
      <w:bookmarkEnd w:id="722"/>
      <w:r>
        <w:rPr>
          <w:rtl w:val="true"/>
        </w:rPr>
        <w:t>المسألة السادسة</w:t>
      </w:r>
      <w:r>
        <w:rPr>
          <w:rtl w:val="true"/>
        </w:rPr>
        <w:t xml:space="preserve">: </w:t>
      </w:r>
      <w:r>
        <w:rPr>
          <w:rtl w:val="true"/>
        </w:rPr>
        <w:t xml:space="preserve">دراسة أدلة الانتخاب </w:t>
      </w:r>
      <w:r>
        <w:rPr>
          <w:rtl w:val="true"/>
        </w:rPr>
        <w:t>(</w:t>
      </w:r>
      <w:r>
        <w:rPr/>
        <w:t>6</w:t>
      </w:r>
      <w:r>
        <w:rPr>
          <w:rtl w:val="true"/>
        </w:rPr>
        <w:t>)</w:t>
      </w:r>
      <w:bookmarkEnd w:id="723"/>
    </w:p>
    <w:p>
      <w:pPr>
        <w:pStyle w:val="Heading5"/>
        <w:numPr>
          <w:ilvl w:val="4"/>
          <w:numId w:val="1"/>
        </w:numPr>
        <w:rPr/>
      </w:pPr>
      <w:bookmarkStart w:id="724" w:name="__RefHeading___Toc2517804_653776707"/>
      <w:bookmarkStart w:id="725" w:name="_Toc278"/>
      <w:bookmarkEnd w:id="724"/>
      <w:r>
        <w:rPr>
          <w:rtl w:val="true"/>
        </w:rPr>
        <w:t>الدليل السادس</w:t>
      </w:r>
      <w:r>
        <w:rPr>
          <w:rtl w:val="true"/>
        </w:rPr>
        <w:t xml:space="preserve">: </w:t>
      </w:r>
      <w:r>
        <w:rPr>
          <w:rtl w:val="true"/>
        </w:rPr>
        <w:t>الروايات الدالّة على انعقاد الولاية بالانتخاب</w:t>
      </w:r>
      <w:bookmarkEnd w:id="725"/>
    </w:p>
    <w:p>
      <w:pPr>
        <w:pStyle w:val="Heading6"/>
        <w:numPr>
          <w:ilvl w:val="5"/>
          <w:numId w:val="1"/>
        </w:numPr>
        <w:rPr/>
      </w:pPr>
      <w:bookmarkStart w:id="726" w:name="__RefHeading___Toc2517806_653776707"/>
      <w:bookmarkStart w:id="727" w:name="_Toc279"/>
      <w:bookmarkEnd w:id="726"/>
      <w:r>
        <w:rPr>
          <w:rtl w:val="true"/>
        </w:rPr>
        <w:t>أ</w:t>
      </w:r>
      <w:r>
        <w:rPr>
          <w:rtl w:val="true"/>
        </w:rPr>
        <w:t xml:space="preserve">) </w:t>
      </w:r>
      <w:r>
        <w:rPr>
          <w:rtl w:val="true"/>
        </w:rPr>
        <w:t>تقريب الدليل السادس</w:t>
      </w:r>
      <w:r>
        <w:rPr>
          <w:rtl w:val="true"/>
        </w:rPr>
        <w:t>:</w:t>
      </w:r>
      <w:bookmarkEnd w:id="727"/>
    </w:p>
    <w:p>
      <w:pPr>
        <w:pStyle w:val="BookText"/>
        <w:rPr/>
      </w:pPr>
      <w:r>
        <w:rPr>
          <w:rFonts w:ascii="Amiri" w:hAnsi="Amiri" w:eastAsia="Amiri" w:cs="Amiri"/>
          <w:color w:val="111111"/>
          <w:sz w:val="28"/>
          <w:sz w:val="28"/>
          <w:szCs w:val="28"/>
          <w:rtl w:val="true"/>
          <w:lang w:bidi="ar-SA"/>
        </w:rPr>
        <w:t>ثمّة روايات كثيرة تدلّ على أن الإمامة والولاية تنعقد وتتحقق بانتخاب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في نهج البلاغة لمّا أرادوا بيعته بعد قتل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تركتموني فأنا كأحدكم ولعلّي أسمعكم وأطوعكم لمن ولّيتموه أمركم، وأنا لكم وزيرًا خير لكم مني أميرًا</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بيعتي لا تكون خفيًا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إلا عن رضي المسلمين</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حين البيعة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ملأ وإذن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أمركم ليس لأحدٍ فيه حقّ إلا من أمّرتم</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الشورى للمهاجرين والأنصار؛ فإذا اجتمعوا على رجل منهم فسمّوه إماما؛ كان ذلك للّه رضى</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في كتاب امير المؤمنين إلى 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عهدًا؛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ولاء أمّتي، فإن ولّوك في عافية وأجمعوا عليك بالرضا فقم بأمرهم، وإن اختلفوا عليك فدعهم وما هم فيه</w:t>
      </w:r>
      <w:r>
        <w:rPr>
          <w:rFonts w:eastAsia="Amiri" w:cs="Amiri" w:ascii="Amiri" w:hAnsi="Amiri"/>
          <w:color w:val="111111"/>
          <w:sz w:val="28"/>
          <w:szCs w:val="28"/>
          <w:rtl w:val="true"/>
          <w:lang w:bidi="ar-SA"/>
        </w:rPr>
        <w:t>».</w:t>
      </w:r>
      <w:r>
        <w:rPr>
          <w:rStyle w:val="FootnoteAnchor"/>
          <w:rtl w:val="true"/>
        </w:rPr>
        <w:footnoteReference w:id="352"/>
      </w:r>
      <w:bookmarkStart w:id="728" w:name="pg8686_124229"/>
    </w:p>
    <w:p>
      <w:pPr>
        <w:pStyle w:val="BookText"/>
        <w:rPr/>
      </w:pPr>
      <w:bookmarkEnd w:id="72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في كتاب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علیّا لمّا مضی لسبیله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ولّاني المسلمون الأمر بعده</w:t>
      </w:r>
      <w:r>
        <w:rPr>
          <w:rFonts w:eastAsia="IRNazanin" w:cs="IRNazanin"/>
          <w:color w:val="111111"/>
          <w:sz w:val="28"/>
          <w:szCs w:val="28"/>
          <w:rtl w:val="true"/>
          <w:lang w:bidi="fa-IR"/>
        </w:rPr>
        <w:t>.... ».</w:t>
      </w:r>
      <w:r>
        <w:rPr>
          <w:rStyle w:val="FootnoteAnchor"/>
          <w:rtl w:val="true"/>
        </w:rPr>
        <w:footnoteReference w:id="35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في كتاب صلح الحسن مع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صالحه على أن يسلّم إليه ولاية أمر المسلمين على أن يعمل فيهم بكتاب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وسيرة الخلفاء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لمعاوية بن أبي سفيان أن يعهد إلى أحد من بعده عهدًا؛ بل يكون الأمر من بعده شورى بين المسلمين</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إلى غير ذلك من الموارد التي يعثر عليها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الغرض هو الاستدلال بكلّ واحد واحد من هذه الأخبار المتفرّقة؛ حتى يناقش في سندها أو دلالتها، بل المقصود أنه يُستفاد من خلال مجموع هذه الأخبار الموثوق بصدور بعضها إجمالاً كون انتخاب الأمة أيضًا طريقًا عقلائيًّا لانعقاد الإمامة والولاية، وقد أمضاه الشارع أيضًا فلا ينحصر الطريق في التنصيب من طرف المقام العالي، وإن تقدّمت رتبته على الانتخاب</w:t>
      </w:r>
      <w:r>
        <w:rPr>
          <w:rFonts w:eastAsia="Amiri" w:cs="Amiri" w:ascii="Amiri" w:hAnsi="Amiri"/>
          <w:color w:val="111111"/>
          <w:sz w:val="28"/>
          <w:szCs w:val="28"/>
          <w:rtl w:val="true"/>
          <w:lang w:bidi="ar-SA"/>
        </w:rPr>
        <w:t>.</w:t>
      </w:r>
      <w:r>
        <w:rPr>
          <w:rStyle w:val="FootnoteAnchor"/>
          <w:rtl w:val="true"/>
        </w:rPr>
        <w:footnoteReference w:id="355"/>
      </w:r>
    </w:p>
    <w:p>
      <w:pPr>
        <w:pStyle w:val="Heading6"/>
        <w:numPr>
          <w:ilvl w:val="5"/>
          <w:numId w:val="1"/>
        </w:numPr>
        <w:rPr/>
      </w:pPr>
      <w:bookmarkStart w:id="729" w:name="__RefHeading___Toc2517808_653776707"/>
      <w:bookmarkStart w:id="730" w:name="_Toc280"/>
      <w:bookmarkEnd w:id="729"/>
      <w:r>
        <w:rPr>
          <w:rtl w:val="true"/>
        </w:rPr>
        <w:t>ب</w:t>
      </w:r>
      <w:r>
        <w:rPr>
          <w:rtl w:val="true"/>
        </w:rPr>
        <w:t xml:space="preserve">) </w:t>
      </w:r>
      <w:r>
        <w:rPr>
          <w:rtl w:val="true"/>
        </w:rPr>
        <w:t>تقويم الدليل السادس</w:t>
      </w:r>
      <w:r>
        <w:rPr>
          <w:rtl w:val="true"/>
        </w:rPr>
        <w:t>:</w:t>
      </w:r>
      <w:bookmarkEnd w:id="73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ريب في أنّ هذه الروايات والأدلة لو سلّمنا الوثوق بصدور بعضها إجمالا؛ ولكن من جهة الدلالة هي قابلة للمناقشة ولا وجه للتمسك بها لإثبات المدّعى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وذلك لأنّ هذه الأدلّة وردت جدلًا في قبال من لم يسلّم الحق ولا يعتقد بأن أمير المؤمنين وابنه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سائر الأئمة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المنصوبون والمنصوص عليهم للإمامة، فلا يمكن التمسك بها لإثبات أنّ الولاية تثبت بانتخاب الناس، وفي مقابلها الأدلة القطعية العقلية النقلية من الكتاب والسنة تدلّ على أن ولاية تنحصر في الله تبارك وتعالى وأنها عهد إلهي لا يثبت لأحد إلّا بنصّه ونصبه كما ثبت للأنبياء والأولياء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bookmarkStart w:id="731" w:name="pg8686_124232"/>
    </w:p>
    <w:p>
      <w:pPr>
        <w:pStyle w:val="BookText"/>
        <w:rPr/>
      </w:pPr>
      <w:bookmarkEnd w:id="731"/>
      <w:r>
        <w:rPr>
          <w:rFonts w:ascii="Amiri" w:hAnsi="Amiri" w:eastAsia="Amiri" w:cs="Amiri"/>
          <w:color w:val="111111"/>
          <w:sz w:val="28"/>
          <w:sz w:val="28"/>
          <w:szCs w:val="28"/>
          <w:rtl w:val="true"/>
          <w:lang w:bidi="ar-SA"/>
        </w:rPr>
        <w:t>فهذه الأدلة بالنسبة إلى مرحلة ثبوت الولاية لأمير المؤمنين وانتخاب الأمّة وبيعة الناس فلا دلالة 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بالنسبة إلى مرحلة إعمال الولاية وتنفيذ الأحكام ومقام تولية الأمور فهي تدلّ،</w:t>
      </w:r>
      <w:r>
        <w:rPr>
          <w:rStyle w:val="FootnoteAnchor"/>
          <w:rtl w:val="true"/>
        </w:rPr>
        <w:footnoteReference w:id="356"/>
      </w:r>
      <w:r>
        <w:rPr>
          <w:rFonts w:ascii="Amiri" w:hAnsi="Amiri" w:eastAsia="Amiri" w:cs="Amiri"/>
          <w:color w:val="111111"/>
          <w:sz w:val="28"/>
          <w:sz w:val="28"/>
          <w:szCs w:val="28"/>
          <w:rtl w:val="true"/>
          <w:lang w:bidi="ar-SA"/>
        </w:rPr>
        <w:t>على أن هذه المرحلة مرهون بحضور الناس ورضاهم بقبول الولاية وتولّي الأمر، وهذا الأمر بيد الأمة ومن حقوق الناس ولهم السلطة على مقدّراتهم ولهم سيادتهم الذاتية، ولهم حريتهم ولكن هذا الحق وهذه الحرية والاختيار الثابتة تكوينًا وتشريعًا تستفاد منها في إطار حدود وقيود خاصة يرسمها العقل والشرع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أمر واضح وثابت في جميع الملل والأقوام والثقافات العقلائية فللإسلام أيضًا حدوده الشرعية وقيودها في إعمالها ولهذا يجب عليهم أن يتولّوا ويبايعوا ويطيعوا من أعطاه الإمامة ونصبه وليًّا على أمر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هذه الأدلّة تدلّ على نفس ما يدلّ عليه قوله في ذيل خطبة 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حضور الحاضر وقيام الحجة بوجود الناصر؛ لألقيت حبلها على 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البحث عنه في الفصل الثاني</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2517810_653776707"/>
      <w:bookmarkStart w:id="733" w:name="_Toc281"/>
      <w:bookmarkEnd w:id="732"/>
      <w:r>
        <w:rPr>
          <w:rtl w:val="true"/>
        </w:rPr>
        <w:t>المسألة السابعة</w:t>
      </w:r>
      <w:r>
        <w:rPr>
          <w:rtl w:val="true"/>
        </w:rPr>
        <w:t xml:space="preserve">: </w:t>
      </w:r>
      <w:r>
        <w:rPr>
          <w:rtl w:val="true"/>
        </w:rPr>
        <w:t xml:space="preserve">دراسة أدلّة الانتخاب </w:t>
      </w:r>
      <w:r>
        <w:rPr>
          <w:rtl w:val="true"/>
        </w:rPr>
        <w:t>(</w:t>
      </w:r>
      <w:r>
        <w:rPr/>
        <w:t>7</w:t>
      </w:r>
      <w:r>
        <w:rPr>
          <w:rtl w:val="true"/>
        </w:rPr>
        <w:t>)</w:t>
      </w:r>
      <w:bookmarkEnd w:id="733"/>
    </w:p>
    <w:p>
      <w:pPr>
        <w:pStyle w:val="Heading5"/>
        <w:numPr>
          <w:ilvl w:val="4"/>
          <w:numId w:val="1"/>
        </w:numPr>
        <w:rPr/>
      </w:pPr>
      <w:bookmarkStart w:id="734" w:name="__RefHeading___Toc2517812_653776707"/>
      <w:bookmarkStart w:id="735" w:name="_Toc282"/>
      <w:bookmarkEnd w:id="734"/>
      <w:r>
        <w:rPr>
          <w:rtl w:val="true"/>
        </w:rPr>
        <w:t>الدليل السابع</w:t>
      </w:r>
      <w:r>
        <w:rPr>
          <w:rtl w:val="true"/>
        </w:rPr>
        <w:t xml:space="preserve">: </w:t>
      </w:r>
      <w:r>
        <w:rPr>
          <w:rtl w:val="true"/>
        </w:rPr>
        <w:t>أدلّة البيعة</w:t>
      </w:r>
      <w:bookmarkEnd w:id="735"/>
    </w:p>
    <w:p>
      <w:pPr>
        <w:pStyle w:val="Heading6"/>
        <w:numPr>
          <w:ilvl w:val="5"/>
          <w:numId w:val="1"/>
        </w:numPr>
        <w:rPr/>
      </w:pPr>
      <w:bookmarkStart w:id="736" w:name="__RefHeading___Toc2517814_653776707"/>
      <w:bookmarkStart w:id="737" w:name="_Toc283"/>
      <w:bookmarkEnd w:id="736"/>
      <w:r>
        <w:rPr>
          <w:rtl w:val="true"/>
        </w:rPr>
        <w:t>أ</w:t>
      </w:r>
      <w:r>
        <w:rPr>
          <w:rtl w:val="true"/>
        </w:rPr>
        <w:t xml:space="preserve">) </w:t>
      </w:r>
      <w:r>
        <w:rPr>
          <w:rtl w:val="true"/>
        </w:rPr>
        <w:t>تقريب الدليل السابع</w:t>
      </w:r>
      <w:r>
        <w:rPr>
          <w:rtl w:val="true"/>
        </w:rPr>
        <w:t>:</w:t>
      </w:r>
      <w:bookmarkEnd w:id="737"/>
    </w:p>
    <w:p>
      <w:pPr>
        <w:pStyle w:val="BookText"/>
        <w:rPr/>
      </w:pPr>
      <w:r>
        <w:rPr>
          <w:rFonts w:ascii="Amiri" w:hAnsi="Amiri" w:eastAsia="Amiri" w:cs="Amiri"/>
          <w:color w:val="111111"/>
          <w:sz w:val="28"/>
          <w:sz w:val="28"/>
          <w:szCs w:val="28"/>
          <w:rtl w:val="true"/>
          <w:lang w:bidi="ar-SA"/>
        </w:rPr>
        <w:t>ثمة آيات وأخبار كثيرة تدلّ بظاهرها على أن البيعة من طرق إنشاء الولاية وعقدها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سنشير في المقام أوّلًا إلى بعضهان وثانيًا نبحث في ماهيتها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 ۚ فَمَنْ</w:t>
      </w:r>
    </w:p>
    <w:p>
      <w:pPr>
        <w:pStyle w:val="BookText"/>
        <w:rPr/>
      </w:pPr>
      <w:r>
        <w:rPr>
          <w:rFonts w:ascii="Amiri" w:hAnsi="Amiri" w:eastAsia="Amiri" w:cs="Amiri"/>
          <w:color w:val="111111"/>
          <w:sz w:val="28"/>
          <w:sz w:val="28"/>
          <w:szCs w:val="28"/>
          <w:rtl w:val="true"/>
          <w:lang w:bidi="ar-SA"/>
        </w:rPr>
        <w:t xml:space="preserve">نَكَثَ فَإِنَّمَا يَنْكُثُ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والآية تدلّ على أن البيعة بطبيعتها تحتمل كلًّا من الوفاء والنكث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يُبَايِعُونَكَ تَحْتَ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إِذَا جَاءَكَ الْمُؤْمِنَاتُ يُبَايِعْنَكَ عَلَىٰ أَنْ لَا يُشْرِكْنَ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فَبَايِعْهُنَّ وَاسْتَغْفِرْ لَهُنَّ اللَّهَ ۖ 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الممتحنة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في نهج البلاغة وإرشاد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إنكم بايعتموني على ما بويع عليه من كان قبلي، وإنما الخيار للنّاس قبل أن يبايعوا فإذا بايعوا فلا خيار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على الإمام الاستقامة وعلى الرّعيّة التسليم، وهذه بيعة عامّة، من رغب عنها رغب عن دين الإسلام واتّبع غير سبيل أهله، ولم تكن بيعتكم إياي فلتة</w:t>
      </w:r>
      <w:r>
        <w:rPr>
          <w:rFonts w:eastAsia="Amiri" w:cs="Amiri" w:ascii="Amiri" w:hAnsi="Amiri"/>
          <w:color w:val="111111"/>
          <w:sz w:val="28"/>
          <w:szCs w:val="28"/>
          <w:rtl w:val="true"/>
          <w:lang w:bidi="ar-SA"/>
        </w:rPr>
        <w:t>».</w:t>
      </w:r>
      <w:r>
        <w:rPr>
          <w:rStyle w:val="FootnoteAnchor"/>
        </w:rPr>
        <w:footnoteReference w:id="35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في نهج البلاغة أيضًا في كتابه إلى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بايعني القوم الذين بايعوا أبا بكر وعمر وعثمان على ما بايعوهم عليه فلم يكن للشاهد أن يختار ولا للغائب أن يردّ</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في بيعة 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قبض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عبد الله بن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هذا ابن نبيكم ووصي إمامكم فبايعوه، فاستجاب له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أحبّه إلينا وأوجب حقّه علينا وبادروا بالبيعة له بالخلافة</w:t>
      </w:r>
      <w:r>
        <w:rPr>
          <w:rFonts w:eastAsia="IRNazanin" w:cs="IRNazanin"/>
          <w:color w:val="111111"/>
          <w:sz w:val="28"/>
          <w:szCs w:val="28"/>
          <w:rtl w:val="true"/>
          <w:lang w:bidi="fa-IR"/>
        </w:rPr>
        <w:t>.</w:t>
      </w:r>
      <w:r>
        <w:rPr>
          <w:rStyle w:val="FootnoteAnchor"/>
          <w:rtl w:val="true"/>
        </w:rPr>
        <w:footnoteReference w:id="35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في خبر أبي بصير عن أبي جعفر في أمر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فوالله لكأنّي </w:t>
      </w:r>
      <w:bookmarkStart w:id="738" w:name="pg8686_124236"/>
    </w:p>
    <w:p>
      <w:pPr>
        <w:pStyle w:val="BookText"/>
        <w:rPr/>
      </w:pPr>
      <w:bookmarkEnd w:id="738"/>
      <w:r>
        <w:rPr>
          <w:rFonts w:ascii="Amiri" w:hAnsi="Amiri" w:eastAsia="Amiri" w:cs="Amiri"/>
          <w:color w:val="111111"/>
          <w:sz w:val="28"/>
          <w:sz w:val="28"/>
          <w:szCs w:val="28"/>
          <w:rtl w:val="true"/>
          <w:lang w:bidi="ar-SA"/>
        </w:rPr>
        <w:t>أنظر إليه بين الركن والمقام يبايع الناس بأمر جديد وكتاب جديد وسلطان جديد من السماء</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إلى غير ذلك مما ورد في بيعة العقبة الأولى والثانية وبيعة أهل الكوفة لمسلم بن عقيل وبيعة المأمون لعلي بن موسى الرضا بولاية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ثانيًا فمن جهة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البيع والبيعة، مصدران لباع وحقيقتهما واحدة والذي ينسبق إلى الذهن في ماهية البيعة أنها كانت وسيلة لإنشاء الولاية بعد ما تحققت المقاولة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إن هناك طريقان لانعقاد الإمامة بنصب الله ونصب الأمّة</w:t>
      </w:r>
      <w:r>
        <w:rPr>
          <w:rFonts w:eastAsia="Amiri" w:cs="Amiri" w:ascii="Amiri" w:hAnsi="Amiri"/>
          <w:color w:val="111111"/>
          <w:sz w:val="28"/>
          <w:szCs w:val="28"/>
          <w:rtl w:val="true"/>
          <w:lang w:bidi="ar-SA"/>
        </w:rPr>
        <w:t>.</w:t>
      </w:r>
      <w:r>
        <w:rPr>
          <w:rStyle w:val="FootnoteAnchor"/>
          <w:rtl w:val="true"/>
        </w:rPr>
        <w:footnoteReference w:id="361"/>
      </w:r>
    </w:p>
    <w:p>
      <w:pPr>
        <w:pStyle w:val="Heading6"/>
        <w:numPr>
          <w:ilvl w:val="5"/>
          <w:numId w:val="1"/>
        </w:numPr>
        <w:rPr/>
      </w:pPr>
      <w:bookmarkStart w:id="739" w:name="__RefHeading___Toc2517816_653776707"/>
      <w:bookmarkStart w:id="740" w:name="_Toc284"/>
      <w:bookmarkEnd w:id="739"/>
      <w:r>
        <w:rPr>
          <w:rtl w:val="true"/>
        </w:rPr>
        <w:t>ب</w:t>
      </w:r>
      <w:r>
        <w:rPr>
          <w:rtl w:val="true"/>
        </w:rPr>
        <w:t xml:space="preserve">) </w:t>
      </w:r>
      <w:r>
        <w:rPr>
          <w:rtl w:val="true"/>
        </w:rPr>
        <w:t>تقويم الدليل السابع</w:t>
      </w:r>
      <w:r>
        <w:rPr>
          <w:rtl w:val="true"/>
        </w:rPr>
        <w:t>:</w:t>
      </w:r>
      <w:bookmarkEnd w:id="740"/>
    </w:p>
    <w:p>
      <w:pPr>
        <w:pStyle w:val="BookText"/>
        <w:rPr/>
      </w:pPr>
      <w:r>
        <w:rPr>
          <w:rFonts w:ascii="Amiri" w:hAnsi="Amiri" w:eastAsia="Amiri" w:cs="Amiri"/>
          <w:color w:val="111111"/>
          <w:sz w:val="28"/>
          <w:sz w:val="28"/>
          <w:szCs w:val="28"/>
          <w:rtl w:val="true"/>
          <w:lang w:bidi="ar-SA"/>
        </w:rPr>
        <w:t>إنّ دراسة أدلة البيعة ومناقشتها بحاجة إلى مقال وتأليف على حدة؛ ولكن في هذا المجال مختصرًا لا بدّ من أن نشير إلى أن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الماهية فإنّها أمر إنشائي ويدل على هذا اشتراكها اللغوي مع عقد البيع؛ ولكن المنشأ بالبيعة، ليس أصل الولاية؛ بل المنشأ بها الإعلان عن الوفاء والطاعة والقبول للولاية، أو للعهد أو تجديد العهد أو بعض الأمور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بيعة النساء ويدلّ على ذلك ما هو معروف من مصاديق البيعة، كبيعة العقبة وبيعة الرضوان للرسول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وبيعة أبي بكر وبيعة عمر وبيعة عثمان وبيعة أمير المؤمنين وغير ذلك من أقسام البيعة؛ فإن حقيقة هذه البِيعات ما كانت مختلفة وإن كان موردها ومتعلقها قد يختلف من مصداق إلى مصداق؛ ولكن كلها مشتركة في حقيقة واحدة وهي إنشاء الوفاء والإعلام عن الطاعة والقبول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تدل عليه الأدلة الكثيرة القطعية والمتواترة من العقل والآيات القرآنية والروايات المتعدّدة، إن ولاية 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p>
    <w:p>
      <w:pPr>
        <w:pStyle w:val="BookText"/>
        <w:rPr/>
      </w:pPr>
      <w:r>
        <w:rPr>
          <w:rFonts w:ascii="Amiri" w:hAnsi="Amiri" w:eastAsia="Amiri" w:cs="Amiri"/>
          <w:color w:val="111111"/>
          <w:sz w:val="28"/>
          <w:sz w:val="28"/>
          <w:szCs w:val="28"/>
          <w:rtl w:val="true"/>
          <w:lang w:bidi="ar-SA"/>
        </w:rPr>
        <w:t xml:space="preserve">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بالتنصيب من الله ونصّه على ذلك ولا ريب في أنّ مقتضى هذه الأدلة أن الولاية بالفعل ثابتة لهم من الله تعالى وان تنصيبه لهم هو تمام الموضوع لهذا الاعتبار، لم يشترط ثبوتها لهم بأمر آخر أصلا كالبيعة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لوازم جعل هذه الولاية لهم أنه يجب اتّباعهم وطاعتهم، وكما إن البيعة ليست شرطًا في أصل ثبوت منصب الولاية، فكذلك ليست هي شرطًا في وجوب الطاعة والتبعية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فلايبقيى لإنشاءالبيعة شيء إلا أمرآخر، وهو أنّ بيعة الناس إعلان وإظهار الاستعداد لامتثال أوامر 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هذه البيعة أن ولي الأمر بعون حضور المبايعين يستطيع ويتمكّن من إقامة النظام؛ ومن تحقيق متعلّق البيعة بما يراه مصلحة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وبالحقيقة ما هو أثر إنشاء البيعة، وهو من العناوين الإنشائية، هو التمكّن والفعلية وحصول القدرة والسلطة والسيطرة بالفعل على تنفيذ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يشير إلى هذا العنوان آخر الخطبة الشقشقية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حضور الحاضر وقيام الحجّة بوجود الناصر، وما أخذ الله على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لألقيت حبلها على غاربها</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فهذا الحديث المبارك يتضمّن أمرين مهمّين في مسألة إقامة الدولة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الحاضر الذي بوجوده ونصرته تقوم الحجّة على ولي الأمر، فهذا الحضور يوجب حصول القدرة له على تحقيق الأهداف وتنفيذ الأحكام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الله على العلماء أن لا يقارّوا على كظّة ظالم ولا سغب 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فكظة الظالم كناية عن امتلاء جوفه من المظالم التي ظلم بها المظلومين، وسغب المظلوم إشارة إلى شدّة جوع المظلوم والانكسار الذي </w:t>
      </w:r>
    </w:p>
    <w:p>
      <w:pPr>
        <w:pStyle w:val="BookText"/>
        <w:rPr/>
      </w:pPr>
      <w:r>
        <w:rPr>
          <w:rFonts w:ascii="Amiri" w:hAnsi="Amiri" w:eastAsia="Amiri" w:cs="Amiri"/>
          <w:color w:val="111111"/>
          <w:sz w:val="28"/>
          <w:sz w:val="28"/>
          <w:szCs w:val="28"/>
          <w:rtl w:val="true"/>
          <w:lang w:bidi="ar-SA"/>
        </w:rPr>
        <w:t>يعتريه بظلم الظالم، فهذاعهد إلهي</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العلماءكافّة وفي</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صدرهم</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بالأصالة وسائر العلماء والفقهاء بالتبع أن لا يكون لهم قرار وسكون وجلوس في قبال أكل الظالمين وسلب حق المظلومين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العهد الإلهيّ المعبّر عنه بالتنصيب وتلك السلطة المحقّقة بالبيعة إذا اجتمعتا تقوم الحجة ويتم التكليف على العالم ووجوب القيام عليه بإعمال الولاية</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فالبيعة ليست شرطًا في إنشاء الولاية ولا دخيلًا في وجوب الطاعة، بل هي ذات أثر في إعلان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البيعة يعرف المطيع عن العاصي ويميز الوفي عن غيره، وفائدته أن المبايع بعد إنشاء البيعة طائعًا أو كارهًا ليس له الرجوع ونقض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البيعة من جهة تعدّ من حقوق الناس، جعلها الله لهم وأقرّتها 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حقّ البيعة على حرية الناس وسيادة الشعب من السلطة على أمورهم ومقدّراتهم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الوقت نفسه، ومن جهة أخرى إنّ إنشاء البيعة وعقدها مقيّدٌ بأحكام تشريعية خاصّة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جهةٍ، يحرم إنشاء البيعة وإعلان الوفاء وقبول التولية لأهل الظلم والمساعدة على الجور وإقامة دولة الغاصبين والجائرين، فإنّ العقل والنقل قد تضافرا على النهي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أخرى، يجب إنشاء البيعة وإعلان الوفاء وقبول ولاية إمام العدل وإقامة دولة الحقّ التي يرأسها الأنبياء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المنصوبون من قبل الله تعالى لولاية أمر الناس، ثم بعد تحقق البيعة وإنشاء عقدها، فالبيعة تكشف عن تمام الحجّة للإمام وللناس فعلى الإمام القيام بوظائفته بإقامة الحدود والأحكام، وعلى الناس بعد البيعةالالتزام بمضمونها وعدم نكثها</w:t>
      </w:r>
      <w:r>
        <w:rPr>
          <w:rFonts w:eastAsia="Amiri" w:cs="Amiri" w:ascii="Amiri" w:hAnsi="Amiri"/>
          <w:color w:val="111111"/>
          <w:sz w:val="28"/>
          <w:szCs w:val="28"/>
          <w:rtl w:val="true"/>
          <w:lang w:bidi="ar-SA"/>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هنا، يتمّ الكلام عن مسائل هام حول فقه الدولة وأحكامها الأساس المهمة وإن كان هناك مسائل أخرى كثيرةٌ بحاجة إلى دراستها نوكلها إلى فرصة أخرى ونسأل الله التوفيق وحسن العاقبة</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1" w:name="pg8686_124252"/>
      <w:bookmarkStart w:id="742" w:name="pg8686_124252"/>
      <w:bookmarkEnd w:id="742"/>
    </w:p>
    <w:p>
      <w:pPr>
        <w:pStyle w:val="Heading2"/>
        <w:numPr>
          <w:ilvl w:val="1"/>
          <w:numId w:val="1"/>
        </w:numPr>
        <w:rPr/>
      </w:pPr>
      <w:bookmarkStart w:id="743" w:name="pg8686_124252"/>
      <w:bookmarkStart w:id="744" w:name="__RefHeading___Toc2517818_653776707"/>
      <w:bookmarkStart w:id="745" w:name="_Toc285"/>
      <w:bookmarkEnd w:id="743"/>
      <w:bookmarkEnd w:id="744"/>
      <w:r>
        <w:rPr>
          <w:rtl w:val="true"/>
        </w:rPr>
        <w:t>الخاتمة</w:t>
      </w:r>
      <w:bookmarkEnd w:id="745"/>
    </w:p>
    <w:p>
      <w:pPr>
        <w:pStyle w:val="BookText"/>
        <w:rPr/>
      </w:pPr>
      <w:r>
        <w:rPr>
          <w:rFonts w:ascii="Amiri" w:hAnsi="Amiri" w:eastAsia="Amiri" w:cs="Amiri"/>
          <w:color w:val="111111"/>
          <w:sz w:val="28"/>
          <w:sz w:val="28"/>
          <w:szCs w:val="28"/>
          <w:rtl w:val="true"/>
          <w:lang w:bidi="ar-SA"/>
        </w:rPr>
        <w:t>يمكن تلخيص حصيلة ما انتهينا إليه في هذه الأبحاث في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المستفادة من المرحلة الأولى للبحث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فقه الدولة هو العلم بالأحكام الشرعية الفرعية من أدلتها التفصيلية الخاصّة بأمر الدولة ونظام الحكم أو المرتبطة بها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نظر إلى الفقه كعلم بُني وأُسّس لإدارة المجتمع وتنظيم الأمور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قد يسمّي بالفقه الحكومي أو الفقه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الفقه الفردي، فعلى حسب هذه الرؤية تكون لجميع الأبواب الفقهية صلةٌ بالحكومة والدولة، وعلى عاتقها مسؤولية تنفيذ الأحكام الشرعية كبرمجة لإدارة المجتمع وفقًا لمعاييرها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حسب هذه الرؤية ثمّة مزجٌ خاصٌّ بين الفقه والدولة إلى درجة أنّه لا يمكن انفكاك أحدهما عن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الدولة مبادئه العامة المشتركة مع سائر الأبواب الفقهية ومبادئه الخاصّة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هذه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استغناء المجتمع عن الدولة والسلطة والحكم، وأن الولاية والسلطة على النفوس والأموال والأمر والنهي خاصّة بالله تبارك وتعالى، فتنحصر وتختصّ به؛ وبمن أُذن لهم من الأنبياء والأولياء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والملاك في مشروعية الدولة هو الدخول في إطار الإذن الإلهي وفي دائرة الربوبية التشريعية الإلهية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الولاية أن لا ولاية لأحد بعد الله تعالى على أحدٍ لتساويهم في العبودية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الأصل لا يحسب من الأصول العملية، ولا يدخل في الأمارات الكاشفة عن الرأي الشرعي المنعكس في الكتاب والسنة؛ بل هذا الأصل مستند إلى حكم العقل الفطري بضرورة انحصار الولاية بالله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الضرورية عند كافّة المسلمين والثابتة في الكتاب والسنة وسيرة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إقامة الدولة وتأسيس نظام الحكم جزء من الإسلام، وأن الزعامةالسياسية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زعامته الدينية وأنهما معًا تهدفان لعمارة الدنيا وعمارة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كان رسول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وزعيمًا للدعوة الدينية كذلك كان إماما وزعيمًا لتنفيذ دعوته ورسالته وإقامة الحكم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الإجماعات المتفق عليها بين الخاصّة والعامّة هو ضرورة بقاء الدولة والنظام السياسي التي أسسه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بعد وفاته وعروجه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هناك خلاف شاسع بين أهل السنّة وبين الإمامية في كيفية بقاء الدولة واستمرار النظام السياسي المؤسّس بيد النبي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السنّة ذهبوا إلى أن نصب الإمام واجب شرعي على الأمّة وأن من شروطها الاجتهاد وهي تثبت ببيعة الناس وأهل الحلّ والعقد؛ ولكن الإمامية خالفوهم في جميع ذلك فعلى رأيهم أنّ نصب الإمام واجب على الله تعالى ومن شروطها العصمة وأنها تثبت بالنصّ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حسب معتقدهم تكون الإمامة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بالأئمة الاثني عشر المعصومين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طائفة من الأدلة العقلية والنقلية تدلّ على ضرورة استمرار النظام السياسي للإسلام ووجوب تأسيس الدولة الإسلامية في زمن قبض يد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الأدلة العقلية التي أقامها السيد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التأمل في التشريعات الإسلامية بطبيعتها، ومنها </w:t>
      </w:r>
    </w:p>
    <w:p>
      <w:pPr>
        <w:pStyle w:val="BookText"/>
        <w:rPr/>
      </w:pPr>
      <w:r>
        <w:rPr>
          <w:rFonts w:ascii="Amiri" w:hAnsi="Amiri" w:eastAsia="Amiri" w:cs="Amiri"/>
          <w:color w:val="111111"/>
          <w:sz w:val="28"/>
          <w:sz w:val="28"/>
          <w:szCs w:val="28"/>
          <w:rtl w:val="true"/>
          <w:lang w:bidi="ar-SA"/>
        </w:rPr>
        <w:t>ضرورة حفظ النظام وحرمة الإخلال به ومنها ضرورة حفظ ثغور المسلمين من خطر المعتدين وهجوم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الأدلة النقلية والأخبار الدّالة على جعل كل ما يحتاج إليه العباد ومنها رواية الفضل بن شاذان الشارحة لفلسفة جعل الإمامة وعلّة تشريعها، ومنها الخطبة الفدكية للصديقة الكبرى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ومنها كلام أمير المؤمنين ردًّا على شعار الخوارج وقولهم لا حكم إلا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بعض الأدلة النقلية ربّما توهم معارضتها للأدلّة الدالّة على ضرورة إقامة الحكم الإسلام كالأخبار الدالة على لزوم السكون وعدم التحرك والروايات الدالّة على حرمة رفع الراية قبل الظهور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العمومات على تقدير تسليمهايجب رفع اليد عن عمومها لأجل الأدلة المخصّصة والمقيدة لها من القرائن العقلية والنقلية، فهي مختصّة بمي يدّعي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الرّاية إن كان للدعوة إلى النفس والمطامع الدنيوية والشهوات واللذات المادية فصاحبها طاغوت لا يصغى إليه واما إن كان لإقامة الحكم الإسلامي وكان الرافع لها لا يرى لنفسه إمامة من الله بل يرى نفسه تابعاً لولاية الأولياء فهو ليس طاغوتا، فإقامة الحكم الإسلامي مشروع وضروري بالأدلة العقلية والنقلية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المستفادة والمستخرجة من المرحلة الثانية للبحث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الشروط المعتبرة لولاية أمر الأمة في عصر الغيبة هو القدرة العلمية اللازمة على الإفتاء في مختلف الأبواب المعبّر عنها بالفقاهة والاجتهاد المطلق لعدم مشروعية ولاية الجاهل عقلاً ولما ثبت في بناء العقلاء وسيرتهم من إيكال أمورهم المهمّة إلى الخبير العالم بالأمر وتدلّ عليه أيضًا آيات من الذكر الحكيم والروايات الكثيرة المروية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الأعلمية المعتبرة في ولي الأمر هي الأعلمية الشاملة والكاملة لاستنباط الحكم الكلي الشرعي الحاصل من قوّة الاجتهاد وملكته والتضلّع في العلوم الرسمية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الدراية الخاصّة بحقيقة الإسلام وروحه السارية </w:t>
      </w:r>
    </w:p>
    <w:p>
      <w:pPr>
        <w:pStyle w:val="BookText"/>
        <w:rPr/>
      </w:pPr>
      <w:r>
        <w:rPr>
          <w:rFonts w:ascii="Amiri" w:hAnsi="Amiri" w:eastAsia="Amiri" w:cs="Amiri"/>
          <w:color w:val="111111"/>
          <w:sz w:val="28"/>
          <w:sz w:val="28"/>
          <w:szCs w:val="28"/>
          <w:rtl w:val="true"/>
          <w:lang w:bidi="ar-SA"/>
        </w:rPr>
        <w:t xml:space="preserve">في جميع الأحكام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بالإضافة للإحاطة بالعلوم الرسمية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الحاصلة من دراسة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حينما كان الحكم بأيديهم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المسائل الفكرية والثقافية المعاصرة وخاصة ما يرتبط بالقانون والحقوق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 العلمية بسائر المعارف الإسلامية من الكلام والعقيدة والتاريخ والتفسير والحديث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موضوعات الأحكام وكيفية تطبيقها على الموارد والمصاديق ولما تقتضيه المصالح العامّة للإسلام والمسلمين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 من الشروط المعتبرة لولاية أمر الأمّة في عصر الغيبة هو العدالة الثابتة بحكم العقل والنقل وبإجماع الخاصّة والعامّة عليه فلا يجوز الركون إلى الظالمين ولا إطاعة الآثم المتلبس بالمعاصي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دين لم دان الله بولاية إمام جائرٍ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العادل هو المستقيم الذي لا يميل شمالاً ولا جنوباً وله الاستقامة الدائمة المطلقة في الإيمان بالله وسلوك طريق الآخرة فهي ملكة أو هيئة نفسانية راسخة باعثة على فعل الواجبات وترك المحرمات ولا يخفى إن المعتبر من ملكة العدالة هو الحال المتعارف في أفراد الناس بحسب الرؤية العرفية لابالدقّة العقلية التي لاتنفك عن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فالمعيار هو أدني مراتب الملكة الذي يقتضي عادة ملازمة الواجبات وترك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والتقوى المطلوب لقيادة الأمّة الإسلامية تختلف عن العدالة اللازمة لإمامة الجماعة ونحوها وذلك لخطورة هذا المنصب التي لايتحملها كل أحد ما لم تبلغ درجةً من الثقة النفسية؛ فالعدالة المعتبرة لولاية الأمر هي العدالة في أعلى درجتها التي تتلوها العصمة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المهمّة في عدالة ولي الأمر هو اعتبار عدم إقباله على الدنيا والحرص عليها وإن كان قد لا ينافي العدالة المعتبرة في إمامة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على أئمة العدل أن يقدّروا أنفسهم بضعفاء الناس كي يتبيّغ بالفقير ولا يهيج به فقره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 من الشروط المعتبرة في ولي الأمر والحاكم في عصر الغيبة هو الكفاءة وحسن الولاية والمراد به أن يكون له الكفاءة للقيادة والجدارة والأهلية اللازمة للقيام بأعمال الولاية والقوّة والقدرة اللازمة للإدارة المجتمع الإسلامي واعتبار هذا الوصف من الأمور الواضحة عقلاً وعقلائيا، لقبح تفويض الأمور إلى من ليس له المؤهلات اللازمة من القدرة والكفاية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عدة آيات وروايات تدلّ على اعتبار هذا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المستفادة والمستخرجة من المرحلة الثالثة للبحث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كافّة المذاهب الإسلامية على إن الإمامة والولاية تنعقد عن طريق النصّ والنصب الإلهي غير أنّ الإمامية ذهبوا إلى إن هذا هو الطريق الوحيد للانعقاد الإمامة، وامّا المذاهب الأخرى فتعتقد إن الطريق لا ينحصر بالنصب بل بالبيعةوالانتخاب أو بالاستخلاف أو بالقهر والغلبة ونحوها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المقتضي الأدلّة المذكورة في الكتاب والسنة والأصول والقواعد المبيّنة في علم الكلام هو الأول دون الثاني هذا بالنسبة إلى عصر الحضور وبسط يد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المجمع عليه عند الإمامية، المصرّح به في كلمات أساطين الفقاهة الإمامية كالشيخ المفيد وأبي الصلاح الحلبي والمحقق الكركي والفاضل النراقي وصاحب الجواهر والمحقق البروجردي والسيد الخميني</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أنّ الولاية للفقيه في عصر الغيبة وقبض يد الإمام تثبت بالنص والنصب له ويدلّ على ذلك بعد الإجماع الأدلّة المختلفة من العقل والسيرة ومؤسسة الوكالة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على ذلك عدّة من الأدلّة النقلية أيضًا كمقبولة عمر بن حنظلة والتوقيع الشريف</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الأدلّة العقلية والنقلية يظهر أن الفقيه المتصف بالعدالة والكفاءة وسائر الشروط اللازمة لولاية الأمر دوره دور الرسالي والقيادي في حياة المجتمع نيابة عن الإمام الأصيل، وهو منصوب بالنصب العامّ لهذه المهمّة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التسليم والقول بعدم تمامية أدلة النصب العام فنقول أنّ إدارة المجتمع وتولية أمور المسلمين من الأمور الحسبية بل من أهمها وفي صدر قائمتها والفقيه هو القدر المتيقّن لجواز التصرف فيه بنفسه أو وكيله كما ذهب اليه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بأن النصب العام للفقهاء في عصر الغيبة قابل للخدش ثبوتاً فلا تصل النوبة إلى البحث عنه إثباتا نعم يصح ترشيحهم لذلك من قبل الشارع حتى لا تحوم الأمّة حول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عدّة نظريات اختيرت لحلّ الإشكال كنظرية شورى الفقهاء ونظرية التخيير الجمعي ونظرية التزاحم ونظريات أخرى لا يخلو كلّ منها من إشكالات وأسئلة ترد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النصب العام لا يواجه أي إشكال ثبوتاً بحسب مقام الجعل والتشريع، نعم في مقام إعمال الولاية والتنفيذ إذا تعدّد الفقهاء الواجدون للشروط، وأراد الجميع أن يتصدى للحكم وإعمال الحاكمية فهذا قد يوجب الفوضى واختلالالنظام وهو حرام شرعاً، وعلى هذا بما أنّ ممارسة الحكم والتصدي لأعمال السلطة من الواجبات الكفائية وهذا الوجوب مقيد بعدم كونه موجباً لاختلال النظام؛ فتحقق الأرضية المناسبة المساعدة لتولية الأمر؛ لوجوب إقامة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الأرضية المناسبة تحصل بحضور الحاضر وبيعة الناس وقيام الحجة بوجود الناصر فإذا تمّ حضور الحاضر بالنسبة إلى فقيه فهو يبادر لإقامة الحكم وإعمال الولاية دون غيره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حضور الحاضر وبيعة الشعب لا تقوم الحجة على الولي المنصوب ولا يتحقق شرط وجوب القيام لإقامة الحكم وبسط العدالة وهذه قضية مطلقة دائمة ولا تستثنى أي دولة من الدول العادلة الحقة منها سواء كانت دولة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كدولة يوسف وموسى وداوود وسليمان أو كانت دولة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دولة الإمام علي أو دولة الفقيه في عصر الغيبة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الدولة متعلّقة بغير المعصوم كالفقيه في عصر الغيبة فحضور </w:t>
      </w:r>
    </w:p>
    <w:p>
      <w:pPr>
        <w:pStyle w:val="BookText"/>
        <w:rPr/>
      </w:pPr>
      <w:r>
        <w:rPr>
          <w:rFonts w:ascii="Amiri" w:hAnsi="Amiri" w:eastAsia="Amiri" w:cs="Amiri"/>
          <w:color w:val="111111"/>
          <w:sz w:val="28"/>
          <w:sz w:val="28"/>
          <w:szCs w:val="28"/>
          <w:rtl w:val="true"/>
          <w:lang w:bidi="ar-SA"/>
        </w:rPr>
        <w:t xml:space="preserve">الشعب وبيعتهم ونصرتهم مشروط بتمييز الفقيه الواجد للشروط عن غيره وتشخيصه من بين الآخرين، وحينئذ بعد رجوعهم إلى الخبرة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لم يكونوا من أهلها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وبعد التفحص والتشخيص؛ فإن كان هناك شخص واحد واجد للشروط فيجب عليهم الطاعة والبيعة والنصرة له وامّا إن كان الواجد للشروط متعدّداً فالمتّبع هو حكم العقل وسيرة العقلاء من اختيار أحدهم إن لم يكن هناك مرجّح، والّا يختار من يثبت له المرجّحات كأن يكون أعلماً وأورعا واكفأً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للشعب سيادته وحقه للانتخاب وفي طريق استيفاء هذا الحق؛ عليه أن يبحث ويفحص عن الولي الجامع للشروط وذلك بالرجوع إلى أهل الخبرة وتعيينهم وكيلاً ونائبا عنهم لتشخيص الشخص الصالح للولاية وانتخابه وإعلانه ولياً وقائداً لتولية أمر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زعمه بعضهم بعد تسليم الشبهة الوارد على النصب العام من اللجوء إلى نظرية الانتخاب والقول بأن الفقيه غير منصوب للولاية فعلاً بل له الأهلية فقط وإنما تنعقد ولايته بانتخاب الأمّة؛ هو زعم لا يمكن الموافقة عليه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أثبتناه من أنّ النصب العام ممكن ثبوتاً بل النصب العام أمر ضروري وواجب على الشارع القيام به وتقتضيه الحكمة الإلهية لحلّ الأزمات الاجتماعية في الأزمنة والأمكنة المختلفة في عصر الغيبة وزمن قبض يد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قد تدلّ على النصب العام الأدلة الكثيرة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الأدلّة القائمة لإثبات نظرية الانتخاب من حكم العقل وسيرة العقلاء وفحوى قاعدة السلطنة وأدلّة لزوم الوفاء بالعقد وعمومات الشورى وأدلّة البيعة وما دلّ على انعقاد الولاية بالانتخاب؛ فكلّ هذه الأدلة مخدوشة سنداً أو دلالة ولا يمكن الاستناد إليها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مسائل فقهية هامّة كثيرة حول الدولة مطلقاً ودولة الحق الإسلامية </w:t>
      </w:r>
    </w:p>
    <w:p>
      <w:pPr>
        <w:pStyle w:val="BookText"/>
        <w:rPr/>
      </w:pPr>
      <w:r>
        <w:rPr>
          <w:rFonts w:ascii="Amiri" w:hAnsi="Amiri" w:eastAsia="Amiri" w:cs="Amiri"/>
          <w:color w:val="111111"/>
          <w:sz w:val="28"/>
          <w:sz w:val="28"/>
          <w:szCs w:val="28"/>
          <w:rtl w:val="true"/>
          <w:lang w:bidi="ar-SA"/>
        </w:rPr>
        <w:t>خاصّة من حدود صلاحيتها وشروط إعمال الولاية لها وأنظمتها ومؤسساتها وسلطاتها التشريعية والقضائية والتنفيذية ومواردها المالية وكيفية الرقابة على السلطة وآلياتها وغيرها من المسائل التي تحتاج إلى الإكمال في بحثها في كتاب آخر شاء الله تبارك وتعالى نسئل الله التوفيق والعافية وحسن العاقبة بحقّ محمّد وآله الطيبين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ان الحمد لله ربّ العالمين</w:t>
      </w:r>
    </w:p>
    <w:p>
      <w:pPr>
        <w:pStyle w:val="BookText"/>
        <w:rPr/>
      </w:pP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المكرم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746" w:name="pg8686_124276"/>
    </w:p>
    <w:p>
      <w:pPr>
        <w:pStyle w:val="Heading2"/>
        <w:numPr>
          <w:ilvl w:val="1"/>
          <w:numId w:val="1"/>
        </w:numPr>
        <w:rPr/>
      </w:pPr>
      <w:bookmarkStart w:id="747" w:name="__RefHeading___Toc2517820_653776707"/>
      <w:bookmarkStart w:id="748" w:name="_Toc286"/>
      <w:bookmarkEnd w:id="746"/>
      <w:bookmarkEnd w:id="747"/>
      <w:r>
        <w:rPr>
          <w:rtl w:val="true"/>
        </w:rPr>
        <w:t>المصادر والمراجع</w:t>
      </w:r>
      <w:r>
        <w:rPr>
          <w:rtl w:val="true"/>
        </w:rPr>
        <w:t>:</w:t>
      </w:r>
      <w:bookmarkEnd w:id="748"/>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IRNazanin" w:hAnsi="IRNazanin" w:eastAsia="IRNazanin"/>
          <w:color w:val="111111"/>
          <w:sz w:val="28"/>
          <w:sz w:val="28"/>
          <w:szCs w:val="28"/>
          <w:rtl w:val="true"/>
          <w:lang w:bidi="fa-IR"/>
        </w:rPr>
        <w:t>نهج البلاغة، صبحی الصالح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 الحدید المعتزلي، عبد الحمید بن هبة الله،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قم، إیران، منشورات مکتبة آیة الله العظمی المرعشي النجفي،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الأثیر، الکامل فی التاریخ، الطبعة الأولی، بیروت لبنان، دار إحیاء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ادریس؛ السرائر الحاوي لتحریر الفتاوي، قم، إیران، دفتر انتشارات اسلامی وابسته به جامعه مدرسین حوزه علمیه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 الرحمن بن محمد، مقدمة ابن خلدون، بیروت، لبنان، مؤسسة الأعلمي للمطبوعات، لا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علي ابن موسی، کشف المحجة، قم، إیران، بوستان کتاب،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بیروت، لبنان، دار إحیاء التراث العربي،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الفرج الأصفهاني،مقاتل الطالبیین،مؤسسة الأعلمي ،بیروت،</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فارس بن زکریا، معجم مقاییس اللغة، قم، إیران، ممكتب الإعلام الاسلامی،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الأردبیلی، المحقق أحمد، مجمع الفائدة والبرهان في شرح إرشاد الأذهان، قم، إیران، دفتر انتشارات اسلامی وابسته به جامعه مدرسین حوزه علمیه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الأصفهاني، الخوانساري، محمد باقر، روضات الجنات، قم، إیران، مکتبة إسماعلیان،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الأصفهانی، الراغب، المفردات فی غریب القرآن، بیروت، لبنان، دار المعرفة للطباعة والنشر،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الأصفهاني، المحقق، محمد حسین، حاشیة المکاسب، تهران، إیران، المکتبة المحمدیة،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الأمیني، العلامة، الغدیر في الکتاب والسنة، بیروت، لبنان، دار الکتاب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الأندلسی، ابن حزم، الفصل فی الملل والأهواء والنحل، القاهرة، مصر، مکتبة الخانجي،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الأنصاري، الشیخ مرتضى، المکاسب، قم، إیران، دار الذخائر،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الانصاری الشیخ مرتضی،تراث الشیخ الأنصاری ،کتاب المکاسب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 الشیخ الأنصاري، رسائل فقهیة، رسالة فی العدالة، قم، إیران، کنگره بزرگداشت شیخ أنصاري،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والشهادات، قم، إیران، کنگره بزرگداشت شیخ أنصاري،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الإیجی، القاضي عضد الدین عبد الرحمن، شرح المواقف، الطبعة الأولی، بیروت، لبنان، منشورات محمد علي بیضون، دار الکتب العلمیة،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العلوم، المحقق محمد، بلغة الفقیه، تهران، إیران، منشورات مکتبة الصادق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البحرانی، السید هاشم، البرهان فی تفسیر القرآن، قم، إیران، مؤسسة البعثة،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البخاري الجعفي، محمد بن إسماعیل، شرح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قاسم السماعي الرفاعي، صحیح احادیث الأنبیاء، الطبعة الأولی، بیروت، لبنان، دار القلم،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البروجردي، السید حسين، البدر الزاهر فی صلاة الجمعة والمسافر، تقریر أبحاثه بقلم الشیخ حسین علي المنتظری، قم، إیران، دفتر آیت الله منتظری،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الجزیري، عبد الرحمن، الفقه علی المذاهب الأربعة، مبحث شروط الإمامة، بیروت، لبنان، دار الثقلین،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پیشه، مصطفی، فقه المرجعیّة و الولایه، قيد الطبع</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دوازده رساله فقهی در باره نماز جمعه در روزگار صفوی، قم، إیران، انتشارات أنصاریان، الطبعة الأولى،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الحرّاني، ابن شعبة، تحف العقول عن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إیران، جامعة المدرسین،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الحسیني الحائري، السید کاظم، ولایة الأمر فی عصر الغیبة، قم، إیران، مجمع اندیشه اسلامی،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الحلبي، أبو الصلاح، تقي، الدین الکافي في الفقه، إیران، أصفهان، کتابخانه امام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الحلي، العلامة، حسن بن یوسف بن مطهر الأسدي، تذکرة الفقهاء، قم، إیران،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المراد فی شرح تجرید الاعتقاد، قم، إیران، مؤسسة النشر الإسلامي،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الحنبلي، القاضي أبي یعلی محمد بن الحسین الفرّاء، الأحکام السلطانیة، الطبعة الثانیة، مکتب الإعلام الإسلامي،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الخمیني، الإمام السید روح الله الموسوي، المکاسب المحرمة، قم، إیران، مؤسسه تنظیم ونشر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الحکومة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إیران، مؤسسة تنظیم و نشر تراث امام خمینی،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البیع، قم، إیران، مؤسسه مطبوعاتی إسماعیلیان، لا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تحریر الوسیلة، تهران، إیران، مؤسسة تنظیم و نشر آثار الإمام الخمینی،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صحیفة امام، چاپ اول، تهران، ایران، مؤسسه تنظیم و نشر آثار امام خمینی،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الخوئي، السید أبو القاسم الموسوي، التنقیح فی شرح العروة الوثقی، المقرِّر میرزا علي الغروي، لا مكان،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رجال الحدیث، لا مكان،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موسوعة الإمام الخوئي، قم، إیران، مؤسسة إحیاء آثار الإمام الخوئي،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الداوري، الشیخ مسلم، التقیة فی فقه أهل البیت، الطبعة الثانیة، دار الهدی،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أصول علم الرجال بین النظریة والتطبیق، الطبعة الأولی، قم، إیران، مؤسسة المحبین للطباعة والنشر،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الزحیلي، وهبة، الفقه الإسلامي وأدلّته، پیشاور، پاکستان، مکتبة فریدیه، لا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الزمخشری، جار الله، أساس البلاغة، بیروت، لبنان، دار صادر،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ابن طاووس، إقبال الأعمال، بیروت، لبنان، مؤسسة الأعلمي،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الشریف المرتضی، علی بن الحسین الموسوي، الشافي في الإمامة، الطبعة الثانیة، 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الزهراء الحسیني الخطیب، تهران، إیران، مؤسسة الصادق للطباعة والنشر،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الشهرستاني، محمد بن عبد الکریم، الملل والنحل، بیروت، لبنان، مؤسسة ناصر للثقافة،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الشیرازي، السید محمد حسین، الفقه، الموسوعة الاستدلالیة فی الفقه الإسلامی، قم، ایران، مؤسسة الفکر الإسلامي،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الشیرازي، السید مرتضى الحسیني، شوری الفقهاء، بیروت، لبنان، مؤسسة الفکر الإسلامي،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الشیخ محمد ابن بابویه القمي، معاني الأخبار، قم، ایران، دفتر انتشارات جامعه مدرسین حوزه علمیه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أخبار الرضا، تهران، إیران، نشر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یحضره الفقیه، قم، إیران، انتشارات اسلامی وابسته به جامعه مدرسین حوزه علمیه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الخصال، قم، إیران، جامعة المدرسین،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الشرائع، قم، إیران، مکتبة الداوري،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الصفار، محمد بن حسن، بصائر الدرجات، قم، إیران، مکتبة آیت الله المرعشي،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الطباطبائی، السید محمد حسین، المیزان فی تفسیر القرآن، الطبعة الثالثة، تهران، إیران، دار الکتب الإسلامیة،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الطباطبائي، السید محمد کاظم الیزدي، العروة الوثقی، تهران، المکتبة العلمیة الإسلامیة؛ لا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الطبري، محمد بن جریر، تاریخ الأمم والملوك، الطبعة الخامسة، بیروت، لبنان، مؤسسة الأعلمي للمطبوعات،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الطوسي، الخواجة نصیر الدین، کشف المراد فی شرح تجرید الاعتقاد العلامه حلي، صححه الأستاذ حسن زادة الآملی، قم، إیران، مؤسسة النشر الإسلامي التابعة لجماعة المدرسین بقم المشرفة،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الطوسي، الشیخ أبو جعفر محمد بن الحسن، التهذیب ، الطبعة الأولی، 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أکبر غفاري، تهران، إیران، مکتبة الصدوق،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العدّة، قم، إیران، چاپخانه ستاره،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الأمالي، تهران، إیران، کتابچی،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التبیان فی تفسیر القرآن، بیروت، لبنان، دار إحیاء التراث العربي،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عبد الرحمن، بنیادهای علم سیاست، إیران، تهران، نشر نی، چاپ بیست و هفتم،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العاملي الحسیني، السید محمد جواد، مفتاح الکرامة فی شرح قواعد العلامة، قم، إیران، انتشارات اسلامي جامعه مدرسین حوزه علميه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العاملي، الشیخ حسن زین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الدین، معالم الدین فی الأصول، قم، ایران، مؤسسة الفقه للطباعة والنشر،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العاملي، الشهید الأول، الدروس الشرعیة فی فقه الإمامیة، قم، ایران، انتشارات جامعه مدرسین حوزه علمیه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العاملي الحرّ، الشیخ محمد بن الحسن، تفصیل وسائل الشیعة إلی تحصیل مسائل الشریعة قم، إیران،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عبد الرازق، الإسلام وأصول الحکم، القاهرة، مصر، دار الکتاب المصري و دار الکتاب اللبناني،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الفاضل الدربندي، المولی ، خزائن الأحکام فی بیان ولایة الفقهاء بعد فقد النبي والأئمة، رسائل فی ولایة الفقیه،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کاظم الرحمن ستایش ومهدی مهریزي، قم، ایران، انتشارات دفتر تبلیغات اسلامی،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الفیومی، أحمد بین محمد المقري، المصباح المنیر، قم، ایران، مؤسسة دار الهجرة،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القمي، الشیخ عباس، سفینة البحار ومدينة الحکم والاثار مع تطبیق النصوص الواردة فیها علی بحار الأنوار، تهران، إیران، مؤسسه انتشارات فراهانی،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القمي، المؤمن محمد، الولایة الإلهیة الإسلامیة،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ایران، دفتر انتشارات اسلامی وابسته به جامعه مدرسین حوزه علمیه قم،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 الغطاء، الشیخ جعفر، کشف الغطاء، قم، ایران، دفتر تبلیغات اسلامی حوزه علمیه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الکتاني، السید محمد عبد الحی، نظام الحکومة النبویة المسمی التراتیب الاداریّة، تحقیق عبد الله خادمي، بیروت، لبنان، الطبعة الثانیة، شرکة دار الأرقم بن أبی الأرقم، لا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الکرکي،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رسائل المحقق الکرکي، قم، ایران، کتابخانه آیت الله مرعشی نجفی،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الکلیني، الشیخ، محمد بن یعقوب، الفروع من الکافي،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درایتي ومحمد حسین، قم، إیران، دار الحدیث للطباعة و النشر،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الأصول من الکافي، تهران، إیران، دار الکتب الإسلامیة،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،اللنکراني، الفاضل محمد، تفصیل الشریعة فی شرح تحریر الوسیلة، قم، إیران، مرکز فقهی أئمه 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المامقاني، العلّامة عبد الله، تنقیح المقال في علم الرجال، قم، إیران، مؤسسة آل البیت لإحیاء تراث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الماوردي، علي بن محمد بن حبیب، البصري البغدادي، الأحکام السلطانیة والولایات الدینیة، الطبعة الثانیة، قم، إیران، مرکز نشر مکتب الإعلام الإسلامی،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المجلسی، العلامة محمد باقر، بحار الأنوار الجامعة لدرر أخبار الأئمة الأطهار، بیروت، لبنان، دار إحیاء التراث العربي،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مرآة العقول، تهران، إیران، دار الکتب الاسلامیة،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روضة المتقین فی شرح من لا یحضره الفقیه، قم، إیران، مؤسسه فرهنگی اسلامی کوشانبور،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من کبار أساتذة الفقه الإسلامي، موسوعة الفقه الإسلامي المقارن، الشهیرة بموسوعة جمال عبد الناصر الفقهیة، القاهرة، مصر، المجلس الأعلی للشؤون الاسلامیة،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المراغی، السید میر عبد الفتاح ، العناوین، قم، إیران، دفتر انتشارات اسلامی وابسته به جامعه مدرسین حوزه علمیه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مشروح مذاکرات شورای بازنگری قانون اساسی جمهور اسلامی ایران، چاپ قدیم و جلسه</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چاپ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المشهدی، الشیخ محمد بن محمد رضا القمي، تفسیر کنز الدقائق وبحر الغرائب، الطبعة الأولی، قم، إیران، مؤسسة الطبع و النشر وزارة الثقافة والإرشاد الاسلامي،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المفید، الشیخ محمد بن محمد بن النعمان، الإرشاد، قم، إیران، 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المقنعة، قم، إیران، کنگره جهانی هزاره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المنتظری، الشیخ حسین علي، دراسات في ولایة الفقیه وفقه الدولة الإسلامیة، قم، إیران، نشر تفکر،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القمي، الشیخ محمد، الولایة الإلهیة أو الحکومة الإسلامیة، الطبعة الأولی، قم، إیران، مؤسسة النشر الإسلامي التابعة لجماعة المدرسین بقم المشرفة،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النائني، المحقق میرزا حسین، منیة الطالب فی حاشیة المکاسب، تهران، إیران، المکتبة المحمدیة،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النجفي، الشیخ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جواهر الکلام في شرح شرائع الإسلام، بیروت لبنان، دار إحیاء التراث العربي، لا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النراقي، المولی أحمد، عوائد الأیام، رسائل فی ولایة الفقیه، قم، إیران، دفتر تبلیغات إسلامي حوزه علمیه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النعماني، ابن أبي زینب، الغیبة، تهران، إیران، نشر صدوق،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النوري، المحقق، مستدرک الوسائل، بیروت لبنان، مؤسسة آل البیت علیهم السلام،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الهلالي، سلیم بن قیس، کتاب سلیم بن قیس الهلالي، قم، إیران، الهادي،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الهمداني، المحقق آقا رضا، مصباح الفقیه، کتاب الخمس، قم، إیران، مؤسسة الجعفریة لإحیاء التراث و مؤسسة النشر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المتقی الهندي، علی، کنز العمال فی سنن الاقوال و الافعال، 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بكري الحياني، تصحیح وفهرسة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صفوة السقا، مؤسسة الرسالة، تاریخ النشر،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فارس، معجم مقاییس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فَقِهَهُ وفَهِمَهُ و رجل 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سریع الفهم</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الإصفهاني، المفردات فی غریب القرآن،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الکلیني، الأصول من الکافي، کتاب فضل العلم،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فضل العلم و وجوب طلبه،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الخصال، باب الأربعین،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الإسلامی المقارن،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المؤلف، فقه المرجعیه و الولایة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حسن زین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الدین، معالم الدین فی الأصول،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وهبة الزحیلی، الفقه الإسلامي وادلته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الإمام الخمینی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وهبة الزحیلي، فقه الإسلامی وأدلّته،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الکافي، کتاب فضل العلم، باب البدع و الرأی و المقاییس،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السید محمد حسین الطباطبائي، فرازهایی از اسلام،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الحر العاملي،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فارس، معجم مقاییس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الإصفهاني، المفردات فی غریب القرآن،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الکلیني، الأصول من الکافي، کتاب الایمان و الکفر، باب الاذاعة،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المحدث القمي، سفینة البحار، باب الدال بعده الواو، دول،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الثامن و الخمسون،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ابن طاووس، إقبال الأعمال،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عالم، بنیاد های علم سیاست،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فقه المرجعیه والولایة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دار إحیاء التراث العربي، بیروت،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ایضا الانترنت موقع ویکیپیدیا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رضی، نهج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البلاغة، من 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الخطبة رقم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تحقیق الدکتور صبحی الصالح ص </w:t>
      </w:r>
      <w:r>
        <w:rPr>
          <w:rFonts w:eastAsia="IRNazanin" w:cs="IRNazanin"/>
          <w:b w:val="false"/>
          <w:bCs w:val="false"/>
          <w:i w:val="false"/>
          <w:iCs w:val="false"/>
          <w:color w:val="333333"/>
          <w:sz w:val="20"/>
          <w:szCs w:val="20"/>
        </w:rPr>
        <w:t>82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الرضی، نهج البلاغة، تحقیق الدکتور صبحی الصالح، ومن کلام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الخطبة رقم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anarchism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نظریّة سیاسیة تقول بأنّ جمیع أشکال السلطة الحکومیّة غیر مرغوب فیها ولاضرورة لها البتة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المورد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منیر البعلبکی</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الحدید،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الحرّ العاملي،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الشبعة،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جعفر کاشف الغطاء، کشف الغطاء،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میر فتاح المراغي، العناوین،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السید روح</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الله الخمیني، المکاسب المحرمة،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ربب؛ و ابن فارس، معجم مقاییس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الطوسي، التبیان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ابن جریر الطبري، جامع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عبد الرازق، الإسلام وأصول الحکم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الملل والنحل،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 یعسُّ اي طاف باللیل و العَسَس جمع للعاسّ کخدم و کحارس و حرس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ماده عسس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عبد الحي الکتانی، نظام الحکومة النبویة المسمی بالتراتیب الإداریة،ج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الکافي،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الکتاب الحجة،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الطباطبائي، المیزان فی تفسیر القرآن،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البصري البغدادي الماوردي، الأحکام السلطانیة والولایات الدینیة،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ابي یعلی الفرّاء الحنبلی، الأحکام السلطانیة،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الأندلسي، الفصل فی الملل والأهواء والنحل،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الشیخ حسینعلي المنتظري، دراسات فی ولایة الفقیه وفقه الدولة الإسلامیة،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خلدون، مقدمة ابن خلدون،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بن هبة الله المعروف بابن أبي الحدید المعتزلی، 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الرضي، نهج البلاغة، تحقیق الدکتور صبحي الصالح، من کلام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الخطبة رقم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الحدید، المصدر نفسه،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عضد الدین الإیجي،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کشف المراد فی شرح تجرید الاعتقاد،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کشف المراد في شرح تجرید الاعتقاد،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الشیخ محمد المؤمن القمي، الولایة الإلهیة الإسلامیة أو الحکومة الإسلامیة،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المصدر نفسه،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المرتضی، الشافي في الإمامة،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المصدر نفسه،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الخمیني،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الکلیني، الأصول من الکافي،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الطوسي،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في الزیادات في القضایا والأحکام،؛ الحدیث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الشیخ محمدالمؤمن القمي، الولایة الإلهیة أو الحکومة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الخمیني،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الشیخ حسینعلي المنتظري، دراسات في ولاية الفقیه و فقه الدولة الإسلامية،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بحار 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الکلیني، الأصول الکافي، کتاب الإیمان والکفر، باب الطاعة والتقوی،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الشئ تام اذا لم یکن ناقصاً وانتهی إلی حدّ لا یحتاج إلی شيء خارج عنه، وأیضا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کامل حینما وصل إلی مرتبة یحصل الغرض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والإسلام علی حسب نصّ الآیة کامل وتامّ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الطباطبائي، المیزان فی تفسیر القرآن، تفسير سورة المائدة،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 الآية </w:t>
      </w:r>
      <w:r>
        <w:rPr>
          <w:rFonts w:eastAsia="IRNazanin" w:cs="IRNazanin"/>
          <w:b w:val="false"/>
          <w:bCs w:val="false"/>
          <w:i w:val="false"/>
          <w:iCs w:val="false"/>
          <w:color w:val="333333"/>
          <w:sz w:val="20"/>
          <w:szCs w:val="20"/>
        </w:rPr>
        <w:t>60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الإمام الخمیني،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الخمیني، 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الشیخ حسینعلی المنتظري، المصدر نفسه،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الشیخ محمد المؤمن، المصدر نفسه،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عیون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علل الشرائع،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الخوئي، 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محمدالمؤمن، المصدر نفسه، ص </w:t>
      </w:r>
      <w:r>
        <w:rPr>
          <w:rFonts w:eastAsia="IRNazanin" w:cs="IRNazanin"/>
          <w:b w:val="false"/>
          <w:bCs w:val="false"/>
          <w:i w:val="false"/>
          <w:iCs w:val="false"/>
          <w:color w:val="333333"/>
          <w:sz w:val="20"/>
          <w:szCs w:val="20"/>
        </w:rPr>
        <w:t>17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الخوئي، المصدر نفسه،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الخوئي، 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الشیخ المنتظری، المصدر نفسه، الشیخ المؤمن، المصدر نفسه، والشیخ المنتظری، المصدر نفسه،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الخوئي، 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الخمیني، کتاب البیع،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الشیخ المؤمن القمي، الولایة الإلهیة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الشیخ حسینعلی المنتظری، دراسات فی ولایة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المولی محمد تقي المجلسی، روضةالمتقین فی شرح من لا یحضره الفقیه،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الرضي، نهج البلاغة، تحقیق صبحي الصالح، الحکمة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فارس، معجم مقاییس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الرضي، نهج البلاغة، تحقیق صبحي الصالح،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الحرّ العاملي، تفصیل وسائل الشیعة إلی تحصیل مسائل الشریعة، کتاب الطهارة، أبواب مقدمات العبادات،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حسین علي المنتظري، دراسات فی فقه الدولة الإسلامیة،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الشیخ محمد المؤمن القمي، الولایة الإلهیة،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بن الحسن، الحر العاملی، وسائل الشیعه، أبواب جهاد العدوّ،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وسائل الشیعة، أبواب جهاد العدوّ،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المؤمن القمي، الولایة الإلهیة أو الحکومة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الشیخ حسینعلی المنتظری، دراسات فی ولایة الفقیه وفقه الدولة الإسلامیة،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الکافي، کتاب الحجة،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من ادعی الإمامة ولیس لها بأهل، ح </w:t>
      </w:r>
      <w:r>
        <w:rPr>
          <w:rFonts w:eastAsia="IRNazanin" w:cs="IRNazanin"/>
          <w:b w:val="false"/>
          <w:bCs w:val="false"/>
          <w:i w:val="false"/>
          <w:iCs w:val="false"/>
          <w:color w:val="333333"/>
          <w:sz w:val="20"/>
          <w:szCs w:val="20"/>
        </w:rPr>
        <w:t>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جهاد العدوّ،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الشیخ الطوسی، کتاب الغیبه،، ص </w:t>
      </w:r>
      <w:r>
        <w:rPr>
          <w:rFonts w:eastAsia="IRNazanin" w:cs="IRNazanin"/>
          <w:b w:val="false"/>
          <w:bCs w:val="false"/>
          <w:i w:val="false"/>
          <w:iCs w:val="false"/>
          <w:color w:val="333333"/>
          <w:sz w:val="20"/>
          <w:szCs w:val="20"/>
        </w:rPr>
        <w:t>69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بن الحسن، محقق النوری، مستدرک الوسائل، أبواب جهاد العدوّ،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النعمانی، الغیبة،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الغیبة، ح </w:t>
      </w:r>
      <w:r>
        <w:rPr>
          <w:rFonts w:eastAsia="IRNazanin" w:cs="IRNazanin"/>
          <w:b w:val="false"/>
          <w:bCs w:val="false"/>
          <w:i w:val="false"/>
          <w:iCs w:val="false"/>
          <w:color w:val="333333"/>
          <w:sz w:val="20"/>
          <w:szCs w:val="20"/>
        </w:rPr>
        <w:t>10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محمدبن الحسن، العاملی، وسائل الشیعة،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الکافي،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القلانسي الکوفي ثقة من أصحاب الکاظم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 کامل الزیارات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معجم رجال الحدیث،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الکلیني، الکافي،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وسائل الشیعة، أبواب جهاد العدوّ،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حسن، النوري، مستدرک الوسائل، أبواب جهاد العدوّ،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الطبعة الرابعة،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مسلم الداوري، التقیة فی فقه أهل البیت،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معجم رجال الحدیث، الطبعة الخامسة،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الحکومة الإسلامیة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ولایة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الحکومة الإسلامیه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ولایة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رضی، 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الحکومة الإسلامیه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ولایة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الحکومة الإسلامیه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ولایة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الإمام الخمیني، صحیفة الإمام،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الکلیني، الأصول من الکافي،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الإیمان والکفر، باب دعائم الإسلام،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الکلیني، المصدر نفسه، کتاب الحجة، باب أن الأئمة لم یفعلوا شینًا،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الإمام، الحکومة الإسلامیه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ولایة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اشرنا الی بیان وشرح لمصطلح الفقه الحکومی فی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مصطلح حدیث ما ملخصه ،انه اتجاه فقهي ینظر الی مسوؤلیة الدولة و الحکومة و النظام السیاسی بجمیع ارکانها و مؤسستها قبال الشریعة والتکالیف و الاحکام الإلهیة لتنفیذها و تحقیقها و ادارة المجتمع وفقا لقراراتها کما یری فی سیرة الرسول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حسب هذه الرؤیة و هذا الاتجاه انّ الشریعة ولدت مجة کبر لإدارة المجتمع فالفقه قانون بین یدي الدولة الإسلامیة لتنفیذها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السلطانیة،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الأميني، الغدیر فی الکتاب والسنة،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المحکم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المصدر نفسه،مادّة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حصف</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حسینعلی المنتظری؛ دراسات فی ولایة الفقیه وفقه الدولة الإسلامیة،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کشف المراد فی شرح تجرید الاعتقاد،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کاظم الطباطبائي الیزدي، العروة الوثقی،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الإمام الخمیني، 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یوسف بن مطهر الاسدی، العلامة الحلی ،تذکرة الفقهاء،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 الخامسة من الدستور باللغة الفارسیة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زمان غیبت ولی عصر در جمهوری اسلامی ایران ولایت امر و امامت امّت بر عهده فقیه عادل و باتقوی، آگاه به زمان، شجاع، مدیر و مدبّر است که طبق اصل یکصد و هفتم عهده‌دار آن می‌گردد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شرایط و صفات رهبر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صلاحیت علمی لازم برای افتاء در ابواب مختلف 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و تقوای لازم برای رهبری امت 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بینش صحیح سیاسی و اجتماعی، تدبیر، شجاعت، مدیریّت و قدرت کافی برای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تعدّد واجدین شرایط فوق شخصی که دارای بینش فقهی و سیاسی قوی‌تر باشد، مقدم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الإمام الخمینی، 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حسینعلی المنتظری، دراسات فی ولایةالفقیه،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والشیخ محمد المؤمن القمي، الولایة الإلهیة الإسلامیه،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بن حسن، الحر العاملی، وسائل الشیعة، أبواب جهاد العدو،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الخمیني، المصدر نفسه،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المؤمن القمي، الولایة الإلهیة الإسلامیه،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حسینعلی المنتظری، مصدر سابق،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محمدحسین الطباطبائي، المیزان فی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الشیخ محمد المؤمن القمي، مصدر سابق،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الشیخ حسینعلی المنتظری، مصدر سابق،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بن یعقوب الکلیني، الفروع من الکافي،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الولایة الإلهیة الإسلاميّة،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فعالم ربّاني و متعلّم علي سبيل النجاة و هَمَج رَعاع، نهج البلاغة، باب المختار من حكم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محمدحسین الطباطبائي، المیزان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بن محمد رضا المشهدی، تفسیر کنز الدقائق وبحر الغرائب،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والسید محمدحسین الطباطبائي، المیزان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ولایة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الولایة الإلهیة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ولایة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الولایة الإلهیة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وسکون الهاء – افراط الشهوة والمبالغة فی الحرص</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رضی،نهج‌البلاغة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الخطبة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تهییج الفساد والاستعتاب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الاسترضاء 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ابن منظور ،لسان العرب،مادّة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شغب وعتب</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ولایة الفقیه، مصدر سابق،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الولایة الإلهیه الإسلامیة، مصدر سابق،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السید رضی، نهج‌البلاغة، صبحي الصالح، الخطبة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الولایة الإلهیة الإسلامیه،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النائیني، منیة الطالب،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المحقق الإصفهاني، حاشیة المکاسب،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دراسات فی فقه الدولة الإسلامیه،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الفروع من الکافي، کتاب الجهاد، باب دخول عمرو بن عبید،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وسائل الشیعة، أبواب جهاد العدوّ،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الولایة الالهیة الإسلامیة،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دراسات فی ولایة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الولایة الإلهية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المنتظری، مصدر سابق،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الجزیری، الفقه علی المذاهب الأربعة، مبحث شروط الإمامة،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حسینعلی المنتظری، دراسات فی ولایة الفقیه و فقه الدولة الإسلامیة،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الإصفهاني، المفردات في غريب القرآن، ؛ ابن منظور، لسان العرب ، أحمد بن فارس، معجم مقاییس اللغة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الإمام، مصدر سابق،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یوسف مطهری الاسدی الحلی،تذکرة الفقهاء، کتاب الجهاد،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الشیخ محمد المؤمن القمي، الولایة الإلهیة الإسلامیة،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الإصفهاني، المفردات فی غریب القرآن،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حسین، الطباطبائي، المیزان فی تفسیر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حسین، الطباطبائي، المیزان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حسین، الطباطبائي، المصدر نفسه،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الکلیني، الفروع من الکافي،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کتاب المعیشة، باب عدل السلطان،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الطباطبائي، المصدر نفسه،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الطباطبائي، المیزان فی تفسیر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المؤمن القمي، الولایة الإلهیة الإسلامیة،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المنتظری، فقه الدولة الإسلامیة،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؛المؤمن القمي، محمد، الولایة الإلهیة الإسلامیة،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الکافي، کتاب الحجة، باب ما یجب من حق الإمام،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هاشمالبحرانی،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الرضی، نهج البلاغة، تحقیق الدکتور صبحی الصالح، و من کلام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نهج البلاغة، خطبة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الولایة الالهیة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 بلوغ الشهوة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الکراهیة والنفوز،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جَفَت اخلاقه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 الدول بضمّ الدال جمع دولة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الذي تتداوله الأیدي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الشیخ محمد بن الحسن الحر العاملی، وسائل الشیعة، أبواب ما يكتسبُ به،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بن یعقوب الکلیني، الأصول من الکافي، کتاب الحجة، باب معرفة الإمام،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أیضًاً باب من دان الله،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فیمن دان الله،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الکافي، کتاب الحجة، باب من دان الله،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دُوَلا بضم ففتح جمع دُوَلة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شیئاً یتداولونه بینهم، خَوَلاً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عبیدًا وحرباً أي محاربین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کتاب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مادّة عدل، الشیخ الأنصاری، مرتضی، تراث الشیخ الأنصاري، رسائل فقهیه، رسالة فی العدالة،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الخمیني، 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المقدمه، المسألة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الطباطبائي، السید کاظم الیزدی،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التقلید، المسألة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الشیخ الأنصاري، رسالة فی العدالة، المصدر نفسه،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السید الخوئي، التنقیح فی شرح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الفاضل اللنکراني، محمد، تفصیل الشریعه فی شرح تحریر الوسیلة،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حسین، الطباطبائي، المیزان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المرتضی الانصاری، المصدر نفسه،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سلیمان العاملي، إبراهیم، العدالة و مواردها،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المرتضی الأنصاري، مصدر سابق،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القمي، محمد، الولایة الإلهیة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الأصول من الکافي،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کاظم الطباطبائي الیزدي، العروة الوثقی، فی التقلید، المسألة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الخمینی، تحریر الوسیله، المقدّمة، المسألة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المجلسی، بحار الانوار الجامعة لدرر اخبار الائمة الاطهار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ابو القاسم الخوئي، التنقیح في شرح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هوامش العروة الوثقی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یتبیّغ أي یهیج به الألم فیهلکه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العباء جمع عباءة و هي الکساء من الصرف الخشنة و الملاء بالضم و المدّ جمع مُلاءة و هی الثوب اللین الرقیق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الباقر المجلسی، مرآة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محمدبن یعقوب الکلیني، الأصول من الکافي، کتاب الحجة، باب سیرة الإمام،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السد رضی، نهج البلاغة، من کلام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القرحة تحدث فی ظهر الدابّة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شجرة البلوط و المقر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الشئ اذا صار مُرّاً او حامضاً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کلام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الکافي، کتاب الحجّة، باب سیرة الإمام فی نفسه وفي المطعم والملبس إذا ولي الأمر،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یوسف مطهر الحلّي، تذکرة الفقهاء،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الإمام الخمینی،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الیشیخ حسینعلی المنتظری، دارسات فی ولایة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محمد المؤمن القمي، الولایة الإلهیة الإسلامیه،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الخواجه نصیر الدین الطوسي، تجرید الاعتقاد والعلامة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الرموز فی شرح تجرید الاعتقاد،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فارس بن زکریا، معجم مقاییس اللغة،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 جار الله الزمخشري، أساس البلاغة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المقري الفیومي، المصباح المنیر، الجزء الثانی،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فارس معجم مقاییس اللغة،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حسینعلی المنتظری، المصدر نفسه،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والشیخ محمد المؤمن، المصدر نفسه،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حسینعلی المنتظری، المصدر نفسه،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محمد المؤمن القمی، المصدر نفسه،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المؤمن القمي، المصدر نفسه،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المؤمن القمي، المصدر نفسه،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حسینعلی المنتظری، المصدر نفسه،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محمد المؤمن، المصدر نفسه،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الکلیني، الأصول من الکافي،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 باب ما یجب من حقّ الإمام على الرعیّة،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بن الحسن الحر العاملي، وسائل الشیعة، کتاب الجهاد، أبواب جهاد العدو،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حسن بن یوسف بن مطهر الأسدي الحلي، تذکرة الفقهاء،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 مسألة</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للتعرّف علی آراء القوم فی ذلک المجال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العزیز، شرح الوجیز،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وهبة الزحیلي؛ الفقه الإسلامی وأدلّته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الماوردي، الأحکام السلطانیة،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قدامة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المحقق الطوسي و العلامة الحلي، کشف المراد فی شرح تجرید الاعتقاد، المقصد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دعائم الإسلام،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حسینعلی المنتظری، المصدر نفسه،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محمد المؤمن، المصدر نفسه،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حسینعلی المنتظری، المصدر نفسه،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المقنعة،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نفسه،ص</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المؤمن، مصدر سابق،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الصلاح، تقي الدین الحلبي، الکافي في الفقه،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السرائر الحاوي لتحریر الفتاوی،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الحسین، الکرکي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رسائل المحقق الکرکي،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المولی أحمد النراقي، عوائد الأیام، رسائل فی ولایة الفقیه،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حسن النجفي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في شرح شرائع الإسلام،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حسین الطباطبائي البروجردي، البدر الزاهر فی صلاة الجمعة والمسافر،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حسینعلی المنتظری، مصدر سابق،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السید روح الله، الخمیني،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السید روح الله الخمیني، الحکومة الإسلامیه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ولایة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علي بن الحسین الکرکي، رسائل المحقق الکرکي،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رسول جعفریان، دوازده رساله فقهی در باره نماز جمعه از روزگار صفوی،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المؤمن القمي، مصدر سابق،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أحمد الأردبیلي، مجمع الفائدة والبرهان فی شرح إرشاد الأذهان،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أحمد النراقی، عوائد الایام، رسائل فی ولایة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کاظم الرحمن ستایش و مهدی المهریزی؛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میر عبد الفتاح المراغي، العناوین،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حسن النجفي، جواهر الکلام فی شرح شرائع الإسلام،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المولی آقا دربندی، خزائن الأحکام، رسائل فی ولایة الفقیه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آقا رضا الهمداني، مصباح الفقیه، کتاب الخمس،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محمد بحر العلوم، بلغة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تقي النجفي، بحث في ولایة الحاکم الفقیه، رسائل فی ولایة الفقیه،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الإمام روح الله الموسوي الخمیني، کتاب البیع،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البروجردی ، البدر الزاهر فی صلاة الجمعة والمسافر، تقریراً لابحاثه للشیخ حسینعلی المنتظری،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حسین الطباطبائي، المیزان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الحر العاملي، وسائل الشیعة الی تحصیل مسائل الشریعة، أبواب صفات القاضی،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ابو القاسم الخوئي، معجم رجال الحدیث،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الصدوق،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4596</w:t>
      </w:r>
      <w:r>
        <w:rPr>
          <w:rFonts w:ascii="IRNazanin" w:hAnsi="IRNazanin" w:eastAsia="IRNazanin"/>
          <w:b w:val="false"/>
          <w:b w:val="false"/>
          <w:bCs w:val="false"/>
          <w:i w:val="false"/>
          <w:i w:val="false"/>
          <w:iCs w:val="false"/>
          <w:color w:val="333333"/>
          <w:sz w:val="20"/>
          <w:sz w:val="20"/>
          <w:szCs w:val="20"/>
          <w:rtl w:val="true"/>
        </w:rPr>
        <w:t>، و الشیخ محمد بن الحسن الطوسي،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بن الحسن الطوسي، العدّة،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الو القاسم الخوئي، معجم رجال الحدیث،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السید جعفر مرتضی العاملي، ولایةالفقیه فی صحیحة عمر بن حنظلة و غیرها،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الإصفهاني، روضات الجنات،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حسن النجفي، 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مرتضى الأنصاري، کتاب القضاء و الشهادات،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میرزا حسین النائيني، منیة الطالب فی حاشیة المکاسب،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حسینعلی المنتظری، داراسات فی ولایة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الحرّ العاملي، وسائل الشیعة، أبواب صفات القاضي، 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الصدوق،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الشیخ محمد المؤمن القمي، الولایة الإلهیة،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حسينعلي منتظري، دراسات فی ولایة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عبدالله المامقانی، تنقیح المقال فی علم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کاظم الحسیني الحائري، ولایة الأمر فی عصر الغیبة،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الشیخ محمد مؤمن القمي، مصدر سابق،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الإمام روح الله، الموسوي الخمیني،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المؤمن القمي، مصدر سابق،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کاظم الحائری، ولایة الأمر فی عصر الغیبة،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بن يعقوب بن إسحاق كلينى، الأصول من الكافي، کتاب الفضل العلم، باب فقد العلماء، 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الموسوي الخوئي، معجم رجال الحدیث،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المؤمن القمي، مصدر سابق،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روح الله الموسوي الخمیني،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حسینعلی المنتظری، دراسات فی ولایة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بن یعقوب الکلیني، الأصول من الکافي، کتاب فضل العلم، الاب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حسین المحدث النوری، المستدرک أبواب ما یکتسب به، الباب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أبواب صفات القاضي، 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الشیخ حسینعلی المنتظری، مصدر سابق،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ابوالقاسم الخوئي، معجم رجال الحدیث،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روح الله الموسوي الخمیني، مصدر سابق،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بن یعقوب الکلیني، الأصول من الکافي، کتاب فضل العلم،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روح الله الموسوي الخمیني،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محمد حسین الإصفهاني، حاشیة المکاسب،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والمحقق المیرزا حسین النائيني، منیة الطالب،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حر العاملي، وسائل الشیعة، أبواب صفات القاضي، الباب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الشیخ الصدوق،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5919</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المستدر 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حدیث</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الشیخ محمد المؤمن القمي، الولایة الإلهیة،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کنز 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29208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روح الله الموسوي الخمیني، کتاب البیع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روح الله الموسوي الخمیني، المصدر نفسه،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الحر العاملي، وسائل الشیعة، الخاتمة، الفائدة الرابعة، الرقم</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الشیخ مسلم الداوري، أصول علم الرجال بین النظریة والتطبیق،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 مصدر سابق،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میرزا حسین النائيني، منیة الطالب،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المحقق محمد حسین الإصفهاني، حاشیة المکاسب،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 الشیخ حسین علی المنتظری، دراسات فی ولایة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روح الله الموسوي الخمیني، المصدر نفسه،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محمد المؤمن القمي، المصدر نفسه،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بن بابویه الصدوق، علل الشرائع، الباب</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معانی الأخبار،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الشیخ الطوسي، الامالي، المجلس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الشیخ المفید، 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 الشیخ محمد المؤمن القمي، المصدر نفسه،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عوائد الأیام، رسائل فی ولایة الفقیه،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حسینعلی المنتظری، دراسات فی ولایة 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الموسوي الخوئي، موسوعة الإمام الخوئي،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الدروس الشرعیة،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علي النجفي، رسالة فی الولایات، رسائل فی ولایة الفقیه،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الله صالحي نجف آبادي، ولایت فقیه و حکومت صالحان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حسینعلی المنتظری، دراسات فی ولایة الفقیه و فقه الدولة الإسلامیة،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كلمة لجنة أولى وأقرب إلى اللغة العربية؛ ولكنّنا رجّحنا مصطلح شورى لأنّ أصحاب النظرية استخدموا هذا المصطلح للتعبير عن وجهة نظرهم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فالمقصود من الشورى هنا اللجنة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جواد العاملي الحسیني، مفتاح الکرامة فی شرح قواعد العلامة،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السید محمد حسین الشیرازي، الفقه، کتاب الواجبات والمحرمات،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الحقوق،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کتاب البیع،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السید مرتضی الحسیني الشیرازي، شوری الفقهاء،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کاظم الحسیني الحائري، ولایة الأمر فی عصر الغیبة،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عیون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نوري، مستدرک الوسائل و مستنبط المسائل،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مذاکرات شورای بازنگری قانون اساسی جمهورى اسلامی ایران، جلسه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جلسه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جلسه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 و جلسه</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چاپ جدید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کاظم الحسیني الحائري، ولایة الأمر فی عصر الغیبة،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الآصفي، ولایة الأمر،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الموسوي الخوئي، موسوعة الإمام الخوئي،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دستور الجمهوریة الإسلامیة فی إیران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سیادة الشعب و السلطات الناشئة عنها، المادّة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سبحانه هو الحاکم المطلق علی العالم والإنسان، و هو الذي فوّض إلی الإنسان حق تقریر مسیره لاجتماعي، ولایجوز لأحد سلب الإنسان هذا الحق الإلهي او إجباره لخدمة فرد أو جماعة معیّنة و یمارس الشعب هذا الحق الممنوح له من الله سبحانه بالطرق المذکورة فی الموادّ اللاحقة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المؤمن القمي، مصدر سابق،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المادة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المرجع الدیني الکبیر الإمام الخمیني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أمر تعیین القائد یناط بالخبراء المنتخبین من قبل الشعب و یقوم هؤلاء الخبراء بالمراجعة والتشاور في ما بینهم بشأن جمیع الفقهاء الجامعین للشروط فإذا وجدوا واحدًاً من أولئك الفقهاء هو الأعلم بالأحکام والموضوعات الفقهیة أو القضایا السیاسیة والاجتماعیة أو أنه یتمتع بتأیید الرأي العام أو یمتلک –بشکل بارز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إحدی المزایا المذکورة في المادة التاسعة بعد المئة، انتخبوه قائدًاً وفي غیر هذه الحالة ینتخبون أحدهم ویعلنونه قائدًاً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حسینعلی المنتظری، دراسات في ولایة 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المؤمن، الولایة الإلهیة،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حسینعلي المنتظري، المصدر نفسه،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الحر العاملي، وسائل الشیعة، کتاب القضاء، باب أن إقامة الحدود إلی من إلیه الحکم،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حسینعلی المنتظری، مصدر سابق،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المؤمن، مصدر سابق، ص</w:t>
      </w:r>
      <w:r>
        <w:rPr>
          <w:rFonts w:eastAsia="IRNazanin" w:cs="IRNazanin"/>
          <w:b w:val="false"/>
          <w:bCs w:val="false"/>
          <w:i w:val="false"/>
          <w:iCs w:val="false"/>
          <w:color w:val="333333"/>
          <w:sz w:val="20"/>
          <w:szCs w:val="20"/>
        </w:rPr>
        <w:t>482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الماوردي، الأحکام السلطانیة والولایات الدینیة،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ومحمد ضیاء الدین الرمیل، النظریات السیاسیة الإسلامیة،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حسینعلی المنتظری، مصدر سابق،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المؤمن القمي، مصدر سابق،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منیر حمید البیاتي، الدولة القانونیة و النظام السیاسي الإسلامي،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حسینعلی المنتظری، مصدر سابق،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عیون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حسینعلی المنتظری، مصدر سابق،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المؤمن، مصدر سابق،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المؤمن، المصدر نفسه،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الرضي، نهج البلاغة، الخطبة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صبحي الصالح؛ محمد بن جریر الطبري، تاریخ الأمم و الملوك،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الرضي، نهج البلاغة، الکتاب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صبحي الصالح،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ابن طاووس، کشف الحجۀ،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الإصفهاني،مقاتل الطالبیین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المجلسی، 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کیفیۀ المصالحة ،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حسینعلی المنتظری، مصدر سابق،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المؤمن، مصدر سابق،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الرضي، نهج البلاغة، الخطبۀ</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صبحی الصالح،حسن،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الشیخ المفید، الإرشاد،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الکتاب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الإرشاد،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الغیبۀ، باب ما جاء فی العلامات،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حسين علي المنتظري، مصدر سابق،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المؤمن، مصدر سابق،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المؤمن، المصدر نفسه،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image" Target="media/image2.jpeg"/><Relationship Id="rId357" Type="http://schemas.openxmlformats.org/officeDocument/2006/relationships/image" Target="media/image2.jpeg"/><Relationship Id="rId358" Type="http://schemas.openxmlformats.org/officeDocument/2006/relationships/footer" Target="footer351.xml"/><Relationship Id="rId359" Type="http://schemas.openxmlformats.org/officeDocument/2006/relationships/footnotes" Target="footnotes.xml"/><Relationship Id="rId360" Type="http://schemas.openxmlformats.org/officeDocument/2006/relationships/numbering" Target="numbering.xml"/><Relationship Id="rId361" Type="http://schemas.openxmlformats.org/officeDocument/2006/relationships/fontTable" Target="fontTable.xml"/><Relationship Id="rId362" Type="http://schemas.openxmlformats.org/officeDocument/2006/relationships/settings" Target="settings.xml"/><Relationship Id="rId3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359</Pages>
  <Words>40678</Words>
  <Characters>193779</Characters>
  <CharactersWithSpaces>233263</CharactersWithSpaces>
  <Paragraphs>1339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2026-08-20T03:19:12Z</dcterms:created>
  <dc:creator>ghaemiyeh.com</dc:creator>
  <dc:description/>
  <dc:language>en-US</dc:language>
  <cp:lastModifiedBy/>
  <dcterms:modified xsi:type="dcterms:W3CDTF">2026-08-20T06:49:23Z</dcterms:modified>
  <cp:revision>1</cp:revision>
  <dc:subject/>
  <dc:title>فقه الدولة</dc:title>
</cp:coreProperties>
</file>

<file path=docProps/custom.xml><?xml version="1.0" encoding="utf-8"?>
<Properties xmlns="http://schemas.openxmlformats.org/officeDocument/2006/custom-properties" xmlns:vt="http://schemas.openxmlformats.org/officeDocument/2006/docPropsVTypes"/>
</file>