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الإجتهاد عند المذاهب الاسلامیة دراسه تحلیلیه حول مدارس الاجتهاد و مناهجه و ادواره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73754_653776707">
            <w:r>
              <w:rPr>
                <w:webHidden/>
                <w:rStyle w:val="IndexLink"/>
                <w:rtl w:val="true"/>
              </w:rPr>
              <w:t>هوية الكتاب</w:t>
            </w:r>
            <w:r>
              <w:rPr>
                <w:rStyle w:val="IndexLink"/>
                <w:rtl w:val="true"/>
              </w:rPr>
              <w:tab/>
            </w:r>
            <w:r>
              <w:rPr>
                <w:rStyle w:val="IndexLink"/>
              </w:rPr>
              <w:t>10</w:t>
            </w:r>
          </w:hyperlink>
        </w:p>
        <w:p>
          <w:pPr>
            <w:pStyle w:val="Contents2"/>
            <w:tabs>
              <w:tab w:val="clear" w:pos="8743"/>
              <w:tab w:val="right" w:pos="9026" w:leader="dot"/>
            </w:tabs>
            <w:rPr/>
          </w:pPr>
          <w:hyperlink w:anchor="__RefHeading___Toc2473756_65377670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473758_653776707">
            <w:r>
              <w:rPr>
                <w:webHidden/>
                <w:rStyle w:val="IndexLink"/>
                <w:rtl w:val="true"/>
              </w:rPr>
              <w:t>الفهرس</w:t>
            </w:r>
            <w:r>
              <w:rPr>
                <w:rStyle w:val="IndexLink"/>
                <w:rtl w:val="true"/>
              </w:rPr>
              <w:tab/>
            </w:r>
            <w:r>
              <w:rPr>
                <w:rStyle w:val="IndexLink"/>
              </w:rPr>
              <w:t>16</w:t>
            </w:r>
          </w:hyperlink>
        </w:p>
        <w:p>
          <w:pPr>
            <w:pStyle w:val="Contents2"/>
            <w:tabs>
              <w:tab w:val="clear" w:pos="8743"/>
              <w:tab w:val="right" w:pos="9026" w:leader="dot"/>
            </w:tabs>
            <w:rPr/>
          </w:pPr>
          <w:hyperlink w:anchor="__RefHeading___Toc2473760_653776707">
            <w:r>
              <w:rPr>
                <w:webHidden/>
                <w:rStyle w:val="IndexLink"/>
                <w:rtl w:val="true"/>
              </w:rPr>
              <w:t>کلمة الناشر</w:t>
            </w:r>
            <w:r>
              <w:rPr>
                <w:rStyle w:val="IndexLink"/>
                <w:rtl w:val="true"/>
              </w:rPr>
              <w:tab/>
            </w:r>
            <w:r>
              <w:rPr>
                <w:rStyle w:val="IndexLink"/>
              </w:rPr>
              <w:t>31</w:t>
            </w:r>
          </w:hyperlink>
        </w:p>
        <w:p>
          <w:pPr>
            <w:pStyle w:val="Contents2"/>
            <w:tabs>
              <w:tab w:val="clear" w:pos="8743"/>
              <w:tab w:val="right" w:pos="9026" w:leader="dot"/>
            </w:tabs>
            <w:rPr/>
          </w:pPr>
          <w:hyperlink w:anchor="__RefHeading___Toc2473762_653776707">
            <w:r>
              <w:rPr>
                <w:webHidden/>
                <w:rStyle w:val="IndexLink"/>
                <w:rtl w:val="true"/>
              </w:rPr>
              <w:t>کلمة المرکز</w:t>
            </w:r>
            <w:r>
              <w:rPr>
                <w:rStyle w:val="IndexLink"/>
                <w:rtl w:val="true"/>
              </w:rPr>
              <w:tab/>
            </w:r>
            <w:r>
              <w:rPr>
                <w:rStyle w:val="IndexLink"/>
              </w:rPr>
              <w:t>33</w:t>
            </w:r>
          </w:hyperlink>
        </w:p>
        <w:p>
          <w:pPr>
            <w:pStyle w:val="Contents2"/>
            <w:tabs>
              <w:tab w:val="clear" w:pos="8743"/>
              <w:tab w:val="right" w:pos="9026" w:leader="dot"/>
            </w:tabs>
            <w:rPr/>
          </w:pPr>
          <w:hyperlink w:anchor="__RefHeading___Toc2473764_653776707">
            <w:r>
              <w:rPr>
                <w:webHidden/>
                <w:rStyle w:val="IndexLink"/>
                <w:rtl w:val="true"/>
              </w:rPr>
              <w:t>الباب الاول</w:t>
            </w:r>
            <w:r>
              <w:rPr>
                <w:rStyle w:val="IndexLink"/>
                <w:rtl w:val="true"/>
              </w:rPr>
              <w:t xml:space="preserve">: </w:t>
            </w:r>
            <w:r>
              <w:rPr>
                <w:rStyle w:val="IndexLink"/>
                <w:rtl w:val="true"/>
              </w:rPr>
              <w:t>مدارس الإجتهاد ومناهجه وأدواره عند العامّة</w:t>
            </w:r>
            <w:r>
              <w:rPr>
                <w:rStyle w:val="IndexLink"/>
                <w:rtl w:val="true"/>
              </w:rPr>
              <w:tab/>
            </w:r>
            <w:r>
              <w:rPr>
                <w:rStyle w:val="IndexLink"/>
              </w:rPr>
              <w:t>35</w:t>
            </w:r>
          </w:hyperlink>
        </w:p>
        <w:p>
          <w:pPr>
            <w:pStyle w:val="Contents3"/>
            <w:tabs>
              <w:tab w:val="clear" w:pos="8459"/>
              <w:tab w:val="right" w:pos="9026" w:leader="dot"/>
            </w:tabs>
            <w:rPr/>
          </w:pPr>
          <w:hyperlink w:anchor="__RefHeading___Toc2473766_653776707">
            <w:r>
              <w:rPr>
                <w:webHidden/>
                <w:rStyle w:val="IndexLink"/>
                <w:rtl w:val="true"/>
              </w:rPr>
              <w:t>اشارة</w:t>
            </w:r>
            <w:r>
              <w:rPr>
                <w:rStyle w:val="IndexLink"/>
                <w:rtl w:val="true"/>
              </w:rPr>
              <w:tab/>
            </w:r>
            <w:r>
              <w:rPr>
                <w:rStyle w:val="IndexLink"/>
              </w:rPr>
              <w:t>35</w:t>
            </w:r>
          </w:hyperlink>
        </w:p>
        <w:p>
          <w:pPr>
            <w:pStyle w:val="Contents3"/>
            <w:tabs>
              <w:tab w:val="clear" w:pos="8459"/>
              <w:tab w:val="right" w:pos="9026" w:leader="dot"/>
            </w:tabs>
            <w:rPr/>
          </w:pPr>
          <w:hyperlink w:anchor="__RefHeading___Toc2473768_653776707">
            <w:r>
              <w:rPr>
                <w:webHidden/>
                <w:rStyle w:val="IndexLink"/>
                <w:rtl w:val="true"/>
              </w:rPr>
              <w:t>الفصل الأول بيان المبادئ التصورية لهذا البحث</w:t>
            </w:r>
            <w:r>
              <w:rPr>
                <w:rStyle w:val="IndexLink"/>
                <w:rtl w:val="true"/>
              </w:rPr>
              <w:tab/>
            </w:r>
            <w:r>
              <w:rPr>
                <w:rStyle w:val="IndexLink"/>
              </w:rPr>
              <w:t>37</w:t>
            </w:r>
          </w:hyperlink>
        </w:p>
        <w:p>
          <w:pPr>
            <w:pStyle w:val="Contents4"/>
            <w:tabs>
              <w:tab w:val="clear" w:pos="8176"/>
              <w:tab w:val="right" w:pos="9026" w:leader="dot"/>
            </w:tabs>
            <w:rPr/>
          </w:pPr>
          <w:hyperlink w:anchor="__RefHeading___Toc2473770_653776707">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2473772_653776707">
            <w:r>
              <w:rPr>
                <w:webHidden/>
                <w:rStyle w:val="IndexLink"/>
                <w:rtl w:val="true"/>
              </w:rPr>
              <w:t>التمهيد</w:t>
            </w:r>
            <w:r>
              <w:rPr>
                <w:rStyle w:val="IndexLink"/>
                <w:rtl w:val="true"/>
              </w:rPr>
              <w:tab/>
            </w:r>
            <w:r>
              <w:rPr>
                <w:rStyle w:val="IndexLink"/>
              </w:rPr>
              <w:t>39</w:t>
            </w:r>
          </w:hyperlink>
        </w:p>
        <w:p>
          <w:pPr>
            <w:pStyle w:val="Contents4"/>
            <w:tabs>
              <w:tab w:val="clear" w:pos="8176"/>
              <w:tab w:val="right" w:pos="9026" w:leader="dot"/>
            </w:tabs>
            <w:rPr/>
          </w:pPr>
          <w:hyperlink w:anchor="__RefHeading___Toc2473774_653776707">
            <w:r>
              <w:rPr>
                <w:webHidden/>
                <w:rStyle w:val="IndexLink"/>
                <w:rtl w:val="true"/>
              </w:rPr>
              <w:t>المبحث الأول تعريف الإجتهاد</w:t>
            </w:r>
            <w:r>
              <w:rPr>
                <w:rStyle w:val="IndexLink"/>
                <w:rtl w:val="true"/>
              </w:rPr>
              <w:tab/>
            </w:r>
            <w:r>
              <w:rPr>
                <w:rStyle w:val="IndexLink"/>
              </w:rPr>
              <w:t>41</w:t>
            </w:r>
          </w:hyperlink>
        </w:p>
        <w:p>
          <w:pPr>
            <w:pStyle w:val="Contents5"/>
            <w:tabs>
              <w:tab w:val="clear" w:pos="7892"/>
              <w:tab w:val="right" w:pos="9026" w:leader="dot"/>
            </w:tabs>
            <w:rPr/>
          </w:pPr>
          <w:hyperlink w:anchor="__RefHeading___Toc2473776_653776707">
            <w:r>
              <w:rPr>
                <w:webHidden/>
                <w:rStyle w:val="IndexLink"/>
              </w:rPr>
              <w:t>1</w:t>
            </w:r>
            <w:r>
              <w:rPr>
                <w:rStyle w:val="IndexLink"/>
                <w:rtl w:val="true"/>
              </w:rPr>
              <w:t xml:space="preserve">) </w:t>
            </w:r>
            <w:r>
              <w:rPr>
                <w:rStyle w:val="IndexLink"/>
                <w:rtl w:val="true"/>
              </w:rPr>
              <w:t>الإجتهاد لغةً</w:t>
            </w:r>
            <w:r>
              <w:rPr>
                <w:rStyle w:val="IndexLink"/>
                <w:rtl w:val="true"/>
              </w:rPr>
              <w:t>:</w:t>
              <w:tab/>
            </w:r>
            <w:r>
              <w:rPr>
                <w:rStyle w:val="IndexLink"/>
              </w:rPr>
              <w:t>41</w:t>
            </w:r>
          </w:hyperlink>
        </w:p>
        <w:p>
          <w:pPr>
            <w:pStyle w:val="Contents5"/>
            <w:tabs>
              <w:tab w:val="clear" w:pos="7892"/>
              <w:tab w:val="right" w:pos="9026" w:leader="dot"/>
            </w:tabs>
            <w:rPr/>
          </w:pPr>
          <w:hyperlink w:anchor="__RefHeading___Toc2473778_653776707">
            <w:r>
              <w:rPr>
                <w:webHidden/>
                <w:rStyle w:val="IndexLink"/>
              </w:rPr>
              <w:t>2</w:t>
            </w:r>
            <w:r>
              <w:rPr>
                <w:rStyle w:val="IndexLink"/>
                <w:rtl w:val="true"/>
              </w:rPr>
              <w:t xml:space="preserve">) </w:t>
            </w:r>
            <w:r>
              <w:rPr>
                <w:rStyle w:val="IndexLink"/>
                <w:rtl w:val="true"/>
              </w:rPr>
              <w:t>الإجتهاد اصطلاحاً</w:t>
            </w:r>
            <w:r>
              <w:rPr>
                <w:rStyle w:val="IndexLink"/>
                <w:rtl w:val="true"/>
              </w:rPr>
              <w:t>:</w:t>
              <w:tab/>
            </w:r>
            <w:r>
              <w:rPr>
                <w:rStyle w:val="IndexLink"/>
              </w:rPr>
              <w:t>43</w:t>
            </w:r>
          </w:hyperlink>
        </w:p>
        <w:p>
          <w:pPr>
            <w:pStyle w:val="Contents6"/>
            <w:tabs>
              <w:tab w:val="clear" w:pos="7609"/>
              <w:tab w:val="right" w:pos="9026" w:leader="dot"/>
            </w:tabs>
            <w:rPr/>
          </w:pPr>
          <w:hyperlink w:anchor="__RefHeading___Toc2473780_653776707">
            <w:r>
              <w:rPr>
                <w:webHidden/>
                <w:rStyle w:val="IndexLink"/>
                <w:rtl w:val="true"/>
              </w:rPr>
              <w:t>اشارة</w:t>
            </w:r>
            <w:r>
              <w:rPr>
                <w:rStyle w:val="IndexLink"/>
                <w:rtl w:val="true"/>
              </w:rPr>
              <w:tab/>
            </w:r>
            <w:r>
              <w:rPr>
                <w:rStyle w:val="IndexLink"/>
              </w:rPr>
              <w:t>43</w:t>
            </w:r>
          </w:hyperlink>
        </w:p>
        <w:p>
          <w:pPr>
            <w:pStyle w:val="Contents6"/>
            <w:tabs>
              <w:tab w:val="clear" w:pos="7609"/>
              <w:tab w:val="right" w:pos="9026" w:leader="dot"/>
            </w:tabs>
            <w:rPr/>
          </w:pPr>
          <w:hyperlink w:anchor="__RefHeading___Toc2473782_653776707">
            <w:r>
              <w:rPr>
                <w:webHidden/>
                <w:rStyle w:val="IndexLink"/>
                <w:rtl w:val="true"/>
              </w:rPr>
              <w:t>الأول</w:t>
            </w:r>
            <w:r>
              <w:rPr>
                <w:rStyle w:val="IndexLink"/>
                <w:rtl w:val="true"/>
              </w:rPr>
              <w:t xml:space="preserve">: </w:t>
            </w:r>
            <w:r>
              <w:rPr>
                <w:rStyle w:val="IndexLink"/>
                <w:rtl w:val="true"/>
              </w:rPr>
              <w:t>القياس الفقهي</w:t>
            </w:r>
            <w:r>
              <w:rPr>
                <w:rStyle w:val="IndexLink"/>
                <w:rtl w:val="true"/>
              </w:rPr>
              <w:tab/>
            </w:r>
            <w:r>
              <w:rPr>
                <w:rStyle w:val="IndexLink"/>
              </w:rPr>
              <w:t>43</w:t>
            </w:r>
          </w:hyperlink>
        </w:p>
        <w:p>
          <w:pPr>
            <w:pStyle w:val="Contents6"/>
            <w:tabs>
              <w:tab w:val="clear" w:pos="7609"/>
              <w:tab w:val="right" w:pos="9026" w:leader="dot"/>
            </w:tabs>
            <w:rPr/>
          </w:pPr>
          <w:hyperlink w:anchor="__RefHeading___Toc2473784_653776707">
            <w:r>
              <w:rPr>
                <w:webHidden/>
                <w:rStyle w:val="IndexLink"/>
                <w:rtl w:val="true"/>
              </w:rPr>
              <w:t>الثاني</w:t>
            </w:r>
            <w:r>
              <w:rPr>
                <w:rStyle w:val="IndexLink"/>
                <w:rtl w:val="true"/>
              </w:rPr>
              <w:t xml:space="preserve">: </w:t>
            </w:r>
            <w:r>
              <w:rPr>
                <w:rStyle w:val="IndexLink"/>
                <w:rtl w:val="true"/>
              </w:rPr>
              <w:t>العمل بالرأي والنظر الشخصي</w:t>
            </w:r>
            <w:r>
              <w:rPr>
                <w:rStyle w:val="IndexLink"/>
                <w:rtl w:val="true"/>
              </w:rPr>
              <w:tab/>
            </w:r>
            <w:r>
              <w:rPr>
                <w:rStyle w:val="IndexLink"/>
              </w:rPr>
              <w:t>43</w:t>
            </w:r>
          </w:hyperlink>
        </w:p>
        <w:p>
          <w:pPr>
            <w:pStyle w:val="Contents6"/>
            <w:tabs>
              <w:tab w:val="clear" w:pos="7609"/>
              <w:tab w:val="right" w:pos="9026" w:leader="dot"/>
            </w:tabs>
            <w:rPr/>
          </w:pPr>
          <w:hyperlink w:anchor="__RefHeading___Toc2473786_653776707">
            <w:r>
              <w:rPr>
                <w:webHidden/>
                <w:rStyle w:val="IndexLink"/>
                <w:rtl w:val="true"/>
              </w:rPr>
              <w:t>الثالث</w:t>
            </w:r>
            <w:r>
              <w:rPr>
                <w:rStyle w:val="IndexLink"/>
                <w:rtl w:val="true"/>
              </w:rPr>
              <w:t xml:space="preserve">: </w:t>
            </w:r>
            <w:r>
              <w:rPr>
                <w:rStyle w:val="IndexLink"/>
                <w:rtl w:val="true"/>
              </w:rPr>
              <w:t>إستكشاف الحكم من أدلّة الشرع</w:t>
            </w:r>
            <w:r>
              <w:rPr>
                <w:rStyle w:val="IndexLink"/>
                <w:rtl w:val="true"/>
              </w:rPr>
              <w:tab/>
            </w:r>
            <w:r>
              <w:rPr>
                <w:rStyle w:val="IndexLink"/>
              </w:rPr>
              <w:t>45</w:t>
            </w:r>
          </w:hyperlink>
        </w:p>
        <w:p>
          <w:pPr>
            <w:pStyle w:val="Contents6"/>
            <w:tabs>
              <w:tab w:val="clear" w:pos="7609"/>
              <w:tab w:val="right" w:pos="9026" w:leader="dot"/>
            </w:tabs>
            <w:rPr/>
          </w:pPr>
          <w:hyperlink w:anchor="__RefHeading___Toc2473788_653776707">
            <w:r>
              <w:rPr>
                <w:webHidden/>
                <w:rStyle w:val="IndexLink"/>
                <w:rtl w:val="true"/>
              </w:rPr>
              <w:t>وأورد عليه</w:t>
            </w:r>
            <w:r>
              <w:rPr>
                <w:rStyle w:val="IndexLink"/>
                <w:rtl w:val="true"/>
              </w:rPr>
              <w:t>:</w:t>
              <w:tab/>
            </w:r>
            <w:r>
              <w:rPr>
                <w:rStyle w:val="IndexLink"/>
              </w:rPr>
              <w:t>46</w:t>
            </w:r>
          </w:hyperlink>
        </w:p>
        <w:p>
          <w:pPr>
            <w:pStyle w:val="Contents6"/>
            <w:tabs>
              <w:tab w:val="clear" w:pos="7609"/>
              <w:tab w:val="right" w:pos="9026" w:leader="dot"/>
            </w:tabs>
            <w:rPr/>
          </w:pPr>
          <w:hyperlink w:anchor="__RefHeading___Toc2473790_653776707">
            <w:r>
              <w:rPr>
                <w:webHidden/>
                <w:rStyle w:val="IndexLink"/>
                <w:rtl w:val="true"/>
              </w:rPr>
              <w:t>أمور ينبغي التنبيه عليها</w:t>
            </w:r>
            <w:r>
              <w:rPr>
                <w:rStyle w:val="IndexLink"/>
                <w:rtl w:val="true"/>
              </w:rPr>
              <w:t>:</w:t>
              <w:tab/>
            </w:r>
            <w:r>
              <w:rPr>
                <w:rStyle w:val="IndexLink"/>
              </w:rPr>
              <w:t>51</w:t>
            </w:r>
          </w:hyperlink>
        </w:p>
        <w:p>
          <w:pPr>
            <w:pStyle w:val="Contents6"/>
            <w:tabs>
              <w:tab w:val="clear" w:pos="7609"/>
              <w:tab w:val="right" w:pos="9026" w:leader="dot"/>
            </w:tabs>
            <w:rPr/>
          </w:pPr>
          <w:hyperlink w:anchor="__RefHeading___Toc2473792_653776707">
            <w:r>
              <w:rPr>
                <w:webHidden/>
                <w:rStyle w:val="IndexLink"/>
                <w:rtl w:val="true"/>
              </w:rPr>
              <w:t>الأمر الأول</w:t>
            </w:r>
            <w:r>
              <w:rPr>
                <w:rStyle w:val="IndexLink"/>
                <w:rtl w:val="true"/>
              </w:rPr>
              <w:t xml:space="preserve">: </w:t>
            </w:r>
            <w:r>
              <w:rPr>
                <w:rStyle w:val="IndexLink"/>
                <w:rtl w:val="true"/>
              </w:rPr>
              <w:t>أركان الإجتهاد</w:t>
            </w:r>
            <w:r>
              <w:rPr>
                <w:rStyle w:val="IndexLink"/>
                <w:rtl w:val="true"/>
              </w:rPr>
              <w:tab/>
            </w:r>
            <w:r>
              <w:rPr>
                <w:rStyle w:val="IndexLink"/>
              </w:rPr>
              <w:t>52</w:t>
            </w:r>
          </w:hyperlink>
        </w:p>
        <w:p>
          <w:pPr>
            <w:pStyle w:val="Contents6"/>
            <w:tabs>
              <w:tab w:val="clear" w:pos="7609"/>
              <w:tab w:val="right" w:pos="9026" w:leader="dot"/>
            </w:tabs>
            <w:rPr/>
          </w:pPr>
          <w:hyperlink w:anchor="__RefHeading___Toc2473794_653776707">
            <w:r>
              <w:rPr>
                <w:webHidden/>
                <w:rStyle w:val="IndexLink"/>
                <w:rtl w:val="true"/>
              </w:rPr>
              <w:t>الأمر الثاني</w:t>
            </w:r>
            <w:r>
              <w:rPr>
                <w:rStyle w:val="IndexLink"/>
                <w:rtl w:val="true"/>
              </w:rPr>
              <w:t xml:space="preserve">: </w:t>
            </w:r>
            <w:r>
              <w:rPr>
                <w:rStyle w:val="IndexLink"/>
                <w:rtl w:val="true"/>
              </w:rPr>
              <w:t>الإجتهاد وحدود دائرته</w:t>
            </w:r>
            <w:r>
              <w:rPr>
                <w:rStyle w:val="IndexLink"/>
                <w:rtl w:val="true"/>
              </w:rPr>
              <w:tab/>
            </w:r>
            <w:r>
              <w:rPr>
                <w:rStyle w:val="IndexLink"/>
              </w:rPr>
              <w:t>52</w:t>
            </w:r>
          </w:hyperlink>
        </w:p>
        <w:p>
          <w:pPr>
            <w:pStyle w:val="Contents6"/>
            <w:tabs>
              <w:tab w:val="clear" w:pos="7609"/>
              <w:tab w:val="right" w:pos="9026" w:leader="dot"/>
            </w:tabs>
            <w:rPr/>
          </w:pPr>
          <w:hyperlink w:anchor="__RefHeading___Toc2473796_653776707">
            <w:r>
              <w:rPr>
                <w:webHidden/>
                <w:rStyle w:val="IndexLink"/>
                <w:rtl w:val="true"/>
              </w:rPr>
              <w:t>الأمر الثالث</w:t>
            </w:r>
            <w:r>
              <w:rPr>
                <w:rStyle w:val="IndexLink"/>
                <w:rtl w:val="true"/>
              </w:rPr>
              <w:t xml:space="preserve">: </w:t>
            </w:r>
            <w:r>
              <w:rPr>
                <w:rStyle w:val="IndexLink"/>
                <w:rtl w:val="true"/>
              </w:rPr>
              <w:t>أقسام الإجتهاد</w:t>
            </w:r>
            <w:r>
              <w:rPr>
                <w:rStyle w:val="IndexLink"/>
                <w:rtl w:val="true"/>
              </w:rPr>
              <w:tab/>
            </w:r>
            <w:r>
              <w:rPr>
                <w:rStyle w:val="IndexLink"/>
              </w:rPr>
              <w:t>53</w:t>
            </w:r>
          </w:hyperlink>
        </w:p>
        <w:p>
          <w:pPr>
            <w:pStyle w:val="Contents6"/>
            <w:tabs>
              <w:tab w:val="clear" w:pos="7609"/>
              <w:tab w:val="right" w:pos="9026" w:leader="dot"/>
            </w:tabs>
            <w:rPr/>
          </w:pPr>
          <w:hyperlink w:anchor="__RefHeading___Toc2473798_653776707">
            <w:r>
              <w:rPr>
                <w:webHidden/>
                <w:rStyle w:val="IndexLink"/>
                <w:rtl w:val="true"/>
              </w:rPr>
              <w:t>الأمر الرابع</w:t>
            </w:r>
            <w:r>
              <w:rPr>
                <w:rStyle w:val="IndexLink"/>
                <w:rtl w:val="true"/>
              </w:rPr>
              <w:t xml:space="preserve">: </w:t>
            </w:r>
            <w:r>
              <w:rPr>
                <w:rStyle w:val="IndexLink"/>
                <w:rtl w:val="true"/>
              </w:rPr>
              <w:t>الاخبارية والإجتهاد</w:t>
            </w:r>
            <w:r>
              <w:rPr>
                <w:rStyle w:val="IndexLink"/>
                <w:rtl w:val="true"/>
              </w:rPr>
              <w:tab/>
            </w:r>
            <w:r>
              <w:rPr>
                <w:rStyle w:val="IndexLink"/>
              </w:rPr>
              <w:t>56</w:t>
            </w:r>
          </w:hyperlink>
        </w:p>
        <w:p>
          <w:pPr>
            <w:pStyle w:val="Contents4"/>
            <w:tabs>
              <w:tab w:val="clear" w:pos="8176"/>
              <w:tab w:val="right" w:pos="9026" w:leader="dot"/>
            </w:tabs>
            <w:rPr/>
          </w:pPr>
          <w:hyperlink w:anchor="__RefHeading___Toc2473800_653776707">
            <w:r>
              <w:rPr>
                <w:webHidden/>
                <w:rStyle w:val="IndexLink"/>
                <w:rtl w:val="true"/>
              </w:rPr>
              <w:t>المبحث الثاني التعريف بالمنهج</w:t>
            </w:r>
            <w:r>
              <w:rPr>
                <w:rStyle w:val="IndexLink"/>
                <w:rtl w:val="true"/>
              </w:rPr>
              <w:tab/>
            </w:r>
            <w:r>
              <w:rPr>
                <w:rStyle w:val="IndexLink"/>
              </w:rPr>
              <w:t>59</w:t>
            </w:r>
          </w:hyperlink>
        </w:p>
        <w:p>
          <w:pPr>
            <w:pStyle w:val="Contents5"/>
            <w:tabs>
              <w:tab w:val="clear" w:pos="7892"/>
              <w:tab w:val="right" w:pos="9026" w:leader="dot"/>
            </w:tabs>
            <w:rPr/>
          </w:pPr>
          <w:hyperlink w:anchor="__RefHeading___Toc2473802_653776707">
            <w:r>
              <w:rPr>
                <w:webHidden/>
                <w:rStyle w:val="IndexLink"/>
              </w:rPr>
              <w:t>1</w:t>
            </w:r>
            <w:r>
              <w:rPr>
                <w:rStyle w:val="IndexLink"/>
                <w:rtl w:val="true"/>
              </w:rPr>
              <w:t xml:space="preserve">) </w:t>
            </w:r>
            <w:r>
              <w:rPr>
                <w:rStyle w:val="IndexLink"/>
                <w:rtl w:val="true"/>
              </w:rPr>
              <w:t>المنهج لغةً</w:t>
            </w:r>
            <w:r>
              <w:rPr>
                <w:rStyle w:val="IndexLink"/>
                <w:rtl w:val="true"/>
              </w:rPr>
              <w:t>:</w:t>
              <w:tab/>
            </w:r>
            <w:r>
              <w:rPr>
                <w:rStyle w:val="IndexLink"/>
              </w:rPr>
              <w:t>59</w:t>
            </w:r>
          </w:hyperlink>
        </w:p>
        <w:p>
          <w:pPr>
            <w:pStyle w:val="Contents5"/>
            <w:tabs>
              <w:tab w:val="clear" w:pos="7892"/>
              <w:tab w:val="right" w:pos="9026" w:leader="dot"/>
            </w:tabs>
            <w:rPr/>
          </w:pPr>
          <w:hyperlink w:anchor="__RefHeading___Toc2473804_653776707">
            <w:r>
              <w:rPr>
                <w:webHidden/>
                <w:rStyle w:val="IndexLink"/>
              </w:rPr>
              <w:t>2</w:t>
            </w:r>
            <w:r>
              <w:rPr>
                <w:rStyle w:val="IndexLink"/>
                <w:rtl w:val="true"/>
              </w:rPr>
              <w:t xml:space="preserve">) </w:t>
            </w:r>
            <w:r>
              <w:rPr>
                <w:rStyle w:val="IndexLink"/>
                <w:rtl w:val="true"/>
              </w:rPr>
              <w:t>المنهج إصطلاحاً</w:t>
            </w:r>
            <w:r>
              <w:rPr>
                <w:rStyle w:val="IndexLink"/>
                <w:rtl w:val="true"/>
              </w:rPr>
              <w:t>:</w:t>
              <w:tab/>
            </w:r>
            <w:r>
              <w:rPr>
                <w:rStyle w:val="IndexLink"/>
              </w:rPr>
              <w:t>60</w:t>
            </w:r>
          </w:hyperlink>
        </w:p>
        <w:p>
          <w:pPr>
            <w:pStyle w:val="Contents4"/>
            <w:tabs>
              <w:tab w:val="clear" w:pos="8176"/>
              <w:tab w:val="right" w:pos="9026" w:leader="dot"/>
            </w:tabs>
            <w:rPr/>
          </w:pPr>
          <w:hyperlink w:anchor="__RefHeading___Toc2473806_653776707">
            <w:r>
              <w:rPr>
                <w:webHidden/>
                <w:rStyle w:val="IndexLink"/>
                <w:rtl w:val="true"/>
              </w:rPr>
              <w:t>المبحث الثالث التعريف بالمدارس والمذاهب</w:t>
            </w:r>
            <w:r>
              <w:rPr>
                <w:rStyle w:val="IndexLink"/>
                <w:rtl w:val="true"/>
              </w:rPr>
              <w:tab/>
            </w:r>
            <w:r>
              <w:rPr>
                <w:rStyle w:val="IndexLink"/>
              </w:rPr>
              <w:t>63</w:t>
            </w:r>
          </w:hyperlink>
        </w:p>
        <w:p>
          <w:pPr>
            <w:pStyle w:val="Contents5"/>
            <w:tabs>
              <w:tab w:val="clear" w:pos="7892"/>
              <w:tab w:val="right" w:pos="9026" w:leader="dot"/>
            </w:tabs>
            <w:rPr/>
          </w:pPr>
          <w:hyperlink w:anchor="__RefHeading___Toc2473808_653776707">
            <w:r>
              <w:rPr>
                <w:webHidden/>
                <w:rStyle w:val="IndexLink"/>
              </w:rPr>
              <w:t>1</w:t>
            </w:r>
            <w:r>
              <w:rPr>
                <w:rStyle w:val="IndexLink"/>
                <w:rtl w:val="true"/>
              </w:rPr>
              <w:t xml:space="preserve">) </w:t>
            </w:r>
            <w:r>
              <w:rPr>
                <w:rStyle w:val="IndexLink"/>
                <w:rtl w:val="true"/>
              </w:rPr>
              <w:t>المدرسِة لغةً</w:t>
            </w:r>
            <w:r>
              <w:rPr>
                <w:rStyle w:val="IndexLink"/>
                <w:rtl w:val="true"/>
              </w:rPr>
              <w:t>:</w:t>
              <w:tab/>
            </w:r>
            <w:r>
              <w:rPr>
                <w:rStyle w:val="IndexLink"/>
              </w:rPr>
              <w:t>63</w:t>
            </w:r>
          </w:hyperlink>
        </w:p>
        <w:p>
          <w:pPr>
            <w:pStyle w:val="Contents5"/>
            <w:tabs>
              <w:tab w:val="clear" w:pos="7892"/>
              <w:tab w:val="right" w:pos="9026" w:leader="dot"/>
            </w:tabs>
            <w:rPr/>
          </w:pPr>
          <w:hyperlink w:anchor="__RefHeading___Toc2473810_653776707">
            <w:r>
              <w:rPr>
                <w:webHidden/>
                <w:rStyle w:val="IndexLink"/>
              </w:rPr>
              <w:t>2</w:t>
            </w:r>
            <w:r>
              <w:rPr>
                <w:rStyle w:val="IndexLink"/>
                <w:rtl w:val="true"/>
              </w:rPr>
              <w:t xml:space="preserve">) </w:t>
            </w:r>
            <w:r>
              <w:rPr>
                <w:rStyle w:val="IndexLink"/>
                <w:rtl w:val="true"/>
              </w:rPr>
              <w:t>المدارس اصطلاحاً</w:t>
            </w:r>
            <w:r>
              <w:rPr>
                <w:rStyle w:val="IndexLink"/>
                <w:rtl w:val="true"/>
              </w:rPr>
              <w:t>:</w:t>
              <w:tab/>
            </w:r>
            <w:r>
              <w:rPr>
                <w:rStyle w:val="IndexLink"/>
              </w:rPr>
              <w:t>64</w:t>
            </w:r>
          </w:hyperlink>
        </w:p>
        <w:p>
          <w:pPr>
            <w:pStyle w:val="Contents5"/>
            <w:tabs>
              <w:tab w:val="clear" w:pos="7892"/>
              <w:tab w:val="right" w:pos="9026" w:leader="dot"/>
            </w:tabs>
            <w:rPr/>
          </w:pPr>
          <w:hyperlink w:anchor="__RefHeading___Toc2473812_653776707">
            <w:r>
              <w:rPr>
                <w:webHidden/>
                <w:rStyle w:val="IndexLink"/>
              </w:rPr>
              <w:t>3</w:t>
            </w:r>
            <w:r>
              <w:rPr>
                <w:rStyle w:val="IndexLink"/>
                <w:rtl w:val="true"/>
              </w:rPr>
              <w:t xml:space="preserve">) </w:t>
            </w:r>
            <w:r>
              <w:rPr>
                <w:rStyle w:val="IndexLink"/>
                <w:rtl w:val="true"/>
              </w:rPr>
              <w:t>المذهب لغةً وإصطلاحاً</w:t>
            </w:r>
            <w:r>
              <w:rPr>
                <w:rStyle w:val="IndexLink"/>
                <w:rtl w:val="true"/>
              </w:rPr>
              <w:t>:</w:t>
              <w:tab/>
            </w:r>
            <w:r>
              <w:rPr>
                <w:rStyle w:val="IndexLink"/>
              </w:rPr>
              <w:t>64</w:t>
            </w:r>
          </w:hyperlink>
        </w:p>
        <w:p>
          <w:pPr>
            <w:pStyle w:val="Contents4"/>
            <w:tabs>
              <w:tab w:val="clear" w:pos="8176"/>
              <w:tab w:val="right" w:pos="9026" w:leader="dot"/>
            </w:tabs>
            <w:rPr/>
          </w:pPr>
          <w:hyperlink w:anchor="__RefHeading___Toc2473814_653776707">
            <w:r>
              <w:rPr>
                <w:webHidden/>
                <w:rStyle w:val="IndexLink"/>
                <w:rtl w:val="true"/>
              </w:rPr>
              <w:t>المبحث الرابع التعريف بالمناهج والمدارس</w:t>
            </w:r>
            <w:r>
              <w:rPr>
                <w:rStyle w:val="IndexLink"/>
                <w:rtl w:val="true"/>
              </w:rPr>
              <w:tab/>
            </w:r>
            <w:r>
              <w:rPr>
                <w:rStyle w:val="IndexLink"/>
              </w:rPr>
              <w:t>67</w:t>
            </w:r>
          </w:hyperlink>
        </w:p>
        <w:p>
          <w:pPr>
            <w:pStyle w:val="Contents5"/>
            <w:tabs>
              <w:tab w:val="clear" w:pos="7892"/>
              <w:tab w:val="right" w:pos="9026" w:leader="dot"/>
            </w:tabs>
            <w:rPr/>
          </w:pPr>
          <w:hyperlink w:anchor="__RefHeading___Toc2473816_653776707">
            <w:r>
              <w:rPr>
                <w:webHidden/>
                <w:rStyle w:val="IndexLink"/>
                <w:rtl w:val="true"/>
              </w:rPr>
              <w:t>والمذاهب الإجتهادية</w:t>
            </w:r>
            <w:r>
              <w:rPr>
                <w:rStyle w:val="IndexLink"/>
                <w:rtl w:val="true"/>
              </w:rPr>
              <w:tab/>
            </w:r>
            <w:r>
              <w:rPr>
                <w:rStyle w:val="IndexLink"/>
              </w:rPr>
              <w:t>67</w:t>
            </w:r>
          </w:hyperlink>
        </w:p>
        <w:p>
          <w:pPr>
            <w:pStyle w:val="Contents5"/>
            <w:tabs>
              <w:tab w:val="clear" w:pos="7892"/>
              <w:tab w:val="right" w:pos="9026" w:leader="dot"/>
            </w:tabs>
            <w:rPr/>
          </w:pPr>
          <w:hyperlink w:anchor="__RefHeading___Toc2473818_653776707">
            <w:r>
              <w:rPr>
                <w:webHidden/>
                <w:rStyle w:val="IndexLink"/>
                <w:rtl w:val="true"/>
              </w:rPr>
              <w:t>الأمر الأول</w:t>
            </w:r>
            <w:r>
              <w:rPr>
                <w:rStyle w:val="IndexLink"/>
                <w:rtl w:val="true"/>
              </w:rPr>
              <w:t xml:space="preserve">: </w:t>
            </w:r>
            <w:r>
              <w:rPr>
                <w:rStyle w:val="IndexLink"/>
                <w:rtl w:val="true"/>
              </w:rPr>
              <w:t>الفرق بين مناهج الإجتهاد ومدارسه</w:t>
            </w:r>
            <w:r>
              <w:rPr>
                <w:rStyle w:val="IndexLink"/>
                <w:rtl w:val="true"/>
              </w:rPr>
              <w:tab/>
            </w:r>
            <w:r>
              <w:rPr>
                <w:rStyle w:val="IndexLink"/>
              </w:rPr>
              <w:t>67</w:t>
            </w:r>
          </w:hyperlink>
        </w:p>
        <w:p>
          <w:pPr>
            <w:pStyle w:val="Contents6"/>
            <w:tabs>
              <w:tab w:val="clear" w:pos="7609"/>
              <w:tab w:val="right" w:pos="9026" w:leader="dot"/>
            </w:tabs>
            <w:rPr/>
          </w:pPr>
          <w:hyperlink w:anchor="__RefHeading___Toc2473820_653776707">
            <w:r>
              <w:rPr>
                <w:webHidden/>
                <w:rStyle w:val="IndexLink"/>
                <w:rtl w:val="true"/>
              </w:rPr>
              <w:t>اشارة</w:t>
            </w:r>
            <w:r>
              <w:rPr>
                <w:rStyle w:val="IndexLink"/>
                <w:rtl w:val="true"/>
              </w:rPr>
              <w:tab/>
            </w:r>
            <w:r>
              <w:rPr>
                <w:rStyle w:val="IndexLink"/>
              </w:rPr>
              <w:t>67</w:t>
            </w:r>
          </w:hyperlink>
        </w:p>
        <w:p>
          <w:pPr>
            <w:pStyle w:val="Contents6"/>
            <w:tabs>
              <w:tab w:val="clear" w:pos="7609"/>
              <w:tab w:val="right" w:pos="9026" w:leader="dot"/>
            </w:tabs>
            <w:rPr/>
          </w:pPr>
          <w:hyperlink w:anchor="__RefHeading___Toc2473822_653776707">
            <w:r>
              <w:rPr>
                <w:webHidden/>
                <w:rStyle w:val="IndexLink"/>
                <w:rtl w:val="true"/>
              </w:rPr>
              <w:t>أ</w:t>
            </w:r>
            <w:r>
              <w:rPr>
                <w:rStyle w:val="IndexLink"/>
                <w:rtl w:val="true"/>
              </w:rPr>
              <w:t xml:space="preserve">) </w:t>
            </w:r>
            <w:r>
              <w:rPr>
                <w:rStyle w:val="IndexLink"/>
                <w:rtl w:val="true"/>
              </w:rPr>
              <w:t>المناهج التي يكون منشأ اختلافها راجعاً إلى اختلاف الأصول والمباني</w:t>
            </w:r>
            <w:r>
              <w:rPr>
                <w:rStyle w:val="IndexLink"/>
                <w:rtl w:val="true"/>
              </w:rPr>
              <w:tab/>
            </w:r>
            <w:r>
              <w:rPr>
                <w:rStyle w:val="IndexLink"/>
              </w:rPr>
              <w:t>67</w:t>
            </w:r>
          </w:hyperlink>
        </w:p>
        <w:p>
          <w:pPr>
            <w:pStyle w:val="Contents6"/>
            <w:tabs>
              <w:tab w:val="clear" w:pos="7609"/>
              <w:tab w:val="right" w:pos="9026" w:leader="dot"/>
            </w:tabs>
            <w:rPr/>
          </w:pPr>
          <w:hyperlink w:anchor="__RefHeading___Toc2473824_653776707">
            <w:r>
              <w:rPr>
                <w:webHidden/>
                <w:rStyle w:val="IndexLink"/>
                <w:rtl w:val="true"/>
              </w:rPr>
              <w:t>ب</w:t>
            </w:r>
            <w:r>
              <w:rPr>
                <w:rStyle w:val="IndexLink"/>
                <w:rtl w:val="true"/>
              </w:rPr>
              <w:t xml:space="preserve">) </w:t>
            </w:r>
            <w:r>
              <w:rPr>
                <w:rStyle w:val="IndexLink"/>
                <w:rtl w:val="true"/>
              </w:rPr>
              <w:t>المناهج التي يكون منشأ اختلافها راجعاً إلى الاختلاف في نفس المنهج</w:t>
            </w:r>
            <w:r>
              <w:rPr>
                <w:rStyle w:val="IndexLink"/>
                <w:rtl w:val="true"/>
              </w:rPr>
              <w:t>:</w:t>
              <w:tab/>
            </w:r>
            <w:r>
              <w:rPr>
                <w:rStyle w:val="IndexLink"/>
              </w:rPr>
              <w:t>68</w:t>
            </w:r>
          </w:hyperlink>
        </w:p>
        <w:p>
          <w:pPr>
            <w:pStyle w:val="Contents5"/>
            <w:tabs>
              <w:tab w:val="clear" w:pos="7892"/>
              <w:tab w:val="right" w:pos="9026" w:leader="dot"/>
            </w:tabs>
            <w:rPr/>
          </w:pPr>
          <w:hyperlink w:anchor="__RefHeading___Toc2473826_653776707">
            <w:r>
              <w:rPr>
                <w:webHidden/>
                <w:rStyle w:val="IndexLink"/>
                <w:rtl w:val="true"/>
              </w:rPr>
              <w:t>الأمر الثاني</w:t>
            </w:r>
            <w:r>
              <w:rPr>
                <w:rStyle w:val="IndexLink"/>
                <w:rtl w:val="true"/>
              </w:rPr>
              <w:t xml:space="preserve">: </w:t>
            </w:r>
            <w:r>
              <w:rPr>
                <w:rStyle w:val="IndexLink"/>
                <w:rtl w:val="true"/>
              </w:rPr>
              <w:t>الفرق بين المدارس والمذاهب</w:t>
            </w:r>
            <w:r>
              <w:rPr>
                <w:rStyle w:val="IndexLink"/>
                <w:rtl w:val="true"/>
              </w:rPr>
              <w:tab/>
            </w:r>
            <w:r>
              <w:rPr>
                <w:rStyle w:val="IndexLink"/>
              </w:rPr>
              <w:t>69</w:t>
            </w:r>
          </w:hyperlink>
        </w:p>
        <w:p>
          <w:pPr>
            <w:pStyle w:val="Contents4"/>
            <w:tabs>
              <w:tab w:val="clear" w:pos="8176"/>
              <w:tab w:val="right" w:pos="9026" w:leader="dot"/>
            </w:tabs>
            <w:rPr/>
          </w:pPr>
          <w:hyperlink w:anchor="__RefHeading___Toc2473828_653776707">
            <w:r>
              <w:rPr>
                <w:webHidden/>
                <w:rStyle w:val="IndexLink"/>
                <w:rtl w:val="true"/>
              </w:rPr>
              <w:t>المبحث الخامس الإشارة إلى ضرورة البحث وأهميته</w:t>
            </w:r>
            <w:r>
              <w:rPr>
                <w:rStyle w:val="IndexLink"/>
                <w:rtl w:val="true"/>
              </w:rPr>
              <w:tab/>
            </w:r>
            <w:r>
              <w:rPr>
                <w:rStyle w:val="IndexLink"/>
              </w:rPr>
              <w:t>71</w:t>
            </w:r>
          </w:hyperlink>
        </w:p>
        <w:p>
          <w:pPr>
            <w:pStyle w:val="Contents4"/>
            <w:tabs>
              <w:tab w:val="clear" w:pos="8176"/>
              <w:tab w:val="right" w:pos="9026" w:leader="dot"/>
            </w:tabs>
            <w:rPr/>
          </w:pPr>
          <w:hyperlink w:anchor="__RefHeading___Toc2473830_653776707">
            <w:r>
              <w:rPr>
                <w:webHidden/>
                <w:rStyle w:val="IndexLink"/>
                <w:rtl w:val="true"/>
              </w:rPr>
              <w:t>المبحث السادس نشأة المدارس وأسباب الخلاف</w:t>
            </w:r>
            <w:r>
              <w:rPr>
                <w:rStyle w:val="IndexLink"/>
                <w:rtl w:val="true"/>
              </w:rPr>
              <w:tab/>
            </w:r>
            <w:r>
              <w:rPr>
                <w:rStyle w:val="IndexLink"/>
              </w:rPr>
              <w:t>75</w:t>
            </w:r>
          </w:hyperlink>
        </w:p>
        <w:p>
          <w:pPr>
            <w:pStyle w:val="Contents4"/>
            <w:tabs>
              <w:tab w:val="clear" w:pos="8176"/>
              <w:tab w:val="right" w:pos="9026" w:leader="dot"/>
            </w:tabs>
            <w:rPr/>
          </w:pPr>
          <w:hyperlink w:anchor="__RefHeading___Toc2473832_653776707">
            <w:r>
              <w:rPr>
                <w:webHidden/>
                <w:rStyle w:val="IndexLink"/>
                <w:rtl w:val="true"/>
              </w:rPr>
              <w:t>تمهيد</w:t>
            </w:r>
            <w:r>
              <w:rPr>
                <w:rStyle w:val="IndexLink"/>
                <w:rtl w:val="true"/>
              </w:rPr>
              <w:t>:</w:t>
              <w:tab/>
            </w:r>
            <w:r>
              <w:rPr>
                <w:rStyle w:val="IndexLink"/>
              </w:rPr>
              <w:t>75</w:t>
            </w:r>
          </w:hyperlink>
        </w:p>
        <w:p>
          <w:pPr>
            <w:pStyle w:val="Contents4"/>
            <w:tabs>
              <w:tab w:val="clear" w:pos="8176"/>
              <w:tab w:val="right" w:pos="9026" w:leader="dot"/>
            </w:tabs>
            <w:rPr/>
          </w:pPr>
          <w:hyperlink w:anchor="__RefHeading___Toc2473834_653776707">
            <w:r>
              <w:rPr>
                <w:webHidden/>
                <w:rStyle w:val="IndexLink"/>
                <w:rtl w:val="true"/>
              </w:rPr>
              <w:t>أسباب ظهور الاختلاف</w:t>
            </w:r>
            <w:r>
              <w:rPr>
                <w:rStyle w:val="IndexLink"/>
                <w:rtl w:val="true"/>
              </w:rPr>
              <w:t>:</w:t>
              <w:tab/>
            </w:r>
            <w:r>
              <w:rPr>
                <w:rStyle w:val="IndexLink"/>
              </w:rPr>
              <w:t>79</w:t>
            </w:r>
          </w:hyperlink>
        </w:p>
        <w:p>
          <w:pPr>
            <w:pStyle w:val="Contents4"/>
            <w:tabs>
              <w:tab w:val="clear" w:pos="8176"/>
              <w:tab w:val="right" w:pos="9026" w:leader="dot"/>
            </w:tabs>
            <w:rPr/>
          </w:pPr>
          <w:hyperlink w:anchor="__RefHeading___Toc2473836_653776707">
            <w:r>
              <w:rPr>
                <w:webHidden/>
                <w:rStyle w:val="IndexLink"/>
                <w:rtl w:val="true"/>
              </w:rPr>
              <w:t>نكات مهمة ينبغي الالتفات إليها</w:t>
            </w:r>
            <w:r>
              <w:rPr>
                <w:rStyle w:val="IndexLink"/>
                <w:rtl w:val="true"/>
              </w:rPr>
              <w:t>:</w:t>
              <w:tab/>
            </w:r>
            <w:r>
              <w:rPr>
                <w:rStyle w:val="IndexLink"/>
              </w:rPr>
              <w:t>83</w:t>
            </w:r>
          </w:hyperlink>
        </w:p>
        <w:p>
          <w:pPr>
            <w:pStyle w:val="Contents4"/>
            <w:tabs>
              <w:tab w:val="clear" w:pos="8176"/>
              <w:tab w:val="right" w:pos="9026" w:leader="dot"/>
            </w:tabs>
            <w:rPr/>
          </w:pPr>
          <w:hyperlink w:anchor="__RefHeading___Toc2473838_653776707">
            <w:r>
              <w:rPr>
                <w:webHidden/>
                <w:rStyle w:val="IndexLink"/>
                <w:rtl w:val="true"/>
              </w:rPr>
              <w:t>خلاصة المبحث</w:t>
            </w:r>
            <w:r>
              <w:rPr>
                <w:rStyle w:val="IndexLink"/>
                <w:rtl w:val="true"/>
              </w:rPr>
              <w:tab/>
            </w:r>
            <w:r>
              <w:rPr>
                <w:rStyle w:val="IndexLink"/>
              </w:rPr>
              <w:t>96</w:t>
            </w:r>
          </w:hyperlink>
        </w:p>
        <w:p>
          <w:pPr>
            <w:pStyle w:val="Contents3"/>
            <w:tabs>
              <w:tab w:val="clear" w:pos="8459"/>
              <w:tab w:val="right" w:pos="9026" w:leader="dot"/>
            </w:tabs>
            <w:rPr/>
          </w:pPr>
          <w:hyperlink w:anchor="__RefHeading___Toc2473840_653776707">
            <w:r>
              <w:rPr>
                <w:webHidden/>
                <w:rStyle w:val="IndexLink"/>
                <w:rtl w:val="true"/>
              </w:rPr>
              <w:t>الفصل الثاني أهم المدراس والمذاهب الإجتهادية عند العامة وخصائصها</w:t>
            </w:r>
            <w:r>
              <w:rPr>
                <w:rStyle w:val="IndexLink"/>
                <w:rtl w:val="true"/>
              </w:rPr>
              <w:tab/>
            </w:r>
            <w:r>
              <w:rPr>
                <w:rStyle w:val="IndexLink"/>
              </w:rPr>
              <w:t>97</w:t>
            </w:r>
          </w:hyperlink>
        </w:p>
        <w:p>
          <w:pPr>
            <w:pStyle w:val="Contents4"/>
            <w:tabs>
              <w:tab w:val="clear" w:pos="8176"/>
              <w:tab w:val="right" w:pos="9026" w:leader="dot"/>
            </w:tabs>
            <w:rPr/>
          </w:pPr>
          <w:hyperlink w:anchor="__RefHeading___Toc2473842_653776707">
            <w:r>
              <w:rPr>
                <w:webHidden/>
                <w:rStyle w:val="IndexLink"/>
                <w:rtl w:val="true"/>
              </w:rPr>
              <w:t>اشارة</w:t>
            </w:r>
            <w:r>
              <w:rPr>
                <w:rStyle w:val="IndexLink"/>
                <w:rtl w:val="true"/>
              </w:rPr>
              <w:tab/>
            </w:r>
            <w:r>
              <w:rPr>
                <w:rStyle w:val="IndexLink"/>
              </w:rPr>
              <w:t>97</w:t>
            </w:r>
          </w:hyperlink>
        </w:p>
        <w:p>
          <w:pPr>
            <w:pStyle w:val="Contents4"/>
            <w:tabs>
              <w:tab w:val="clear" w:pos="8176"/>
              <w:tab w:val="right" w:pos="9026" w:leader="dot"/>
            </w:tabs>
            <w:rPr/>
          </w:pPr>
          <w:hyperlink w:anchor="__RefHeading___Toc2473844_653776707">
            <w:r>
              <w:rPr>
                <w:webHidden/>
                <w:rStyle w:val="IndexLink"/>
                <w:rtl w:val="true"/>
              </w:rPr>
              <w:t>تمهيد</w:t>
            </w:r>
            <w:r>
              <w:rPr>
                <w:rStyle w:val="IndexLink"/>
                <w:rtl w:val="true"/>
              </w:rPr>
              <w:t>:</w:t>
              <w:tab/>
            </w:r>
            <w:r>
              <w:rPr>
                <w:rStyle w:val="IndexLink"/>
              </w:rPr>
              <w:t>99</w:t>
            </w:r>
          </w:hyperlink>
        </w:p>
        <w:p>
          <w:pPr>
            <w:pStyle w:val="Contents4"/>
            <w:tabs>
              <w:tab w:val="clear" w:pos="8176"/>
              <w:tab w:val="right" w:pos="9026" w:leader="dot"/>
            </w:tabs>
            <w:rPr/>
          </w:pPr>
          <w:hyperlink w:anchor="__RefHeading___Toc2473846_653776707">
            <w:r>
              <w:rPr>
                <w:webHidden/>
                <w:rStyle w:val="IndexLink"/>
                <w:rtl w:val="true"/>
              </w:rPr>
              <w:t>أهم المشتركات بين مذهب العامة ومذهب الخاصة</w:t>
            </w:r>
            <w:r>
              <w:rPr>
                <w:rStyle w:val="IndexLink"/>
                <w:rtl w:val="true"/>
              </w:rPr>
              <w:t>:</w:t>
              <w:tab/>
            </w:r>
            <w:r>
              <w:rPr>
                <w:rStyle w:val="IndexLink"/>
              </w:rPr>
              <w:t>100</w:t>
            </w:r>
          </w:hyperlink>
        </w:p>
        <w:p>
          <w:pPr>
            <w:pStyle w:val="Contents4"/>
            <w:tabs>
              <w:tab w:val="clear" w:pos="8176"/>
              <w:tab w:val="right" w:pos="9026" w:leader="dot"/>
            </w:tabs>
            <w:rPr/>
          </w:pPr>
          <w:hyperlink w:anchor="__RefHeading___Toc2473848_653776707">
            <w:r>
              <w:rPr>
                <w:webHidden/>
                <w:rStyle w:val="IndexLink"/>
                <w:rtl w:val="true"/>
              </w:rPr>
              <w:t>ظهور المدارس الفقهية عند العامة</w:t>
            </w:r>
            <w:r>
              <w:rPr>
                <w:rStyle w:val="IndexLink"/>
                <w:rtl w:val="true"/>
              </w:rPr>
              <w:tab/>
            </w:r>
            <w:r>
              <w:rPr>
                <w:rStyle w:val="IndexLink"/>
              </w:rPr>
              <w:t>101</w:t>
            </w:r>
          </w:hyperlink>
        </w:p>
        <w:p>
          <w:pPr>
            <w:pStyle w:val="Contents4"/>
            <w:tabs>
              <w:tab w:val="clear" w:pos="8176"/>
              <w:tab w:val="right" w:pos="9026" w:leader="dot"/>
            </w:tabs>
            <w:rPr/>
          </w:pPr>
          <w:hyperlink w:anchor="__RefHeading___Toc2473850_653776707">
            <w:r>
              <w:rPr>
                <w:webHidden/>
                <w:rStyle w:val="IndexLink"/>
                <w:rtl w:val="true"/>
              </w:rPr>
              <w:t>تمهيد</w:t>
            </w:r>
            <w:r>
              <w:rPr>
                <w:rStyle w:val="IndexLink"/>
                <w:rtl w:val="true"/>
              </w:rPr>
              <w:t>:</w:t>
              <w:tab/>
            </w:r>
            <w:r>
              <w:rPr>
                <w:rStyle w:val="IndexLink"/>
              </w:rPr>
              <w:t>101</w:t>
            </w:r>
          </w:hyperlink>
        </w:p>
        <w:p>
          <w:pPr>
            <w:pStyle w:val="Contents4"/>
            <w:tabs>
              <w:tab w:val="clear" w:pos="8176"/>
              <w:tab w:val="right" w:pos="9026" w:leader="dot"/>
            </w:tabs>
            <w:rPr/>
          </w:pPr>
          <w:hyperlink w:anchor="__RefHeading___Toc2473852_653776707">
            <w:r>
              <w:rPr>
                <w:webHidden/>
                <w:rStyle w:val="IndexLink"/>
                <w:rtl w:val="true"/>
              </w:rPr>
              <w:t>المبحث الأول مدرسة الحديث ومنهجها في الإجتهاد</w:t>
            </w:r>
            <w:r>
              <w:rPr>
                <w:rStyle w:val="IndexLink"/>
                <w:rtl w:val="true"/>
              </w:rPr>
              <w:tab/>
            </w:r>
            <w:r>
              <w:rPr>
                <w:rStyle w:val="IndexLink"/>
              </w:rPr>
              <w:t>103</w:t>
            </w:r>
          </w:hyperlink>
        </w:p>
        <w:p>
          <w:pPr>
            <w:pStyle w:val="Contents5"/>
            <w:tabs>
              <w:tab w:val="clear" w:pos="7892"/>
              <w:tab w:val="right" w:pos="9026" w:leader="dot"/>
            </w:tabs>
            <w:rPr/>
          </w:pPr>
          <w:hyperlink w:anchor="__RefHeading___Toc2473854_653776707">
            <w:r>
              <w:rPr>
                <w:webHidden/>
                <w:rStyle w:val="IndexLink"/>
                <w:rtl w:val="true"/>
              </w:rPr>
              <w:t>اشارة</w:t>
            </w:r>
            <w:r>
              <w:rPr>
                <w:rStyle w:val="IndexLink"/>
                <w:rtl w:val="true"/>
              </w:rPr>
              <w:tab/>
            </w:r>
            <w:r>
              <w:rPr>
                <w:rStyle w:val="IndexLink"/>
              </w:rPr>
              <w:t>103</w:t>
            </w:r>
          </w:hyperlink>
        </w:p>
        <w:p>
          <w:pPr>
            <w:pStyle w:val="Contents5"/>
            <w:tabs>
              <w:tab w:val="clear" w:pos="7892"/>
              <w:tab w:val="right" w:pos="9026" w:leader="dot"/>
            </w:tabs>
            <w:rPr/>
          </w:pPr>
          <w:hyperlink w:anchor="__RefHeading___Toc2473856_653776707">
            <w:r>
              <w:rPr>
                <w:webHidden/>
                <w:rStyle w:val="IndexLink"/>
                <w:rtl w:val="true"/>
              </w:rPr>
              <w:t>منهج مدرسة الحديث</w:t>
            </w:r>
            <w:r>
              <w:rPr>
                <w:rStyle w:val="IndexLink"/>
                <w:rtl w:val="true"/>
              </w:rPr>
              <w:t>:</w:t>
              <w:tab/>
            </w:r>
            <w:r>
              <w:rPr>
                <w:rStyle w:val="IndexLink"/>
              </w:rPr>
              <w:t>103</w:t>
            </w:r>
          </w:hyperlink>
        </w:p>
        <w:p>
          <w:pPr>
            <w:pStyle w:val="Contents5"/>
            <w:tabs>
              <w:tab w:val="clear" w:pos="7892"/>
              <w:tab w:val="right" w:pos="9026" w:leader="dot"/>
            </w:tabs>
            <w:rPr/>
          </w:pPr>
          <w:hyperlink w:anchor="__RefHeading___Toc2473858_653776707">
            <w:r>
              <w:rPr>
                <w:webHidden/>
                <w:rStyle w:val="IndexLink"/>
                <w:rtl w:val="true"/>
              </w:rPr>
              <w:t>أقسام أهل الحديث</w:t>
            </w:r>
            <w:r>
              <w:rPr>
                <w:rStyle w:val="IndexLink"/>
                <w:rtl w:val="true"/>
              </w:rPr>
              <w:t>:</w:t>
              <w:tab/>
            </w:r>
            <w:r>
              <w:rPr>
                <w:rStyle w:val="IndexLink"/>
              </w:rPr>
              <w:t>105</w:t>
            </w:r>
          </w:hyperlink>
        </w:p>
        <w:p>
          <w:pPr>
            <w:pStyle w:val="Contents4"/>
            <w:tabs>
              <w:tab w:val="clear" w:pos="8176"/>
              <w:tab w:val="right" w:pos="9026" w:leader="dot"/>
            </w:tabs>
            <w:rPr/>
          </w:pPr>
          <w:hyperlink w:anchor="__RefHeading___Toc2473860_653776707">
            <w:r>
              <w:rPr>
                <w:webHidden/>
                <w:rStyle w:val="IndexLink"/>
                <w:rtl w:val="true"/>
              </w:rPr>
              <w:t>المبحث الثاني مدرسة الرأي ومنهجها في الإجتهاد</w:t>
            </w:r>
            <w:r>
              <w:rPr>
                <w:rStyle w:val="IndexLink"/>
                <w:rtl w:val="true"/>
              </w:rPr>
              <w:tab/>
            </w:r>
            <w:r>
              <w:rPr>
                <w:rStyle w:val="IndexLink"/>
              </w:rPr>
              <w:t>107</w:t>
            </w:r>
          </w:hyperlink>
        </w:p>
        <w:p>
          <w:pPr>
            <w:pStyle w:val="Contents5"/>
            <w:tabs>
              <w:tab w:val="clear" w:pos="7892"/>
              <w:tab w:val="right" w:pos="9026" w:leader="dot"/>
            </w:tabs>
            <w:rPr/>
          </w:pPr>
          <w:hyperlink w:anchor="__RefHeading___Toc2473862_653776707">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2473864_653776707">
            <w:r>
              <w:rPr>
                <w:webHidden/>
                <w:rStyle w:val="IndexLink"/>
                <w:rtl w:val="true"/>
              </w:rPr>
              <w:t>منهج مدرسة الرأي</w:t>
            </w:r>
            <w:r>
              <w:rPr>
                <w:rStyle w:val="IndexLink"/>
                <w:rtl w:val="true"/>
              </w:rPr>
              <w:t>:</w:t>
              <w:tab/>
            </w:r>
            <w:r>
              <w:rPr>
                <w:rStyle w:val="IndexLink"/>
              </w:rPr>
              <w:t>109</w:t>
            </w:r>
          </w:hyperlink>
        </w:p>
        <w:p>
          <w:pPr>
            <w:pStyle w:val="Contents5"/>
            <w:tabs>
              <w:tab w:val="clear" w:pos="7892"/>
              <w:tab w:val="right" w:pos="9026" w:leader="dot"/>
            </w:tabs>
            <w:rPr/>
          </w:pPr>
          <w:hyperlink w:anchor="__RefHeading___Toc2473866_653776707">
            <w:r>
              <w:rPr>
                <w:webHidden/>
                <w:rStyle w:val="IndexLink"/>
                <w:rtl w:val="true"/>
              </w:rPr>
              <w:t>أمران مهمان ينبغي الإشارة إليهما</w:t>
            </w:r>
            <w:r>
              <w:rPr>
                <w:rStyle w:val="IndexLink"/>
                <w:rtl w:val="true"/>
              </w:rPr>
              <w:t>:</w:t>
              <w:tab/>
            </w:r>
            <w:r>
              <w:rPr>
                <w:rStyle w:val="IndexLink"/>
              </w:rPr>
              <w:t>110</w:t>
            </w:r>
          </w:hyperlink>
        </w:p>
        <w:p>
          <w:pPr>
            <w:pStyle w:val="Contents5"/>
            <w:tabs>
              <w:tab w:val="clear" w:pos="7892"/>
              <w:tab w:val="right" w:pos="9026" w:leader="dot"/>
            </w:tabs>
            <w:rPr/>
          </w:pPr>
          <w:hyperlink w:anchor="__RefHeading___Toc2473868_653776707">
            <w:r>
              <w:rPr>
                <w:webHidden/>
                <w:rStyle w:val="IndexLink"/>
                <w:rtl w:val="true"/>
              </w:rPr>
              <w:t>نماذج تطبيقية من فقه أهل الرأي وأهل الحديث</w:t>
            </w:r>
            <w:r>
              <w:rPr>
                <w:rStyle w:val="IndexLink"/>
                <w:rtl w:val="true"/>
              </w:rPr>
              <w:t>:</w:t>
              <w:tab/>
            </w:r>
            <w:r>
              <w:rPr>
                <w:rStyle w:val="IndexLink"/>
              </w:rPr>
              <w:t>110</w:t>
            </w:r>
          </w:hyperlink>
        </w:p>
        <w:p>
          <w:pPr>
            <w:pStyle w:val="Contents6"/>
            <w:tabs>
              <w:tab w:val="clear" w:pos="7609"/>
              <w:tab w:val="right" w:pos="9026" w:leader="dot"/>
            </w:tabs>
            <w:rPr/>
          </w:pPr>
          <w:hyperlink w:anchor="__RefHeading___Toc2473870_653776707">
            <w:r>
              <w:rPr>
                <w:webHidden/>
                <w:rStyle w:val="IndexLink"/>
              </w:rPr>
              <w:t>1</w:t>
            </w:r>
            <w:r>
              <w:rPr>
                <w:rStyle w:val="IndexLink"/>
                <w:rtl w:val="true"/>
              </w:rPr>
              <w:t xml:space="preserve">) </w:t>
            </w:r>
            <w:r>
              <w:rPr>
                <w:rStyle w:val="IndexLink"/>
                <w:rtl w:val="true"/>
              </w:rPr>
              <w:t>القراءة خلف الإمام</w:t>
            </w:r>
            <w:r>
              <w:rPr>
                <w:rStyle w:val="IndexLink"/>
                <w:rtl w:val="true"/>
              </w:rPr>
              <w:t>:</w:t>
              <w:tab/>
            </w:r>
            <w:r>
              <w:rPr>
                <w:rStyle w:val="IndexLink"/>
              </w:rPr>
              <w:t>110</w:t>
            </w:r>
          </w:hyperlink>
        </w:p>
        <w:p>
          <w:pPr>
            <w:pStyle w:val="Contents6"/>
            <w:tabs>
              <w:tab w:val="clear" w:pos="7609"/>
              <w:tab w:val="right" w:pos="9026" w:leader="dot"/>
            </w:tabs>
            <w:rPr/>
          </w:pPr>
          <w:hyperlink w:anchor="__RefHeading___Toc2473872_653776707">
            <w:r>
              <w:rPr>
                <w:webHidden/>
                <w:rStyle w:val="IndexLink"/>
              </w:rPr>
              <w:t>2</w:t>
            </w:r>
            <w:r>
              <w:rPr>
                <w:rStyle w:val="IndexLink"/>
                <w:rtl w:val="true"/>
              </w:rPr>
              <w:t xml:space="preserve">) </w:t>
            </w:r>
            <w:r>
              <w:rPr>
                <w:rStyle w:val="IndexLink"/>
                <w:rtl w:val="true"/>
              </w:rPr>
              <w:t>القضاء بشاهد واحد مع يمين المدعي</w:t>
            </w:r>
            <w:r>
              <w:rPr>
                <w:rStyle w:val="IndexLink"/>
                <w:rtl w:val="true"/>
              </w:rPr>
              <w:t>:</w:t>
              <w:tab/>
            </w:r>
            <w:r>
              <w:rPr>
                <w:rStyle w:val="IndexLink"/>
              </w:rPr>
              <w:t>111</w:t>
            </w:r>
          </w:hyperlink>
        </w:p>
        <w:p>
          <w:pPr>
            <w:pStyle w:val="Contents6"/>
            <w:tabs>
              <w:tab w:val="clear" w:pos="7609"/>
              <w:tab w:val="right" w:pos="9026" w:leader="dot"/>
            </w:tabs>
            <w:rPr/>
          </w:pPr>
          <w:hyperlink w:anchor="__RefHeading___Toc2473874_653776707">
            <w:r>
              <w:rPr>
                <w:webHidden/>
                <w:rStyle w:val="IndexLink"/>
              </w:rPr>
              <w:t>3</w:t>
            </w:r>
            <w:r>
              <w:rPr>
                <w:rStyle w:val="IndexLink"/>
                <w:rtl w:val="true"/>
              </w:rPr>
              <w:t xml:space="preserve">) </w:t>
            </w:r>
            <w:r>
              <w:rPr>
                <w:rStyle w:val="IndexLink"/>
                <w:rtl w:val="true"/>
              </w:rPr>
              <w:t>قضاء المرأة</w:t>
            </w:r>
            <w:r>
              <w:rPr>
                <w:rStyle w:val="IndexLink"/>
                <w:rtl w:val="true"/>
              </w:rPr>
              <w:t>:</w:t>
              <w:tab/>
            </w:r>
            <w:r>
              <w:rPr>
                <w:rStyle w:val="IndexLink"/>
              </w:rPr>
              <w:t>111</w:t>
            </w:r>
          </w:hyperlink>
        </w:p>
        <w:p>
          <w:pPr>
            <w:pStyle w:val="Contents6"/>
            <w:tabs>
              <w:tab w:val="clear" w:pos="7609"/>
              <w:tab w:val="right" w:pos="9026" w:leader="dot"/>
            </w:tabs>
            <w:rPr/>
          </w:pPr>
          <w:hyperlink w:anchor="__RefHeading___Toc2473876_653776707">
            <w:r>
              <w:rPr>
                <w:webHidden/>
                <w:rStyle w:val="IndexLink"/>
              </w:rPr>
              <w:t>4</w:t>
            </w:r>
            <w:r>
              <w:rPr>
                <w:rStyle w:val="IndexLink"/>
                <w:rtl w:val="true"/>
              </w:rPr>
              <w:t xml:space="preserve">) </w:t>
            </w:r>
            <w:r>
              <w:rPr>
                <w:rStyle w:val="IndexLink"/>
                <w:rtl w:val="true"/>
              </w:rPr>
              <w:t>الولاية في عقد الزواج</w:t>
            </w:r>
            <w:r>
              <w:rPr>
                <w:rStyle w:val="IndexLink"/>
                <w:rtl w:val="true"/>
              </w:rPr>
              <w:t>:</w:t>
              <w:tab/>
            </w:r>
            <w:r>
              <w:rPr>
                <w:rStyle w:val="IndexLink"/>
              </w:rPr>
              <w:t>111</w:t>
            </w:r>
          </w:hyperlink>
        </w:p>
        <w:p>
          <w:pPr>
            <w:pStyle w:val="Contents6"/>
            <w:tabs>
              <w:tab w:val="clear" w:pos="7609"/>
              <w:tab w:val="right" w:pos="9026" w:leader="dot"/>
            </w:tabs>
            <w:rPr/>
          </w:pPr>
          <w:hyperlink w:anchor="__RefHeading___Toc2473878_653776707">
            <w:r>
              <w:rPr>
                <w:webHidden/>
                <w:rStyle w:val="IndexLink"/>
              </w:rPr>
              <w:t>5</w:t>
            </w:r>
            <w:r>
              <w:rPr>
                <w:rStyle w:val="IndexLink"/>
                <w:rtl w:val="true"/>
              </w:rPr>
              <w:t xml:space="preserve">) </w:t>
            </w:r>
            <w:r>
              <w:rPr>
                <w:rStyle w:val="IndexLink"/>
                <w:rtl w:val="true"/>
              </w:rPr>
              <w:t>ضمان المصراة</w:t>
            </w:r>
            <w:r>
              <w:rPr>
                <w:rStyle w:val="IndexLink"/>
                <w:rtl w:val="true"/>
              </w:rPr>
              <w:t>:</w:t>
              <w:tab/>
            </w:r>
            <w:r>
              <w:rPr>
                <w:rStyle w:val="IndexLink"/>
              </w:rPr>
              <w:t>112</w:t>
            </w:r>
          </w:hyperlink>
        </w:p>
        <w:p>
          <w:pPr>
            <w:pStyle w:val="Contents6"/>
            <w:tabs>
              <w:tab w:val="clear" w:pos="7609"/>
              <w:tab w:val="right" w:pos="9026" w:leader="dot"/>
            </w:tabs>
            <w:rPr/>
          </w:pPr>
          <w:hyperlink w:anchor="__RefHeading___Toc2473880_653776707">
            <w:r>
              <w:rPr>
                <w:webHidden/>
                <w:rStyle w:val="IndexLink"/>
                <w:rtl w:val="true"/>
              </w:rPr>
              <w:t>خاتمة المطاف</w:t>
            </w:r>
            <w:r>
              <w:rPr>
                <w:rStyle w:val="IndexLink"/>
                <w:rtl w:val="true"/>
              </w:rPr>
              <w:t>:</w:t>
              <w:tab/>
            </w:r>
            <w:r>
              <w:rPr>
                <w:rStyle w:val="IndexLink"/>
              </w:rPr>
              <w:t>112</w:t>
            </w:r>
          </w:hyperlink>
        </w:p>
        <w:p>
          <w:pPr>
            <w:pStyle w:val="Contents5"/>
            <w:tabs>
              <w:tab w:val="clear" w:pos="7892"/>
              <w:tab w:val="right" w:pos="9026" w:leader="dot"/>
            </w:tabs>
            <w:rPr/>
          </w:pPr>
          <w:hyperlink w:anchor="__RefHeading___Toc2473882_653776707">
            <w:r>
              <w:rPr>
                <w:webHidden/>
                <w:rStyle w:val="IndexLink"/>
                <w:rtl w:val="true"/>
              </w:rPr>
              <w:t>موقف الإمامیه من المدرستين المتقدمين</w:t>
            </w:r>
            <w:r>
              <w:rPr>
                <w:rStyle w:val="IndexLink"/>
                <w:rtl w:val="true"/>
              </w:rPr>
              <w:t>:</w:t>
              <w:tab/>
            </w:r>
            <w:r>
              <w:rPr>
                <w:rStyle w:val="IndexLink"/>
              </w:rPr>
              <w:t>113</w:t>
            </w:r>
          </w:hyperlink>
        </w:p>
        <w:p>
          <w:pPr>
            <w:pStyle w:val="Contents4"/>
            <w:tabs>
              <w:tab w:val="clear" w:pos="8176"/>
              <w:tab w:val="right" w:pos="9026" w:leader="dot"/>
            </w:tabs>
            <w:rPr/>
          </w:pPr>
          <w:hyperlink w:anchor="__RefHeading___Toc2473884_653776707">
            <w:r>
              <w:rPr>
                <w:webHidden/>
                <w:rStyle w:val="IndexLink"/>
                <w:rtl w:val="true"/>
              </w:rPr>
              <w:t>المبحث الثالث ظهورالمدارس‌الفقهية</w:t>
            </w:r>
            <w:r>
              <w:rPr>
                <w:rStyle w:val="IndexLink"/>
                <w:rtl w:val="true"/>
              </w:rPr>
              <w:tab/>
            </w:r>
            <w:r>
              <w:rPr>
                <w:rStyle w:val="IndexLink"/>
              </w:rPr>
              <w:t>115</w:t>
            </w:r>
          </w:hyperlink>
        </w:p>
        <w:p>
          <w:pPr>
            <w:pStyle w:val="Contents5"/>
            <w:tabs>
              <w:tab w:val="clear" w:pos="7892"/>
              <w:tab w:val="right" w:pos="9026" w:leader="dot"/>
            </w:tabs>
            <w:rPr/>
          </w:pPr>
          <w:hyperlink w:anchor="__RefHeading___Toc2473886_653776707">
            <w:r>
              <w:rPr>
                <w:webHidden/>
                <w:rStyle w:val="IndexLink"/>
                <w:rtl w:val="true"/>
              </w:rPr>
              <w:t>في ظل مدرسه‌الحديث ومدرسة الرأي</w:t>
            </w:r>
            <w:r>
              <w:rPr>
                <w:rStyle w:val="IndexLink"/>
                <w:rtl w:val="true"/>
              </w:rPr>
              <w:tab/>
            </w:r>
            <w:r>
              <w:rPr>
                <w:rStyle w:val="IndexLink"/>
              </w:rPr>
              <w:t>115</w:t>
            </w:r>
          </w:hyperlink>
        </w:p>
        <w:p>
          <w:pPr>
            <w:pStyle w:val="Contents3"/>
            <w:tabs>
              <w:tab w:val="clear" w:pos="8459"/>
              <w:tab w:val="right" w:pos="9026" w:leader="dot"/>
            </w:tabs>
            <w:rPr/>
          </w:pPr>
          <w:hyperlink w:anchor="__RefHeading___Toc2473888_653776707">
            <w:r>
              <w:rPr>
                <w:webHidden/>
                <w:rStyle w:val="IndexLink"/>
                <w:rtl w:val="true"/>
              </w:rPr>
              <w:t>الفصل الثالث مدرسة أبي حنيفة ومنهجه في الإجتهاد</w:t>
            </w:r>
            <w:r>
              <w:rPr>
                <w:rStyle w:val="IndexLink"/>
                <w:rtl w:val="true"/>
              </w:rPr>
              <w:tab/>
            </w:r>
            <w:r>
              <w:rPr>
                <w:rStyle w:val="IndexLink"/>
              </w:rPr>
              <w:t>117</w:t>
            </w:r>
          </w:hyperlink>
        </w:p>
        <w:p>
          <w:pPr>
            <w:pStyle w:val="Contents4"/>
            <w:tabs>
              <w:tab w:val="clear" w:pos="8176"/>
              <w:tab w:val="right" w:pos="9026" w:leader="dot"/>
            </w:tabs>
            <w:rPr/>
          </w:pPr>
          <w:hyperlink w:anchor="__RefHeading___Toc2473890_653776707">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2473892_653776707">
            <w:r>
              <w:rPr>
                <w:webHidden/>
                <w:rStyle w:val="IndexLink"/>
                <w:rtl w:val="true"/>
              </w:rPr>
              <w:t>محاور البحث</w:t>
            </w:r>
            <w:r>
              <w:rPr>
                <w:rStyle w:val="IndexLink"/>
                <w:rtl w:val="true"/>
              </w:rPr>
              <w:t>:</w:t>
              <w:tab/>
            </w:r>
            <w:r>
              <w:rPr>
                <w:rStyle w:val="IndexLink"/>
              </w:rPr>
              <w:t>119</w:t>
            </w:r>
          </w:hyperlink>
        </w:p>
        <w:p>
          <w:pPr>
            <w:pStyle w:val="Contents5"/>
            <w:tabs>
              <w:tab w:val="clear" w:pos="7892"/>
              <w:tab w:val="right" w:pos="9026" w:leader="dot"/>
            </w:tabs>
            <w:rPr/>
          </w:pPr>
          <w:hyperlink w:anchor="__RefHeading___Toc2473894_653776707">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2473896_653776707">
            <w:r>
              <w:rPr>
                <w:webHidden/>
                <w:rStyle w:val="IndexLink"/>
              </w:rPr>
              <w:t>1</w:t>
            </w:r>
            <w:r>
              <w:rPr>
                <w:rStyle w:val="IndexLink"/>
                <w:rtl w:val="true"/>
              </w:rPr>
              <w:t xml:space="preserve">) </w:t>
            </w:r>
            <w:r>
              <w:rPr>
                <w:rStyle w:val="IndexLink"/>
                <w:rtl w:val="true"/>
              </w:rPr>
              <w:t>مؤسس المذهب الحنفی</w:t>
            </w:r>
            <w:r>
              <w:rPr>
                <w:rStyle w:val="IndexLink"/>
                <w:rtl w:val="true"/>
              </w:rPr>
              <w:tab/>
            </w:r>
            <w:r>
              <w:rPr>
                <w:rStyle w:val="IndexLink"/>
              </w:rPr>
              <w:t>119</w:t>
            </w:r>
          </w:hyperlink>
        </w:p>
        <w:p>
          <w:pPr>
            <w:pStyle w:val="Contents5"/>
            <w:tabs>
              <w:tab w:val="clear" w:pos="7892"/>
              <w:tab w:val="right" w:pos="9026" w:leader="dot"/>
            </w:tabs>
            <w:rPr/>
          </w:pPr>
          <w:hyperlink w:anchor="__RefHeading___Toc2473898_653776707">
            <w:r>
              <w:rPr>
                <w:webHidden/>
                <w:rStyle w:val="IndexLink"/>
              </w:rPr>
              <w:t>2</w:t>
            </w:r>
            <w:r>
              <w:rPr>
                <w:rStyle w:val="IndexLink"/>
                <w:rtl w:val="true"/>
              </w:rPr>
              <w:t xml:space="preserve">) </w:t>
            </w:r>
            <w:r>
              <w:rPr>
                <w:rStyle w:val="IndexLink"/>
                <w:rtl w:val="true"/>
              </w:rPr>
              <w:t>نشوء الدعوة للمذهب الحنفی ومحلها</w:t>
            </w:r>
            <w:r>
              <w:rPr>
                <w:rStyle w:val="IndexLink"/>
                <w:rtl w:val="true"/>
              </w:rPr>
              <w:tab/>
            </w:r>
            <w:r>
              <w:rPr>
                <w:rStyle w:val="IndexLink"/>
              </w:rPr>
              <w:t>120</w:t>
            </w:r>
          </w:hyperlink>
        </w:p>
        <w:p>
          <w:pPr>
            <w:pStyle w:val="Contents5"/>
            <w:tabs>
              <w:tab w:val="clear" w:pos="7892"/>
              <w:tab w:val="right" w:pos="9026" w:leader="dot"/>
            </w:tabs>
            <w:rPr/>
          </w:pPr>
          <w:hyperlink w:anchor="__RefHeading___Toc2473900_653776707">
            <w:r>
              <w:rPr>
                <w:webHidden/>
                <w:rStyle w:val="IndexLink"/>
              </w:rPr>
              <w:t>3</w:t>
            </w:r>
            <w:r>
              <w:rPr>
                <w:rStyle w:val="IndexLink"/>
                <w:rtl w:val="true"/>
              </w:rPr>
              <w:t xml:space="preserve">) </w:t>
            </w:r>
            <w:r>
              <w:rPr>
                <w:rStyle w:val="IndexLink"/>
                <w:rtl w:val="true"/>
              </w:rPr>
              <w:t>الأسس الرئيسيّة للمذهب الحنفي</w:t>
            </w:r>
            <w:r>
              <w:rPr>
                <w:rStyle w:val="IndexLink"/>
                <w:rtl w:val="true"/>
              </w:rPr>
              <w:tab/>
            </w:r>
            <w:r>
              <w:rPr>
                <w:rStyle w:val="IndexLink"/>
              </w:rPr>
              <w:t>122</w:t>
            </w:r>
          </w:hyperlink>
        </w:p>
        <w:p>
          <w:pPr>
            <w:pStyle w:val="Contents6"/>
            <w:tabs>
              <w:tab w:val="clear" w:pos="7609"/>
              <w:tab w:val="right" w:pos="9026" w:leader="dot"/>
            </w:tabs>
            <w:rPr/>
          </w:pPr>
          <w:hyperlink w:anchor="__RefHeading___Toc2473902_653776707">
            <w:r>
              <w:rPr>
                <w:webHidden/>
                <w:rStyle w:val="IndexLink"/>
                <w:rtl w:val="true"/>
              </w:rPr>
              <w:t>اشارة</w:t>
            </w:r>
            <w:r>
              <w:rPr>
                <w:rStyle w:val="IndexLink"/>
                <w:rtl w:val="true"/>
              </w:rPr>
              <w:tab/>
            </w:r>
            <w:r>
              <w:rPr>
                <w:rStyle w:val="IndexLink"/>
              </w:rPr>
              <w:t>122</w:t>
            </w:r>
          </w:hyperlink>
        </w:p>
        <w:p>
          <w:pPr>
            <w:pStyle w:val="Contents6"/>
            <w:tabs>
              <w:tab w:val="clear" w:pos="7609"/>
              <w:tab w:val="right" w:pos="9026" w:leader="dot"/>
            </w:tabs>
            <w:rPr/>
          </w:pPr>
          <w:hyperlink w:anchor="__RefHeading___Toc2473904_653776707">
            <w:r>
              <w:rPr>
                <w:webHidden/>
                <w:rStyle w:val="IndexLink"/>
                <w:rtl w:val="true"/>
              </w:rPr>
              <w:t>الأول</w:t>
            </w:r>
            <w:r>
              <w:rPr>
                <w:rStyle w:val="IndexLink"/>
                <w:rtl w:val="true"/>
              </w:rPr>
              <w:t xml:space="preserve">: </w:t>
            </w:r>
            <w:r>
              <w:rPr>
                <w:rStyle w:val="IndexLink"/>
                <w:rtl w:val="true"/>
              </w:rPr>
              <w:t>كتاب الله عزوجل</w:t>
            </w:r>
            <w:r>
              <w:rPr>
                <w:rStyle w:val="IndexLink"/>
                <w:rtl w:val="true"/>
              </w:rPr>
              <w:t>:</w:t>
              <w:tab/>
            </w:r>
            <w:r>
              <w:rPr>
                <w:rStyle w:val="IndexLink"/>
              </w:rPr>
              <w:t>122</w:t>
            </w:r>
          </w:hyperlink>
        </w:p>
        <w:p>
          <w:pPr>
            <w:pStyle w:val="Contents6"/>
            <w:tabs>
              <w:tab w:val="clear" w:pos="7609"/>
              <w:tab w:val="right" w:pos="9026" w:leader="dot"/>
            </w:tabs>
            <w:rPr/>
          </w:pPr>
          <w:hyperlink w:anchor="__RefHeading___Toc2473906_653776707">
            <w:r>
              <w:rPr>
                <w:webHidden/>
                <w:rStyle w:val="IndexLink"/>
                <w:rtl w:val="true"/>
              </w:rPr>
              <w:t>الثاني</w:t>
            </w:r>
            <w:r>
              <w:rPr>
                <w:rStyle w:val="IndexLink"/>
                <w:rtl w:val="true"/>
              </w:rPr>
              <w:t xml:space="preserve">: </w:t>
            </w:r>
            <w:r>
              <w:rPr>
                <w:rStyle w:val="IndexLink"/>
                <w:rtl w:val="true"/>
              </w:rPr>
              <w:t>السنة النبوية</w:t>
            </w:r>
            <w:r>
              <w:rPr>
                <w:rStyle w:val="IndexLink"/>
                <w:rtl w:val="true"/>
              </w:rPr>
              <w:t>:</w:t>
              <w:tab/>
            </w:r>
            <w:r>
              <w:rPr>
                <w:rStyle w:val="IndexLink"/>
              </w:rPr>
              <w:t>123</w:t>
            </w:r>
          </w:hyperlink>
        </w:p>
        <w:p>
          <w:pPr>
            <w:pStyle w:val="Contents6"/>
            <w:tabs>
              <w:tab w:val="clear" w:pos="7609"/>
              <w:tab w:val="right" w:pos="9026" w:leader="dot"/>
            </w:tabs>
            <w:rPr/>
          </w:pPr>
          <w:hyperlink w:anchor="__RefHeading___Toc2473908_653776707">
            <w:r>
              <w:rPr>
                <w:webHidden/>
                <w:rStyle w:val="IndexLink"/>
                <w:rtl w:val="true"/>
              </w:rPr>
              <w:t>الثالث</w:t>
            </w:r>
            <w:r>
              <w:rPr>
                <w:rStyle w:val="IndexLink"/>
                <w:rtl w:val="true"/>
              </w:rPr>
              <w:t xml:space="preserve">: </w:t>
            </w:r>
            <w:r>
              <w:rPr>
                <w:rStyle w:val="IndexLink"/>
                <w:rtl w:val="true"/>
              </w:rPr>
              <w:t>قول الصحابي</w:t>
            </w:r>
            <w:r>
              <w:rPr>
                <w:rStyle w:val="IndexLink"/>
                <w:rtl w:val="true"/>
              </w:rPr>
              <w:t>:</w:t>
              <w:tab/>
            </w:r>
            <w:r>
              <w:rPr>
                <w:rStyle w:val="IndexLink"/>
              </w:rPr>
              <w:t>124</w:t>
            </w:r>
          </w:hyperlink>
        </w:p>
        <w:p>
          <w:pPr>
            <w:pStyle w:val="Contents6"/>
            <w:tabs>
              <w:tab w:val="clear" w:pos="7609"/>
              <w:tab w:val="right" w:pos="9026" w:leader="dot"/>
            </w:tabs>
            <w:rPr/>
          </w:pPr>
          <w:hyperlink w:anchor="__RefHeading___Toc2473910_653776707">
            <w:r>
              <w:rPr>
                <w:webHidden/>
                <w:rStyle w:val="IndexLink"/>
                <w:rtl w:val="true"/>
              </w:rPr>
              <w:t>الرابع</w:t>
            </w:r>
            <w:r>
              <w:rPr>
                <w:rStyle w:val="IndexLink"/>
                <w:rtl w:val="true"/>
              </w:rPr>
              <w:t xml:space="preserve">: </w:t>
            </w:r>
            <w:r>
              <w:rPr>
                <w:rStyle w:val="IndexLink"/>
                <w:rtl w:val="true"/>
              </w:rPr>
              <w:t>القياس</w:t>
            </w:r>
            <w:r>
              <w:rPr>
                <w:rStyle w:val="IndexLink"/>
                <w:rtl w:val="true"/>
              </w:rPr>
              <w:t>:</w:t>
              <w:tab/>
            </w:r>
            <w:r>
              <w:rPr>
                <w:rStyle w:val="IndexLink"/>
              </w:rPr>
              <w:t>125</w:t>
            </w:r>
          </w:hyperlink>
        </w:p>
        <w:p>
          <w:pPr>
            <w:pStyle w:val="Contents6"/>
            <w:tabs>
              <w:tab w:val="clear" w:pos="7609"/>
              <w:tab w:val="right" w:pos="9026" w:leader="dot"/>
            </w:tabs>
            <w:rPr/>
          </w:pPr>
          <w:hyperlink w:anchor="__RefHeading___Toc2473912_653776707">
            <w:r>
              <w:rPr>
                <w:webHidden/>
                <w:rStyle w:val="IndexLink"/>
                <w:rtl w:val="true"/>
              </w:rPr>
              <w:t>اشارة</w:t>
            </w:r>
            <w:r>
              <w:rPr>
                <w:rStyle w:val="IndexLink"/>
                <w:rtl w:val="true"/>
              </w:rPr>
              <w:tab/>
            </w:r>
            <w:r>
              <w:rPr>
                <w:rStyle w:val="IndexLink"/>
              </w:rPr>
              <w:t>125</w:t>
            </w:r>
          </w:hyperlink>
        </w:p>
        <w:p>
          <w:pPr>
            <w:pStyle w:val="Contents6"/>
            <w:tabs>
              <w:tab w:val="clear" w:pos="7609"/>
              <w:tab w:val="right" w:pos="9026" w:leader="dot"/>
            </w:tabs>
            <w:rPr/>
          </w:pPr>
          <w:hyperlink w:anchor="__RefHeading___Toc2473914_653776707">
            <w:r>
              <w:rPr>
                <w:webHidden/>
                <w:rStyle w:val="IndexLink"/>
                <w:rtl w:val="true"/>
              </w:rPr>
              <w:t>أركان القياس</w:t>
            </w:r>
            <w:r>
              <w:rPr>
                <w:rStyle w:val="IndexLink"/>
                <w:rtl w:val="true"/>
              </w:rPr>
              <w:t>:</w:t>
              <w:tab/>
            </w:r>
            <w:r>
              <w:rPr>
                <w:rStyle w:val="IndexLink"/>
              </w:rPr>
              <w:t>125</w:t>
            </w:r>
          </w:hyperlink>
        </w:p>
        <w:p>
          <w:pPr>
            <w:pStyle w:val="Contents6"/>
            <w:tabs>
              <w:tab w:val="clear" w:pos="7609"/>
              <w:tab w:val="right" w:pos="9026" w:leader="dot"/>
            </w:tabs>
            <w:rPr/>
          </w:pPr>
          <w:hyperlink w:anchor="__RefHeading___Toc2473916_653776707">
            <w:r>
              <w:rPr>
                <w:webHidden/>
                <w:rStyle w:val="IndexLink"/>
                <w:rtl w:val="true"/>
              </w:rPr>
              <w:t>حجية القياس</w:t>
            </w:r>
            <w:r>
              <w:rPr>
                <w:rStyle w:val="IndexLink"/>
                <w:rtl w:val="true"/>
              </w:rPr>
              <w:t>:</w:t>
              <w:tab/>
            </w:r>
            <w:r>
              <w:rPr>
                <w:rStyle w:val="IndexLink"/>
              </w:rPr>
              <w:t>125</w:t>
            </w:r>
          </w:hyperlink>
        </w:p>
        <w:p>
          <w:pPr>
            <w:pStyle w:val="Contents6"/>
            <w:tabs>
              <w:tab w:val="clear" w:pos="7609"/>
              <w:tab w:val="right" w:pos="9026" w:leader="dot"/>
            </w:tabs>
            <w:rPr/>
          </w:pPr>
          <w:hyperlink w:anchor="__RefHeading___Toc2473918_653776707">
            <w:r>
              <w:rPr>
                <w:webHidden/>
                <w:rStyle w:val="IndexLink"/>
                <w:rtl w:val="true"/>
              </w:rPr>
              <w:t>الخامس</w:t>
            </w:r>
            <w:r>
              <w:rPr>
                <w:rStyle w:val="IndexLink"/>
                <w:rtl w:val="true"/>
              </w:rPr>
              <w:t xml:space="preserve">: </w:t>
            </w:r>
            <w:r>
              <w:rPr>
                <w:rStyle w:val="IndexLink"/>
                <w:rtl w:val="true"/>
              </w:rPr>
              <w:t>الاستحسان</w:t>
            </w:r>
            <w:r>
              <w:rPr>
                <w:rStyle w:val="IndexLink"/>
                <w:rtl w:val="true"/>
              </w:rPr>
              <w:t>:</w:t>
              <w:tab/>
            </w:r>
            <w:r>
              <w:rPr>
                <w:rStyle w:val="IndexLink"/>
              </w:rPr>
              <w:t>126</w:t>
            </w:r>
          </w:hyperlink>
        </w:p>
        <w:p>
          <w:pPr>
            <w:pStyle w:val="Contents6"/>
            <w:tabs>
              <w:tab w:val="clear" w:pos="7609"/>
              <w:tab w:val="right" w:pos="9026" w:leader="dot"/>
            </w:tabs>
            <w:rPr/>
          </w:pPr>
          <w:hyperlink w:anchor="__RefHeading___Toc2473920_653776707">
            <w:r>
              <w:rPr>
                <w:webHidden/>
                <w:rStyle w:val="IndexLink"/>
                <w:rtl w:val="true"/>
              </w:rPr>
              <w:t>اشارة</w:t>
            </w:r>
            <w:r>
              <w:rPr>
                <w:rStyle w:val="IndexLink"/>
                <w:rtl w:val="true"/>
              </w:rPr>
              <w:tab/>
            </w:r>
            <w:r>
              <w:rPr>
                <w:rStyle w:val="IndexLink"/>
              </w:rPr>
              <w:t>126</w:t>
            </w:r>
          </w:hyperlink>
        </w:p>
        <w:p>
          <w:pPr>
            <w:pStyle w:val="Contents6"/>
            <w:tabs>
              <w:tab w:val="clear" w:pos="7609"/>
              <w:tab w:val="right" w:pos="9026" w:leader="dot"/>
            </w:tabs>
            <w:rPr/>
          </w:pPr>
          <w:hyperlink w:anchor="__RefHeading___Toc2473922_653776707">
            <w:r>
              <w:rPr>
                <w:webHidden/>
                <w:rStyle w:val="IndexLink"/>
                <w:rtl w:val="true"/>
              </w:rPr>
              <w:t>حجية الاستحسان</w:t>
            </w:r>
            <w:r>
              <w:rPr>
                <w:rStyle w:val="IndexLink"/>
                <w:rtl w:val="true"/>
              </w:rPr>
              <w:t>:</w:t>
              <w:tab/>
            </w:r>
            <w:r>
              <w:rPr>
                <w:rStyle w:val="IndexLink"/>
              </w:rPr>
              <w:t>127</w:t>
            </w:r>
          </w:hyperlink>
        </w:p>
        <w:p>
          <w:pPr>
            <w:pStyle w:val="Contents6"/>
            <w:tabs>
              <w:tab w:val="clear" w:pos="7609"/>
              <w:tab w:val="right" w:pos="9026" w:leader="dot"/>
            </w:tabs>
            <w:rPr/>
          </w:pPr>
          <w:hyperlink w:anchor="__RefHeading___Toc2473924_653776707">
            <w:r>
              <w:rPr>
                <w:webHidden/>
                <w:rStyle w:val="IndexLink"/>
                <w:rtl w:val="true"/>
              </w:rPr>
              <w:t>السادس</w:t>
            </w:r>
            <w:r>
              <w:rPr>
                <w:rStyle w:val="IndexLink"/>
                <w:rtl w:val="true"/>
              </w:rPr>
              <w:t xml:space="preserve">: </w:t>
            </w:r>
            <w:r>
              <w:rPr>
                <w:rStyle w:val="IndexLink"/>
                <w:rtl w:val="true"/>
              </w:rPr>
              <w:t>الاجماع</w:t>
            </w:r>
            <w:r>
              <w:rPr>
                <w:rStyle w:val="IndexLink"/>
                <w:rtl w:val="true"/>
              </w:rPr>
              <w:t>:</w:t>
              <w:tab/>
            </w:r>
            <w:r>
              <w:rPr>
                <w:rStyle w:val="IndexLink"/>
              </w:rPr>
              <w:t>128</w:t>
            </w:r>
          </w:hyperlink>
        </w:p>
        <w:p>
          <w:pPr>
            <w:pStyle w:val="Contents6"/>
            <w:tabs>
              <w:tab w:val="clear" w:pos="7609"/>
              <w:tab w:val="right" w:pos="9026" w:leader="dot"/>
            </w:tabs>
            <w:rPr/>
          </w:pPr>
          <w:hyperlink w:anchor="__RefHeading___Toc2473926_653776707">
            <w:r>
              <w:rPr>
                <w:webHidden/>
                <w:rStyle w:val="IndexLink"/>
                <w:rtl w:val="true"/>
              </w:rPr>
              <w:t>السابع</w:t>
            </w:r>
            <w:r>
              <w:rPr>
                <w:rStyle w:val="IndexLink"/>
                <w:rtl w:val="true"/>
              </w:rPr>
              <w:t xml:space="preserve">: </w:t>
            </w:r>
            <w:r>
              <w:rPr>
                <w:rStyle w:val="IndexLink"/>
                <w:rtl w:val="true"/>
              </w:rPr>
              <w:t>العرف</w:t>
            </w:r>
            <w:r>
              <w:rPr>
                <w:rStyle w:val="IndexLink"/>
                <w:rtl w:val="true"/>
              </w:rPr>
              <w:t>:</w:t>
              <w:tab/>
            </w:r>
            <w:r>
              <w:rPr>
                <w:rStyle w:val="IndexLink"/>
              </w:rPr>
              <w:t>129</w:t>
            </w:r>
          </w:hyperlink>
        </w:p>
        <w:p>
          <w:pPr>
            <w:pStyle w:val="Contents6"/>
            <w:tabs>
              <w:tab w:val="clear" w:pos="7609"/>
              <w:tab w:val="right" w:pos="9026" w:leader="dot"/>
            </w:tabs>
            <w:rPr/>
          </w:pPr>
          <w:hyperlink w:anchor="__RefHeading___Toc2473928_653776707">
            <w:r>
              <w:rPr>
                <w:webHidden/>
                <w:rStyle w:val="IndexLink"/>
                <w:rtl w:val="true"/>
              </w:rPr>
              <w:t>اشارة</w:t>
            </w:r>
            <w:r>
              <w:rPr>
                <w:rStyle w:val="IndexLink"/>
                <w:rtl w:val="true"/>
              </w:rPr>
              <w:tab/>
            </w:r>
            <w:r>
              <w:rPr>
                <w:rStyle w:val="IndexLink"/>
              </w:rPr>
              <w:t>129</w:t>
            </w:r>
          </w:hyperlink>
        </w:p>
        <w:p>
          <w:pPr>
            <w:pStyle w:val="Contents6"/>
            <w:tabs>
              <w:tab w:val="clear" w:pos="7609"/>
              <w:tab w:val="right" w:pos="9026" w:leader="dot"/>
            </w:tabs>
            <w:rPr/>
          </w:pPr>
          <w:hyperlink w:anchor="__RefHeading___Toc2473930_653776707">
            <w:r>
              <w:rPr>
                <w:webHidden/>
                <w:rStyle w:val="IndexLink"/>
                <w:rtl w:val="true"/>
              </w:rPr>
              <w:t>أقسام العرف</w:t>
            </w:r>
            <w:r>
              <w:rPr>
                <w:rStyle w:val="IndexLink"/>
                <w:rtl w:val="true"/>
              </w:rPr>
              <w:t>:</w:t>
              <w:tab/>
            </w:r>
            <w:r>
              <w:rPr>
                <w:rStyle w:val="IndexLink"/>
              </w:rPr>
              <w:t>129</w:t>
            </w:r>
          </w:hyperlink>
        </w:p>
        <w:p>
          <w:pPr>
            <w:pStyle w:val="Contents6"/>
            <w:tabs>
              <w:tab w:val="clear" w:pos="7609"/>
              <w:tab w:val="right" w:pos="9026" w:leader="dot"/>
            </w:tabs>
            <w:rPr/>
          </w:pPr>
          <w:hyperlink w:anchor="__RefHeading___Toc2473932_653776707">
            <w:r>
              <w:rPr>
                <w:webHidden/>
                <w:rStyle w:val="IndexLink"/>
                <w:rtl w:val="true"/>
              </w:rPr>
              <w:t>إعتبار العرف</w:t>
            </w:r>
            <w:r>
              <w:rPr>
                <w:rStyle w:val="IndexLink"/>
                <w:rtl w:val="true"/>
              </w:rPr>
              <w:t>:</w:t>
              <w:tab/>
            </w:r>
            <w:r>
              <w:rPr>
                <w:rStyle w:val="IndexLink"/>
              </w:rPr>
              <w:t>130</w:t>
            </w:r>
          </w:hyperlink>
        </w:p>
        <w:p>
          <w:pPr>
            <w:pStyle w:val="Contents6"/>
            <w:tabs>
              <w:tab w:val="clear" w:pos="7609"/>
              <w:tab w:val="right" w:pos="9026" w:leader="dot"/>
            </w:tabs>
            <w:rPr/>
          </w:pPr>
          <w:hyperlink w:anchor="__RefHeading___Toc2473934_653776707">
            <w:r>
              <w:rPr>
                <w:webHidden/>
                <w:rStyle w:val="IndexLink"/>
                <w:rtl w:val="true"/>
              </w:rPr>
              <w:t>أقسام الحكم التكليفي عند الحنفية</w:t>
            </w:r>
            <w:r>
              <w:rPr>
                <w:rStyle w:val="IndexLink"/>
                <w:rtl w:val="true"/>
              </w:rPr>
              <w:t>:</w:t>
              <w:tab/>
            </w:r>
            <w:r>
              <w:rPr>
                <w:rStyle w:val="IndexLink"/>
              </w:rPr>
              <w:t>131</w:t>
            </w:r>
          </w:hyperlink>
        </w:p>
        <w:p>
          <w:pPr>
            <w:pStyle w:val="Contents5"/>
            <w:tabs>
              <w:tab w:val="clear" w:pos="7892"/>
              <w:tab w:val="right" w:pos="9026" w:leader="dot"/>
            </w:tabs>
            <w:rPr/>
          </w:pPr>
          <w:hyperlink w:anchor="__RefHeading___Toc2473936_653776707">
            <w:r>
              <w:rPr>
                <w:webHidden/>
                <w:rStyle w:val="IndexLink"/>
              </w:rPr>
              <w:t>4</w:t>
            </w:r>
            <w:r>
              <w:rPr>
                <w:rStyle w:val="IndexLink"/>
                <w:rtl w:val="true"/>
              </w:rPr>
              <w:t xml:space="preserve">) </w:t>
            </w:r>
            <w:r>
              <w:rPr>
                <w:rStyle w:val="IndexLink"/>
                <w:rtl w:val="true"/>
              </w:rPr>
              <w:t>نماذج من فتاوي المذهب الحنفي</w:t>
            </w:r>
            <w:r>
              <w:rPr>
                <w:rStyle w:val="IndexLink"/>
                <w:rtl w:val="true"/>
              </w:rPr>
              <w:tab/>
            </w:r>
            <w:r>
              <w:rPr>
                <w:rStyle w:val="IndexLink"/>
              </w:rPr>
              <w:t>132</w:t>
            </w:r>
          </w:hyperlink>
        </w:p>
        <w:p>
          <w:pPr>
            <w:pStyle w:val="Contents6"/>
            <w:tabs>
              <w:tab w:val="clear" w:pos="7609"/>
              <w:tab w:val="right" w:pos="9026" w:leader="dot"/>
            </w:tabs>
            <w:rPr/>
          </w:pPr>
          <w:hyperlink w:anchor="__RefHeading___Toc2473938_653776707">
            <w:r>
              <w:rPr>
                <w:webHidden/>
                <w:rStyle w:val="IndexLink"/>
              </w:rPr>
              <w:t>1</w:t>
            </w:r>
            <w:r>
              <w:rPr>
                <w:rStyle w:val="IndexLink"/>
                <w:rtl w:val="true"/>
              </w:rPr>
              <w:t xml:space="preserve">) </w:t>
            </w:r>
            <w:r>
              <w:rPr>
                <w:rStyle w:val="IndexLink"/>
                <w:rtl w:val="true"/>
              </w:rPr>
              <w:t>تكبيرة الاحرام</w:t>
            </w:r>
            <w:r>
              <w:rPr>
                <w:rStyle w:val="IndexLink"/>
                <w:rtl w:val="true"/>
              </w:rPr>
              <w:t>:</w:t>
              <w:tab/>
            </w:r>
            <w:r>
              <w:rPr>
                <w:rStyle w:val="IndexLink"/>
              </w:rPr>
              <w:t>132</w:t>
            </w:r>
          </w:hyperlink>
        </w:p>
        <w:p>
          <w:pPr>
            <w:pStyle w:val="Contents6"/>
            <w:tabs>
              <w:tab w:val="clear" w:pos="7609"/>
              <w:tab w:val="right" w:pos="9026" w:leader="dot"/>
            </w:tabs>
            <w:rPr/>
          </w:pPr>
          <w:hyperlink w:anchor="__RefHeading___Toc2473940_653776707">
            <w:r>
              <w:rPr>
                <w:webHidden/>
                <w:rStyle w:val="IndexLink"/>
              </w:rPr>
              <w:t>2</w:t>
            </w:r>
            <w:r>
              <w:rPr>
                <w:rStyle w:val="IndexLink"/>
                <w:rtl w:val="true"/>
              </w:rPr>
              <w:t xml:space="preserve">) </w:t>
            </w:r>
            <w:r>
              <w:rPr>
                <w:rStyle w:val="IndexLink"/>
                <w:rtl w:val="true"/>
              </w:rPr>
              <w:t>القراءة</w:t>
            </w:r>
            <w:r>
              <w:rPr>
                <w:rStyle w:val="IndexLink"/>
                <w:rtl w:val="true"/>
              </w:rPr>
              <w:t>:</w:t>
              <w:tab/>
            </w:r>
            <w:r>
              <w:rPr>
                <w:rStyle w:val="IndexLink"/>
              </w:rPr>
              <w:t>133</w:t>
            </w:r>
          </w:hyperlink>
        </w:p>
        <w:p>
          <w:pPr>
            <w:pStyle w:val="Contents6"/>
            <w:tabs>
              <w:tab w:val="clear" w:pos="7609"/>
              <w:tab w:val="right" w:pos="9026" w:leader="dot"/>
            </w:tabs>
            <w:rPr/>
          </w:pPr>
          <w:hyperlink w:anchor="__RefHeading___Toc2473942_653776707">
            <w:r>
              <w:rPr>
                <w:webHidden/>
                <w:rStyle w:val="IndexLink"/>
              </w:rPr>
              <w:t>3</w:t>
            </w:r>
            <w:r>
              <w:rPr>
                <w:rStyle w:val="IndexLink"/>
                <w:rtl w:val="true"/>
              </w:rPr>
              <w:t xml:space="preserve">) </w:t>
            </w:r>
            <w:r>
              <w:rPr>
                <w:rStyle w:val="IndexLink"/>
                <w:rtl w:val="true"/>
              </w:rPr>
              <w:t>بعض الواجبات الأخرى للصلاة</w:t>
            </w:r>
            <w:r>
              <w:rPr>
                <w:rStyle w:val="IndexLink"/>
                <w:rtl w:val="true"/>
              </w:rPr>
              <w:t>:</w:t>
              <w:tab/>
            </w:r>
            <w:r>
              <w:rPr>
                <w:rStyle w:val="IndexLink"/>
              </w:rPr>
              <w:t>133</w:t>
            </w:r>
          </w:hyperlink>
        </w:p>
        <w:p>
          <w:pPr>
            <w:pStyle w:val="Contents6"/>
            <w:tabs>
              <w:tab w:val="clear" w:pos="7609"/>
              <w:tab w:val="right" w:pos="9026" w:leader="dot"/>
            </w:tabs>
            <w:rPr/>
          </w:pPr>
          <w:hyperlink w:anchor="__RefHeading___Toc2473944_653776707">
            <w:r>
              <w:rPr>
                <w:webHidden/>
                <w:rStyle w:val="IndexLink"/>
              </w:rPr>
              <w:t>4</w:t>
            </w:r>
            <w:r>
              <w:rPr>
                <w:rStyle w:val="IndexLink"/>
                <w:rtl w:val="true"/>
              </w:rPr>
              <w:t xml:space="preserve">) </w:t>
            </w:r>
            <w:r>
              <w:rPr>
                <w:rStyle w:val="IndexLink"/>
                <w:rtl w:val="true"/>
              </w:rPr>
              <w:t>الترتيب</w:t>
            </w:r>
            <w:r>
              <w:rPr>
                <w:rStyle w:val="IndexLink"/>
                <w:rtl w:val="true"/>
              </w:rPr>
              <w:t>:</w:t>
              <w:tab/>
            </w:r>
            <w:r>
              <w:rPr>
                <w:rStyle w:val="IndexLink"/>
              </w:rPr>
              <w:t>133</w:t>
            </w:r>
          </w:hyperlink>
        </w:p>
        <w:p>
          <w:pPr>
            <w:pStyle w:val="Contents3"/>
            <w:tabs>
              <w:tab w:val="clear" w:pos="8459"/>
              <w:tab w:val="right" w:pos="9026" w:leader="dot"/>
            </w:tabs>
            <w:rPr/>
          </w:pPr>
          <w:hyperlink w:anchor="__RefHeading___Toc2473946_653776707">
            <w:r>
              <w:rPr>
                <w:webHidden/>
                <w:rStyle w:val="IndexLink"/>
                <w:rtl w:val="true"/>
              </w:rPr>
              <w:t>الفصل الرابع مدرسة مالك ومنهجه في الإجتهاد</w:t>
            </w:r>
            <w:r>
              <w:rPr>
                <w:rStyle w:val="IndexLink"/>
                <w:rtl w:val="true"/>
              </w:rPr>
              <w:tab/>
            </w:r>
            <w:r>
              <w:rPr>
                <w:rStyle w:val="IndexLink"/>
              </w:rPr>
              <w:t>137</w:t>
            </w:r>
          </w:hyperlink>
        </w:p>
        <w:p>
          <w:pPr>
            <w:pStyle w:val="Contents4"/>
            <w:tabs>
              <w:tab w:val="clear" w:pos="8176"/>
              <w:tab w:val="right" w:pos="9026" w:leader="dot"/>
            </w:tabs>
            <w:rPr/>
          </w:pPr>
          <w:hyperlink w:anchor="__RefHeading___Toc2473948_653776707">
            <w:r>
              <w:rPr>
                <w:webHidden/>
                <w:rStyle w:val="IndexLink"/>
                <w:rtl w:val="true"/>
              </w:rPr>
              <w:t>محاور البحث</w:t>
            </w:r>
            <w:r>
              <w:rPr>
                <w:rStyle w:val="IndexLink"/>
                <w:rtl w:val="true"/>
              </w:rPr>
              <w:tab/>
            </w:r>
            <w:r>
              <w:rPr>
                <w:rStyle w:val="IndexLink"/>
              </w:rPr>
              <w:t>137</w:t>
            </w:r>
          </w:hyperlink>
        </w:p>
        <w:p>
          <w:pPr>
            <w:pStyle w:val="Contents4"/>
            <w:tabs>
              <w:tab w:val="clear" w:pos="8176"/>
              <w:tab w:val="right" w:pos="9026" w:leader="dot"/>
            </w:tabs>
            <w:rPr/>
          </w:pPr>
          <w:hyperlink w:anchor="__RefHeading___Toc2473950_653776707">
            <w:r>
              <w:rPr>
                <w:webHidden/>
                <w:rStyle w:val="IndexLink"/>
              </w:rPr>
              <w:t>1</w:t>
            </w:r>
            <w:r>
              <w:rPr>
                <w:rStyle w:val="IndexLink"/>
                <w:rtl w:val="true"/>
              </w:rPr>
              <w:t xml:space="preserve">) </w:t>
            </w:r>
            <w:r>
              <w:rPr>
                <w:rStyle w:val="IndexLink"/>
                <w:rtl w:val="true"/>
              </w:rPr>
              <w:t>مؤسس المذهب المالكي</w:t>
            </w:r>
            <w:r>
              <w:rPr>
                <w:rStyle w:val="IndexLink"/>
                <w:rtl w:val="true"/>
              </w:rPr>
              <w:t>:</w:t>
              <w:tab/>
            </w:r>
            <w:r>
              <w:rPr>
                <w:rStyle w:val="IndexLink"/>
              </w:rPr>
              <w:t>137</w:t>
            </w:r>
          </w:hyperlink>
        </w:p>
        <w:p>
          <w:pPr>
            <w:pStyle w:val="Contents5"/>
            <w:tabs>
              <w:tab w:val="clear" w:pos="7892"/>
              <w:tab w:val="right" w:pos="9026" w:leader="dot"/>
            </w:tabs>
            <w:rPr/>
          </w:pPr>
          <w:hyperlink w:anchor="__RefHeading___Toc2473952_653776707">
            <w:r>
              <w:rPr>
                <w:webHidden/>
                <w:rStyle w:val="IndexLink"/>
                <w:rtl w:val="true"/>
              </w:rPr>
              <w:t>اشارة</w:t>
            </w:r>
            <w:r>
              <w:rPr>
                <w:rStyle w:val="IndexLink"/>
                <w:rtl w:val="true"/>
              </w:rPr>
              <w:tab/>
            </w:r>
            <w:r>
              <w:rPr>
                <w:rStyle w:val="IndexLink"/>
              </w:rPr>
              <w:t>137</w:t>
            </w:r>
          </w:hyperlink>
        </w:p>
        <w:p>
          <w:pPr>
            <w:pStyle w:val="Contents5"/>
            <w:tabs>
              <w:tab w:val="clear" w:pos="7892"/>
              <w:tab w:val="right" w:pos="9026" w:leader="dot"/>
            </w:tabs>
            <w:rPr/>
          </w:pPr>
          <w:hyperlink w:anchor="__RefHeading___Toc2473954_653776707">
            <w:r>
              <w:rPr>
                <w:webHidden/>
                <w:rStyle w:val="IndexLink"/>
                <w:rtl w:val="true"/>
              </w:rPr>
              <w:t>تصانيف مالك</w:t>
            </w:r>
            <w:r>
              <w:rPr>
                <w:rStyle w:val="IndexLink"/>
                <w:rtl w:val="true"/>
              </w:rPr>
              <w:t>:</w:t>
              <w:tab/>
            </w:r>
            <w:r>
              <w:rPr>
                <w:rStyle w:val="IndexLink"/>
              </w:rPr>
              <w:t>138</w:t>
            </w:r>
          </w:hyperlink>
        </w:p>
        <w:p>
          <w:pPr>
            <w:pStyle w:val="Contents4"/>
            <w:tabs>
              <w:tab w:val="clear" w:pos="8176"/>
              <w:tab w:val="right" w:pos="9026" w:leader="dot"/>
            </w:tabs>
            <w:rPr/>
          </w:pPr>
          <w:hyperlink w:anchor="__RefHeading___Toc2473956_653776707">
            <w:r>
              <w:rPr>
                <w:webHidden/>
                <w:rStyle w:val="IndexLink"/>
              </w:rPr>
              <w:t>2</w:t>
            </w:r>
            <w:r>
              <w:rPr>
                <w:rStyle w:val="IndexLink"/>
                <w:rtl w:val="true"/>
              </w:rPr>
              <w:t xml:space="preserve">) </w:t>
            </w:r>
            <w:r>
              <w:rPr>
                <w:rStyle w:val="IndexLink"/>
                <w:rtl w:val="true"/>
              </w:rPr>
              <w:t>نشوء الدعوة للمذهب المالكي ومحلّها</w:t>
            </w:r>
            <w:r>
              <w:rPr>
                <w:rStyle w:val="IndexLink"/>
                <w:rtl w:val="true"/>
              </w:rPr>
              <w:t>:</w:t>
              <w:tab/>
            </w:r>
            <w:r>
              <w:rPr>
                <w:rStyle w:val="IndexLink"/>
              </w:rPr>
              <w:t>139</w:t>
            </w:r>
          </w:hyperlink>
        </w:p>
        <w:p>
          <w:pPr>
            <w:pStyle w:val="Contents5"/>
            <w:tabs>
              <w:tab w:val="clear" w:pos="7892"/>
              <w:tab w:val="right" w:pos="9026" w:leader="dot"/>
            </w:tabs>
            <w:rPr/>
          </w:pPr>
          <w:hyperlink w:anchor="__RefHeading___Toc2473958_653776707">
            <w:r>
              <w:rPr>
                <w:webHidden/>
                <w:rStyle w:val="IndexLink"/>
                <w:rtl w:val="true"/>
              </w:rPr>
              <w:t>اشارة</w:t>
            </w:r>
            <w:r>
              <w:rPr>
                <w:rStyle w:val="IndexLink"/>
                <w:rtl w:val="true"/>
              </w:rPr>
              <w:tab/>
            </w:r>
            <w:r>
              <w:rPr>
                <w:rStyle w:val="IndexLink"/>
              </w:rPr>
              <w:t>139</w:t>
            </w:r>
          </w:hyperlink>
        </w:p>
        <w:p>
          <w:pPr>
            <w:pStyle w:val="Contents5"/>
            <w:tabs>
              <w:tab w:val="clear" w:pos="7892"/>
              <w:tab w:val="right" w:pos="9026" w:leader="dot"/>
            </w:tabs>
            <w:rPr/>
          </w:pPr>
          <w:hyperlink w:anchor="__RefHeading___Toc2473960_653776707">
            <w:r>
              <w:rPr>
                <w:webHidden/>
                <w:rStyle w:val="IndexLink"/>
                <w:rtl w:val="true"/>
              </w:rPr>
              <w:t>أهمّ مصادر الفقه المالكي</w:t>
            </w:r>
            <w:r>
              <w:rPr>
                <w:rStyle w:val="IndexLink"/>
                <w:rtl w:val="true"/>
              </w:rPr>
              <w:t>:</w:t>
              <w:tab/>
            </w:r>
            <w:r>
              <w:rPr>
                <w:rStyle w:val="IndexLink"/>
              </w:rPr>
              <w:t>140</w:t>
            </w:r>
          </w:hyperlink>
        </w:p>
        <w:p>
          <w:pPr>
            <w:pStyle w:val="Contents5"/>
            <w:tabs>
              <w:tab w:val="clear" w:pos="7892"/>
              <w:tab w:val="right" w:pos="9026" w:leader="dot"/>
            </w:tabs>
            <w:rPr/>
          </w:pPr>
          <w:hyperlink w:anchor="__RefHeading___Toc2473962_653776707">
            <w:r>
              <w:rPr>
                <w:webHidden/>
                <w:rStyle w:val="IndexLink"/>
                <w:rtl w:val="true"/>
              </w:rPr>
              <w:t>مکان انتشار فيه المذهب المالكي</w:t>
            </w:r>
            <w:r>
              <w:rPr>
                <w:rStyle w:val="IndexLink"/>
                <w:rtl w:val="true"/>
              </w:rPr>
              <w:t>:</w:t>
              <w:tab/>
            </w:r>
            <w:r>
              <w:rPr>
                <w:rStyle w:val="IndexLink"/>
              </w:rPr>
              <w:t>140</w:t>
            </w:r>
          </w:hyperlink>
        </w:p>
        <w:p>
          <w:pPr>
            <w:pStyle w:val="Contents4"/>
            <w:tabs>
              <w:tab w:val="clear" w:pos="8176"/>
              <w:tab w:val="right" w:pos="9026" w:leader="dot"/>
            </w:tabs>
            <w:rPr/>
          </w:pPr>
          <w:hyperlink w:anchor="__RefHeading___Toc2473964_653776707">
            <w:r>
              <w:rPr>
                <w:webHidden/>
                <w:rStyle w:val="IndexLink"/>
              </w:rPr>
              <w:t>3</w:t>
            </w:r>
            <w:r>
              <w:rPr>
                <w:rStyle w:val="IndexLink"/>
                <w:rtl w:val="true"/>
              </w:rPr>
              <w:t xml:space="preserve">) </w:t>
            </w:r>
            <w:r>
              <w:rPr>
                <w:rStyle w:val="IndexLink"/>
                <w:rtl w:val="true"/>
              </w:rPr>
              <w:t>الأصول الرئيسيّة للمذهب المالكي</w:t>
            </w:r>
            <w:r>
              <w:rPr>
                <w:rStyle w:val="IndexLink"/>
                <w:rtl w:val="true"/>
              </w:rPr>
              <w:t>:</w:t>
              <w:tab/>
            </w:r>
            <w:r>
              <w:rPr>
                <w:rStyle w:val="IndexLink"/>
              </w:rPr>
              <w:t>142</w:t>
            </w:r>
          </w:hyperlink>
        </w:p>
        <w:p>
          <w:pPr>
            <w:pStyle w:val="Contents5"/>
            <w:tabs>
              <w:tab w:val="clear" w:pos="7892"/>
              <w:tab w:val="right" w:pos="9026" w:leader="dot"/>
            </w:tabs>
            <w:rPr/>
          </w:pPr>
          <w:hyperlink w:anchor="__RefHeading___Toc2473966_653776707">
            <w:r>
              <w:rPr>
                <w:webHidden/>
                <w:rStyle w:val="IndexLink"/>
                <w:rtl w:val="true"/>
              </w:rPr>
              <w:t>اشارة</w:t>
            </w:r>
            <w:r>
              <w:rPr>
                <w:rStyle w:val="IndexLink"/>
                <w:rtl w:val="true"/>
              </w:rPr>
              <w:tab/>
            </w:r>
            <w:r>
              <w:rPr>
                <w:rStyle w:val="IndexLink"/>
              </w:rPr>
              <w:t>142</w:t>
            </w:r>
          </w:hyperlink>
        </w:p>
        <w:p>
          <w:pPr>
            <w:pStyle w:val="Contents5"/>
            <w:tabs>
              <w:tab w:val="clear" w:pos="7892"/>
              <w:tab w:val="right" w:pos="9026" w:leader="dot"/>
            </w:tabs>
            <w:rPr/>
          </w:pPr>
          <w:hyperlink w:anchor="__RefHeading___Toc2473968_653776707">
            <w:r>
              <w:rPr>
                <w:webHidden/>
                <w:rStyle w:val="IndexLink"/>
                <w:rtl w:val="true"/>
              </w:rPr>
              <w:t>أ</w:t>
            </w:r>
            <w:r>
              <w:rPr>
                <w:rStyle w:val="IndexLink"/>
                <w:rtl w:val="true"/>
              </w:rPr>
              <w:t xml:space="preserve">) </w:t>
            </w:r>
            <w:r>
              <w:rPr>
                <w:rStyle w:val="IndexLink"/>
                <w:rtl w:val="true"/>
              </w:rPr>
              <w:t>الأصول المشتركة مع سائر المذاهب</w:t>
            </w:r>
            <w:r>
              <w:rPr>
                <w:rStyle w:val="IndexLink"/>
                <w:rtl w:val="true"/>
              </w:rPr>
              <w:t>:</w:t>
              <w:tab/>
            </w:r>
            <w:r>
              <w:rPr>
                <w:rStyle w:val="IndexLink"/>
              </w:rPr>
              <w:t>142</w:t>
            </w:r>
          </w:hyperlink>
        </w:p>
        <w:p>
          <w:pPr>
            <w:pStyle w:val="Contents6"/>
            <w:tabs>
              <w:tab w:val="clear" w:pos="7609"/>
              <w:tab w:val="right" w:pos="9026" w:leader="dot"/>
            </w:tabs>
            <w:rPr/>
          </w:pPr>
          <w:hyperlink w:anchor="__RefHeading___Toc2473970_653776707">
            <w:r>
              <w:rPr>
                <w:webHidden/>
                <w:rStyle w:val="IndexLink"/>
              </w:rPr>
              <w:t>1</w:t>
            </w:r>
            <w:r>
              <w:rPr>
                <w:rStyle w:val="IndexLink"/>
                <w:rtl w:val="true"/>
              </w:rPr>
              <w:t xml:space="preserve">) </w:t>
            </w:r>
            <w:r>
              <w:rPr>
                <w:rStyle w:val="IndexLink"/>
                <w:rtl w:val="true"/>
              </w:rPr>
              <w:t>الكتاب العزيز</w:t>
            </w:r>
            <w:r>
              <w:rPr>
                <w:rStyle w:val="IndexLink"/>
                <w:rtl w:val="true"/>
              </w:rPr>
              <w:t>:</w:t>
              <w:tab/>
            </w:r>
            <w:r>
              <w:rPr>
                <w:rStyle w:val="IndexLink"/>
              </w:rPr>
              <w:t>142</w:t>
            </w:r>
          </w:hyperlink>
        </w:p>
        <w:p>
          <w:pPr>
            <w:pStyle w:val="Contents6"/>
            <w:tabs>
              <w:tab w:val="clear" w:pos="7609"/>
              <w:tab w:val="right" w:pos="9026" w:leader="dot"/>
            </w:tabs>
            <w:rPr/>
          </w:pPr>
          <w:hyperlink w:anchor="__RefHeading___Toc2473972_653776707">
            <w:r>
              <w:rPr>
                <w:webHidden/>
                <w:rStyle w:val="IndexLink"/>
              </w:rPr>
              <w:t>2</w:t>
            </w:r>
            <w:r>
              <w:rPr>
                <w:rStyle w:val="IndexLink"/>
                <w:rtl w:val="true"/>
              </w:rPr>
              <w:t xml:space="preserve">) </w:t>
            </w:r>
            <w:r>
              <w:rPr>
                <w:rStyle w:val="IndexLink"/>
                <w:rtl w:val="true"/>
              </w:rPr>
              <w:t>السنّة</w:t>
            </w:r>
            <w:r>
              <w:rPr>
                <w:rStyle w:val="IndexLink"/>
                <w:rtl w:val="true"/>
              </w:rPr>
              <w:t>:</w:t>
              <w:tab/>
            </w:r>
            <w:r>
              <w:rPr>
                <w:rStyle w:val="IndexLink"/>
              </w:rPr>
              <w:t>143</w:t>
            </w:r>
          </w:hyperlink>
        </w:p>
        <w:p>
          <w:pPr>
            <w:pStyle w:val="Contents6"/>
            <w:tabs>
              <w:tab w:val="clear" w:pos="7609"/>
              <w:tab w:val="right" w:pos="9026" w:leader="dot"/>
            </w:tabs>
            <w:rPr/>
          </w:pPr>
          <w:hyperlink w:anchor="__RefHeading___Toc2473974_653776707">
            <w:r>
              <w:rPr>
                <w:webHidden/>
                <w:rStyle w:val="IndexLink"/>
              </w:rPr>
              <w:t>3</w:t>
            </w:r>
            <w:r>
              <w:rPr>
                <w:rStyle w:val="IndexLink"/>
                <w:rtl w:val="true"/>
              </w:rPr>
              <w:t xml:space="preserve">) </w:t>
            </w:r>
            <w:r>
              <w:rPr>
                <w:rStyle w:val="IndexLink"/>
                <w:rtl w:val="true"/>
              </w:rPr>
              <w:t>الإجماع</w:t>
            </w:r>
            <w:r>
              <w:rPr>
                <w:rStyle w:val="IndexLink"/>
                <w:rtl w:val="true"/>
              </w:rPr>
              <w:t>:</w:t>
              <w:tab/>
            </w:r>
            <w:r>
              <w:rPr>
                <w:rStyle w:val="IndexLink"/>
              </w:rPr>
              <w:t>144</w:t>
            </w:r>
          </w:hyperlink>
        </w:p>
        <w:p>
          <w:pPr>
            <w:pStyle w:val="Contents6"/>
            <w:tabs>
              <w:tab w:val="clear" w:pos="7609"/>
              <w:tab w:val="right" w:pos="9026" w:leader="dot"/>
            </w:tabs>
            <w:rPr/>
          </w:pPr>
          <w:hyperlink w:anchor="__RefHeading___Toc2473976_653776707">
            <w:r>
              <w:rPr>
                <w:webHidden/>
                <w:rStyle w:val="IndexLink"/>
              </w:rPr>
              <w:t>4</w:t>
            </w:r>
            <w:r>
              <w:rPr>
                <w:rStyle w:val="IndexLink"/>
                <w:rtl w:val="true"/>
              </w:rPr>
              <w:t xml:space="preserve">) </w:t>
            </w:r>
            <w:r>
              <w:rPr>
                <w:rStyle w:val="IndexLink"/>
                <w:rtl w:val="true"/>
              </w:rPr>
              <w:t>قول الصحابي</w:t>
            </w:r>
            <w:r>
              <w:rPr>
                <w:rStyle w:val="IndexLink"/>
                <w:rtl w:val="true"/>
              </w:rPr>
              <w:t>:</w:t>
              <w:tab/>
            </w:r>
            <w:r>
              <w:rPr>
                <w:rStyle w:val="IndexLink"/>
              </w:rPr>
              <w:t>144</w:t>
            </w:r>
          </w:hyperlink>
        </w:p>
        <w:p>
          <w:pPr>
            <w:pStyle w:val="Contents6"/>
            <w:tabs>
              <w:tab w:val="clear" w:pos="7609"/>
              <w:tab w:val="right" w:pos="9026" w:leader="dot"/>
            </w:tabs>
            <w:rPr/>
          </w:pPr>
          <w:hyperlink w:anchor="__RefHeading___Toc2473978_653776707">
            <w:r>
              <w:rPr>
                <w:webHidden/>
                <w:rStyle w:val="IndexLink"/>
              </w:rPr>
              <w:t>5</w:t>
            </w:r>
            <w:r>
              <w:rPr>
                <w:rStyle w:val="IndexLink"/>
                <w:rtl w:val="true"/>
              </w:rPr>
              <w:t xml:space="preserve">) </w:t>
            </w:r>
            <w:r>
              <w:rPr>
                <w:rStyle w:val="IndexLink"/>
                <w:rtl w:val="true"/>
              </w:rPr>
              <w:t>القياس</w:t>
            </w:r>
            <w:r>
              <w:rPr>
                <w:rStyle w:val="IndexLink"/>
                <w:rtl w:val="true"/>
              </w:rPr>
              <w:t>:</w:t>
              <w:tab/>
            </w:r>
            <w:r>
              <w:rPr>
                <w:rStyle w:val="IndexLink"/>
              </w:rPr>
              <w:t>145</w:t>
            </w:r>
          </w:hyperlink>
        </w:p>
        <w:p>
          <w:pPr>
            <w:pStyle w:val="Contents6"/>
            <w:tabs>
              <w:tab w:val="clear" w:pos="7609"/>
              <w:tab w:val="right" w:pos="9026" w:leader="dot"/>
            </w:tabs>
            <w:rPr/>
          </w:pPr>
          <w:hyperlink w:anchor="__RefHeading___Toc2473980_653776707">
            <w:r>
              <w:rPr>
                <w:webHidden/>
                <w:rStyle w:val="IndexLink"/>
              </w:rPr>
              <w:t>6</w:t>
            </w:r>
            <w:r>
              <w:rPr>
                <w:rStyle w:val="IndexLink"/>
                <w:rtl w:val="true"/>
              </w:rPr>
              <w:t xml:space="preserve">) </w:t>
            </w:r>
            <w:r>
              <w:rPr>
                <w:rStyle w:val="IndexLink"/>
                <w:rtl w:val="true"/>
              </w:rPr>
              <w:t>الإستصحاب</w:t>
            </w:r>
            <w:r>
              <w:rPr>
                <w:rStyle w:val="IndexLink"/>
                <w:rtl w:val="true"/>
              </w:rPr>
              <w:t>:</w:t>
              <w:tab/>
            </w:r>
            <w:r>
              <w:rPr>
                <w:rStyle w:val="IndexLink"/>
              </w:rPr>
              <w:t>145</w:t>
            </w:r>
          </w:hyperlink>
        </w:p>
        <w:p>
          <w:pPr>
            <w:pStyle w:val="Contents6"/>
            <w:tabs>
              <w:tab w:val="clear" w:pos="7609"/>
              <w:tab w:val="right" w:pos="9026" w:leader="dot"/>
            </w:tabs>
            <w:rPr/>
          </w:pPr>
          <w:hyperlink w:anchor="__RefHeading___Toc2473982_653776707">
            <w:r>
              <w:rPr>
                <w:webHidden/>
                <w:rStyle w:val="IndexLink"/>
              </w:rPr>
              <w:t>7</w:t>
            </w:r>
            <w:r>
              <w:rPr>
                <w:rStyle w:val="IndexLink"/>
                <w:rtl w:val="true"/>
              </w:rPr>
              <w:t xml:space="preserve">) </w:t>
            </w:r>
            <w:r>
              <w:rPr>
                <w:rStyle w:val="IndexLink"/>
                <w:rtl w:val="true"/>
              </w:rPr>
              <w:t>الإستقراء</w:t>
            </w:r>
            <w:r>
              <w:rPr>
                <w:rStyle w:val="IndexLink"/>
                <w:rtl w:val="true"/>
              </w:rPr>
              <w:t>:</w:t>
              <w:tab/>
            </w:r>
            <w:r>
              <w:rPr>
                <w:rStyle w:val="IndexLink"/>
              </w:rPr>
              <w:t>146</w:t>
            </w:r>
          </w:hyperlink>
        </w:p>
        <w:p>
          <w:pPr>
            <w:pStyle w:val="Contents6"/>
            <w:tabs>
              <w:tab w:val="clear" w:pos="7609"/>
              <w:tab w:val="right" w:pos="9026" w:leader="dot"/>
            </w:tabs>
            <w:rPr/>
          </w:pPr>
          <w:hyperlink w:anchor="__RefHeading___Toc2473984_653776707">
            <w:r>
              <w:rPr>
                <w:webHidden/>
                <w:rStyle w:val="IndexLink"/>
              </w:rPr>
              <w:t>8</w:t>
            </w:r>
            <w:r>
              <w:rPr>
                <w:rStyle w:val="IndexLink"/>
                <w:rtl w:val="true"/>
              </w:rPr>
              <w:t xml:space="preserve">) </w:t>
            </w:r>
            <w:r>
              <w:rPr>
                <w:rStyle w:val="IndexLink"/>
                <w:rtl w:val="true"/>
              </w:rPr>
              <w:t>الاستدلال</w:t>
            </w:r>
            <w:r>
              <w:rPr>
                <w:rStyle w:val="IndexLink"/>
                <w:rtl w:val="true"/>
              </w:rPr>
              <w:t>:</w:t>
              <w:tab/>
            </w:r>
            <w:r>
              <w:rPr>
                <w:rStyle w:val="IndexLink"/>
              </w:rPr>
              <w:t>146</w:t>
            </w:r>
          </w:hyperlink>
        </w:p>
        <w:p>
          <w:pPr>
            <w:pStyle w:val="Contents6"/>
            <w:tabs>
              <w:tab w:val="clear" w:pos="7609"/>
              <w:tab w:val="right" w:pos="9026" w:leader="dot"/>
            </w:tabs>
            <w:rPr/>
          </w:pPr>
          <w:hyperlink w:anchor="__RefHeading___Toc2473986_653776707">
            <w:r>
              <w:rPr>
                <w:webHidden/>
                <w:rStyle w:val="IndexLink"/>
              </w:rPr>
              <w:t>9</w:t>
            </w:r>
            <w:r>
              <w:rPr>
                <w:rStyle w:val="IndexLink"/>
                <w:rtl w:val="true"/>
              </w:rPr>
              <w:t xml:space="preserve">) </w:t>
            </w:r>
            <w:r>
              <w:rPr>
                <w:rStyle w:val="IndexLink"/>
                <w:rtl w:val="true"/>
              </w:rPr>
              <w:t>الاستحسان</w:t>
            </w:r>
            <w:r>
              <w:rPr>
                <w:rStyle w:val="IndexLink"/>
                <w:rtl w:val="true"/>
              </w:rPr>
              <w:t>:</w:t>
              <w:tab/>
            </w:r>
            <w:r>
              <w:rPr>
                <w:rStyle w:val="IndexLink"/>
              </w:rPr>
              <w:t>147</w:t>
            </w:r>
          </w:hyperlink>
        </w:p>
        <w:p>
          <w:pPr>
            <w:pStyle w:val="Contents6"/>
            <w:tabs>
              <w:tab w:val="clear" w:pos="7609"/>
              <w:tab w:val="right" w:pos="9026" w:leader="dot"/>
            </w:tabs>
            <w:rPr/>
          </w:pPr>
          <w:hyperlink w:anchor="__RefHeading___Toc2473988_653776707">
            <w:r>
              <w:rPr>
                <w:webHidden/>
                <w:rStyle w:val="IndexLink"/>
              </w:rPr>
              <w:t>10</w:t>
            </w:r>
            <w:r>
              <w:rPr>
                <w:rStyle w:val="IndexLink"/>
                <w:rtl w:val="true"/>
              </w:rPr>
              <w:t xml:space="preserve">) </w:t>
            </w:r>
            <w:r>
              <w:rPr>
                <w:rStyle w:val="IndexLink"/>
                <w:rtl w:val="true"/>
              </w:rPr>
              <w:t>شرع من قبلنا شرع لنا</w:t>
            </w:r>
            <w:r>
              <w:rPr>
                <w:rStyle w:val="IndexLink"/>
                <w:rtl w:val="true"/>
              </w:rPr>
              <w:t>:</w:t>
              <w:tab/>
            </w:r>
            <w:r>
              <w:rPr>
                <w:rStyle w:val="IndexLink"/>
              </w:rPr>
              <w:t>147</w:t>
            </w:r>
          </w:hyperlink>
        </w:p>
        <w:p>
          <w:pPr>
            <w:pStyle w:val="Contents6"/>
            <w:tabs>
              <w:tab w:val="clear" w:pos="7609"/>
              <w:tab w:val="right" w:pos="9026" w:leader="dot"/>
            </w:tabs>
            <w:rPr/>
          </w:pPr>
          <w:hyperlink w:anchor="__RefHeading___Toc2473990_653776707">
            <w:r>
              <w:rPr>
                <w:webHidden/>
                <w:rStyle w:val="IndexLink"/>
              </w:rPr>
              <w:t>11</w:t>
            </w:r>
            <w:r>
              <w:rPr>
                <w:rStyle w:val="IndexLink"/>
                <w:rtl w:val="true"/>
              </w:rPr>
              <w:t xml:space="preserve">) </w:t>
            </w:r>
            <w:r>
              <w:rPr>
                <w:rStyle w:val="IndexLink"/>
                <w:rtl w:val="true"/>
              </w:rPr>
              <w:t>البراءة الأصلية</w:t>
            </w:r>
            <w:r>
              <w:rPr>
                <w:rStyle w:val="IndexLink"/>
                <w:rtl w:val="true"/>
              </w:rPr>
              <w:t>:</w:t>
              <w:tab/>
            </w:r>
            <w:r>
              <w:rPr>
                <w:rStyle w:val="IndexLink"/>
              </w:rPr>
              <w:t>148</w:t>
            </w:r>
          </w:hyperlink>
        </w:p>
        <w:p>
          <w:pPr>
            <w:pStyle w:val="Contents5"/>
            <w:tabs>
              <w:tab w:val="clear" w:pos="7892"/>
              <w:tab w:val="right" w:pos="9026" w:leader="dot"/>
            </w:tabs>
            <w:rPr/>
          </w:pPr>
          <w:hyperlink w:anchor="__RefHeading___Toc2473992_653776707">
            <w:r>
              <w:rPr>
                <w:webHidden/>
                <w:rStyle w:val="IndexLink"/>
                <w:rtl w:val="true"/>
              </w:rPr>
              <w:t>ب</w:t>
            </w:r>
            <w:r>
              <w:rPr>
                <w:rStyle w:val="IndexLink"/>
                <w:rtl w:val="true"/>
              </w:rPr>
              <w:t xml:space="preserve">) </w:t>
            </w:r>
            <w:r>
              <w:rPr>
                <w:rStyle w:val="IndexLink"/>
                <w:rtl w:val="true"/>
              </w:rPr>
              <w:t>الأصول الخاصة بالمذهب المالكي</w:t>
            </w:r>
            <w:r>
              <w:rPr>
                <w:rStyle w:val="IndexLink"/>
                <w:rtl w:val="true"/>
              </w:rPr>
              <w:t>:</w:t>
              <w:tab/>
            </w:r>
            <w:r>
              <w:rPr>
                <w:rStyle w:val="IndexLink"/>
              </w:rPr>
              <w:t>148</w:t>
            </w:r>
          </w:hyperlink>
        </w:p>
        <w:p>
          <w:pPr>
            <w:pStyle w:val="Contents5"/>
            <w:tabs>
              <w:tab w:val="clear" w:pos="7892"/>
              <w:tab w:val="right" w:pos="9026" w:leader="dot"/>
            </w:tabs>
            <w:rPr/>
          </w:pPr>
          <w:hyperlink w:anchor="__RefHeading___Toc2473994_653776707">
            <w:r>
              <w:rPr>
                <w:webHidden/>
                <w:rStyle w:val="IndexLink"/>
              </w:rPr>
              <w:t>1</w:t>
            </w:r>
            <w:r>
              <w:rPr>
                <w:rStyle w:val="IndexLink"/>
                <w:rtl w:val="true"/>
              </w:rPr>
              <w:t xml:space="preserve">) </w:t>
            </w:r>
            <w:r>
              <w:rPr>
                <w:rStyle w:val="IndexLink"/>
                <w:rtl w:val="true"/>
              </w:rPr>
              <w:t>عمل أهل المدينة</w:t>
            </w:r>
            <w:r>
              <w:rPr>
                <w:rStyle w:val="IndexLink"/>
                <w:rtl w:val="true"/>
              </w:rPr>
              <w:t>:</w:t>
              <w:tab/>
            </w:r>
            <w:r>
              <w:rPr>
                <w:rStyle w:val="IndexLink"/>
              </w:rPr>
              <w:t>149</w:t>
            </w:r>
          </w:hyperlink>
        </w:p>
        <w:p>
          <w:pPr>
            <w:pStyle w:val="Contents5"/>
            <w:tabs>
              <w:tab w:val="clear" w:pos="7892"/>
              <w:tab w:val="right" w:pos="9026" w:leader="dot"/>
            </w:tabs>
            <w:rPr/>
          </w:pPr>
          <w:hyperlink w:anchor="__RefHeading___Toc2473996_653776707">
            <w:r>
              <w:rPr>
                <w:webHidden/>
                <w:rStyle w:val="IndexLink"/>
              </w:rPr>
              <w:t>2</w:t>
            </w:r>
            <w:r>
              <w:rPr>
                <w:rStyle w:val="IndexLink"/>
                <w:rtl w:val="true"/>
              </w:rPr>
              <w:t xml:space="preserve">) </w:t>
            </w:r>
            <w:r>
              <w:rPr>
                <w:rStyle w:val="IndexLink"/>
                <w:rtl w:val="true"/>
              </w:rPr>
              <w:t>المصالح المرسلة</w:t>
            </w:r>
            <w:r>
              <w:rPr>
                <w:rStyle w:val="IndexLink"/>
                <w:rtl w:val="true"/>
              </w:rPr>
              <w:t>:</w:t>
              <w:tab/>
            </w:r>
            <w:r>
              <w:rPr>
                <w:rStyle w:val="IndexLink"/>
              </w:rPr>
              <w:t>150</w:t>
            </w:r>
          </w:hyperlink>
        </w:p>
        <w:p>
          <w:pPr>
            <w:pStyle w:val="Contents5"/>
            <w:tabs>
              <w:tab w:val="clear" w:pos="7892"/>
              <w:tab w:val="right" w:pos="9026" w:leader="dot"/>
            </w:tabs>
            <w:rPr/>
          </w:pPr>
          <w:hyperlink w:anchor="__RefHeading___Toc2473998_653776707">
            <w:r>
              <w:rPr>
                <w:webHidden/>
                <w:rStyle w:val="IndexLink"/>
              </w:rPr>
              <w:t>3</w:t>
            </w:r>
            <w:r>
              <w:rPr>
                <w:rStyle w:val="IndexLink"/>
                <w:rtl w:val="true"/>
              </w:rPr>
              <w:t xml:space="preserve">) </w:t>
            </w:r>
            <w:r>
              <w:rPr>
                <w:rStyle w:val="IndexLink"/>
                <w:rtl w:val="true"/>
              </w:rPr>
              <w:t>سدّ الذرائع</w:t>
            </w:r>
            <w:r>
              <w:rPr>
                <w:rStyle w:val="IndexLink"/>
                <w:rtl w:val="true"/>
              </w:rPr>
              <w:t>:</w:t>
              <w:tab/>
            </w:r>
            <w:r>
              <w:rPr>
                <w:rStyle w:val="IndexLink"/>
              </w:rPr>
              <w:t>153</w:t>
            </w:r>
          </w:hyperlink>
        </w:p>
        <w:p>
          <w:pPr>
            <w:pStyle w:val="Contents5"/>
            <w:tabs>
              <w:tab w:val="clear" w:pos="7892"/>
              <w:tab w:val="right" w:pos="9026" w:leader="dot"/>
            </w:tabs>
            <w:rPr/>
          </w:pPr>
          <w:hyperlink w:anchor="__RefHeading___Toc2474000_653776707">
            <w:r>
              <w:rPr>
                <w:webHidden/>
                <w:rStyle w:val="IndexLink"/>
              </w:rPr>
              <w:t>4</w:t>
            </w:r>
            <w:r>
              <w:rPr>
                <w:rStyle w:val="IndexLink"/>
                <w:rtl w:val="true"/>
              </w:rPr>
              <w:t xml:space="preserve">) </w:t>
            </w:r>
            <w:r>
              <w:rPr>
                <w:rStyle w:val="IndexLink"/>
                <w:rtl w:val="true"/>
              </w:rPr>
              <w:t>مراعاة الخلاف</w:t>
            </w:r>
            <w:r>
              <w:rPr>
                <w:rStyle w:val="IndexLink"/>
                <w:rtl w:val="true"/>
              </w:rPr>
              <w:t>:</w:t>
              <w:tab/>
            </w:r>
            <w:r>
              <w:rPr>
                <w:rStyle w:val="IndexLink"/>
              </w:rPr>
              <w:t>155</w:t>
            </w:r>
          </w:hyperlink>
        </w:p>
        <w:p>
          <w:pPr>
            <w:pStyle w:val="Contents5"/>
            <w:tabs>
              <w:tab w:val="clear" w:pos="7892"/>
              <w:tab w:val="right" w:pos="9026" w:leader="dot"/>
            </w:tabs>
            <w:rPr/>
          </w:pPr>
          <w:hyperlink w:anchor="__RefHeading___Toc2474002_653776707">
            <w:r>
              <w:rPr>
                <w:webHidden/>
                <w:rStyle w:val="IndexLink"/>
              </w:rPr>
              <w:t>5</w:t>
            </w:r>
            <w:r>
              <w:rPr>
                <w:rStyle w:val="IndexLink"/>
                <w:rtl w:val="true"/>
              </w:rPr>
              <w:t xml:space="preserve">) </w:t>
            </w:r>
            <w:r>
              <w:rPr>
                <w:rStyle w:val="IndexLink"/>
                <w:rtl w:val="true"/>
              </w:rPr>
              <w:t>مراعاة العرف</w:t>
            </w:r>
            <w:r>
              <w:rPr>
                <w:rStyle w:val="IndexLink"/>
                <w:rtl w:val="true"/>
              </w:rPr>
              <w:t>:</w:t>
              <w:tab/>
            </w:r>
            <w:r>
              <w:rPr>
                <w:rStyle w:val="IndexLink"/>
              </w:rPr>
              <w:t>155</w:t>
            </w:r>
          </w:hyperlink>
        </w:p>
        <w:p>
          <w:pPr>
            <w:pStyle w:val="Contents4"/>
            <w:tabs>
              <w:tab w:val="clear" w:pos="8176"/>
              <w:tab w:val="right" w:pos="9026" w:leader="dot"/>
            </w:tabs>
            <w:rPr/>
          </w:pPr>
          <w:hyperlink w:anchor="__RefHeading___Toc2474004_653776707">
            <w:r>
              <w:rPr>
                <w:webHidden/>
                <w:rStyle w:val="IndexLink"/>
              </w:rPr>
              <w:t>4</w:t>
            </w:r>
            <w:r>
              <w:rPr>
                <w:rStyle w:val="IndexLink"/>
                <w:rtl w:val="true"/>
              </w:rPr>
              <w:t xml:space="preserve">) </w:t>
            </w:r>
            <w:r>
              <w:rPr>
                <w:rStyle w:val="IndexLink"/>
                <w:rtl w:val="true"/>
              </w:rPr>
              <w:t>المنهج الكلامي والفقهي للمذهب المالکی</w:t>
            </w:r>
            <w:r>
              <w:rPr>
                <w:rStyle w:val="IndexLink"/>
                <w:rtl w:val="true"/>
              </w:rPr>
              <w:t>:</w:t>
              <w:tab/>
            </w:r>
            <w:r>
              <w:rPr>
                <w:rStyle w:val="IndexLink"/>
              </w:rPr>
              <w:t>157</w:t>
            </w:r>
          </w:hyperlink>
        </w:p>
        <w:p>
          <w:pPr>
            <w:pStyle w:val="Contents5"/>
            <w:tabs>
              <w:tab w:val="clear" w:pos="7892"/>
              <w:tab w:val="right" w:pos="9026" w:leader="dot"/>
            </w:tabs>
            <w:rPr/>
          </w:pPr>
          <w:hyperlink w:anchor="__RefHeading___Toc2474006_653776707">
            <w:r>
              <w:rPr>
                <w:webHidden/>
                <w:rStyle w:val="IndexLink"/>
                <w:rtl w:val="true"/>
              </w:rPr>
              <w:t>الف</w:t>
            </w:r>
            <w:r>
              <w:rPr>
                <w:rStyle w:val="IndexLink"/>
                <w:rtl w:val="true"/>
              </w:rPr>
              <w:t xml:space="preserve">) </w:t>
            </w:r>
            <w:r>
              <w:rPr>
                <w:rStyle w:val="IndexLink"/>
                <w:rtl w:val="true"/>
              </w:rPr>
              <w:t>المنهج الكلامي لمالك</w:t>
            </w:r>
            <w:r>
              <w:rPr>
                <w:rStyle w:val="IndexLink"/>
                <w:rtl w:val="true"/>
              </w:rPr>
              <w:t>:</w:t>
              <w:tab/>
            </w:r>
            <w:r>
              <w:rPr>
                <w:rStyle w:val="IndexLink"/>
              </w:rPr>
              <w:t>157</w:t>
            </w:r>
          </w:hyperlink>
        </w:p>
        <w:p>
          <w:pPr>
            <w:pStyle w:val="Contents5"/>
            <w:tabs>
              <w:tab w:val="clear" w:pos="7892"/>
              <w:tab w:val="right" w:pos="9026" w:leader="dot"/>
            </w:tabs>
            <w:rPr/>
          </w:pPr>
          <w:hyperlink w:anchor="__RefHeading___Toc2474008_653776707">
            <w:r>
              <w:rPr>
                <w:webHidden/>
                <w:rStyle w:val="IndexLink"/>
                <w:rtl w:val="true"/>
              </w:rPr>
              <w:t>ب</w:t>
            </w:r>
            <w:r>
              <w:rPr>
                <w:rStyle w:val="IndexLink"/>
                <w:rtl w:val="true"/>
              </w:rPr>
              <w:t xml:space="preserve">) </w:t>
            </w:r>
            <w:r>
              <w:rPr>
                <w:rStyle w:val="IndexLink"/>
                <w:rtl w:val="true"/>
              </w:rPr>
              <w:t>المنهج الفقهي لمالك</w:t>
            </w:r>
            <w:r>
              <w:rPr>
                <w:rStyle w:val="IndexLink"/>
                <w:rtl w:val="true"/>
              </w:rPr>
              <w:t>:</w:t>
              <w:tab/>
            </w:r>
            <w:r>
              <w:rPr>
                <w:rStyle w:val="IndexLink"/>
              </w:rPr>
              <w:t>158</w:t>
            </w:r>
          </w:hyperlink>
        </w:p>
        <w:p>
          <w:pPr>
            <w:pStyle w:val="Contents5"/>
            <w:tabs>
              <w:tab w:val="clear" w:pos="7892"/>
              <w:tab w:val="right" w:pos="9026" w:leader="dot"/>
            </w:tabs>
            <w:rPr/>
          </w:pPr>
          <w:hyperlink w:anchor="__RefHeading___Toc2474010_653776707">
            <w:r>
              <w:rPr>
                <w:webHidden/>
                <w:rStyle w:val="IndexLink"/>
              </w:rPr>
              <w:t>1</w:t>
            </w:r>
            <w:r>
              <w:rPr>
                <w:rStyle w:val="IndexLink"/>
                <w:rtl w:val="true"/>
              </w:rPr>
              <w:t xml:space="preserve">) </w:t>
            </w:r>
            <w:r>
              <w:rPr>
                <w:rStyle w:val="IndexLink"/>
                <w:rtl w:val="true"/>
              </w:rPr>
              <w:t>منهج مالك في الحديث</w:t>
            </w:r>
            <w:r>
              <w:rPr>
                <w:rStyle w:val="IndexLink"/>
                <w:rtl w:val="true"/>
              </w:rPr>
              <w:t>:</w:t>
              <w:tab/>
            </w:r>
            <w:r>
              <w:rPr>
                <w:rStyle w:val="IndexLink"/>
              </w:rPr>
              <w:t>158</w:t>
            </w:r>
          </w:hyperlink>
        </w:p>
        <w:p>
          <w:pPr>
            <w:pStyle w:val="Contents5"/>
            <w:tabs>
              <w:tab w:val="clear" w:pos="7892"/>
              <w:tab w:val="right" w:pos="9026" w:leader="dot"/>
            </w:tabs>
            <w:rPr/>
          </w:pPr>
          <w:hyperlink w:anchor="__RefHeading___Toc2474012_653776707">
            <w:r>
              <w:rPr>
                <w:webHidden/>
                <w:rStyle w:val="IndexLink"/>
              </w:rPr>
              <w:t>2</w:t>
            </w:r>
            <w:r>
              <w:rPr>
                <w:rStyle w:val="IndexLink"/>
                <w:rtl w:val="true"/>
              </w:rPr>
              <w:t xml:space="preserve">) </w:t>
            </w:r>
            <w:r>
              <w:rPr>
                <w:rStyle w:val="IndexLink"/>
                <w:rtl w:val="true"/>
              </w:rPr>
              <w:t>منهج مالك في المخصص للعمومات</w:t>
            </w:r>
            <w:r>
              <w:rPr>
                <w:rStyle w:val="IndexLink"/>
                <w:rtl w:val="true"/>
              </w:rPr>
              <w:t>:</w:t>
              <w:tab/>
            </w:r>
            <w:r>
              <w:rPr>
                <w:rStyle w:val="IndexLink"/>
              </w:rPr>
              <w:t>159</w:t>
            </w:r>
          </w:hyperlink>
        </w:p>
        <w:p>
          <w:pPr>
            <w:pStyle w:val="Contents5"/>
            <w:tabs>
              <w:tab w:val="clear" w:pos="7892"/>
              <w:tab w:val="right" w:pos="9026" w:leader="dot"/>
            </w:tabs>
            <w:rPr/>
          </w:pPr>
          <w:hyperlink w:anchor="__RefHeading___Toc2474014_653776707">
            <w:r>
              <w:rPr>
                <w:webHidden/>
                <w:rStyle w:val="IndexLink"/>
              </w:rPr>
              <w:t>3</w:t>
            </w:r>
            <w:r>
              <w:rPr>
                <w:rStyle w:val="IndexLink"/>
                <w:rtl w:val="true"/>
              </w:rPr>
              <w:t xml:space="preserve">) </w:t>
            </w:r>
            <w:r>
              <w:rPr>
                <w:rStyle w:val="IndexLink"/>
                <w:rtl w:val="true"/>
              </w:rPr>
              <w:t>رأي مالك في الفتاوى الفقهيّة للفقهاء</w:t>
            </w:r>
            <w:r>
              <w:rPr>
                <w:rStyle w:val="IndexLink"/>
                <w:rtl w:val="true"/>
              </w:rPr>
              <w:t>:</w:t>
              <w:tab/>
            </w:r>
            <w:r>
              <w:rPr>
                <w:rStyle w:val="IndexLink"/>
              </w:rPr>
              <w:t>160</w:t>
            </w:r>
          </w:hyperlink>
        </w:p>
        <w:p>
          <w:pPr>
            <w:pStyle w:val="Contents5"/>
            <w:tabs>
              <w:tab w:val="clear" w:pos="7892"/>
              <w:tab w:val="right" w:pos="9026" w:leader="dot"/>
            </w:tabs>
            <w:rPr/>
          </w:pPr>
          <w:hyperlink w:anchor="__RefHeading___Toc2474016_653776707">
            <w:r>
              <w:rPr>
                <w:webHidden/>
                <w:rStyle w:val="IndexLink"/>
              </w:rPr>
              <w:t>4</w:t>
            </w:r>
            <w:r>
              <w:rPr>
                <w:rStyle w:val="IndexLink"/>
                <w:rtl w:val="true"/>
              </w:rPr>
              <w:t xml:space="preserve">) </w:t>
            </w:r>
            <w:r>
              <w:rPr>
                <w:rStyle w:val="IndexLink"/>
                <w:rtl w:val="true"/>
              </w:rPr>
              <w:t>منهج مالك في الإجتهاد بالرأى والمصلحة</w:t>
            </w:r>
            <w:r>
              <w:rPr>
                <w:rStyle w:val="IndexLink"/>
                <w:rtl w:val="true"/>
              </w:rPr>
              <w:t>:</w:t>
              <w:tab/>
            </w:r>
            <w:r>
              <w:rPr>
                <w:rStyle w:val="IndexLink"/>
              </w:rPr>
              <w:t>160</w:t>
            </w:r>
          </w:hyperlink>
        </w:p>
        <w:p>
          <w:pPr>
            <w:pStyle w:val="Contents5"/>
            <w:tabs>
              <w:tab w:val="clear" w:pos="7892"/>
              <w:tab w:val="right" w:pos="9026" w:leader="dot"/>
            </w:tabs>
            <w:rPr/>
          </w:pPr>
          <w:hyperlink w:anchor="__RefHeading___Toc2474018_653776707">
            <w:r>
              <w:rPr>
                <w:webHidden/>
                <w:rStyle w:val="IndexLink"/>
              </w:rPr>
              <w:t>5</w:t>
            </w:r>
            <w:r>
              <w:rPr>
                <w:rStyle w:val="IndexLink"/>
                <w:rtl w:val="true"/>
              </w:rPr>
              <w:t xml:space="preserve">) </w:t>
            </w:r>
            <w:r>
              <w:rPr>
                <w:rStyle w:val="IndexLink"/>
                <w:rtl w:val="true"/>
              </w:rPr>
              <w:t>نماذج من فتاوی المذهب المالکی</w:t>
            </w:r>
            <w:r>
              <w:rPr>
                <w:rStyle w:val="IndexLink"/>
                <w:rtl w:val="true"/>
              </w:rPr>
              <w:tab/>
            </w:r>
            <w:r>
              <w:rPr>
                <w:rStyle w:val="IndexLink"/>
              </w:rPr>
              <w:t>161</w:t>
            </w:r>
          </w:hyperlink>
        </w:p>
        <w:p>
          <w:pPr>
            <w:pStyle w:val="Contents3"/>
            <w:tabs>
              <w:tab w:val="clear" w:pos="8459"/>
              <w:tab w:val="right" w:pos="9026" w:leader="dot"/>
            </w:tabs>
            <w:rPr/>
          </w:pPr>
          <w:hyperlink w:anchor="__RefHeading___Toc2474020_653776707">
            <w:r>
              <w:rPr>
                <w:webHidden/>
                <w:rStyle w:val="IndexLink"/>
                <w:rtl w:val="true"/>
              </w:rPr>
              <w:t>الفصل الخامس مدرسة الشافعي ومنهجه في الإجتهاد مجالات البحث في المذهب الشافعي</w:t>
            </w:r>
            <w:r>
              <w:rPr>
                <w:rStyle w:val="IndexLink"/>
                <w:rtl w:val="true"/>
              </w:rPr>
              <w:t>:</w:t>
              <w:tab/>
            </w:r>
            <w:r>
              <w:rPr>
                <w:rStyle w:val="IndexLink"/>
              </w:rPr>
              <w:t>163</w:t>
            </w:r>
          </w:hyperlink>
        </w:p>
        <w:p>
          <w:pPr>
            <w:pStyle w:val="Contents4"/>
            <w:tabs>
              <w:tab w:val="clear" w:pos="8176"/>
              <w:tab w:val="right" w:pos="9026" w:leader="dot"/>
            </w:tabs>
            <w:rPr/>
          </w:pPr>
          <w:hyperlink w:anchor="__RefHeading___Toc2474022_653776707">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2474024_653776707">
            <w:r>
              <w:rPr>
                <w:webHidden/>
                <w:rStyle w:val="IndexLink"/>
              </w:rPr>
              <w:t>1</w:t>
            </w:r>
            <w:r>
              <w:rPr>
                <w:rStyle w:val="IndexLink"/>
                <w:rtl w:val="true"/>
              </w:rPr>
              <w:t xml:space="preserve">) </w:t>
            </w:r>
            <w:r>
              <w:rPr>
                <w:rStyle w:val="IndexLink"/>
                <w:rtl w:val="true"/>
              </w:rPr>
              <w:t>مؤسس المذهب الشافعي</w:t>
            </w:r>
            <w:r>
              <w:rPr>
                <w:rStyle w:val="IndexLink"/>
                <w:rtl w:val="true"/>
              </w:rPr>
              <w:t>:</w:t>
              <w:tab/>
            </w:r>
            <w:r>
              <w:rPr>
                <w:rStyle w:val="IndexLink"/>
              </w:rPr>
              <w:t>163</w:t>
            </w:r>
          </w:hyperlink>
        </w:p>
        <w:p>
          <w:pPr>
            <w:pStyle w:val="Contents4"/>
            <w:tabs>
              <w:tab w:val="clear" w:pos="8176"/>
              <w:tab w:val="right" w:pos="9026" w:leader="dot"/>
            </w:tabs>
            <w:rPr/>
          </w:pPr>
          <w:hyperlink w:anchor="__RefHeading___Toc2474026_653776707">
            <w:r>
              <w:rPr>
                <w:webHidden/>
                <w:rStyle w:val="IndexLink"/>
              </w:rPr>
              <w:t>2</w:t>
            </w:r>
            <w:r>
              <w:rPr>
                <w:rStyle w:val="IndexLink"/>
                <w:rtl w:val="true"/>
              </w:rPr>
              <w:t xml:space="preserve">) </w:t>
            </w:r>
            <w:r>
              <w:rPr>
                <w:rStyle w:val="IndexLink"/>
                <w:rtl w:val="true"/>
              </w:rPr>
              <w:t>منطلق المذهب الشافعي وأماكن انتشاره</w:t>
            </w:r>
            <w:r>
              <w:rPr>
                <w:rStyle w:val="IndexLink"/>
                <w:rtl w:val="true"/>
              </w:rPr>
              <w:t>:</w:t>
              <w:tab/>
            </w:r>
            <w:r>
              <w:rPr>
                <w:rStyle w:val="IndexLink"/>
              </w:rPr>
              <w:t>166</w:t>
            </w:r>
          </w:hyperlink>
        </w:p>
        <w:p>
          <w:pPr>
            <w:pStyle w:val="Contents4"/>
            <w:tabs>
              <w:tab w:val="clear" w:pos="8176"/>
              <w:tab w:val="right" w:pos="9026" w:leader="dot"/>
            </w:tabs>
            <w:rPr/>
          </w:pPr>
          <w:hyperlink w:anchor="__RefHeading___Toc2474028_653776707">
            <w:r>
              <w:rPr>
                <w:webHidden/>
                <w:rStyle w:val="IndexLink"/>
              </w:rPr>
              <w:t>3</w:t>
            </w:r>
            <w:r>
              <w:rPr>
                <w:rStyle w:val="IndexLink"/>
                <w:rtl w:val="true"/>
              </w:rPr>
              <w:t xml:space="preserve">) </w:t>
            </w:r>
            <w:r>
              <w:rPr>
                <w:rStyle w:val="IndexLink"/>
                <w:rtl w:val="true"/>
              </w:rPr>
              <w:t>الأسس الرئيسيّة في المذهب الشافعي</w:t>
            </w:r>
            <w:r>
              <w:rPr>
                <w:rStyle w:val="IndexLink"/>
                <w:rtl w:val="true"/>
              </w:rPr>
              <w:t>:</w:t>
              <w:tab/>
            </w:r>
            <w:r>
              <w:rPr>
                <w:rStyle w:val="IndexLink"/>
              </w:rPr>
              <w:t>168</w:t>
            </w:r>
          </w:hyperlink>
        </w:p>
        <w:p>
          <w:pPr>
            <w:pStyle w:val="Contents5"/>
            <w:tabs>
              <w:tab w:val="clear" w:pos="7892"/>
              <w:tab w:val="right" w:pos="9026" w:leader="dot"/>
            </w:tabs>
            <w:rPr/>
          </w:pPr>
          <w:hyperlink w:anchor="__RefHeading___Toc2474030_653776707">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2474032_653776707">
            <w:r>
              <w:rPr>
                <w:webHidden/>
                <w:rStyle w:val="IndexLink"/>
                <w:rtl w:val="true"/>
              </w:rPr>
              <w:t>مذهب الشافعي والاستحسان</w:t>
            </w:r>
            <w:r>
              <w:rPr>
                <w:rStyle w:val="IndexLink"/>
                <w:rtl w:val="true"/>
              </w:rPr>
              <w:t>:</w:t>
              <w:tab/>
            </w:r>
            <w:r>
              <w:rPr>
                <w:rStyle w:val="IndexLink"/>
              </w:rPr>
              <w:t>170</w:t>
            </w:r>
          </w:hyperlink>
        </w:p>
        <w:p>
          <w:pPr>
            <w:pStyle w:val="Contents5"/>
            <w:tabs>
              <w:tab w:val="clear" w:pos="7892"/>
              <w:tab w:val="right" w:pos="9026" w:leader="dot"/>
            </w:tabs>
            <w:rPr/>
          </w:pPr>
          <w:hyperlink w:anchor="__RefHeading___Toc2474034_653776707">
            <w:r>
              <w:rPr>
                <w:webHidden/>
                <w:rStyle w:val="IndexLink"/>
                <w:rtl w:val="true"/>
              </w:rPr>
              <w:t>مذهب الشافعي والمصالح المرسلة</w:t>
            </w:r>
            <w:r>
              <w:rPr>
                <w:rStyle w:val="IndexLink"/>
                <w:rtl w:val="true"/>
              </w:rPr>
              <w:t>:</w:t>
              <w:tab/>
            </w:r>
            <w:r>
              <w:rPr>
                <w:rStyle w:val="IndexLink"/>
              </w:rPr>
              <w:t>171</w:t>
            </w:r>
          </w:hyperlink>
        </w:p>
        <w:p>
          <w:pPr>
            <w:pStyle w:val="Contents4"/>
            <w:tabs>
              <w:tab w:val="clear" w:pos="8176"/>
              <w:tab w:val="right" w:pos="9026" w:leader="dot"/>
            </w:tabs>
            <w:rPr/>
          </w:pPr>
          <w:hyperlink w:anchor="__RefHeading___Toc2474036_653776707">
            <w:r>
              <w:rPr>
                <w:webHidden/>
                <w:rStyle w:val="IndexLink"/>
              </w:rPr>
              <w:t>4</w:t>
            </w:r>
            <w:r>
              <w:rPr>
                <w:rStyle w:val="IndexLink"/>
                <w:rtl w:val="true"/>
              </w:rPr>
              <w:t xml:space="preserve">) </w:t>
            </w:r>
            <w:r>
              <w:rPr>
                <w:rStyle w:val="IndexLink"/>
                <w:rtl w:val="true"/>
              </w:rPr>
              <w:t>إطلالة على المنهج الفقهي والكلامي للمذهب الشافعي</w:t>
            </w:r>
            <w:r>
              <w:rPr>
                <w:rStyle w:val="IndexLink"/>
                <w:rtl w:val="true"/>
              </w:rPr>
              <w:tab/>
            </w:r>
            <w:r>
              <w:rPr>
                <w:rStyle w:val="IndexLink"/>
              </w:rPr>
              <w:t>171</w:t>
            </w:r>
          </w:hyperlink>
        </w:p>
        <w:p>
          <w:pPr>
            <w:pStyle w:val="Contents5"/>
            <w:tabs>
              <w:tab w:val="clear" w:pos="7892"/>
              <w:tab w:val="right" w:pos="9026" w:leader="dot"/>
            </w:tabs>
            <w:rPr/>
          </w:pPr>
          <w:hyperlink w:anchor="__RefHeading___Toc2474038_653776707">
            <w:r>
              <w:rPr>
                <w:webHidden/>
                <w:rStyle w:val="IndexLink"/>
                <w:rtl w:val="true"/>
              </w:rPr>
              <w:t>الف</w:t>
            </w:r>
            <w:r>
              <w:rPr>
                <w:rStyle w:val="IndexLink"/>
                <w:rtl w:val="true"/>
              </w:rPr>
              <w:t xml:space="preserve">) </w:t>
            </w:r>
            <w:r>
              <w:rPr>
                <w:rStyle w:val="IndexLink"/>
                <w:rtl w:val="true"/>
              </w:rPr>
              <w:t>المنهج الفقهي للمذهب الشافعي</w:t>
            </w:r>
            <w:r>
              <w:rPr>
                <w:rStyle w:val="IndexLink"/>
                <w:rtl w:val="true"/>
              </w:rPr>
              <w:t>:</w:t>
              <w:tab/>
            </w:r>
            <w:r>
              <w:rPr>
                <w:rStyle w:val="IndexLink"/>
              </w:rPr>
              <w:t>171</w:t>
            </w:r>
          </w:hyperlink>
        </w:p>
        <w:p>
          <w:pPr>
            <w:pStyle w:val="Contents5"/>
            <w:tabs>
              <w:tab w:val="clear" w:pos="7892"/>
              <w:tab w:val="right" w:pos="9026" w:leader="dot"/>
            </w:tabs>
            <w:rPr/>
          </w:pPr>
          <w:hyperlink w:anchor="__RefHeading___Toc2474040_653776707">
            <w:r>
              <w:rPr>
                <w:webHidden/>
                <w:rStyle w:val="IndexLink"/>
                <w:rtl w:val="true"/>
              </w:rPr>
              <w:t>ب</w:t>
            </w:r>
            <w:r>
              <w:rPr>
                <w:rStyle w:val="IndexLink"/>
                <w:rtl w:val="true"/>
              </w:rPr>
              <w:t xml:space="preserve">) </w:t>
            </w:r>
            <w:r>
              <w:rPr>
                <w:rStyle w:val="IndexLink"/>
                <w:rtl w:val="true"/>
              </w:rPr>
              <w:t>المنهج الكلامي للمذهب الشافعي</w:t>
            </w:r>
            <w:r>
              <w:rPr>
                <w:rStyle w:val="IndexLink"/>
                <w:rtl w:val="true"/>
              </w:rPr>
              <w:t>:</w:t>
              <w:tab/>
            </w:r>
            <w:r>
              <w:rPr>
                <w:rStyle w:val="IndexLink"/>
              </w:rPr>
              <w:t>172</w:t>
            </w:r>
          </w:hyperlink>
        </w:p>
        <w:p>
          <w:pPr>
            <w:pStyle w:val="Contents4"/>
            <w:tabs>
              <w:tab w:val="clear" w:pos="8176"/>
              <w:tab w:val="right" w:pos="9026" w:leader="dot"/>
            </w:tabs>
            <w:rPr/>
          </w:pPr>
          <w:hyperlink w:anchor="__RefHeading___Toc2474042_653776707">
            <w:r>
              <w:rPr>
                <w:webHidden/>
                <w:rStyle w:val="IndexLink"/>
              </w:rPr>
              <w:t>5</w:t>
            </w:r>
            <w:r>
              <w:rPr>
                <w:rStyle w:val="IndexLink"/>
                <w:rtl w:val="true"/>
              </w:rPr>
              <w:t xml:space="preserve">) </w:t>
            </w:r>
            <w:r>
              <w:rPr>
                <w:rStyle w:val="IndexLink"/>
                <w:rtl w:val="true"/>
              </w:rPr>
              <w:t>نماذج من الفتاوى التي إنفرد بها المذهب الشافعي</w:t>
            </w:r>
            <w:r>
              <w:rPr>
                <w:rStyle w:val="IndexLink"/>
                <w:rtl w:val="true"/>
              </w:rPr>
              <w:tab/>
            </w:r>
            <w:r>
              <w:rPr>
                <w:rStyle w:val="IndexLink"/>
              </w:rPr>
              <w:t>173</w:t>
            </w:r>
          </w:hyperlink>
        </w:p>
        <w:p>
          <w:pPr>
            <w:pStyle w:val="Contents3"/>
            <w:tabs>
              <w:tab w:val="clear" w:pos="8459"/>
              <w:tab w:val="right" w:pos="9026" w:leader="dot"/>
            </w:tabs>
            <w:rPr/>
          </w:pPr>
          <w:hyperlink w:anchor="__RefHeading___Toc2474044_653776707">
            <w:r>
              <w:rPr>
                <w:webHidden/>
                <w:rStyle w:val="IndexLink"/>
                <w:rtl w:val="true"/>
              </w:rPr>
              <w:t>الفصل السادس مدرسة أحمد بن حنبل ومنهجه في الإجتهاد</w:t>
            </w:r>
            <w:r>
              <w:rPr>
                <w:rStyle w:val="IndexLink"/>
                <w:rtl w:val="true"/>
              </w:rPr>
              <w:tab/>
            </w:r>
            <w:r>
              <w:rPr>
                <w:rStyle w:val="IndexLink"/>
              </w:rPr>
              <w:t>175</w:t>
            </w:r>
          </w:hyperlink>
        </w:p>
        <w:p>
          <w:pPr>
            <w:pStyle w:val="Contents4"/>
            <w:tabs>
              <w:tab w:val="clear" w:pos="8176"/>
              <w:tab w:val="right" w:pos="9026" w:leader="dot"/>
            </w:tabs>
            <w:rPr/>
          </w:pPr>
          <w:hyperlink w:anchor="__RefHeading___Toc2474046_653776707">
            <w:r>
              <w:rPr>
                <w:webHidden/>
                <w:rStyle w:val="IndexLink"/>
                <w:rtl w:val="true"/>
              </w:rPr>
              <w:t>مجالات البحث في المذهب الحنبلی</w:t>
            </w:r>
            <w:r>
              <w:rPr>
                <w:rStyle w:val="IndexLink"/>
                <w:rtl w:val="true"/>
              </w:rPr>
              <w:tab/>
            </w:r>
            <w:r>
              <w:rPr>
                <w:rStyle w:val="IndexLink"/>
              </w:rPr>
              <w:t>175</w:t>
            </w:r>
          </w:hyperlink>
        </w:p>
        <w:p>
          <w:pPr>
            <w:pStyle w:val="Contents5"/>
            <w:tabs>
              <w:tab w:val="clear" w:pos="7892"/>
              <w:tab w:val="right" w:pos="9026" w:leader="dot"/>
            </w:tabs>
            <w:rPr/>
          </w:pPr>
          <w:hyperlink w:anchor="__RefHeading___Toc2474048_653776707">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2474050_653776707">
            <w:r>
              <w:rPr>
                <w:webHidden/>
                <w:rStyle w:val="IndexLink"/>
              </w:rPr>
              <w:t>1</w:t>
            </w:r>
            <w:r>
              <w:rPr>
                <w:rStyle w:val="IndexLink"/>
                <w:rtl w:val="true"/>
              </w:rPr>
              <w:t xml:space="preserve">) </w:t>
            </w:r>
            <w:r>
              <w:rPr>
                <w:rStyle w:val="IndexLink"/>
                <w:rtl w:val="true"/>
              </w:rPr>
              <w:t>مؤسس المذهب الحنبلي</w:t>
            </w:r>
            <w:r>
              <w:rPr>
                <w:rStyle w:val="IndexLink"/>
                <w:rtl w:val="true"/>
              </w:rPr>
              <w:t>:</w:t>
              <w:tab/>
            </w:r>
            <w:r>
              <w:rPr>
                <w:rStyle w:val="IndexLink"/>
              </w:rPr>
              <w:t>175</w:t>
            </w:r>
          </w:hyperlink>
        </w:p>
        <w:p>
          <w:pPr>
            <w:pStyle w:val="Contents5"/>
            <w:tabs>
              <w:tab w:val="clear" w:pos="7892"/>
              <w:tab w:val="right" w:pos="9026" w:leader="dot"/>
            </w:tabs>
            <w:rPr/>
          </w:pPr>
          <w:hyperlink w:anchor="__RefHeading___Toc2474052_653776707">
            <w:r>
              <w:rPr>
                <w:webHidden/>
                <w:rStyle w:val="IndexLink"/>
              </w:rPr>
              <w:t>2</w:t>
            </w:r>
            <w:r>
              <w:rPr>
                <w:rStyle w:val="IndexLink"/>
                <w:rtl w:val="true"/>
              </w:rPr>
              <w:t xml:space="preserve">) </w:t>
            </w:r>
            <w:r>
              <w:rPr>
                <w:rStyle w:val="IndexLink"/>
                <w:rtl w:val="true"/>
              </w:rPr>
              <w:t>منطلق انتشار المذهب الحنبلي ومکانه</w:t>
            </w:r>
            <w:r>
              <w:rPr>
                <w:rStyle w:val="IndexLink"/>
                <w:rtl w:val="true"/>
              </w:rPr>
              <w:t>:</w:t>
              <w:tab/>
            </w:r>
            <w:r>
              <w:rPr>
                <w:rStyle w:val="IndexLink"/>
              </w:rPr>
              <w:t>177</w:t>
            </w:r>
          </w:hyperlink>
        </w:p>
        <w:p>
          <w:pPr>
            <w:pStyle w:val="Contents6"/>
            <w:tabs>
              <w:tab w:val="clear" w:pos="7609"/>
              <w:tab w:val="right" w:pos="9026" w:leader="dot"/>
            </w:tabs>
            <w:rPr/>
          </w:pPr>
          <w:hyperlink w:anchor="__RefHeading___Toc2474054_653776707">
            <w:r>
              <w:rPr>
                <w:webHidden/>
                <w:rStyle w:val="IndexLink"/>
                <w:rtl w:val="true"/>
              </w:rPr>
              <w:t>اشارة</w:t>
            </w:r>
            <w:r>
              <w:rPr>
                <w:rStyle w:val="IndexLink"/>
                <w:rtl w:val="true"/>
              </w:rPr>
              <w:tab/>
            </w:r>
            <w:r>
              <w:rPr>
                <w:rStyle w:val="IndexLink"/>
              </w:rPr>
              <w:t>177</w:t>
            </w:r>
          </w:hyperlink>
        </w:p>
        <w:p>
          <w:pPr>
            <w:pStyle w:val="Contents6"/>
            <w:tabs>
              <w:tab w:val="clear" w:pos="7609"/>
              <w:tab w:val="right" w:pos="9026" w:leader="dot"/>
            </w:tabs>
            <w:rPr/>
          </w:pPr>
          <w:hyperlink w:anchor="__RefHeading___Toc2474056_653776707">
            <w:r>
              <w:rPr>
                <w:webHidden/>
                <w:rStyle w:val="IndexLink"/>
                <w:rtl w:val="true"/>
              </w:rPr>
              <w:t>أهم المؤلّفات في الفقه الحنبلي</w:t>
            </w:r>
            <w:r>
              <w:rPr>
                <w:rStyle w:val="IndexLink"/>
                <w:rtl w:val="true"/>
              </w:rPr>
              <w:t>:</w:t>
              <w:tab/>
            </w:r>
            <w:r>
              <w:rPr>
                <w:rStyle w:val="IndexLink"/>
              </w:rPr>
              <w:t>179</w:t>
            </w:r>
          </w:hyperlink>
        </w:p>
        <w:p>
          <w:pPr>
            <w:pStyle w:val="Contents5"/>
            <w:tabs>
              <w:tab w:val="clear" w:pos="7892"/>
              <w:tab w:val="right" w:pos="9026" w:leader="dot"/>
            </w:tabs>
            <w:rPr/>
          </w:pPr>
          <w:hyperlink w:anchor="__RefHeading___Toc2474058_653776707">
            <w:r>
              <w:rPr>
                <w:webHidden/>
                <w:rStyle w:val="IndexLink"/>
              </w:rPr>
              <w:t>3</w:t>
            </w:r>
            <w:r>
              <w:rPr>
                <w:rStyle w:val="IndexLink"/>
                <w:rtl w:val="true"/>
              </w:rPr>
              <w:t xml:space="preserve">) </w:t>
            </w:r>
            <w:r>
              <w:rPr>
                <w:rStyle w:val="IndexLink"/>
                <w:rtl w:val="true"/>
              </w:rPr>
              <w:t>الأسس الرئيسيّة للمذهب الحنبلي</w:t>
            </w:r>
            <w:r>
              <w:rPr>
                <w:rStyle w:val="IndexLink"/>
                <w:rtl w:val="true"/>
              </w:rPr>
              <w:t>:</w:t>
              <w:tab/>
            </w:r>
            <w:r>
              <w:rPr>
                <w:rStyle w:val="IndexLink"/>
              </w:rPr>
              <w:t>182</w:t>
            </w:r>
          </w:hyperlink>
        </w:p>
        <w:p>
          <w:pPr>
            <w:pStyle w:val="Contents6"/>
            <w:tabs>
              <w:tab w:val="clear" w:pos="7609"/>
              <w:tab w:val="right" w:pos="9026" w:leader="dot"/>
            </w:tabs>
            <w:rPr/>
          </w:pPr>
          <w:hyperlink w:anchor="__RefHeading___Toc2474060_653776707">
            <w:r>
              <w:rPr>
                <w:webHidden/>
                <w:rStyle w:val="IndexLink"/>
                <w:rtl w:val="true"/>
              </w:rPr>
              <w:t>اشارة</w:t>
            </w:r>
            <w:r>
              <w:rPr>
                <w:rStyle w:val="IndexLink"/>
                <w:rtl w:val="true"/>
              </w:rPr>
              <w:tab/>
            </w:r>
            <w:r>
              <w:rPr>
                <w:rStyle w:val="IndexLink"/>
              </w:rPr>
              <w:t>182</w:t>
            </w:r>
          </w:hyperlink>
        </w:p>
        <w:p>
          <w:pPr>
            <w:pStyle w:val="Contents6"/>
            <w:tabs>
              <w:tab w:val="clear" w:pos="7609"/>
              <w:tab w:val="right" w:pos="9026" w:leader="dot"/>
            </w:tabs>
            <w:rPr/>
          </w:pPr>
          <w:hyperlink w:anchor="__RefHeading___Toc2474062_653776707">
            <w:r>
              <w:rPr>
                <w:webHidden/>
                <w:rStyle w:val="IndexLink"/>
                <w:rtl w:val="true"/>
              </w:rPr>
              <w:t>موقف أحمد من الأستصحاب</w:t>
            </w:r>
            <w:r>
              <w:rPr>
                <w:rStyle w:val="IndexLink"/>
                <w:rtl w:val="true"/>
              </w:rPr>
              <w:t>:</w:t>
              <w:tab/>
            </w:r>
            <w:r>
              <w:rPr>
                <w:rStyle w:val="IndexLink"/>
              </w:rPr>
              <w:t>185</w:t>
            </w:r>
          </w:hyperlink>
        </w:p>
        <w:p>
          <w:pPr>
            <w:pStyle w:val="Contents6"/>
            <w:tabs>
              <w:tab w:val="clear" w:pos="7609"/>
              <w:tab w:val="right" w:pos="9026" w:leader="dot"/>
            </w:tabs>
            <w:rPr/>
          </w:pPr>
          <w:hyperlink w:anchor="__RefHeading___Toc2474064_653776707">
            <w:r>
              <w:rPr>
                <w:webHidden/>
                <w:rStyle w:val="IndexLink"/>
                <w:rtl w:val="true"/>
              </w:rPr>
              <w:t>موقف أحمد من المصالح المرسله</w:t>
            </w:r>
            <w:r>
              <w:rPr>
                <w:rStyle w:val="IndexLink"/>
                <w:rtl w:val="true"/>
              </w:rPr>
              <w:t>:</w:t>
              <w:tab/>
            </w:r>
            <w:r>
              <w:rPr>
                <w:rStyle w:val="IndexLink"/>
              </w:rPr>
              <w:t>186</w:t>
            </w:r>
          </w:hyperlink>
        </w:p>
        <w:p>
          <w:pPr>
            <w:pStyle w:val="Contents6"/>
            <w:tabs>
              <w:tab w:val="clear" w:pos="7609"/>
              <w:tab w:val="right" w:pos="9026" w:leader="dot"/>
            </w:tabs>
            <w:rPr/>
          </w:pPr>
          <w:hyperlink w:anchor="__RefHeading___Toc2474066_653776707">
            <w:r>
              <w:rPr>
                <w:webHidden/>
                <w:rStyle w:val="IndexLink"/>
                <w:rtl w:val="true"/>
              </w:rPr>
              <w:t>موقف أحمد من سدّ الذرائع</w:t>
            </w:r>
            <w:r>
              <w:rPr>
                <w:rStyle w:val="IndexLink"/>
                <w:rtl w:val="true"/>
              </w:rPr>
              <w:t>:</w:t>
              <w:tab/>
            </w:r>
            <w:r>
              <w:rPr>
                <w:rStyle w:val="IndexLink"/>
              </w:rPr>
              <w:t>186</w:t>
            </w:r>
          </w:hyperlink>
        </w:p>
        <w:p>
          <w:pPr>
            <w:pStyle w:val="Contents6"/>
            <w:tabs>
              <w:tab w:val="clear" w:pos="7609"/>
              <w:tab w:val="right" w:pos="9026" w:leader="dot"/>
            </w:tabs>
            <w:rPr/>
          </w:pPr>
          <w:hyperlink w:anchor="__RefHeading___Toc2474068_653776707">
            <w:r>
              <w:rPr>
                <w:webHidden/>
                <w:rStyle w:val="IndexLink"/>
                <w:rtl w:val="true"/>
              </w:rPr>
              <w:t>موقف أحمد من الاجماع</w:t>
            </w:r>
            <w:r>
              <w:rPr>
                <w:rStyle w:val="IndexLink"/>
                <w:rtl w:val="true"/>
              </w:rPr>
              <w:t>:</w:t>
              <w:tab/>
            </w:r>
            <w:r>
              <w:rPr>
                <w:rStyle w:val="IndexLink"/>
              </w:rPr>
              <w:t>187</w:t>
            </w:r>
          </w:hyperlink>
        </w:p>
        <w:p>
          <w:pPr>
            <w:pStyle w:val="Contents5"/>
            <w:tabs>
              <w:tab w:val="clear" w:pos="7892"/>
              <w:tab w:val="right" w:pos="9026" w:leader="dot"/>
            </w:tabs>
            <w:rPr/>
          </w:pPr>
          <w:hyperlink w:anchor="__RefHeading___Toc2474070_653776707">
            <w:r>
              <w:rPr>
                <w:webHidden/>
                <w:rStyle w:val="IndexLink"/>
              </w:rPr>
              <w:t>4</w:t>
            </w:r>
            <w:r>
              <w:rPr>
                <w:rStyle w:val="IndexLink"/>
                <w:rtl w:val="true"/>
              </w:rPr>
              <w:t xml:space="preserve">) </w:t>
            </w:r>
            <w:r>
              <w:rPr>
                <w:rStyle w:val="IndexLink"/>
                <w:rtl w:val="true"/>
              </w:rPr>
              <w:t>إطلالة على المنهج الكلامي والفقهي للمذهب الحنبلي</w:t>
            </w:r>
            <w:r>
              <w:rPr>
                <w:rStyle w:val="IndexLink"/>
                <w:rtl w:val="true"/>
              </w:rPr>
              <w:t>:</w:t>
              <w:tab/>
            </w:r>
            <w:r>
              <w:rPr>
                <w:rStyle w:val="IndexLink"/>
              </w:rPr>
              <w:t>187</w:t>
            </w:r>
          </w:hyperlink>
        </w:p>
        <w:p>
          <w:pPr>
            <w:pStyle w:val="Contents6"/>
            <w:tabs>
              <w:tab w:val="clear" w:pos="7609"/>
              <w:tab w:val="right" w:pos="9026" w:leader="dot"/>
            </w:tabs>
            <w:rPr/>
          </w:pPr>
          <w:hyperlink w:anchor="__RefHeading___Toc2474072_653776707">
            <w:r>
              <w:rPr>
                <w:webHidden/>
                <w:rStyle w:val="IndexLink"/>
                <w:rtl w:val="true"/>
              </w:rPr>
              <w:t>أ</w:t>
            </w:r>
            <w:r>
              <w:rPr>
                <w:rStyle w:val="IndexLink"/>
                <w:rtl w:val="true"/>
              </w:rPr>
              <w:t xml:space="preserve">) </w:t>
            </w:r>
            <w:r>
              <w:rPr>
                <w:rStyle w:val="IndexLink"/>
                <w:rtl w:val="true"/>
              </w:rPr>
              <w:t>المنهج الکلامی للمهذب الحنبلی</w:t>
            </w:r>
            <w:r>
              <w:rPr>
                <w:rStyle w:val="IndexLink"/>
                <w:rtl w:val="true"/>
              </w:rPr>
              <w:t>:</w:t>
              <w:tab/>
            </w:r>
            <w:r>
              <w:rPr>
                <w:rStyle w:val="IndexLink"/>
              </w:rPr>
              <w:t>187</w:t>
            </w:r>
          </w:hyperlink>
        </w:p>
        <w:p>
          <w:pPr>
            <w:pStyle w:val="Contents6"/>
            <w:tabs>
              <w:tab w:val="clear" w:pos="7609"/>
              <w:tab w:val="right" w:pos="9026" w:leader="dot"/>
            </w:tabs>
            <w:rPr/>
          </w:pPr>
          <w:hyperlink w:anchor="__RefHeading___Toc2474074_653776707">
            <w:r>
              <w:rPr>
                <w:webHidden/>
                <w:rStyle w:val="IndexLink"/>
              </w:rPr>
              <w:t>1</w:t>
            </w:r>
            <w:r>
              <w:rPr>
                <w:rStyle w:val="IndexLink"/>
                <w:rtl w:val="true"/>
              </w:rPr>
              <w:t xml:space="preserve">- </w:t>
            </w:r>
            <w:r>
              <w:rPr>
                <w:rStyle w:val="IndexLink"/>
                <w:rtl w:val="true"/>
              </w:rPr>
              <w:t>خلق القرآن ومحنة ابن حنبل</w:t>
            </w:r>
            <w:r>
              <w:rPr>
                <w:rStyle w:val="IndexLink"/>
                <w:rtl w:val="true"/>
              </w:rPr>
              <w:t>:</w:t>
              <w:tab/>
            </w:r>
            <w:r>
              <w:rPr>
                <w:rStyle w:val="IndexLink"/>
              </w:rPr>
              <w:t>187</w:t>
            </w:r>
          </w:hyperlink>
        </w:p>
        <w:p>
          <w:pPr>
            <w:pStyle w:val="Contents6"/>
            <w:tabs>
              <w:tab w:val="clear" w:pos="7609"/>
              <w:tab w:val="right" w:pos="9026" w:leader="dot"/>
            </w:tabs>
            <w:rPr/>
          </w:pPr>
          <w:hyperlink w:anchor="__RefHeading___Toc2474076_653776707">
            <w:r>
              <w:rPr>
                <w:webHidden/>
                <w:rStyle w:val="IndexLink"/>
              </w:rPr>
              <w:t>2</w:t>
            </w:r>
            <w:r>
              <w:rPr>
                <w:rStyle w:val="IndexLink"/>
                <w:rtl w:val="true"/>
              </w:rPr>
              <w:t xml:space="preserve">- </w:t>
            </w:r>
            <w:r>
              <w:rPr>
                <w:rStyle w:val="IndexLink"/>
                <w:rtl w:val="true"/>
              </w:rPr>
              <w:t>القضاء والقدر والجبر</w:t>
            </w:r>
            <w:r>
              <w:rPr>
                <w:rStyle w:val="IndexLink"/>
                <w:rtl w:val="true"/>
              </w:rPr>
              <w:t>:</w:t>
              <w:tab/>
            </w:r>
            <w:r>
              <w:rPr>
                <w:rStyle w:val="IndexLink"/>
              </w:rPr>
              <w:t>188</w:t>
            </w:r>
          </w:hyperlink>
        </w:p>
        <w:p>
          <w:pPr>
            <w:pStyle w:val="Contents6"/>
            <w:tabs>
              <w:tab w:val="clear" w:pos="7609"/>
              <w:tab w:val="right" w:pos="9026" w:leader="dot"/>
            </w:tabs>
            <w:rPr/>
          </w:pPr>
          <w:hyperlink w:anchor="__RefHeading___Toc2474078_653776707">
            <w:r>
              <w:rPr>
                <w:webHidden/>
                <w:rStyle w:val="IndexLink"/>
              </w:rPr>
              <w:t>3</w:t>
            </w:r>
            <w:r>
              <w:rPr>
                <w:rStyle w:val="IndexLink"/>
                <w:rtl w:val="true"/>
              </w:rPr>
              <w:t xml:space="preserve">- </w:t>
            </w:r>
            <w:r>
              <w:rPr>
                <w:rStyle w:val="IndexLink"/>
                <w:rtl w:val="true"/>
              </w:rPr>
              <w:t>التوحيد</w:t>
            </w:r>
            <w:r>
              <w:rPr>
                <w:rStyle w:val="IndexLink"/>
                <w:rtl w:val="true"/>
              </w:rPr>
              <w:t>:</w:t>
              <w:tab/>
            </w:r>
            <w:r>
              <w:rPr>
                <w:rStyle w:val="IndexLink"/>
              </w:rPr>
              <w:t>188</w:t>
            </w:r>
          </w:hyperlink>
        </w:p>
        <w:p>
          <w:pPr>
            <w:pStyle w:val="Contents6"/>
            <w:tabs>
              <w:tab w:val="clear" w:pos="7609"/>
              <w:tab w:val="right" w:pos="9026" w:leader="dot"/>
            </w:tabs>
            <w:rPr/>
          </w:pPr>
          <w:hyperlink w:anchor="__RefHeading___Toc2474080_653776707">
            <w:r>
              <w:rPr>
                <w:webHidden/>
                <w:rStyle w:val="IndexLink"/>
              </w:rPr>
              <w:t>4</w:t>
            </w:r>
            <w:r>
              <w:rPr>
                <w:rStyle w:val="IndexLink"/>
                <w:rtl w:val="true"/>
              </w:rPr>
              <w:t xml:space="preserve">- </w:t>
            </w:r>
            <w:r>
              <w:rPr>
                <w:rStyle w:val="IndexLink"/>
                <w:rtl w:val="true"/>
              </w:rPr>
              <w:t>الخلافة واختيار الإمام</w:t>
            </w:r>
            <w:r>
              <w:rPr>
                <w:rStyle w:val="IndexLink"/>
                <w:rtl w:val="true"/>
              </w:rPr>
              <w:t>:</w:t>
              <w:tab/>
            </w:r>
            <w:r>
              <w:rPr>
                <w:rStyle w:val="IndexLink"/>
              </w:rPr>
              <w:t>188</w:t>
            </w:r>
          </w:hyperlink>
        </w:p>
        <w:p>
          <w:pPr>
            <w:pStyle w:val="Contents6"/>
            <w:tabs>
              <w:tab w:val="clear" w:pos="7609"/>
              <w:tab w:val="right" w:pos="9026" w:leader="dot"/>
            </w:tabs>
            <w:rPr/>
          </w:pPr>
          <w:hyperlink w:anchor="__RefHeading___Toc2474082_653776707">
            <w:r>
              <w:rPr>
                <w:webHidden/>
                <w:rStyle w:val="IndexLink"/>
                <w:rtl w:val="true"/>
              </w:rPr>
              <w:t>ب</w:t>
            </w:r>
            <w:r>
              <w:rPr>
                <w:rStyle w:val="IndexLink"/>
                <w:rtl w:val="true"/>
              </w:rPr>
              <w:t xml:space="preserve">) </w:t>
            </w:r>
            <w:r>
              <w:rPr>
                <w:rStyle w:val="IndexLink"/>
                <w:rtl w:val="true"/>
              </w:rPr>
              <w:t>المنهج الفقهي للمذهب الحنبلی</w:t>
            </w:r>
            <w:r>
              <w:rPr>
                <w:rStyle w:val="IndexLink"/>
                <w:rtl w:val="true"/>
              </w:rPr>
              <w:t>:</w:t>
              <w:tab/>
            </w:r>
            <w:r>
              <w:rPr>
                <w:rStyle w:val="IndexLink"/>
              </w:rPr>
              <w:t>189</w:t>
            </w:r>
          </w:hyperlink>
        </w:p>
        <w:p>
          <w:pPr>
            <w:pStyle w:val="Contents6"/>
            <w:tabs>
              <w:tab w:val="clear" w:pos="7609"/>
              <w:tab w:val="right" w:pos="9026" w:leader="dot"/>
            </w:tabs>
            <w:rPr/>
          </w:pPr>
          <w:hyperlink w:anchor="__RefHeading___Toc2474084_653776707">
            <w:r>
              <w:rPr>
                <w:webHidden/>
                <w:rStyle w:val="IndexLink"/>
                <w:rtl w:val="true"/>
              </w:rPr>
              <w:t>اشارة</w:t>
            </w:r>
            <w:r>
              <w:rPr>
                <w:rStyle w:val="IndexLink"/>
                <w:rtl w:val="true"/>
              </w:rPr>
              <w:tab/>
            </w:r>
            <w:r>
              <w:rPr>
                <w:rStyle w:val="IndexLink"/>
              </w:rPr>
              <w:t>189</w:t>
            </w:r>
          </w:hyperlink>
        </w:p>
        <w:p>
          <w:pPr>
            <w:pStyle w:val="Contents6"/>
            <w:tabs>
              <w:tab w:val="clear" w:pos="7609"/>
              <w:tab w:val="right" w:pos="9026" w:leader="dot"/>
            </w:tabs>
            <w:rPr/>
          </w:pPr>
          <w:hyperlink w:anchor="__RefHeading___Toc2474086_653776707">
            <w:r>
              <w:rPr>
                <w:webHidden/>
                <w:rStyle w:val="IndexLink"/>
              </w:rPr>
              <w:t>5</w:t>
            </w:r>
            <w:r>
              <w:rPr>
                <w:rStyle w:val="IndexLink"/>
                <w:rtl w:val="true"/>
              </w:rPr>
              <w:t xml:space="preserve">) </w:t>
            </w:r>
            <w:r>
              <w:rPr>
                <w:rStyle w:val="IndexLink"/>
                <w:rtl w:val="true"/>
              </w:rPr>
              <w:t>نماذج من الفتاوى التي إنفرد بها الفقه الحنبلي</w:t>
            </w:r>
            <w:r>
              <w:rPr>
                <w:rStyle w:val="IndexLink"/>
                <w:rtl w:val="true"/>
              </w:rPr>
              <w:t>:</w:t>
              <w:tab/>
            </w:r>
            <w:r>
              <w:rPr>
                <w:rStyle w:val="IndexLink"/>
              </w:rPr>
              <w:t>190</w:t>
            </w:r>
          </w:hyperlink>
        </w:p>
        <w:p>
          <w:pPr>
            <w:pStyle w:val="Contents3"/>
            <w:tabs>
              <w:tab w:val="clear" w:pos="8459"/>
              <w:tab w:val="right" w:pos="9026" w:leader="dot"/>
            </w:tabs>
            <w:rPr/>
          </w:pPr>
          <w:hyperlink w:anchor="__RefHeading___Toc2474088_653776707">
            <w:r>
              <w:rPr>
                <w:webHidden/>
                <w:rStyle w:val="IndexLink"/>
                <w:rtl w:val="true"/>
              </w:rPr>
              <w:t>الفصل السابع إستمرار مدرسة أحمد بن حنبل في القرون المتأخرة</w:t>
            </w:r>
            <w:r>
              <w:rPr>
                <w:rStyle w:val="IndexLink"/>
                <w:rtl w:val="true"/>
              </w:rPr>
              <w:tab/>
            </w:r>
            <w:r>
              <w:rPr>
                <w:rStyle w:val="IndexLink"/>
              </w:rPr>
              <w:t>191</w:t>
            </w:r>
          </w:hyperlink>
        </w:p>
        <w:p>
          <w:pPr>
            <w:pStyle w:val="Contents4"/>
            <w:tabs>
              <w:tab w:val="clear" w:pos="8176"/>
              <w:tab w:val="right" w:pos="9026" w:leader="dot"/>
            </w:tabs>
            <w:rPr/>
          </w:pPr>
          <w:hyperlink w:anchor="__RefHeading___Toc2474090_653776707">
            <w:r>
              <w:rPr>
                <w:webHidden/>
                <w:rStyle w:val="IndexLink"/>
                <w:rtl w:val="true"/>
              </w:rPr>
              <w:t>اشارة</w:t>
            </w:r>
            <w:r>
              <w:rPr>
                <w:rStyle w:val="IndexLink"/>
                <w:rtl w:val="true"/>
              </w:rPr>
              <w:tab/>
            </w:r>
            <w:r>
              <w:rPr>
                <w:rStyle w:val="IndexLink"/>
              </w:rPr>
              <w:t>191</w:t>
            </w:r>
          </w:hyperlink>
        </w:p>
        <w:p>
          <w:pPr>
            <w:pStyle w:val="Contents4"/>
            <w:tabs>
              <w:tab w:val="clear" w:pos="8176"/>
              <w:tab w:val="right" w:pos="9026" w:leader="dot"/>
            </w:tabs>
            <w:rPr/>
          </w:pPr>
          <w:hyperlink w:anchor="__RefHeading___Toc2474092_653776707">
            <w:r>
              <w:rPr>
                <w:webHidden/>
                <w:rStyle w:val="IndexLink"/>
              </w:rPr>
              <w:t>1</w:t>
            </w:r>
            <w:r>
              <w:rPr>
                <w:rStyle w:val="IndexLink"/>
                <w:rtl w:val="true"/>
              </w:rPr>
              <w:t xml:space="preserve">) </w:t>
            </w:r>
            <w:r>
              <w:rPr>
                <w:rStyle w:val="IndexLink"/>
                <w:rtl w:val="true"/>
              </w:rPr>
              <w:t>ابن تيمية</w:t>
            </w:r>
            <w:r>
              <w:rPr>
                <w:rStyle w:val="IndexLink"/>
                <w:rtl w:val="true"/>
              </w:rPr>
              <w:t>:</w:t>
              <w:tab/>
            </w:r>
            <w:r>
              <w:rPr>
                <w:rStyle w:val="IndexLink"/>
              </w:rPr>
              <w:t>191</w:t>
            </w:r>
          </w:hyperlink>
        </w:p>
        <w:p>
          <w:pPr>
            <w:pStyle w:val="Contents4"/>
            <w:tabs>
              <w:tab w:val="clear" w:pos="8176"/>
              <w:tab w:val="right" w:pos="9026" w:leader="dot"/>
            </w:tabs>
            <w:rPr/>
          </w:pPr>
          <w:hyperlink w:anchor="__RefHeading___Toc2474094_653776707">
            <w:r>
              <w:rPr>
                <w:webHidden/>
                <w:rStyle w:val="IndexLink"/>
              </w:rPr>
              <w:t>2</w:t>
            </w:r>
            <w:r>
              <w:rPr>
                <w:rStyle w:val="IndexLink"/>
                <w:rtl w:val="true"/>
              </w:rPr>
              <w:t xml:space="preserve">) </w:t>
            </w:r>
            <w:r>
              <w:rPr>
                <w:rStyle w:val="IndexLink"/>
                <w:rtl w:val="true"/>
              </w:rPr>
              <w:t>ابن قيم الجوزيّة الحنبلي</w:t>
            </w:r>
            <w:r>
              <w:rPr>
                <w:rStyle w:val="IndexLink"/>
                <w:rtl w:val="true"/>
              </w:rPr>
              <w:t>:</w:t>
              <w:tab/>
            </w:r>
            <w:r>
              <w:rPr>
                <w:rStyle w:val="IndexLink"/>
              </w:rPr>
              <w:t>194</w:t>
            </w:r>
          </w:hyperlink>
        </w:p>
        <w:p>
          <w:pPr>
            <w:pStyle w:val="Contents4"/>
            <w:tabs>
              <w:tab w:val="clear" w:pos="8176"/>
              <w:tab w:val="right" w:pos="9026" w:leader="dot"/>
            </w:tabs>
            <w:rPr/>
          </w:pPr>
          <w:hyperlink w:anchor="__RefHeading___Toc2474096_653776707">
            <w:r>
              <w:rPr>
                <w:webHidden/>
                <w:rStyle w:val="IndexLink"/>
              </w:rPr>
              <w:t>3</w:t>
            </w:r>
            <w:r>
              <w:rPr>
                <w:rStyle w:val="IndexLink"/>
                <w:rtl w:val="true"/>
              </w:rPr>
              <w:t xml:space="preserve">) </w:t>
            </w:r>
            <w:r>
              <w:rPr>
                <w:rStyle w:val="IndexLink"/>
                <w:rtl w:val="true"/>
              </w:rPr>
              <w:t>محمّد بن عبد الوهّاب النجدي</w:t>
            </w:r>
            <w:r>
              <w:rPr>
                <w:rStyle w:val="IndexLink"/>
                <w:rtl w:val="true"/>
              </w:rPr>
              <w:t>:</w:t>
              <w:tab/>
            </w:r>
            <w:r>
              <w:rPr>
                <w:rStyle w:val="IndexLink"/>
              </w:rPr>
              <w:t>195</w:t>
            </w:r>
          </w:hyperlink>
        </w:p>
        <w:p>
          <w:pPr>
            <w:pStyle w:val="Contents5"/>
            <w:tabs>
              <w:tab w:val="clear" w:pos="7892"/>
              <w:tab w:val="right" w:pos="9026" w:leader="dot"/>
            </w:tabs>
            <w:rPr/>
          </w:pPr>
          <w:hyperlink w:anchor="__RefHeading___Toc2474098_653776707">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2474100_653776707">
            <w:r>
              <w:rPr>
                <w:webHidden/>
                <w:rStyle w:val="IndexLink"/>
                <w:rtl w:val="true"/>
              </w:rPr>
              <w:t>بعض الأصول الأساسيّة للفكر الوهابیّ</w:t>
            </w:r>
            <w:r>
              <w:rPr>
                <w:rStyle w:val="IndexLink"/>
                <w:rtl w:val="true"/>
              </w:rPr>
              <w:t>:</w:t>
              <w:tab/>
            </w:r>
            <w:r>
              <w:rPr>
                <w:rStyle w:val="IndexLink"/>
              </w:rPr>
              <w:t>197</w:t>
            </w:r>
          </w:hyperlink>
        </w:p>
        <w:p>
          <w:pPr>
            <w:pStyle w:val="Contents3"/>
            <w:tabs>
              <w:tab w:val="clear" w:pos="8459"/>
              <w:tab w:val="right" w:pos="9026" w:leader="dot"/>
            </w:tabs>
            <w:rPr/>
          </w:pPr>
          <w:hyperlink w:anchor="__RefHeading___Toc2474102_653776707">
            <w:r>
              <w:rPr>
                <w:webHidden/>
                <w:rStyle w:val="IndexLink"/>
                <w:rtl w:val="true"/>
              </w:rPr>
              <w:t>الفصل الثامن مدرسة الظاهري ومنهجه في الإجتهاد</w:t>
            </w:r>
            <w:r>
              <w:rPr>
                <w:rStyle w:val="IndexLink"/>
                <w:rtl w:val="true"/>
              </w:rPr>
              <w:tab/>
            </w:r>
            <w:r>
              <w:rPr>
                <w:rStyle w:val="IndexLink"/>
              </w:rPr>
              <w:t>199</w:t>
            </w:r>
          </w:hyperlink>
        </w:p>
        <w:p>
          <w:pPr>
            <w:pStyle w:val="Contents4"/>
            <w:tabs>
              <w:tab w:val="clear" w:pos="8176"/>
              <w:tab w:val="right" w:pos="9026" w:leader="dot"/>
            </w:tabs>
            <w:rPr/>
          </w:pPr>
          <w:hyperlink w:anchor="__RefHeading___Toc2474104_653776707">
            <w:r>
              <w:rPr>
                <w:webHidden/>
                <w:rStyle w:val="IndexLink"/>
                <w:rtl w:val="true"/>
              </w:rPr>
              <w:t>مجالات البحث في المذهب الظاهری</w:t>
            </w:r>
            <w:r>
              <w:rPr>
                <w:rStyle w:val="IndexLink"/>
                <w:rtl w:val="true"/>
              </w:rPr>
              <w:t>:</w:t>
              <w:tab/>
            </w:r>
            <w:r>
              <w:rPr>
                <w:rStyle w:val="IndexLink"/>
              </w:rPr>
              <w:t>199</w:t>
            </w:r>
          </w:hyperlink>
        </w:p>
        <w:p>
          <w:pPr>
            <w:pStyle w:val="Contents5"/>
            <w:tabs>
              <w:tab w:val="clear" w:pos="7892"/>
              <w:tab w:val="right" w:pos="9026" w:leader="dot"/>
            </w:tabs>
            <w:rPr/>
          </w:pPr>
          <w:hyperlink w:anchor="__RefHeading___Toc2474106_653776707">
            <w:r>
              <w:rPr>
                <w:webHidden/>
                <w:rStyle w:val="IndexLink"/>
                <w:rtl w:val="true"/>
              </w:rPr>
              <w:t>اشارة</w:t>
            </w:r>
            <w:r>
              <w:rPr>
                <w:rStyle w:val="IndexLink"/>
                <w:rtl w:val="true"/>
              </w:rPr>
              <w:tab/>
            </w:r>
            <w:r>
              <w:rPr>
                <w:rStyle w:val="IndexLink"/>
              </w:rPr>
              <w:t>199</w:t>
            </w:r>
          </w:hyperlink>
        </w:p>
        <w:p>
          <w:pPr>
            <w:pStyle w:val="Contents5"/>
            <w:tabs>
              <w:tab w:val="clear" w:pos="7892"/>
              <w:tab w:val="right" w:pos="9026" w:leader="dot"/>
            </w:tabs>
            <w:rPr/>
          </w:pPr>
          <w:hyperlink w:anchor="__RefHeading___Toc2474108_653776707">
            <w:r>
              <w:rPr>
                <w:webHidden/>
                <w:rStyle w:val="IndexLink"/>
              </w:rPr>
              <w:t>1</w:t>
            </w:r>
            <w:r>
              <w:rPr>
                <w:rStyle w:val="IndexLink"/>
                <w:rtl w:val="true"/>
              </w:rPr>
              <w:t xml:space="preserve">) </w:t>
            </w:r>
            <w:r>
              <w:rPr>
                <w:rStyle w:val="IndexLink"/>
                <w:rtl w:val="true"/>
              </w:rPr>
              <w:t>مؤسّس المذهب‌الظاهري</w:t>
            </w:r>
            <w:r>
              <w:rPr>
                <w:rStyle w:val="IndexLink"/>
                <w:rtl w:val="true"/>
              </w:rPr>
              <w:t>:</w:t>
              <w:tab/>
            </w:r>
            <w:r>
              <w:rPr>
                <w:rStyle w:val="IndexLink"/>
              </w:rPr>
              <w:t>199</w:t>
            </w:r>
          </w:hyperlink>
        </w:p>
        <w:p>
          <w:pPr>
            <w:pStyle w:val="Contents5"/>
            <w:tabs>
              <w:tab w:val="clear" w:pos="7892"/>
              <w:tab w:val="right" w:pos="9026" w:leader="dot"/>
            </w:tabs>
            <w:rPr/>
          </w:pPr>
          <w:hyperlink w:anchor="__RefHeading___Toc2474110_653776707">
            <w:r>
              <w:rPr>
                <w:webHidden/>
                <w:rStyle w:val="IndexLink"/>
              </w:rPr>
              <w:t>2</w:t>
            </w:r>
            <w:r>
              <w:rPr>
                <w:rStyle w:val="IndexLink"/>
                <w:rtl w:val="true"/>
              </w:rPr>
              <w:t xml:space="preserve">) </w:t>
            </w:r>
            <w:r>
              <w:rPr>
                <w:rStyle w:val="IndexLink"/>
                <w:rtl w:val="true"/>
              </w:rPr>
              <w:t>منطلق انتشار المذهب الظاهری</w:t>
            </w:r>
            <w:r>
              <w:rPr>
                <w:rStyle w:val="IndexLink"/>
                <w:rtl w:val="true"/>
              </w:rPr>
              <w:t>:</w:t>
              <w:tab/>
            </w:r>
            <w:r>
              <w:rPr>
                <w:rStyle w:val="IndexLink"/>
              </w:rPr>
              <w:t>200</w:t>
            </w:r>
          </w:hyperlink>
        </w:p>
        <w:p>
          <w:pPr>
            <w:pStyle w:val="Contents6"/>
            <w:tabs>
              <w:tab w:val="clear" w:pos="7609"/>
              <w:tab w:val="right" w:pos="9026" w:leader="dot"/>
            </w:tabs>
            <w:rPr/>
          </w:pPr>
          <w:hyperlink w:anchor="__RefHeading___Toc2474112_653776707">
            <w:r>
              <w:rPr>
                <w:webHidden/>
                <w:rStyle w:val="IndexLink"/>
                <w:rtl w:val="true"/>
              </w:rPr>
              <w:t>اشارة</w:t>
            </w:r>
            <w:r>
              <w:rPr>
                <w:rStyle w:val="IndexLink"/>
                <w:rtl w:val="true"/>
              </w:rPr>
              <w:tab/>
            </w:r>
            <w:r>
              <w:rPr>
                <w:rStyle w:val="IndexLink"/>
              </w:rPr>
              <w:t>200</w:t>
            </w:r>
          </w:hyperlink>
        </w:p>
        <w:p>
          <w:pPr>
            <w:pStyle w:val="Contents6"/>
            <w:tabs>
              <w:tab w:val="clear" w:pos="7609"/>
              <w:tab w:val="right" w:pos="9026" w:leader="dot"/>
            </w:tabs>
            <w:rPr/>
          </w:pPr>
          <w:hyperlink w:anchor="__RefHeading___Toc2474114_653776707">
            <w:r>
              <w:rPr>
                <w:webHidden/>
                <w:rStyle w:val="IndexLink"/>
                <w:rtl w:val="true"/>
              </w:rPr>
              <w:t>ابن حزم الظاهري</w:t>
            </w:r>
            <w:r>
              <w:rPr>
                <w:rStyle w:val="IndexLink"/>
                <w:rtl w:val="true"/>
              </w:rPr>
              <w:t>:</w:t>
              <w:tab/>
            </w:r>
            <w:r>
              <w:rPr>
                <w:rStyle w:val="IndexLink"/>
              </w:rPr>
              <w:t>201</w:t>
            </w:r>
          </w:hyperlink>
        </w:p>
        <w:p>
          <w:pPr>
            <w:pStyle w:val="Contents6"/>
            <w:tabs>
              <w:tab w:val="clear" w:pos="7609"/>
              <w:tab w:val="right" w:pos="9026" w:leader="dot"/>
            </w:tabs>
            <w:rPr/>
          </w:pPr>
          <w:hyperlink w:anchor="__RefHeading___Toc2474116_653776707">
            <w:r>
              <w:rPr>
                <w:webHidden/>
                <w:rStyle w:val="IndexLink"/>
                <w:rtl w:val="true"/>
              </w:rPr>
              <w:t>نفور العلماء من داود الظاهري</w:t>
            </w:r>
            <w:r>
              <w:rPr>
                <w:rStyle w:val="IndexLink"/>
                <w:rtl w:val="true"/>
              </w:rPr>
              <w:t>:</w:t>
              <w:tab/>
            </w:r>
            <w:r>
              <w:rPr>
                <w:rStyle w:val="IndexLink"/>
              </w:rPr>
              <w:t>202</w:t>
            </w:r>
          </w:hyperlink>
        </w:p>
        <w:p>
          <w:pPr>
            <w:pStyle w:val="Contents5"/>
            <w:tabs>
              <w:tab w:val="clear" w:pos="7892"/>
              <w:tab w:val="right" w:pos="9026" w:leader="dot"/>
            </w:tabs>
            <w:rPr/>
          </w:pPr>
          <w:hyperlink w:anchor="__RefHeading___Toc2474118_653776707">
            <w:r>
              <w:rPr>
                <w:webHidden/>
                <w:rStyle w:val="IndexLink"/>
              </w:rPr>
              <w:t>3</w:t>
            </w:r>
            <w:r>
              <w:rPr>
                <w:rStyle w:val="IndexLink"/>
                <w:rtl w:val="true"/>
              </w:rPr>
              <w:t xml:space="preserve">) </w:t>
            </w:r>
            <w:r>
              <w:rPr>
                <w:rStyle w:val="IndexLink"/>
                <w:rtl w:val="true"/>
              </w:rPr>
              <w:t>الأصول الأساسيّة للمذهب الظاهريّ</w:t>
            </w:r>
            <w:r>
              <w:rPr>
                <w:rStyle w:val="IndexLink"/>
                <w:rtl w:val="true"/>
              </w:rPr>
              <w:t>:</w:t>
              <w:tab/>
            </w:r>
            <w:r>
              <w:rPr>
                <w:rStyle w:val="IndexLink"/>
              </w:rPr>
              <w:t>203</w:t>
            </w:r>
          </w:hyperlink>
        </w:p>
        <w:p>
          <w:pPr>
            <w:pStyle w:val="Contents6"/>
            <w:tabs>
              <w:tab w:val="clear" w:pos="7609"/>
              <w:tab w:val="right" w:pos="9026" w:leader="dot"/>
            </w:tabs>
            <w:rPr/>
          </w:pPr>
          <w:hyperlink w:anchor="__RefHeading___Toc2474120_653776707">
            <w:r>
              <w:rPr>
                <w:webHidden/>
                <w:rStyle w:val="IndexLink"/>
                <w:rtl w:val="true"/>
              </w:rPr>
              <w:t>اشارة</w:t>
            </w:r>
            <w:r>
              <w:rPr>
                <w:rStyle w:val="IndexLink"/>
                <w:rtl w:val="true"/>
              </w:rPr>
              <w:tab/>
            </w:r>
            <w:r>
              <w:rPr>
                <w:rStyle w:val="IndexLink"/>
              </w:rPr>
              <w:t>203</w:t>
            </w:r>
          </w:hyperlink>
        </w:p>
        <w:p>
          <w:pPr>
            <w:pStyle w:val="Contents6"/>
            <w:tabs>
              <w:tab w:val="clear" w:pos="7609"/>
              <w:tab w:val="right" w:pos="9026" w:leader="dot"/>
            </w:tabs>
            <w:rPr/>
          </w:pPr>
          <w:hyperlink w:anchor="__RefHeading___Toc2474122_653776707">
            <w:r>
              <w:rPr>
                <w:webHidden/>
                <w:rStyle w:val="IndexLink"/>
              </w:rPr>
              <w:t>1</w:t>
            </w:r>
            <w:r>
              <w:rPr>
                <w:rStyle w:val="IndexLink"/>
                <w:rtl w:val="true"/>
              </w:rPr>
              <w:t xml:space="preserve">) </w:t>
            </w:r>
            <w:r>
              <w:rPr>
                <w:rStyle w:val="IndexLink"/>
                <w:rtl w:val="true"/>
              </w:rPr>
              <w:t>كتاب الله</w:t>
            </w:r>
            <w:r>
              <w:rPr>
                <w:rStyle w:val="IndexLink"/>
                <w:rtl w:val="true"/>
              </w:rPr>
              <w:t>:</w:t>
              <w:tab/>
            </w:r>
            <w:r>
              <w:rPr>
                <w:rStyle w:val="IndexLink"/>
              </w:rPr>
              <w:t>203</w:t>
            </w:r>
          </w:hyperlink>
        </w:p>
        <w:p>
          <w:pPr>
            <w:pStyle w:val="Contents6"/>
            <w:tabs>
              <w:tab w:val="clear" w:pos="7609"/>
              <w:tab w:val="right" w:pos="9026" w:leader="dot"/>
            </w:tabs>
            <w:rPr/>
          </w:pPr>
          <w:hyperlink w:anchor="__RefHeading___Toc2474124_653776707">
            <w:r>
              <w:rPr>
                <w:webHidden/>
                <w:rStyle w:val="IndexLink"/>
              </w:rPr>
              <w:t>2</w:t>
            </w:r>
            <w:r>
              <w:rPr>
                <w:rStyle w:val="IndexLink"/>
                <w:rtl w:val="true"/>
              </w:rPr>
              <w:t xml:space="preserve">) </w:t>
            </w:r>
            <w:r>
              <w:rPr>
                <w:rStyle w:val="IndexLink"/>
                <w:rtl w:val="true"/>
              </w:rPr>
              <w:t>السنّة</w:t>
            </w:r>
            <w:r>
              <w:rPr>
                <w:rStyle w:val="IndexLink"/>
                <w:rtl w:val="true"/>
              </w:rPr>
              <w:t>:</w:t>
              <w:tab/>
            </w:r>
            <w:r>
              <w:rPr>
                <w:rStyle w:val="IndexLink"/>
              </w:rPr>
              <w:t>203</w:t>
            </w:r>
          </w:hyperlink>
        </w:p>
        <w:p>
          <w:pPr>
            <w:pStyle w:val="Contents6"/>
            <w:tabs>
              <w:tab w:val="clear" w:pos="7609"/>
              <w:tab w:val="right" w:pos="9026" w:leader="dot"/>
            </w:tabs>
            <w:rPr/>
          </w:pPr>
          <w:hyperlink w:anchor="__RefHeading___Toc2474126_653776707">
            <w:r>
              <w:rPr>
                <w:webHidden/>
                <w:rStyle w:val="IndexLink"/>
              </w:rPr>
              <w:t>3</w:t>
            </w:r>
            <w:r>
              <w:rPr>
                <w:rStyle w:val="IndexLink"/>
                <w:rtl w:val="true"/>
              </w:rPr>
              <w:t xml:space="preserve">) </w:t>
            </w:r>
            <w:r>
              <w:rPr>
                <w:rStyle w:val="IndexLink"/>
                <w:rtl w:val="true"/>
              </w:rPr>
              <w:t>تعليل النصوص</w:t>
            </w:r>
            <w:r>
              <w:rPr>
                <w:rStyle w:val="IndexLink"/>
                <w:rtl w:val="true"/>
              </w:rPr>
              <w:t>:</w:t>
              <w:tab/>
            </w:r>
            <w:r>
              <w:rPr>
                <w:rStyle w:val="IndexLink"/>
              </w:rPr>
              <w:t>204</w:t>
            </w:r>
          </w:hyperlink>
        </w:p>
        <w:p>
          <w:pPr>
            <w:pStyle w:val="Contents6"/>
            <w:tabs>
              <w:tab w:val="clear" w:pos="7609"/>
              <w:tab w:val="right" w:pos="9026" w:leader="dot"/>
            </w:tabs>
            <w:rPr/>
          </w:pPr>
          <w:hyperlink w:anchor="__RefHeading___Toc2474128_653776707">
            <w:r>
              <w:rPr>
                <w:webHidden/>
                <w:rStyle w:val="IndexLink"/>
              </w:rPr>
              <w:t>4</w:t>
            </w:r>
            <w:r>
              <w:rPr>
                <w:rStyle w:val="IndexLink"/>
                <w:rtl w:val="true"/>
              </w:rPr>
              <w:t xml:space="preserve">) </w:t>
            </w:r>
            <w:r>
              <w:rPr>
                <w:rStyle w:val="IndexLink"/>
                <w:rtl w:val="true"/>
              </w:rPr>
              <w:t>الدليل</w:t>
            </w:r>
            <w:r>
              <w:rPr>
                <w:rStyle w:val="IndexLink"/>
                <w:rtl w:val="true"/>
              </w:rPr>
              <w:t>:</w:t>
              <w:tab/>
            </w:r>
            <w:r>
              <w:rPr>
                <w:rStyle w:val="IndexLink"/>
              </w:rPr>
              <w:t>205</w:t>
            </w:r>
          </w:hyperlink>
        </w:p>
        <w:p>
          <w:pPr>
            <w:pStyle w:val="Contents6"/>
            <w:tabs>
              <w:tab w:val="clear" w:pos="7609"/>
              <w:tab w:val="right" w:pos="9026" w:leader="dot"/>
            </w:tabs>
            <w:rPr/>
          </w:pPr>
          <w:hyperlink w:anchor="__RefHeading___Toc2474130_653776707">
            <w:r>
              <w:rPr>
                <w:webHidden/>
                <w:rStyle w:val="IndexLink"/>
              </w:rPr>
              <w:t>5</w:t>
            </w:r>
            <w:r>
              <w:rPr>
                <w:rStyle w:val="IndexLink"/>
                <w:rtl w:val="true"/>
              </w:rPr>
              <w:t xml:space="preserve">) </w:t>
            </w:r>
            <w:r>
              <w:rPr>
                <w:rStyle w:val="IndexLink"/>
                <w:rtl w:val="true"/>
              </w:rPr>
              <w:t>الإستصحاب</w:t>
            </w:r>
            <w:r>
              <w:rPr>
                <w:rStyle w:val="IndexLink"/>
                <w:rtl w:val="true"/>
              </w:rPr>
              <w:t>:</w:t>
              <w:tab/>
            </w:r>
            <w:r>
              <w:rPr>
                <w:rStyle w:val="IndexLink"/>
              </w:rPr>
              <w:t>207</w:t>
            </w:r>
          </w:hyperlink>
        </w:p>
        <w:p>
          <w:pPr>
            <w:pStyle w:val="Contents5"/>
            <w:tabs>
              <w:tab w:val="clear" w:pos="7892"/>
              <w:tab w:val="right" w:pos="9026" w:leader="dot"/>
            </w:tabs>
            <w:rPr/>
          </w:pPr>
          <w:hyperlink w:anchor="__RefHeading___Toc2474132_653776707">
            <w:r>
              <w:rPr>
                <w:webHidden/>
                <w:rStyle w:val="IndexLink"/>
              </w:rPr>
              <w:t>4</w:t>
            </w:r>
            <w:r>
              <w:rPr>
                <w:rStyle w:val="IndexLink"/>
                <w:rtl w:val="true"/>
              </w:rPr>
              <w:t xml:space="preserve">) </w:t>
            </w:r>
            <w:r>
              <w:rPr>
                <w:rStyle w:val="IndexLink"/>
                <w:rtl w:val="true"/>
              </w:rPr>
              <w:t>إطلالة على بعض آراء المذهب الظاهری</w:t>
            </w:r>
            <w:r>
              <w:rPr>
                <w:rStyle w:val="IndexLink"/>
                <w:rtl w:val="true"/>
              </w:rPr>
              <w:t>:</w:t>
              <w:tab/>
            </w:r>
            <w:r>
              <w:rPr>
                <w:rStyle w:val="IndexLink"/>
              </w:rPr>
              <w:t>208</w:t>
            </w:r>
          </w:hyperlink>
        </w:p>
        <w:p>
          <w:pPr>
            <w:pStyle w:val="Contents6"/>
            <w:tabs>
              <w:tab w:val="clear" w:pos="7609"/>
              <w:tab w:val="right" w:pos="9026" w:leader="dot"/>
            </w:tabs>
            <w:rPr/>
          </w:pPr>
          <w:hyperlink w:anchor="__RefHeading___Toc2474134_653776707">
            <w:r>
              <w:rPr>
                <w:webHidden/>
                <w:rStyle w:val="IndexLink"/>
              </w:rPr>
              <w:t>1</w:t>
            </w:r>
            <w:r>
              <w:rPr>
                <w:rStyle w:val="IndexLink"/>
                <w:rtl w:val="true"/>
              </w:rPr>
              <w:t xml:space="preserve">) </w:t>
            </w:r>
            <w:r>
              <w:rPr>
                <w:rStyle w:val="IndexLink"/>
                <w:rtl w:val="true"/>
              </w:rPr>
              <w:t>رأيهم في الأمور الغيبيّة</w:t>
            </w:r>
            <w:r>
              <w:rPr>
                <w:rStyle w:val="IndexLink"/>
                <w:rtl w:val="true"/>
              </w:rPr>
              <w:t>:</w:t>
              <w:tab/>
            </w:r>
            <w:r>
              <w:rPr>
                <w:rStyle w:val="IndexLink"/>
              </w:rPr>
              <w:t>208</w:t>
            </w:r>
          </w:hyperlink>
        </w:p>
        <w:p>
          <w:pPr>
            <w:pStyle w:val="Contents6"/>
            <w:tabs>
              <w:tab w:val="clear" w:pos="7609"/>
              <w:tab w:val="right" w:pos="9026" w:leader="dot"/>
            </w:tabs>
            <w:rPr/>
          </w:pPr>
          <w:hyperlink w:anchor="__RefHeading___Toc2474136_653776707">
            <w:r>
              <w:rPr>
                <w:webHidden/>
                <w:rStyle w:val="IndexLink"/>
              </w:rPr>
              <w:t>2</w:t>
            </w:r>
            <w:r>
              <w:rPr>
                <w:rStyle w:val="IndexLink"/>
                <w:rtl w:val="true"/>
              </w:rPr>
              <w:t xml:space="preserve">) </w:t>
            </w:r>
            <w:r>
              <w:rPr>
                <w:rStyle w:val="IndexLink"/>
                <w:rtl w:val="true"/>
              </w:rPr>
              <w:t>رأيهم في الخلافة</w:t>
            </w:r>
            <w:r>
              <w:rPr>
                <w:rStyle w:val="IndexLink"/>
                <w:rtl w:val="true"/>
              </w:rPr>
              <w:t>:</w:t>
              <w:tab/>
            </w:r>
            <w:r>
              <w:rPr>
                <w:rStyle w:val="IndexLink"/>
              </w:rPr>
              <w:t>208</w:t>
            </w:r>
          </w:hyperlink>
        </w:p>
        <w:p>
          <w:pPr>
            <w:pStyle w:val="Contents6"/>
            <w:tabs>
              <w:tab w:val="clear" w:pos="7609"/>
              <w:tab w:val="right" w:pos="9026" w:leader="dot"/>
            </w:tabs>
            <w:rPr/>
          </w:pPr>
          <w:hyperlink w:anchor="__RefHeading___Toc2474138_653776707">
            <w:r>
              <w:rPr>
                <w:webHidden/>
                <w:rStyle w:val="IndexLink"/>
              </w:rPr>
              <w:t>3</w:t>
            </w:r>
            <w:r>
              <w:rPr>
                <w:rStyle w:val="IndexLink"/>
                <w:rtl w:val="true"/>
              </w:rPr>
              <w:t xml:space="preserve">) </w:t>
            </w:r>
            <w:r>
              <w:rPr>
                <w:rStyle w:val="IndexLink"/>
                <w:rtl w:val="true"/>
              </w:rPr>
              <w:t>رأيهم في الإجماع</w:t>
            </w:r>
            <w:r>
              <w:rPr>
                <w:rStyle w:val="IndexLink"/>
                <w:rtl w:val="true"/>
              </w:rPr>
              <w:t>:</w:t>
              <w:tab/>
            </w:r>
            <w:r>
              <w:rPr>
                <w:rStyle w:val="IndexLink"/>
              </w:rPr>
              <w:t>208</w:t>
            </w:r>
          </w:hyperlink>
        </w:p>
        <w:p>
          <w:pPr>
            <w:pStyle w:val="Contents6"/>
            <w:tabs>
              <w:tab w:val="clear" w:pos="7609"/>
              <w:tab w:val="right" w:pos="9026" w:leader="dot"/>
            </w:tabs>
            <w:rPr/>
          </w:pPr>
          <w:hyperlink w:anchor="__RefHeading___Toc2474140_653776707">
            <w:r>
              <w:rPr>
                <w:webHidden/>
                <w:rStyle w:val="IndexLink"/>
              </w:rPr>
              <w:t>4</w:t>
            </w:r>
            <w:r>
              <w:rPr>
                <w:rStyle w:val="IndexLink"/>
                <w:rtl w:val="true"/>
              </w:rPr>
              <w:t xml:space="preserve">) </w:t>
            </w:r>
            <w:r>
              <w:rPr>
                <w:rStyle w:val="IndexLink"/>
                <w:rtl w:val="true"/>
              </w:rPr>
              <w:t>رأيهم في عمل أهل المدينة</w:t>
            </w:r>
            <w:r>
              <w:rPr>
                <w:rStyle w:val="IndexLink"/>
                <w:rtl w:val="true"/>
              </w:rPr>
              <w:t>:</w:t>
              <w:tab/>
            </w:r>
            <w:r>
              <w:rPr>
                <w:rStyle w:val="IndexLink"/>
              </w:rPr>
              <w:t>209</w:t>
            </w:r>
          </w:hyperlink>
        </w:p>
        <w:p>
          <w:pPr>
            <w:pStyle w:val="Contents6"/>
            <w:tabs>
              <w:tab w:val="clear" w:pos="7609"/>
              <w:tab w:val="right" w:pos="9026" w:leader="dot"/>
            </w:tabs>
            <w:rPr/>
          </w:pPr>
          <w:hyperlink w:anchor="__RefHeading___Toc2474142_653776707">
            <w:r>
              <w:rPr>
                <w:webHidden/>
                <w:rStyle w:val="IndexLink"/>
              </w:rPr>
              <w:t>5</w:t>
            </w:r>
            <w:r>
              <w:rPr>
                <w:rStyle w:val="IndexLink"/>
                <w:rtl w:val="true"/>
              </w:rPr>
              <w:t xml:space="preserve">) </w:t>
            </w:r>
            <w:r>
              <w:rPr>
                <w:rStyle w:val="IndexLink"/>
                <w:rtl w:val="true"/>
              </w:rPr>
              <w:t>رأيهم في القياس</w:t>
            </w:r>
            <w:r>
              <w:rPr>
                <w:rStyle w:val="IndexLink"/>
                <w:rtl w:val="true"/>
              </w:rPr>
              <w:t>:</w:t>
              <w:tab/>
            </w:r>
            <w:r>
              <w:rPr>
                <w:rStyle w:val="IndexLink"/>
              </w:rPr>
              <w:t>209</w:t>
            </w:r>
          </w:hyperlink>
        </w:p>
        <w:p>
          <w:pPr>
            <w:pStyle w:val="Contents6"/>
            <w:tabs>
              <w:tab w:val="clear" w:pos="7609"/>
              <w:tab w:val="right" w:pos="9026" w:leader="dot"/>
            </w:tabs>
            <w:rPr/>
          </w:pPr>
          <w:hyperlink w:anchor="__RefHeading___Toc2474144_653776707">
            <w:r>
              <w:rPr>
                <w:webHidden/>
                <w:rStyle w:val="IndexLink"/>
              </w:rPr>
              <w:t>6</w:t>
            </w:r>
            <w:r>
              <w:rPr>
                <w:rStyle w:val="IndexLink"/>
                <w:rtl w:val="true"/>
              </w:rPr>
              <w:t xml:space="preserve">) </w:t>
            </w:r>
            <w:r>
              <w:rPr>
                <w:rStyle w:val="IndexLink"/>
                <w:rtl w:val="true"/>
              </w:rPr>
              <w:t>رأيهم في شرع من قبلنا</w:t>
            </w:r>
            <w:r>
              <w:rPr>
                <w:rStyle w:val="IndexLink"/>
                <w:rtl w:val="true"/>
              </w:rPr>
              <w:t>:</w:t>
              <w:tab/>
            </w:r>
            <w:r>
              <w:rPr>
                <w:rStyle w:val="IndexLink"/>
              </w:rPr>
              <w:t>209</w:t>
            </w:r>
          </w:hyperlink>
        </w:p>
        <w:p>
          <w:pPr>
            <w:pStyle w:val="Contents6"/>
            <w:tabs>
              <w:tab w:val="clear" w:pos="7609"/>
              <w:tab w:val="right" w:pos="9026" w:leader="dot"/>
            </w:tabs>
            <w:rPr/>
          </w:pPr>
          <w:hyperlink w:anchor="__RefHeading___Toc2474146_653776707">
            <w:r>
              <w:rPr>
                <w:webHidden/>
                <w:rStyle w:val="IndexLink"/>
              </w:rPr>
              <w:t>7</w:t>
            </w:r>
            <w:r>
              <w:rPr>
                <w:rStyle w:val="IndexLink"/>
                <w:rtl w:val="true"/>
              </w:rPr>
              <w:t xml:space="preserve">) </w:t>
            </w:r>
            <w:r>
              <w:rPr>
                <w:rStyle w:val="IndexLink"/>
                <w:rtl w:val="true"/>
              </w:rPr>
              <w:t>رأيهم في التقليد</w:t>
            </w:r>
            <w:r>
              <w:rPr>
                <w:rStyle w:val="IndexLink"/>
                <w:rtl w:val="true"/>
              </w:rPr>
              <w:t>:</w:t>
              <w:tab/>
            </w:r>
            <w:r>
              <w:rPr>
                <w:rStyle w:val="IndexLink"/>
              </w:rPr>
              <w:t>209</w:t>
            </w:r>
          </w:hyperlink>
        </w:p>
        <w:p>
          <w:pPr>
            <w:pStyle w:val="Contents5"/>
            <w:tabs>
              <w:tab w:val="clear" w:pos="7892"/>
              <w:tab w:val="right" w:pos="9026" w:leader="dot"/>
            </w:tabs>
            <w:rPr/>
          </w:pPr>
          <w:hyperlink w:anchor="__RefHeading___Toc2474148_653776707">
            <w:r>
              <w:rPr>
                <w:webHidden/>
                <w:rStyle w:val="IndexLink"/>
              </w:rPr>
              <w:t>5</w:t>
            </w:r>
            <w:r>
              <w:rPr>
                <w:rStyle w:val="IndexLink"/>
                <w:rtl w:val="true"/>
              </w:rPr>
              <w:t xml:space="preserve">) </w:t>
            </w:r>
            <w:r>
              <w:rPr>
                <w:rStyle w:val="IndexLink"/>
                <w:rtl w:val="true"/>
              </w:rPr>
              <w:t>نماذج من الفتاوي الخاصّة بالمذهب الظاهری</w:t>
            </w:r>
            <w:r>
              <w:rPr>
                <w:rStyle w:val="IndexLink"/>
                <w:rtl w:val="true"/>
              </w:rPr>
              <w:t>:</w:t>
              <w:tab/>
            </w:r>
            <w:r>
              <w:rPr>
                <w:rStyle w:val="IndexLink"/>
              </w:rPr>
              <w:t>210</w:t>
            </w:r>
          </w:hyperlink>
        </w:p>
        <w:p>
          <w:pPr>
            <w:pStyle w:val="Contents3"/>
            <w:tabs>
              <w:tab w:val="clear" w:pos="8459"/>
              <w:tab w:val="right" w:pos="9026" w:leader="dot"/>
            </w:tabs>
            <w:rPr/>
          </w:pPr>
          <w:hyperlink w:anchor="__RefHeading___Toc2474150_653776707">
            <w:r>
              <w:rPr>
                <w:webHidden/>
                <w:rStyle w:val="IndexLink"/>
                <w:rtl w:val="true"/>
              </w:rPr>
              <w:t>الفصل التاسع انسداد باب الإجتهاد عند العامّة وأسبابه</w:t>
            </w:r>
            <w:r>
              <w:rPr>
                <w:rStyle w:val="IndexLink"/>
                <w:rtl w:val="true"/>
              </w:rPr>
              <w:tab/>
            </w:r>
            <w:r>
              <w:rPr>
                <w:rStyle w:val="IndexLink"/>
              </w:rPr>
              <w:t>213</w:t>
            </w:r>
          </w:hyperlink>
        </w:p>
        <w:p>
          <w:pPr>
            <w:pStyle w:val="Contents4"/>
            <w:tabs>
              <w:tab w:val="clear" w:pos="8176"/>
              <w:tab w:val="right" w:pos="9026" w:leader="dot"/>
            </w:tabs>
            <w:rPr/>
          </w:pPr>
          <w:hyperlink w:anchor="__RefHeading___Toc2474152_653776707">
            <w:r>
              <w:rPr>
                <w:webHidden/>
                <w:rStyle w:val="IndexLink"/>
                <w:rtl w:val="true"/>
              </w:rPr>
              <w:t>اشارة</w:t>
            </w:r>
            <w:r>
              <w:rPr>
                <w:rStyle w:val="IndexLink"/>
                <w:rtl w:val="true"/>
              </w:rPr>
              <w:tab/>
            </w:r>
            <w:r>
              <w:rPr>
                <w:rStyle w:val="IndexLink"/>
              </w:rPr>
              <w:t>213</w:t>
            </w:r>
          </w:hyperlink>
        </w:p>
        <w:p>
          <w:pPr>
            <w:pStyle w:val="Contents4"/>
            <w:tabs>
              <w:tab w:val="clear" w:pos="8176"/>
              <w:tab w:val="right" w:pos="9026" w:leader="dot"/>
            </w:tabs>
            <w:rPr/>
          </w:pPr>
          <w:hyperlink w:anchor="__RefHeading___Toc2474154_653776707">
            <w:r>
              <w:rPr>
                <w:webHidden/>
                <w:rStyle w:val="IndexLink"/>
                <w:rtl w:val="true"/>
              </w:rPr>
              <w:t>الأمر الأوّل</w:t>
            </w:r>
            <w:r>
              <w:rPr>
                <w:rStyle w:val="IndexLink"/>
                <w:rtl w:val="true"/>
              </w:rPr>
              <w:t>:</w:t>
              <w:tab/>
            </w:r>
            <w:r>
              <w:rPr>
                <w:rStyle w:val="IndexLink"/>
              </w:rPr>
              <w:t>213</w:t>
            </w:r>
          </w:hyperlink>
        </w:p>
        <w:p>
          <w:pPr>
            <w:pStyle w:val="Contents4"/>
            <w:tabs>
              <w:tab w:val="clear" w:pos="8176"/>
              <w:tab w:val="right" w:pos="9026" w:leader="dot"/>
            </w:tabs>
            <w:rPr/>
          </w:pPr>
          <w:hyperlink w:anchor="__RefHeading___Toc2474156_653776707">
            <w:r>
              <w:rPr>
                <w:webHidden/>
                <w:rStyle w:val="IndexLink"/>
                <w:rtl w:val="true"/>
              </w:rPr>
              <w:t>الأمر الثاني</w:t>
            </w:r>
            <w:r>
              <w:rPr>
                <w:rStyle w:val="IndexLink"/>
                <w:rtl w:val="true"/>
              </w:rPr>
              <w:t xml:space="preserve">: </w:t>
            </w:r>
            <w:r>
              <w:rPr>
                <w:rStyle w:val="IndexLink"/>
                <w:rtl w:val="true"/>
              </w:rPr>
              <w:t>الأسباب التاريخيّة التي أدّت إلى انسداد باب الإجتهاد</w:t>
            </w:r>
            <w:r>
              <w:rPr>
                <w:rStyle w:val="IndexLink"/>
                <w:rtl w:val="true"/>
              </w:rPr>
              <w:t>:</w:t>
              <w:tab/>
            </w:r>
            <w:r>
              <w:rPr>
                <w:rStyle w:val="IndexLink"/>
              </w:rPr>
              <w:t>214</w:t>
            </w:r>
          </w:hyperlink>
        </w:p>
        <w:p>
          <w:pPr>
            <w:pStyle w:val="Contents4"/>
            <w:tabs>
              <w:tab w:val="clear" w:pos="8176"/>
              <w:tab w:val="right" w:pos="9026" w:leader="dot"/>
            </w:tabs>
            <w:rPr/>
          </w:pPr>
          <w:hyperlink w:anchor="__RefHeading___Toc2474158_653776707">
            <w:r>
              <w:rPr>
                <w:webHidden/>
                <w:rStyle w:val="IndexLink"/>
                <w:rtl w:val="true"/>
              </w:rPr>
              <w:t>الأمر الثالث</w:t>
            </w:r>
            <w:r>
              <w:rPr>
                <w:rStyle w:val="IndexLink"/>
                <w:rtl w:val="true"/>
              </w:rPr>
              <w:t xml:space="preserve">: </w:t>
            </w:r>
            <w:r>
              <w:rPr>
                <w:rStyle w:val="IndexLink"/>
                <w:rtl w:val="true"/>
              </w:rPr>
              <w:t>عوامل الإنسداد، تاریخیاً وسیاسیاً واجتماعیاً</w:t>
            </w:r>
            <w:r>
              <w:rPr>
                <w:rStyle w:val="IndexLink"/>
                <w:rtl w:val="true"/>
              </w:rPr>
              <w:t>:</w:t>
              <w:tab/>
            </w:r>
            <w:r>
              <w:rPr>
                <w:rStyle w:val="IndexLink"/>
              </w:rPr>
              <w:t>221</w:t>
            </w:r>
          </w:hyperlink>
        </w:p>
        <w:p>
          <w:pPr>
            <w:pStyle w:val="Contents5"/>
            <w:tabs>
              <w:tab w:val="clear" w:pos="7892"/>
              <w:tab w:val="right" w:pos="9026" w:leader="dot"/>
            </w:tabs>
            <w:rPr/>
          </w:pPr>
          <w:hyperlink w:anchor="__RefHeading___Toc2474160_653776707">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2474162_653776707">
            <w:r>
              <w:rPr>
                <w:webHidden/>
                <w:rStyle w:val="IndexLink"/>
              </w:rPr>
              <w:t>1</w:t>
            </w:r>
            <w:r>
              <w:rPr>
                <w:rStyle w:val="IndexLink"/>
                <w:rtl w:val="true"/>
              </w:rPr>
              <w:t xml:space="preserve">) </w:t>
            </w:r>
            <w:r>
              <w:rPr>
                <w:rStyle w:val="IndexLink"/>
                <w:rtl w:val="true"/>
              </w:rPr>
              <w:t>ضعف الدولة العبّاسيّة</w:t>
            </w:r>
            <w:r>
              <w:rPr>
                <w:rStyle w:val="IndexLink"/>
                <w:rtl w:val="true"/>
              </w:rPr>
              <w:t>:</w:t>
              <w:tab/>
            </w:r>
            <w:r>
              <w:rPr>
                <w:rStyle w:val="IndexLink"/>
              </w:rPr>
              <w:t>221</w:t>
            </w:r>
          </w:hyperlink>
        </w:p>
        <w:p>
          <w:pPr>
            <w:pStyle w:val="Contents5"/>
            <w:tabs>
              <w:tab w:val="clear" w:pos="7892"/>
              <w:tab w:val="right" w:pos="9026" w:leader="dot"/>
            </w:tabs>
            <w:rPr/>
          </w:pPr>
          <w:hyperlink w:anchor="__RefHeading___Toc2474164_653776707">
            <w:r>
              <w:rPr>
                <w:webHidden/>
                <w:rStyle w:val="IndexLink"/>
              </w:rPr>
              <w:t>2</w:t>
            </w:r>
            <w:r>
              <w:rPr>
                <w:rStyle w:val="IndexLink"/>
                <w:rtl w:val="true"/>
              </w:rPr>
              <w:t xml:space="preserve">) </w:t>
            </w:r>
            <w:r>
              <w:rPr>
                <w:rStyle w:val="IndexLink"/>
                <w:rtl w:val="true"/>
              </w:rPr>
              <w:t>التعصّب للمذاهب وأئمّتها</w:t>
            </w:r>
            <w:r>
              <w:rPr>
                <w:rStyle w:val="IndexLink"/>
                <w:rtl w:val="true"/>
              </w:rPr>
              <w:t>:</w:t>
              <w:tab/>
            </w:r>
            <w:r>
              <w:rPr>
                <w:rStyle w:val="IndexLink"/>
              </w:rPr>
              <w:t>222</w:t>
            </w:r>
          </w:hyperlink>
        </w:p>
        <w:p>
          <w:pPr>
            <w:pStyle w:val="Contents5"/>
            <w:tabs>
              <w:tab w:val="clear" w:pos="7892"/>
              <w:tab w:val="right" w:pos="9026" w:leader="dot"/>
            </w:tabs>
            <w:rPr/>
          </w:pPr>
          <w:hyperlink w:anchor="__RefHeading___Toc2474166_653776707">
            <w:r>
              <w:rPr>
                <w:webHidden/>
                <w:rStyle w:val="IndexLink"/>
              </w:rPr>
              <w:t>3</w:t>
            </w:r>
            <w:r>
              <w:rPr>
                <w:rStyle w:val="IndexLink"/>
                <w:rtl w:val="true"/>
              </w:rPr>
              <w:t xml:space="preserve">) </w:t>
            </w:r>
            <w:r>
              <w:rPr>
                <w:rStyle w:val="IndexLink"/>
                <w:rtl w:val="true"/>
              </w:rPr>
              <w:t>القضاء</w:t>
            </w:r>
            <w:r>
              <w:rPr>
                <w:rStyle w:val="IndexLink"/>
                <w:rtl w:val="true"/>
              </w:rPr>
              <w:t>:</w:t>
              <w:tab/>
            </w:r>
            <w:r>
              <w:rPr>
                <w:rStyle w:val="IndexLink"/>
              </w:rPr>
              <w:t>223</w:t>
            </w:r>
          </w:hyperlink>
        </w:p>
        <w:p>
          <w:pPr>
            <w:pStyle w:val="Contents5"/>
            <w:tabs>
              <w:tab w:val="clear" w:pos="7892"/>
              <w:tab w:val="right" w:pos="9026" w:leader="dot"/>
            </w:tabs>
            <w:rPr/>
          </w:pPr>
          <w:hyperlink w:anchor="__RefHeading___Toc2474168_653776707">
            <w:r>
              <w:rPr>
                <w:webHidden/>
                <w:rStyle w:val="IndexLink"/>
              </w:rPr>
              <w:t>4</w:t>
            </w:r>
            <w:r>
              <w:rPr>
                <w:rStyle w:val="IndexLink"/>
                <w:rtl w:val="true"/>
              </w:rPr>
              <w:t xml:space="preserve">) </w:t>
            </w:r>
            <w:r>
              <w:rPr>
                <w:rStyle w:val="IndexLink"/>
                <w:rtl w:val="true"/>
              </w:rPr>
              <w:t>الحروب الداخليّة وكثرة الفتن</w:t>
            </w:r>
            <w:r>
              <w:rPr>
                <w:rStyle w:val="IndexLink"/>
                <w:rtl w:val="true"/>
              </w:rPr>
              <w:t>:</w:t>
              <w:tab/>
            </w:r>
            <w:r>
              <w:rPr>
                <w:rStyle w:val="IndexLink"/>
              </w:rPr>
              <w:t>224</w:t>
            </w:r>
          </w:hyperlink>
        </w:p>
        <w:p>
          <w:pPr>
            <w:pStyle w:val="Contents5"/>
            <w:tabs>
              <w:tab w:val="clear" w:pos="7892"/>
              <w:tab w:val="right" w:pos="9026" w:leader="dot"/>
            </w:tabs>
            <w:rPr/>
          </w:pPr>
          <w:hyperlink w:anchor="__RefHeading___Toc2474170_653776707">
            <w:r>
              <w:rPr>
                <w:webHidden/>
                <w:rStyle w:val="IndexLink"/>
              </w:rPr>
              <w:t>5</w:t>
            </w:r>
            <w:r>
              <w:rPr>
                <w:rStyle w:val="IndexLink"/>
                <w:rtl w:val="true"/>
              </w:rPr>
              <w:t xml:space="preserve">) </w:t>
            </w:r>
            <w:r>
              <w:rPr>
                <w:rStyle w:val="IndexLink"/>
                <w:rtl w:val="true"/>
              </w:rPr>
              <w:t>الأمراض الخُلقيّة والتحاسد بين العلماء</w:t>
            </w:r>
            <w:r>
              <w:rPr>
                <w:rStyle w:val="IndexLink"/>
                <w:rtl w:val="true"/>
              </w:rPr>
              <w:t>:</w:t>
              <w:tab/>
            </w:r>
            <w:r>
              <w:rPr>
                <w:rStyle w:val="IndexLink"/>
              </w:rPr>
              <w:t>225</w:t>
            </w:r>
          </w:hyperlink>
        </w:p>
        <w:p>
          <w:pPr>
            <w:pStyle w:val="Contents4"/>
            <w:tabs>
              <w:tab w:val="clear" w:pos="8176"/>
              <w:tab w:val="right" w:pos="9026" w:leader="dot"/>
            </w:tabs>
            <w:rPr/>
          </w:pPr>
          <w:hyperlink w:anchor="__RefHeading___Toc2474172_653776707">
            <w:r>
              <w:rPr>
                <w:webHidden/>
                <w:rStyle w:val="IndexLink"/>
                <w:rtl w:val="true"/>
              </w:rPr>
              <w:t>الأمر الرابع</w:t>
            </w:r>
            <w:r>
              <w:rPr>
                <w:rStyle w:val="IndexLink"/>
                <w:rtl w:val="true"/>
              </w:rPr>
              <w:t xml:space="preserve">: </w:t>
            </w:r>
            <w:r>
              <w:rPr>
                <w:rStyle w:val="IndexLink"/>
                <w:rtl w:val="true"/>
              </w:rPr>
              <w:t>القول بسدّ باب الإجتهاد وأدلّته</w:t>
            </w:r>
            <w:r>
              <w:rPr>
                <w:rStyle w:val="IndexLink"/>
                <w:rtl w:val="true"/>
              </w:rPr>
              <w:t>:</w:t>
              <w:tab/>
            </w:r>
            <w:r>
              <w:rPr>
                <w:rStyle w:val="IndexLink"/>
              </w:rPr>
              <w:t>226</w:t>
            </w:r>
          </w:hyperlink>
        </w:p>
        <w:p>
          <w:pPr>
            <w:pStyle w:val="Contents4"/>
            <w:tabs>
              <w:tab w:val="clear" w:pos="8176"/>
              <w:tab w:val="right" w:pos="9026" w:leader="dot"/>
            </w:tabs>
            <w:rPr/>
          </w:pPr>
          <w:hyperlink w:anchor="__RefHeading___Toc2474174_653776707">
            <w:r>
              <w:rPr>
                <w:webHidden/>
                <w:rStyle w:val="IndexLink"/>
                <w:rtl w:val="true"/>
              </w:rPr>
              <w:t>الأمر الخامس</w:t>
            </w:r>
            <w:r>
              <w:rPr>
                <w:rStyle w:val="IndexLink"/>
                <w:rtl w:val="true"/>
              </w:rPr>
              <w:t xml:space="preserve">: </w:t>
            </w:r>
            <w:r>
              <w:rPr>
                <w:rStyle w:val="IndexLink"/>
                <w:rtl w:val="true"/>
              </w:rPr>
              <w:t>القول بإمكان الإجتهاد وأدلّته</w:t>
            </w:r>
            <w:r>
              <w:rPr>
                <w:rStyle w:val="IndexLink"/>
                <w:rtl w:val="true"/>
              </w:rPr>
              <w:t>:</w:t>
              <w:tab/>
            </w:r>
            <w:r>
              <w:rPr>
                <w:rStyle w:val="IndexLink"/>
              </w:rPr>
              <w:t>228</w:t>
            </w:r>
          </w:hyperlink>
        </w:p>
        <w:p>
          <w:pPr>
            <w:pStyle w:val="Contents4"/>
            <w:tabs>
              <w:tab w:val="clear" w:pos="8176"/>
              <w:tab w:val="right" w:pos="9026" w:leader="dot"/>
            </w:tabs>
            <w:rPr/>
          </w:pPr>
          <w:hyperlink w:anchor="__RefHeading___Toc2474176_653776707">
            <w:r>
              <w:rPr>
                <w:webHidden/>
                <w:rStyle w:val="IndexLink"/>
                <w:rtl w:val="true"/>
              </w:rPr>
              <w:t>الأمر السادس</w:t>
            </w:r>
            <w:r>
              <w:rPr>
                <w:rStyle w:val="IndexLink"/>
                <w:rtl w:val="true"/>
              </w:rPr>
              <w:t xml:space="preserve">: </w:t>
            </w:r>
            <w:r>
              <w:rPr>
                <w:rStyle w:val="IndexLink"/>
                <w:rtl w:val="true"/>
              </w:rPr>
              <w:t>نقد أدلّة كلٍّ من الموافقين والمخالفين لانسداد من الإجتهاد</w:t>
            </w:r>
            <w:r>
              <w:rPr>
                <w:rStyle w:val="IndexLink"/>
                <w:rtl w:val="true"/>
              </w:rPr>
              <w:t>:</w:t>
              <w:tab/>
            </w:r>
            <w:r>
              <w:rPr>
                <w:rStyle w:val="IndexLink"/>
              </w:rPr>
              <w:t>231</w:t>
            </w:r>
          </w:hyperlink>
        </w:p>
        <w:p>
          <w:pPr>
            <w:pStyle w:val="Contents5"/>
            <w:tabs>
              <w:tab w:val="clear" w:pos="7892"/>
              <w:tab w:val="right" w:pos="9026" w:leader="dot"/>
            </w:tabs>
            <w:rPr/>
          </w:pPr>
          <w:hyperlink w:anchor="__RefHeading___Toc2474178_653776707">
            <w:r>
              <w:rPr>
                <w:webHidden/>
                <w:rStyle w:val="IndexLink"/>
                <w:rtl w:val="true"/>
              </w:rPr>
              <w:t>أ</w:t>
            </w:r>
            <w:r>
              <w:rPr>
                <w:rStyle w:val="IndexLink"/>
                <w:rtl w:val="true"/>
              </w:rPr>
              <w:t xml:space="preserve">) </w:t>
            </w:r>
            <w:r>
              <w:rPr>
                <w:rStyle w:val="IndexLink"/>
                <w:rtl w:val="true"/>
              </w:rPr>
              <w:t>نقد أدلّة القائلين بانسداد باب الإجتهاد</w:t>
            </w:r>
            <w:r>
              <w:rPr>
                <w:rStyle w:val="IndexLink"/>
                <w:rtl w:val="true"/>
              </w:rPr>
              <w:t>:</w:t>
              <w:tab/>
            </w:r>
            <w:r>
              <w:rPr>
                <w:rStyle w:val="IndexLink"/>
              </w:rPr>
              <w:t>231</w:t>
            </w:r>
          </w:hyperlink>
        </w:p>
        <w:p>
          <w:pPr>
            <w:pStyle w:val="Contents5"/>
            <w:tabs>
              <w:tab w:val="clear" w:pos="7892"/>
              <w:tab w:val="right" w:pos="9026" w:leader="dot"/>
            </w:tabs>
            <w:rPr/>
          </w:pPr>
          <w:hyperlink w:anchor="__RefHeading___Toc2474180_653776707">
            <w:r>
              <w:rPr>
                <w:webHidden/>
                <w:rStyle w:val="IndexLink"/>
                <w:rtl w:val="true"/>
              </w:rPr>
              <w:t>ب</w:t>
            </w:r>
            <w:r>
              <w:rPr>
                <w:rStyle w:val="IndexLink"/>
                <w:rtl w:val="true"/>
              </w:rPr>
              <w:t xml:space="preserve">) </w:t>
            </w:r>
            <w:r>
              <w:rPr>
                <w:rStyle w:val="IndexLink"/>
                <w:rtl w:val="true"/>
              </w:rPr>
              <w:t>نقد أدلّة المنكرين لانسداد الإجتهاد</w:t>
            </w:r>
            <w:r>
              <w:rPr>
                <w:rStyle w:val="IndexLink"/>
                <w:rtl w:val="true"/>
              </w:rPr>
              <w:t>:</w:t>
              <w:tab/>
            </w:r>
            <w:r>
              <w:rPr>
                <w:rStyle w:val="IndexLink"/>
              </w:rPr>
              <w:t>233</w:t>
            </w:r>
          </w:hyperlink>
        </w:p>
        <w:p>
          <w:pPr>
            <w:pStyle w:val="Contents3"/>
            <w:tabs>
              <w:tab w:val="clear" w:pos="8459"/>
              <w:tab w:val="right" w:pos="9026" w:leader="dot"/>
            </w:tabs>
            <w:rPr/>
          </w:pPr>
          <w:hyperlink w:anchor="__RefHeading___Toc2474182_653776707">
            <w:r>
              <w:rPr>
                <w:webHidden/>
                <w:rStyle w:val="IndexLink"/>
                <w:rtl w:val="true"/>
              </w:rPr>
              <w:t>الفصل العاشر تبعات انسداد باب الإجتهاد حتى العصر الحاضر</w:t>
            </w:r>
            <w:r>
              <w:rPr>
                <w:rStyle w:val="IndexLink"/>
                <w:rtl w:val="true"/>
              </w:rPr>
              <w:tab/>
            </w:r>
            <w:r>
              <w:rPr>
                <w:rStyle w:val="IndexLink"/>
              </w:rPr>
              <w:t>237</w:t>
            </w:r>
          </w:hyperlink>
        </w:p>
        <w:p>
          <w:pPr>
            <w:pStyle w:val="Contents4"/>
            <w:tabs>
              <w:tab w:val="clear" w:pos="8176"/>
              <w:tab w:val="right" w:pos="9026" w:leader="dot"/>
            </w:tabs>
            <w:rPr/>
          </w:pPr>
          <w:hyperlink w:anchor="__RefHeading___Toc2474184_653776707">
            <w:r>
              <w:rPr>
                <w:webHidden/>
                <w:rStyle w:val="IndexLink"/>
                <w:rtl w:val="true"/>
              </w:rPr>
              <w:t>الأمر الأول</w:t>
            </w:r>
            <w:r>
              <w:rPr>
                <w:rStyle w:val="IndexLink"/>
                <w:rtl w:val="true"/>
              </w:rPr>
              <w:t xml:space="preserve">: </w:t>
            </w:r>
            <w:r>
              <w:rPr>
                <w:rStyle w:val="IndexLink"/>
                <w:rtl w:val="true"/>
              </w:rPr>
              <w:t>الأثار السيّئة للانسداد</w:t>
            </w:r>
            <w:r>
              <w:rPr>
                <w:rStyle w:val="IndexLink"/>
                <w:rtl w:val="true"/>
              </w:rPr>
              <w:t>:</w:t>
              <w:tab/>
            </w:r>
            <w:r>
              <w:rPr>
                <w:rStyle w:val="IndexLink"/>
              </w:rPr>
              <w:t>237</w:t>
            </w:r>
          </w:hyperlink>
        </w:p>
        <w:p>
          <w:pPr>
            <w:pStyle w:val="Contents4"/>
            <w:tabs>
              <w:tab w:val="clear" w:pos="8176"/>
              <w:tab w:val="right" w:pos="9026" w:leader="dot"/>
            </w:tabs>
            <w:rPr/>
          </w:pPr>
          <w:hyperlink w:anchor="__RefHeading___Toc2474186_653776707">
            <w:r>
              <w:rPr>
                <w:webHidden/>
                <w:rStyle w:val="IndexLink"/>
                <w:rtl w:val="true"/>
              </w:rPr>
              <w:t>الأمر الثاني</w:t>
            </w:r>
            <w:r>
              <w:rPr>
                <w:rStyle w:val="IndexLink"/>
                <w:rtl w:val="true"/>
              </w:rPr>
              <w:t xml:space="preserve">: </w:t>
            </w:r>
            <w:r>
              <w:rPr>
                <w:rStyle w:val="IndexLink"/>
                <w:rtl w:val="true"/>
              </w:rPr>
              <w:t>إحياء حركة الإجتهاد في مذاهب العامّة</w:t>
            </w:r>
            <w:r>
              <w:rPr>
                <w:rStyle w:val="IndexLink"/>
                <w:rtl w:val="true"/>
              </w:rPr>
              <w:t>:</w:t>
              <w:tab/>
            </w:r>
            <w:r>
              <w:rPr>
                <w:rStyle w:val="IndexLink"/>
              </w:rPr>
              <w:t>240</w:t>
            </w:r>
          </w:hyperlink>
        </w:p>
        <w:p>
          <w:pPr>
            <w:pStyle w:val="Contents4"/>
            <w:tabs>
              <w:tab w:val="clear" w:pos="8176"/>
              <w:tab w:val="right" w:pos="9026" w:leader="dot"/>
            </w:tabs>
            <w:rPr/>
          </w:pPr>
          <w:hyperlink w:anchor="__RefHeading___Toc2474188_653776707">
            <w:r>
              <w:rPr>
                <w:webHidden/>
                <w:rStyle w:val="IndexLink"/>
                <w:rtl w:val="true"/>
              </w:rPr>
              <w:t>الأمر الثالث</w:t>
            </w:r>
            <w:r>
              <w:rPr>
                <w:rStyle w:val="IndexLink"/>
                <w:rtl w:val="true"/>
              </w:rPr>
              <w:t xml:space="preserve">: </w:t>
            </w:r>
            <w:r>
              <w:rPr>
                <w:rStyle w:val="IndexLink"/>
                <w:rtl w:val="true"/>
              </w:rPr>
              <w:t>نظرة جديدة إلى إحياء حركة الإجتهاد في مذاهب أهل العامّة</w:t>
            </w:r>
            <w:r>
              <w:rPr>
                <w:rStyle w:val="IndexLink"/>
                <w:rtl w:val="true"/>
              </w:rPr>
              <w:t>:</w:t>
              <w:tab/>
            </w:r>
            <w:r>
              <w:rPr>
                <w:rStyle w:val="IndexLink"/>
              </w:rPr>
              <w:t>242</w:t>
            </w:r>
          </w:hyperlink>
        </w:p>
        <w:p>
          <w:pPr>
            <w:pStyle w:val="Contents2"/>
            <w:tabs>
              <w:tab w:val="clear" w:pos="8743"/>
              <w:tab w:val="right" w:pos="9026" w:leader="dot"/>
            </w:tabs>
            <w:rPr/>
          </w:pPr>
          <w:hyperlink w:anchor="__RefHeading___Toc2474190_653776707">
            <w:r>
              <w:rPr>
                <w:webHidden/>
                <w:rStyle w:val="IndexLink"/>
                <w:rtl w:val="true"/>
              </w:rPr>
              <w:t>الباب الثانی</w:t>
            </w:r>
            <w:r>
              <w:rPr>
                <w:rStyle w:val="IndexLink"/>
                <w:rtl w:val="true"/>
              </w:rPr>
              <w:t xml:space="preserve">: </w:t>
            </w:r>
            <w:r>
              <w:rPr>
                <w:rStyle w:val="IndexLink"/>
                <w:rtl w:val="true"/>
              </w:rPr>
              <w:t xml:space="preserve">أدوار الإجتهاد ومناهجه في مدرسة أهل البيت </w:t>
            </w:r>
            <w:r>
              <w:rPr>
                <w:rStyle w:val="IndexLink"/>
                <w:rtl w:val="true"/>
              </w:rPr>
              <w:t>(</w:t>
            </w:r>
            <w:r>
              <w:rPr>
                <w:rStyle w:val="IndexLink"/>
                <w:rtl w:val="true"/>
              </w:rPr>
              <w:t>علیهم السلام</w:t>
            </w:r>
            <w:r>
              <w:rPr>
                <w:rStyle w:val="IndexLink"/>
                <w:rtl w:val="true"/>
              </w:rPr>
              <w:t>)</w:t>
              <w:tab/>
            </w:r>
            <w:r>
              <w:rPr>
                <w:rStyle w:val="IndexLink"/>
              </w:rPr>
              <w:t>253</w:t>
            </w:r>
          </w:hyperlink>
        </w:p>
        <w:p>
          <w:pPr>
            <w:pStyle w:val="Contents3"/>
            <w:tabs>
              <w:tab w:val="clear" w:pos="8459"/>
              <w:tab w:val="right" w:pos="9026" w:leader="dot"/>
            </w:tabs>
            <w:rPr/>
          </w:pPr>
          <w:hyperlink w:anchor="__RefHeading___Toc2474192_653776707">
            <w:r>
              <w:rPr>
                <w:webHidden/>
                <w:rStyle w:val="IndexLink"/>
                <w:rtl w:val="true"/>
              </w:rPr>
              <w:t>اشارة</w:t>
            </w:r>
            <w:r>
              <w:rPr>
                <w:rStyle w:val="IndexLink"/>
                <w:rtl w:val="true"/>
              </w:rPr>
              <w:tab/>
            </w:r>
            <w:r>
              <w:rPr>
                <w:rStyle w:val="IndexLink"/>
              </w:rPr>
              <w:t>253</w:t>
            </w:r>
          </w:hyperlink>
        </w:p>
        <w:p>
          <w:pPr>
            <w:pStyle w:val="Contents3"/>
            <w:tabs>
              <w:tab w:val="clear" w:pos="8459"/>
              <w:tab w:val="right" w:pos="9026" w:leader="dot"/>
            </w:tabs>
            <w:rPr/>
          </w:pPr>
          <w:hyperlink w:anchor="__RefHeading___Toc2474194_653776707">
            <w:r>
              <w:rPr>
                <w:webHidden/>
                <w:rStyle w:val="IndexLink"/>
                <w:rtl w:val="true"/>
              </w:rPr>
              <w:t>الفصل الأول المفاهيم والكليات</w:t>
            </w:r>
            <w:r>
              <w:rPr>
                <w:rStyle w:val="IndexLink"/>
                <w:rtl w:val="true"/>
              </w:rPr>
              <w:tab/>
            </w:r>
            <w:r>
              <w:rPr>
                <w:rStyle w:val="IndexLink"/>
              </w:rPr>
              <w:t>255</w:t>
            </w:r>
          </w:hyperlink>
        </w:p>
        <w:p>
          <w:pPr>
            <w:pStyle w:val="Contents4"/>
            <w:tabs>
              <w:tab w:val="clear" w:pos="8176"/>
              <w:tab w:val="right" w:pos="9026" w:leader="dot"/>
            </w:tabs>
            <w:rPr/>
          </w:pPr>
          <w:hyperlink w:anchor="__RefHeading___Toc2474196_653776707">
            <w:r>
              <w:rPr>
                <w:webHidden/>
                <w:rStyle w:val="IndexLink"/>
                <w:rtl w:val="true"/>
              </w:rPr>
              <w:t>اشارة</w:t>
            </w:r>
            <w:r>
              <w:rPr>
                <w:rStyle w:val="IndexLink"/>
                <w:rtl w:val="true"/>
              </w:rPr>
              <w:tab/>
            </w:r>
            <w:r>
              <w:rPr>
                <w:rStyle w:val="IndexLink"/>
              </w:rPr>
              <w:t>255</w:t>
            </w:r>
          </w:hyperlink>
        </w:p>
        <w:p>
          <w:pPr>
            <w:pStyle w:val="Contents4"/>
            <w:tabs>
              <w:tab w:val="clear" w:pos="8176"/>
              <w:tab w:val="right" w:pos="9026" w:leader="dot"/>
            </w:tabs>
            <w:rPr/>
          </w:pPr>
          <w:hyperlink w:anchor="__RefHeading___Toc2474198_653776707">
            <w:r>
              <w:rPr>
                <w:webHidden/>
                <w:rStyle w:val="IndexLink"/>
                <w:rtl w:val="true"/>
              </w:rPr>
              <w:t>المبحث الأول ما يرتبط بكلمة الإجتهاد</w:t>
            </w:r>
            <w:r>
              <w:rPr>
                <w:rStyle w:val="IndexLink"/>
                <w:rtl w:val="true"/>
              </w:rPr>
              <w:tab/>
            </w:r>
            <w:r>
              <w:rPr>
                <w:rStyle w:val="IndexLink"/>
              </w:rPr>
              <w:t>257</w:t>
            </w:r>
          </w:hyperlink>
        </w:p>
        <w:p>
          <w:pPr>
            <w:pStyle w:val="Contents4"/>
            <w:tabs>
              <w:tab w:val="clear" w:pos="8176"/>
              <w:tab w:val="right" w:pos="9026" w:leader="dot"/>
            </w:tabs>
            <w:rPr/>
          </w:pPr>
          <w:hyperlink w:anchor="__RefHeading___Toc2474200_653776707">
            <w:r>
              <w:rPr>
                <w:webHidden/>
                <w:rStyle w:val="IndexLink"/>
                <w:rtl w:val="true"/>
              </w:rPr>
              <w:t>المبحث الثاني ما يرتبط بكلمة الأدوار</w:t>
            </w:r>
            <w:r>
              <w:rPr>
                <w:rStyle w:val="IndexLink"/>
                <w:rtl w:val="true"/>
              </w:rPr>
              <w:tab/>
            </w:r>
            <w:r>
              <w:rPr>
                <w:rStyle w:val="IndexLink"/>
              </w:rPr>
              <w:t>261</w:t>
            </w:r>
          </w:hyperlink>
        </w:p>
        <w:p>
          <w:pPr>
            <w:pStyle w:val="Contents5"/>
            <w:tabs>
              <w:tab w:val="clear" w:pos="7892"/>
              <w:tab w:val="right" w:pos="9026" w:leader="dot"/>
            </w:tabs>
            <w:rPr/>
          </w:pPr>
          <w:hyperlink w:anchor="__RefHeading___Toc2474202_653776707">
            <w:r>
              <w:rPr>
                <w:webHidden/>
                <w:rStyle w:val="IndexLink"/>
                <w:rtl w:val="true"/>
              </w:rPr>
              <w:t>ومنهجيّة البحث</w:t>
            </w:r>
            <w:r>
              <w:rPr>
                <w:rStyle w:val="IndexLink"/>
                <w:rtl w:val="true"/>
              </w:rPr>
              <w:tab/>
            </w:r>
            <w:r>
              <w:rPr>
                <w:rStyle w:val="IndexLink"/>
              </w:rPr>
              <w:t>261</w:t>
            </w:r>
          </w:hyperlink>
        </w:p>
        <w:p>
          <w:pPr>
            <w:pStyle w:val="Contents5"/>
            <w:tabs>
              <w:tab w:val="clear" w:pos="7892"/>
              <w:tab w:val="right" w:pos="9026" w:leader="dot"/>
            </w:tabs>
            <w:rPr/>
          </w:pPr>
          <w:hyperlink w:anchor="__RefHeading___Toc2474204_653776707">
            <w:r>
              <w:rPr>
                <w:webHidden/>
                <w:rStyle w:val="IndexLink"/>
                <w:rtl w:val="true"/>
              </w:rPr>
              <w:t>منهجية البحث</w:t>
            </w:r>
            <w:r>
              <w:rPr>
                <w:rStyle w:val="IndexLink"/>
                <w:rtl w:val="true"/>
              </w:rPr>
              <w:t>:</w:t>
              <w:tab/>
            </w:r>
            <w:r>
              <w:rPr>
                <w:rStyle w:val="IndexLink"/>
              </w:rPr>
              <w:t>262</w:t>
            </w:r>
          </w:hyperlink>
        </w:p>
        <w:p>
          <w:pPr>
            <w:pStyle w:val="Contents4"/>
            <w:tabs>
              <w:tab w:val="clear" w:pos="8176"/>
              <w:tab w:val="right" w:pos="9026" w:leader="dot"/>
            </w:tabs>
            <w:rPr/>
          </w:pPr>
          <w:hyperlink w:anchor="__RefHeading___Toc2474206_653776707">
            <w:r>
              <w:rPr>
                <w:webHidden/>
                <w:rStyle w:val="IndexLink"/>
                <w:rtl w:val="true"/>
              </w:rPr>
              <w:t>المبحث الثالث ضرورة البحث وسابقته</w:t>
            </w:r>
            <w:r>
              <w:rPr>
                <w:rStyle w:val="IndexLink"/>
                <w:rtl w:val="true"/>
              </w:rPr>
              <w:tab/>
            </w:r>
            <w:r>
              <w:rPr>
                <w:rStyle w:val="IndexLink"/>
              </w:rPr>
              <w:t>265</w:t>
            </w:r>
          </w:hyperlink>
        </w:p>
        <w:p>
          <w:pPr>
            <w:pStyle w:val="Contents4"/>
            <w:tabs>
              <w:tab w:val="clear" w:pos="8176"/>
              <w:tab w:val="right" w:pos="9026" w:leader="dot"/>
            </w:tabs>
            <w:rPr/>
          </w:pPr>
          <w:hyperlink w:anchor="__RefHeading___Toc2474208_653776707">
            <w:r>
              <w:rPr>
                <w:webHidden/>
                <w:rStyle w:val="IndexLink"/>
                <w:rtl w:val="true"/>
              </w:rPr>
              <w:t xml:space="preserve">المبحث الرابع النظرة الاجمالية إلى مصادر الإستنباط في فقه أهل البيت </w:t>
            </w:r>
            <w:r>
              <w:rPr>
                <w:rStyle w:val="IndexLink"/>
                <w:rtl w:val="true"/>
              </w:rPr>
              <w:t>(</w:t>
            </w:r>
            <w:r>
              <w:rPr>
                <w:rStyle w:val="IndexLink"/>
                <w:rtl w:val="true"/>
              </w:rPr>
              <w:t>علیهم السلام</w:t>
            </w:r>
            <w:r>
              <w:rPr>
                <w:rStyle w:val="IndexLink"/>
                <w:rtl w:val="true"/>
              </w:rPr>
              <w:t>)</w:t>
              <w:tab/>
            </w:r>
            <w:r>
              <w:rPr>
                <w:rStyle w:val="IndexLink"/>
              </w:rPr>
              <w:t>267</w:t>
            </w:r>
          </w:hyperlink>
        </w:p>
        <w:p>
          <w:pPr>
            <w:pStyle w:val="Contents3"/>
            <w:tabs>
              <w:tab w:val="clear" w:pos="8459"/>
              <w:tab w:val="right" w:pos="9026" w:leader="dot"/>
            </w:tabs>
            <w:rPr/>
          </w:pPr>
          <w:hyperlink w:anchor="__RefHeading___Toc2474210_653776707">
            <w:r>
              <w:rPr>
                <w:webHidden/>
                <w:rStyle w:val="IndexLink"/>
                <w:rtl w:val="true"/>
              </w:rPr>
              <w:t>الفصل الثاني الإجتهاد في عصر الحضور</w:t>
            </w:r>
            <w:r>
              <w:rPr>
                <w:rStyle w:val="IndexLink"/>
                <w:rtl w:val="true"/>
              </w:rPr>
              <w:tab/>
            </w:r>
            <w:r>
              <w:rPr>
                <w:rStyle w:val="IndexLink"/>
              </w:rPr>
              <w:t>269</w:t>
            </w:r>
          </w:hyperlink>
        </w:p>
        <w:p>
          <w:pPr>
            <w:pStyle w:val="Contents3"/>
            <w:tabs>
              <w:tab w:val="clear" w:pos="8459"/>
              <w:tab w:val="right" w:pos="9026" w:leader="dot"/>
            </w:tabs>
            <w:rPr/>
          </w:pPr>
          <w:hyperlink w:anchor="__RefHeading___Toc2474212_653776707">
            <w:r>
              <w:rPr>
                <w:webHidden/>
                <w:rStyle w:val="IndexLink"/>
                <w:rtl w:val="true"/>
              </w:rPr>
              <w:t>الفصل الثالث حركة الإجتهاد في عصر الغيبة</w:t>
            </w:r>
            <w:r>
              <w:rPr>
                <w:rStyle w:val="IndexLink"/>
                <w:rtl w:val="true"/>
              </w:rPr>
              <w:tab/>
            </w:r>
            <w:r>
              <w:rPr>
                <w:rStyle w:val="IndexLink"/>
              </w:rPr>
              <w:t>283</w:t>
            </w:r>
          </w:hyperlink>
        </w:p>
        <w:p>
          <w:pPr>
            <w:pStyle w:val="Contents4"/>
            <w:tabs>
              <w:tab w:val="clear" w:pos="8176"/>
              <w:tab w:val="right" w:pos="9026" w:leader="dot"/>
            </w:tabs>
            <w:rPr/>
          </w:pPr>
          <w:hyperlink w:anchor="__RefHeading___Toc2474214_653776707">
            <w:r>
              <w:rPr>
                <w:webHidden/>
                <w:rStyle w:val="IndexLink"/>
                <w:rtl w:val="true"/>
              </w:rPr>
              <w:t>اشارة</w:t>
            </w:r>
            <w:r>
              <w:rPr>
                <w:rStyle w:val="IndexLink"/>
                <w:rtl w:val="true"/>
              </w:rPr>
              <w:tab/>
            </w:r>
            <w:r>
              <w:rPr>
                <w:rStyle w:val="IndexLink"/>
              </w:rPr>
              <w:t>283</w:t>
            </w:r>
          </w:hyperlink>
        </w:p>
        <w:p>
          <w:pPr>
            <w:pStyle w:val="Contents4"/>
            <w:tabs>
              <w:tab w:val="clear" w:pos="8176"/>
              <w:tab w:val="right" w:pos="9026" w:leader="dot"/>
            </w:tabs>
            <w:rPr/>
          </w:pPr>
          <w:hyperlink w:anchor="__RefHeading___Toc2474216_653776707">
            <w:r>
              <w:rPr>
                <w:webHidden/>
                <w:rStyle w:val="IndexLink"/>
                <w:rtl w:val="true"/>
              </w:rPr>
              <w:t>الدور الأول دور التأسيس</w:t>
            </w:r>
            <w:r>
              <w:rPr>
                <w:rStyle w:val="IndexLink"/>
                <w:rtl w:val="true"/>
              </w:rPr>
              <w:tab/>
            </w:r>
            <w:r>
              <w:rPr>
                <w:rStyle w:val="IndexLink"/>
              </w:rPr>
              <w:t>285</w:t>
            </w:r>
          </w:hyperlink>
        </w:p>
        <w:p>
          <w:pPr>
            <w:pStyle w:val="Contents5"/>
            <w:tabs>
              <w:tab w:val="clear" w:pos="7892"/>
              <w:tab w:val="right" w:pos="9026" w:leader="dot"/>
            </w:tabs>
            <w:rPr/>
          </w:pPr>
          <w:hyperlink w:anchor="__RefHeading___Toc2474218_653776707">
            <w:r>
              <w:rPr>
                <w:webHidden/>
                <w:rStyle w:val="IndexLink"/>
                <w:rtl w:val="true"/>
              </w:rPr>
              <w:t>الأمر الأول</w:t>
            </w:r>
            <w:r>
              <w:rPr>
                <w:rStyle w:val="IndexLink"/>
                <w:rtl w:val="true"/>
              </w:rPr>
              <w:t xml:space="preserve">: </w:t>
            </w:r>
            <w:r>
              <w:rPr>
                <w:rStyle w:val="IndexLink"/>
                <w:rtl w:val="true"/>
              </w:rPr>
              <w:t>تحديد دور التأسيس</w:t>
            </w:r>
            <w:r>
              <w:rPr>
                <w:rStyle w:val="IndexLink"/>
                <w:rtl w:val="true"/>
              </w:rPr>
              <w:tab/>
            </w:r>
            <w:r>
              <w:rPr>
                <w:rStyle w:val="IndexLink"/>
              </w:rPr>
              <w:t>285</w:t>
            </w:r>
          </w:hyperlink>
        </w:p>
        <w:p>
          <w:pPr>
            <w:pStyle w:val="Contents5"/>
            <w:tabs>
              <w:tab w:val="clear" w:pos="7892"/>
              <w:tab w:val="right" w:pos="9026" w:leader="dot"/>
            </w:tabs>
            <w:rPr/>
          </w:pPr>
          <w:hyperlink w:anchor="__RefHeading___Toc2474220_653776707">
            <w:r>
              <w:rPr>
                <w:webHidden/>
                <w:rStyle w:val="IndexLink"/>
                <w:rtl w:val="true"/>
              </w:rPr>
              <w:t>الأمر الثاني</w:t>
            </w:r>
            <w:r>
              <w:rPr>
                <w:rStyle w:val="IndexLink"/>
                <w:rtl w:val="true"/>
              </w:rPr>
              <w:t xml:space="preserve">: </w:t>
            </w:r>
            <w:r>
              <w:rPr>
                <w:rStyle w:val="IndexLink"/>
                <w:rtl w:val="true"/>
              </w:rPr>
              <w:t>التعريف بدور التأسيس</w:t>
            </w:r>
            <w:r>
              <w:rPr>
                <w:rStyle w:val="IndexLink"/>
                <w:rtl w:val="true"/>
              </w:rPr>
              <w:tab/>
            </w:r>
            <w:r>
              <w:rPr>
                <w:rStyle w:val="IndexLink"/>
              </w:rPr>
              <w:t>285</w:t>
            </w:r>
          </w:hyperlink>
        </w:p>
        <w:p>
          <w:pPr>
            <w:pStyle w:val="Contents5"/>
            <w:tabs>
              <w:tab w:val="clear" w:pos="7892"/>
              <w:tab w:val="right" w:pos="9026" w:leader="dot"/>
            </w:tabs>
            <w:rPr/>
          </w:pPr>
          <w:hyperlink w:anchor="__RefHeading___Toc2474222_653776707">
            <w:r>
              <w:rPr>
                <w:webHidden/>
                <w:rStyle w:val="IndexLink"/>
                <w:rtl w:val="true"/>
              </w:rPr>
              <w:t>الأمر الثالث</w:t>
            </w:r>
            <w:r>
              <w:rPr>
                <w:rStyle w:val="IndexLink"/>
                <w:rtl w:val="true"/>
              </w:rPr>
              <w:t xml:space="preserve">: </w:t>
            </w:r>
            <w:r>
              <w:rPr>
                <w:rStyle w:val="IndexLink"/>
                <w:rtl w:val="true"/>
              </w:rPr>
              <w:t>أهم فقهاء الدور الأوّل وأهمّ مؤلفاتهم</w:t>
            </w:r>
            <w:r>
              <w:rPr>
                <w:rStyle w:val="IndexLink"/>
                <w:rtl w:val="true"/>
              </w:rPr>
              <w:tab/>
            </w:r>
            <w:r>
              <w:rPr>
                <w:rStyle w:val="IndexLink"/>
              </w:rPr>
              <w:t>286</w:t>
            </w:r>
          </w:hyperlink>
        </w:p>
        <w:p>
          <w:pPr>
            <w:pStyle w:val="Contents5"/>
            <w:tabs>
              <w:tab w:val="clear" w:pos="7892"/>
              <w:tab w:val="right" w:pos="9026" w:leader="dot"/>
            </w:tabs>
            <w:rPr/>
          </w:pPr>
          <w:hyperlink w:anchor="__RefHeading___Toc2474224_653776707">
            <w:r>
              <w:rPr>
                <w:webHidden/>
                <w:rStyle w:val="IndexLink"/>
                <w:rtl w:val="true"/>
              </w:rPr>
              <w:t>الأمر الرابع</w:t>
            </w:r>
            <w:r>
              <w:rPr>
                <w:rStyle w:val="IndexLink"/>
                <w:rtl w:val="true"/>
              </w:rPr>
              <w:t xml:space="preserve">: </w:t>
            </w:r>
            <w:r>
              <w:rPr>
                <w:rStyle w:val="IndexLink"/>
                <w:rtl w:val="true"/>
              </w:rPr>
              <w:t>منهج الإجتهاد في الدور الأول</w:t>
            </w:r>
            <w:r>
              <w:rPr>
                <w:rStyle w:val="IndexLink"/>
                <w:rtl w:val="true"/>
              </w:rPr>
              <w:tab/>
            </w:r>
            <w:r>
              <w:rPr>
                <w:rStyle w:val="IndexLink"/>
              </w:rPr>
              <w:t>289</w:t>
            </w:r>
          </w:hyperlink>
        </w:p>
        <w:p>
          <w:pPr>
            <w:pStyle w:val="Contents6"/>
            <w:tabs>
              <w:tab w:val="clear" w:pos="7609"/>
              <w:tab w:val="right" w:pos="9026" w:leader="dot"/>
            </w:tabs>
            <w:rPr/>
          </w:pPr>
          <w:hyperlink w:anchor="__RefHeading___Toc2474226_653776707">
            <w:r>
              <w:rPr>
                <w:webHidden/>
                <w:rStyle w:val="IndexLink"/>
                <w:rtl w:val="true"/>
              </w:rPr>
              <w:t>اشارة</w:t>
            </w:r>
            <w:r>
              <w:rPr>
                <w:rStyle w:val="IndexLink"/>
                <w:rtl w:val="true"/>
              </w:rPr>
              <w:tab/>
            </w:r>
            <w:r>
              <w:rPr>
                <w:rStyle w:val="IndexLink"/>
              </w:rPr>
              <w:t>289</w:t>
            </w:r>
          </w:hyperlink>
        </w:p>
        <w:p>
          <w:pPr>
            <w:pStyle w:val="Contents6"/>
            <w:tabs>
              <w:tab w:val="clear" w:pos="7609"/>
              <w:tab w:val="right" w:pos="9026" w:leader="dot"/>
            </w:tabs>
            <w:rPr/>
          </w:pPr>
          <w:hyperlink w:anchor="__RefHeading___Toc2474228_653776707">
            <w:r>
              <w:rPr>
                <w:webHidden/>
                <w:rStyle w:val="IndexLink"/>
                <w:rtl w:val="true"/>
              </w:rPr>
              <w:t>الاتجاه الأول</w:t>
            </w:r>
            <w:r>
              <w:rPr>
                <w:rStyle w:val="IndexLink"/>
                <w:rtl w:val="true"/>
              </w:rPr>
              <w:t xml:space="preserve">: </w:t>
            </w:r>
            <w:r>
              <w:rPr>
                <w:rStyle w:val="IndexLink"/>
                <w:rtl w:val="true"/>
              </w:rPr>
              <w:t>الاتجاه الروائي</w:t>
            </w:r>
            <w:r>
              <w:rPr>
                <w:rStyle w:val="IndexLink"/>
                <w:rtl w:val="true"/>
              </w:rPr>
              <w:tab/>
            </w:r>
            <w:r>
              <w:rPr>
                <w:rStyle w:val="IndexLink"/>
              </w:rPr>
              <w:t>290</w:t>
            </w:r>
          </w:hyperlink>
        </w:p>
        <w:p>
          <w:pPr>
            <w:pStyle w:val="Contents6"/>
            <w:tabs>
              <w:tab w:val="clear" w:pos="7609"/>
              <w:tab w:val="right" w:pos="9026" w:leader="dot"/>
            </w:tabs>
            <w:rPr/>
          </w:pPr>
          <w:hyperlink w:anchor="__RefHeading___Toc2474230_653776707">
            <w:r>
              <w:rPr>
                <w:webHidden/>
                <w:rStyle w:val="IndexLink"/>
                <w:rtl w:val="true"/>
              </w:rPr>
              <w:t>اشارة</w:t>
            </w:r>
            <w:r>
              <w:rPr>
                <w:rStyle w:val="IndexLink"/>
                <w:rtl w:val="true"/>
              </w:rPr>
              <w:tab/>
            </w:r>
            <w:r>
              <w:rPr>
                <w:rStyle w:val="IndexLink"/>
              </w:rPr>
              <w:t>290</w:t>
            </w:r>
          </w:hyperlink>
        </w:p>
        <w:p>
          <w:pPr>
            <w:pStyle w:val="Contents6"/>
            <w:tabs>
              <w:tab w:val="clear" w:pos="7609"/>
              <w:tab w:val="right" w:pos="9026" w:leader="dot"/>
            </w:tabs>
            <w:rPr/>
          </w:pPr>
          <w:hyperlink w:anchor="__RefHeading___Toc2474232_653776707">
            <w:r>
              <w:rPr>
                <w:webHidden/>
                <w:rStyle w:val="IndexLink"/>
                <w:rtl w:val="true"/>
              </w:rPr>
              <w:t>الاتجاه الروائی والاستدلالات العقلية</w:t>
            </w:r>
            <w:r>
              <w:rPr>
                <w:rStyle w:val="IndexLink"/>
                <w:rtl w:val="true"/>
              </w:rPr>
              <w:t>:</w:t>
              <w:tab/>
            </w:r>
            <w:r>
              <w:rPr>
                <w:rStyle w:val="IndexLink"/>
              </w:rPr>
              <w:t>290</w:t>
            </w:r>
          </w:hyperlink>
        </w:p>
        <w:p>
          <w:pPr>
            <w:pStyle w:val="Contents6"/>
            <w:tabs>
              <w:tab w:val="clear" w:pos="7609"/>
              <w:tab w:val="right" w:pos="9026" w:leader="dot"/>
            </w:tabs>
            <w:rPr/>
          </w:pPr>
          <w:hyperlink w:anchor="__RefHeading___Toc2474234_653776707">
            <w:r>
              <w:rPr>
                <w:webHidden/>
                <w:rStyle w:val="IndexLink"/>
                <w:rtl w:val="true"/>
              </w:rPr>
              <w:t>الاتجاه الروائی والغلوّ</w:t>
            </w:r>
            <w:r>
              <w:rPr>
                <w:rStyle w:val="IndexLink"/>
                <w:rtl w:val="true"/>
              </w:rPr>
              <w:t>:</w:t>
              <w:tab/>
            </w:r>
            <w:r>
              <w:rPr>
                <w:rStyle w:val="IndexLink"/>
              </w:rPr>
              <w:t>291</w:t>
            </w:r>
          </w:hyperlink>
        </w:p>
        <w:p>
          <w:pPr>
            <w:pStyle w:val="Contents6"/>
            <w:tabs>
              <w:tab w:val="clear" w:pos="7609"/>
              <w:tab w:val="right" w:pos="9026" w:leader="dot"/>
            </w:tabs>
            <w:rPr/>
          </w:pPr>
          <w:hyperlink w:anchor="__RefHeading___Toc2474236_653776707">
            <w:r>
              <w:rPr>
                <w:webHidden/>
                <w:rStyle w:val="IndexLink"/>
                <w:rtl w:val="true"/>
              </w:rPr>
              <w:t>الاتجاه الثاني</w:t>
            </w:r>
            <w:r>
              <w:rPr>
                <w:rStyle w:val="IndexLink"/>
                <w:rtl w:val="true"/>
              </w:rPr>
              <w:t xml:space="preserve">: </w:t>
            </w:r>
            <w:r>
              <w:rPr>
                <w:rStyle w:val="IndexLink"/>
                <w:rtl w:val="true"/>
              </w:rPr>
              <w:t>الإتجاه العقلي</w:t>
            </w:r>
            <w:r>
              <w:rPr>
                <w:rStyle w:val="IndexLink"/>
                <w:rtl w:val="true"/>
              </w:rPr>
              <w:tab/>
            </w:r>
            <w:r>
              <w:rPr>
                <w:rStyle w:val="IndexLink"/>
              </w:rPr>
              <w:t>292</w:t>
            </w:r>
          </w:hyperlink>
        </w:p>
        <w:p>
          <w:pPr>
            <w:pStyle w:val="Contents6"/>
            <w:tabs>
              <w:tab w:val="clear" w:pos="7609"/>
              <w:tab w:val="right" w:pos="9026" w:leader="dot"/>
            </w:tabs>
            <w:rPr/>
          </w:pPr>
          <w:hyperlink w:anchor="__RefHeading___Toc2474238_653776707">
            <w:r>
              <w:rPr>
                <w:webHidden/>
                <w:rStyle w:val="IndexLink"/>
                <w:rtl w:val="true"/>
              </w:rPr>
              <w:t>الاتجاه الثالث</w:t>
            </w:r>
            <w:r>
              <w:rPr>
                <w:rStyle w:val="IndexLink"/>
                <w:rtl w:val="true"/>
              </w:rPr>
              <w:t xml:space="preserve">: </w:t>
            </w:r>
            <w:r>
              <w:rPr>
                <w:rStyle w:val="IndexLink"/>
                <w:rtl w:val="true"/>
              </w:rPr>
              <w:t>خط الإعتدال والتوفیق بين العقل والنقل</w:t>
            </w:r>
            <w:r>
              <w:rPr>
                <w:rStyle w:val="IndexLink"/>
                <w:rtl w:val="true"/>
              </w:rPr>
              <w:tab/>
            </w:r>
            <w:r>
              <w:rPr>
                <w:rStyle w:val="IndexLink"/>
              </w:rPr>
              <w:t>293</w:t>
            </w:r>
          </w:hyperlink>
        </w:p>
        <w:p>
          <w:pPr>
            <w:pStyle w:val="Contents5"/>
            <w:tabs>
              <w:tab w:val="clear" w:pos="7892"/>
              <w:tab w:val="right" w:pos="9026" w:leader="dot"/>
            </w:tabs>
            <w:rPr/>
          </w:pPr>
          <w:hyperlink w:anchor="__RefHeading___Toc2474240_653776707">
            <w:r>
              <w:rPr>
                <w:webHidden/>
                <w:rStyle w:val="IndexLink"/>
                <w:rtl w:val="true"/>
              </w:rPr>
              <w:t>الأمر الخامس</w:t>
            </w:r>
            <w:r>
              <w:rPr>
                <w:rStyle w:val="IndexLink"/>
                <w:rtl w:val="true"/>
              </w:rPr>
              <w:t xml:space="preserve">: </w:t>
            </w:r>
            <w:r>
              <w:rPr>
                <w:rStyle w:val="IndexLink"/>
                <w:rtl w:val="true"/>
              </w:rPr>
              <w:t>أهم خصائص دور التأسيس</w:t>
            </w:r>
            <w:r>
              <w:rPr>
                <w:rStyle w:val="IndexLink"/>
                <w:rtl w:val="true"/>
              </w:rPr>
              <w:tab/>
            </w:r>
            <w:r>
              <w:rPr>
                <w:rStyle w:val="IndexLink"/>
              </w:rPr>
              <w:t>295</w:t>
            </w:r>
          </w:hyperlink>
        </w:p>
        <w:p>
          <w:pPr>
            <w:pStyle w:val="Contents4"/>
            <w:tabs>
              <w:tab w:val="clear" w:pos="8176"/>
              <w:tab w:val="right" w:pos="9026" w:leader="dot"/>
            </w:tabs>
            <w:rPr/>
          </w:pPr>
          <w:hyperlink w:anchor="__RefHeading___Toc2474242_653776707">
            <w:r>
              <w:rPr>
                <w:webHidden/>
                <w:rStyle w:val="IndexLink"/>
                <w:rtl w:val="true"/>
              </w:rPr>
              <w:t>الدور الثاني دور الإنطلاق</w:t>
            </w:r>
            <w:r>
              <w:rPr>
                <w:rStyle w:val="IndexLink"/>
                <w:rtl w:val="true"/>
              </w:rPr>
              <w:tab/>
            </w:r>
            <w:r>
              <w:rPr>
                <w:rStyle w:val="IndexLink"/>
              </w:rPr>
              <w:t>297</w:t>
            </w:r>
          </w:hyperlink>
        </w:p>
        <w:p>
          <w:pPr>
            <w:pStyle w:val="Contents5"/>
            <w:tabs>
              <w:tab w:val="clear" w:pos="7892"/>
              <w:tab w:val="right" w:pos="9026" w:leader="dot"/>
            </w:tabs>
            <w:rPr/>
          </w:pPr>
          <w:hyperlink w:anchor="__RefHeading___Toc2474244_653776707">
            <w:r>
              <w:rPr>
                <w:webHidden/>
                <w:rStyle w:val="IndexLink"/>
                <w:rtl w:val="true"/>
              </w:rPr>
              <w:t>اشارة</w:t>
            </w:r>
            <w:r>
              <w:rPr>
                <w:rStyle w:val="IndexLink"/>
                <w:rtl w:val="true"/>
              </w:rPr>
              <w:tab/>
            </w:r>
            <w:r>
              <w:rPr>
                <w:rStyle w:val="IndexLink"/>
              </w:rPr>
              <w:t>297</w:t>
            </w:r>
          </w:hyperlink>
        </w:p>
        <w:p>
          <w:pPr>
            <w:pStyle w:val="Contents5"/>
            <w:tabs>
              <w:tab w:val="clear" w:pos="7892"/>
              <w:tab w:val="right" w:pos="9026" w:leader="dot"/>
            </w:tabs>
            <w:rPr/>
          </w:pPr>
          <w:hyperlink w:anchor="__RefHeading___Toc2474246_653776707">
            <w:r>
              <w:rPr>
                <w:webHidden/>
                <w:rStyle w:val="IndexLink"/>
                <w:rtl w:val="true"/>
              </w:rPr>
              <w:t>الأمر الأول</w:t>
            </w:r>
            <w:r>
              <w:rPr>
                <w:rStyle w:val="IndexLink"/>
                <w:rtl w:val="true"/>
              </w:rPr>
              <w:t xml:space="preserve">: </w:t>
            </w:r>
            <w:r>
              <w:rPr>
                <w:rStyle w:val="IndexLink"/>
                <w:rtl w:val="true"/>
              </w:rPr>
              <w:t>تحديد دور الإنطلاق</w:t>
            </w:r>
            <w:r>
              <w:rPr>
                <w:rStyle w:val="IndexLink"/>
                <w:rtl w:val="true"/>
              </w:rPr>
              <w:tab/>
            </w:r>
            <w:r>
              <w:rPr>
                <w:rStyle w:val="IndexLink"/>
              </w:rPr>
              <w:t>297</w:t>
            </w:r>
          </w:hyperlink>
        </w:p>
        <w:p>
          <w:pPr>
            <w:pStyle w:val="Contents5"/>
            <w:tabs>
              <w:tab w:val="clear" w:pos="7892"/>
              <w:tab w:val="right" w:pos="9026" w:leader="dot"/>
            </w:tabs>
            <w:rPr/>
          </w:pPr>
          <w:hyperlink w:anchor="__RefHeading___Toc2474248_653776707">
            <w:r>
              <w:rPr>
                <w:webHidden/>
                <w:rStyle w:val="IndexLink"/>
                <w:rtl w:val="true"/>
              </w:rPr>
              <w:t>الأمر الثانی</w:t>
            </w:r>
            <w:r>
              <w:rPr>
                <w:rStyle w:val="IndexLink"/>
                <w:rtl w:val="true"/>
              </w:rPr>
              <w:t xml:space="preserve">: </w:t>
            </w:r>
            <w:r>
              <w:rPr>
                <w:rStyle w:val="IndexLink"/>
                <w:rtl w:val="true"/>
              </w:rPr>
              <w:t>التعریف بدور الإنطلاق</w:t>
            </w:r>
            <w:r>
              <w:rPr>
                <w:rStyle w:val="IndexLink"/>
                <w:rtl w:val="true"/>
              </w:rPr>
              <w:tab/>
            </w:r>
            <w:r>
              <w:rPr>
                <w:rStyle w:val="IndexLink"/>
              </w:rPr>
              <w:t>297</w:t>
            </w:r>
          </w:hyperlink>
        </w:p>
        <w:p>
          <w:pPr>
            <w:pStyle w:val="Contents5"/>
            <w:tabs>
              <w:tab w:val="clear" w:pos="7892"/>
              <w:tab w:val="right" w:pos="9026" w:leader="dot"/>
            </w:tabs>
            <w:rPr/>
          </w:pPr>
          <w:hyperlink w:anchor="__RefHeading___Toc2474250_653776707">
            <w:r>
              <w:rPr>
                <w:webHidden/>
                <w:rStyle w:val="IndexLink"/>
                <w:rtl w:val="true"/>
              </w:rPr>
              <w:t>الأمر الثالث</w:t>
            </w:r>
            <w:r>
              <w:rPr>
                <w:rStyle w:val="IndexLink"/>
                <w:rtl w:val="true"/>
              </w:rPr>
              <w:t xml:space="preserve">: </w:t>
            </w:r>
            <w:r>
              <w:rPr>
                <w:rStyle w:val="IndexLink"/>
                <w:rtl w:val="true"/>
              </w:rPr>
              <w:t>فقهاء دور الإنطلاق وأهم مؤلفاتهم</w:t>
            </w:r>
            <w:r>
              <w:rPr>
                <w:rStyle w:val="IndexLink"/>
                <w:rtl w:val="true"/>
              </w:rPr>
              <w:tab/>
            </w:r>
            <w:r>
              <w:rPr>
                <w:rStyle w:val="IndexLink"/>
              </w:rPr>
              <w:t>298</w:t>
            </w:r>
          </w:hyperlink>
        </w:p>
        <w:p>
          <w:pPr>
            <w:pStyle w:val="Contents6"/>
            <w:tabs>
              <w:tab w:val="clear" w:pos="7609"/>
              <w:tab w:val="right" w:pos="9026" w:leader="dot"/>
            </w:tabs>
            <w:rPr/>
          </w:pPr>
          <w:hyperlink w:anchor="__RefHeading___Toc2474252_653776707">
            <w:r>
              <w:rPr>
                <w:webHidden/>
                <w:rStyle w:val="IndexLink"/>
                <w:rtl w:val="true"/>
              </w:rPr>
              <w:t>اشارة</w:t>
            </w:r>
            <w:r>
              <w:rPr>
                <w:rStyle w:val="IndexLink"/>
                <w:rtl w:val="true"/>
              </w:rPr>
              <w:tab/>
            </w:r>
            <w:r>
              <w:rPr>
                <w:rStyle w:val="IndexLink"/>
              </w:rPr>
              <w:t>298</w:t>
            </w:r>
          </w:hyperlink>
        </w:p>
        <w:p>
          <w:pPr>
            <w:pStyle w:val="Contents6"/>
            <w:tabs>
              <w:tab w:val="clear" w:pos="7609"/>
              <w:tab w:val="right" w:pos="9026" w:leader="dot"/>
            </w:tabs>
            <w:rPr/>
          </w:pPr>
          <w:hyperlink w:anchor="__RefHeading___Toc2474254_653776707">
            <w:r>
              <w:rPr>
                <w:webHidden/>
                <w:rStyle w:val="IndexLink"/>
                <w:rtl w:val="true"/>
              </w:rPr>
              <w:t>ألف</w:t>
            </w:r>
            <w:r>
              <w:rPr>
                <w:rStyle w:val="IndexLink"/>
                <w:rtl w:val="true"/>
              </w:rPr>
              <w:t xml:space="preserve">) </w:t>
            </w:r>
            <w:r>
              <w:rPr>
                <w:rStyle w:val="IndexLink"/>
                <w:rtl w:val="true"/>
              </w:rPr>
              <w:t>الشيخ ومعاصروه</w:t>
            </w:r>
            <w:r>
              <w:rPr>
                <w:rStyle w:val="IndexLink"/>
                <w:rtl w:val="true"/>
              </w:rPr>
              <w:t>:</w:t>
              <w:tab/>
            </w:r>
            <w:r>
              <w:rPr>
                <w:rStyle w:val="IndexLink"/>
              </w:rPr>
              <w:t>298</w:t>
            </w:r>
          </w:hyperlink>
        </w:p>
        <w:p>
          <w:pPr>
            <w:pStyle w:val="Contents6"/>
            <w:tabs>
              <w:tab w:val="clear" w:pos="7609"/>
              <w:tab w:val="right" w:pos="9026" w:leader="dot"/>
            </w:tabs>
            <w:rPr/>
          </w:pPr>
          <w:hyperlink w:anchor="__RefHeading___Toc2474256_653776707">
            <w:r>
              <w:rPr>
                <w:webHidden/>
                <w:rStyle w:val="IndexLink"/>
                <w:rtl w:val="true"/>
              </w:rPr>
              <w:t>اشارة</w:t>
            </w:r>
            <w:r>
              <w:rPr>
                <w:rStyle w:val="IndexLink"/>
                <w:rtl w:val="true"/>
              </w:rPr>
              <w:tab/>
            </w:r>
            <w:r>
              <w:rPr>
                <w:rStyle w:val="IndexLink"/>
              </w:rPr>
              <w:t>298</w:t>
            </w:r>
          </w:hyperlink>
        </w:p>
        <w:p>
          <w:pPr>
            <w:pStyle w:val="Contents6"/>
            <w:tabs>
              <w:tab w:val="clear" w:pos="7609"/>
              <w:tab w:val="right" w:pos="9026" w:leader="dot"/>
            </w:tabs>
            <w:rPr/>
          </w:pPr>
          <w:hyperlink w:anchor="__RefHeading___Toc2474258_653776707">
            <w:r>
              <w:rPr>
                <w:webHidden/>
                <w:rStyle w:val="IndexLink"/>
                <w:rtl w:val="true"/>
              </w:rPr>
              <w:t>أهم الآثار العلمية للشيخ الطوسي</w:t>
            </w:r>
            <w:r>
              <w:rPr>
                <w:rStyle w:val="IndexLink"/>
                <w:rtl w:val="true"/>
              </w:rPr>
              <w:tab/>
            </w:r>
            <w:r>
              <w:rPr>
                <w:rStyle w:val="IndexLink"/>
              </w:rPr>
              <w:t>300</w:t>
            </w:r>
          </w:hyperlink>
        </w:p>
        <w:p>
          <w:pPr>
            <w:pStyle w:val="Contents6"/>
            <w:tabs>
              <w:tab w:val="clear" w:pos="7609"/>
              <w:tab w:val="right" w:pos="9026" w:leader="dot"/>
            </w:tabs>
            <w:rPr/>
          </w:pPr>
          <w:hyperlink w:anchor="__RefHeading___Toc2474260_653776707">
            <w:r>
              <w:rPr>
                <w:webHidden/>
                <w:rStyle w:val="IndexLink"/>
                <w:rtl w:val="true"/>
              </w:rPr>
              <w:t>ب</w:t>
            </w:r>
            <w:r>
              <w:rPr>
                <w:rStyle w:val="IndexLink"/>
                <w:rtl w:val="true"/>
              </w:rPr>
              <w:t xml:space="preserve">) </w:t>
            </w:r>
            <w:r>
              <w:rPr>
                <w:rStyle w:val="IndexLink"/>
                <w:rtl w:val="true"/>
              </w:rPr>
              <w:t>فقهاء ما بعد الشيخ</w:t>
            </w:r>
            <w:r>
              <w:rPr>
                <w:rStyle w:val="IndexLink"/>
                <w:rtl w:val="true"/>
              </w:rPr>
              <w:t>:</w:t>
              <w:tab/>
            </w:r>
            <w:r>
              <w:rPr>
                <w:rStyle w:val="IndexLink"/>
              </w:rPr>
              <w:t>303</w:t>
            </w:r>
          </w:hyperlink>
        </w:p>
        <w:p>
          <w:pPr>
            <w:pStyle w:val="Contents5"/>
            <w:tabs>
              <w:tab w:val="clear" w:pos="7892"/>
              <w:tab w:val="right" w:pos="9026" w:leader="dot"/>
            </w:tabs>
            <w:rPr/>
          </w:pPr>
          <w:hyperlink w:anchor="__RefHeading___Toc2474262_653776707">
            <w:r>
              <w:rPr>
                <w:webHidden/>
                <w:rStyle w:val="IndexLink"/>
                <w:rtl w:val="true"/>
              </w:rPr>
              <w:t>الأمر الرابع</w:t>
            </w:r>
            <w:r>
              <w:rPr>
                <w:rStyle w:val="IndexLink"/>
                <w:rtl w:val="true"/>
              </w:rPr>
              <w:t xml:space="preserve">: </w:t>
            </w:r>
            <w:r>
              <w:rPr>
                <w:rStyle w:val="IndexLink"/>
                <w:rtl w:val="true"/>
              </w:rPr>
              <w:t>منهج الإجتهاد في دور الإنطلاق</w:t>
            </w:r>
            <w:r>
              <w:rPr>
                <w:rStyle w:val="IndexLink"/>
                <w:rtl w:val="true"/>
              </w:rPr>
              <w:tab/>
            </w:r>
            <w:r>
              <w:rPr>
                <w:rStyle w:val="IndexLink"/>
              </w:rPr>
              <w:t>306</w:t>
            </w:r>
          </w:hyperlink>
        </w:p>
        <w:p>
          <w:pPr>
            <w:pStyle w:val="Contents5"/>
            <w:tabs>
              <w:tab w:val="clear" w:pos="7892"/>
              <w:tab w:val="right" w:pos="9026" w:leader="dot"/>
            </w:tabs>
            <w:rPr/>
          </w:pPr>
          <w:hyperlink w:anchor="__RefHeading___Toc2474264_653776707">
            <w:r>
              <w:rPr>
                <w:webHidden/>
                <w:rStyle w:val="IndexLink"/>
                <w:rtl w:val="true"/>
              </w:rPr>
              <w:t>الأمر الخامس</w:t>
            </w:r>
            <w:r>
              <w:rPr>
                <w:rStyle w:val="IndexLink"/>
                <w:rtl w:val="true"/>
              </w:rPr>
              <w:t xml:space="preserve">: </w:t>
            </w:r>
            <w:r>
              <w:rPr>
                <w:rStyle w:val="IndexLink"/>
                <w:rtl w:val="true"/>
              </w:rPr>
              <w:t>أهم خصائص دور الإنطلاق</w:t>
            </w:r>
            <w:r>
              <w:rPr>
                <w:rStyle w:val="IndexLink"/>
                <w:rtl w:val="true"/>
              </w:rPr>
              <w:tab/>
            </w:r>
            <w:r>
              <w:rPr>
                <w:rStyle w:val="IndexLink"/>
              </w:rPr>
              <w:t>308</w:t>
            </w:r>
          </w:hyperlink>
        </w:p>
        <w:p>
          <w:pPr>
            <w:pStyle w:val="Contents4"/>
            <w:tabs>
              <w:tab w:val="clear" w:pos="8176"/>
              <w:tab w:val="right" w:pos="9026" w:leader="dot"/>
            </w:tabs>
            <w:rPr/>
          </w:pPr>
          <w:hyperlink w:anchor="__RefHeading___Toc2474266_653776707">
            <w:r>
              <w:rPr>
                <w:webHidden/>
                <w:rStyle w:val="IndexLink"/>
                <w:rtl w:val="true"/>
              </w:rPr>
              <w:t>الدور الثالث دور الاستقلال والتكامل</w:t>
            </w:r>
            <w:r>
              <w:rPr>
                <w:rStyle w:val="IndexLink"/>
                <w:rtl w:val="true"/>
              </w:rPr>
              <w:tab/>
            </w:r>
            <w:r>
              <w:rPr>
                <w:rStyle w:val="IndexLink"/>
              </w:rPr>
              <w:t>311</w:t>
            </w:r>
          </w:hyperlink>
        </w:p>
        <w:p>
          <w:pPr>
            <w:pStyle w:val="Contents5"/>
            <w:tabs>
              <w:tab w:val="clear" w:pos="7892"/>
              <w:tab w:val="right" w:pos="9026" w:leader="dot"/>
            </w:tabs>
            <w:rPr/>
          </w:pPr>
          <w:hyperlink w:anchor="__RefHeading___Toc2474268_653776707">
            <w:r>
              <w:rPr>
                <w:webHidden/>
                <w:rStyle w:val="IndexLink"/>
                <w:rtl w:val="true"/>
              </w:rPr>
              <w:t>اشارة</w:t>
            </w:r>
            <w:r>
              <w:rPr>
                <w:rStyle w:val="IndexLink"/>
                <w:rtl w:val="true"/>
              </w:rPr>
              <w:tab/>
            </w:r>
            <w:r>
              <w:rPr>
                <w:rStyle w:val="IndexLink"/>
              </w:rPr>
              <w:t>311</w:t>
            </w:r>
          </w:hyperlink>
        </w:p>
        <w:p>
          <w:pPr>
            <w:pStyle w:val="Contents5"/>
            <w:tabs>
              <w:tab w:val="clear" w:pos="7892"/>
              <w:tab w:val="right" w:pos="9026" w:leader="dot"/>
            </w:tabs>
            <w:rPr/>
          </w:pPr>
          <w:hyperlink w:anchor="__RefHeading___Toc2474270_653776707">
            <w:r>
              <w:rPr>
                <w:webHidden/>
                <w:rStyle w:val="IndexLink"/>
                <w:rtl w:val="true"/>
              </w:rPr>
              <w:t>الأمر الأول</w:t>
            </w:r>
            <w:r>
              <w:rPr>
                <w:rStyle w:val="IndexLink"/>
                <w:rtl w:val="true"/>
              </w:rPr>
              <w:t xml:space="preserve">: </w:t>
            </w:r>
            <w:r>
              <w:rPr>
                <w:rStyle w:val="IndexLink"/>
                <w:rtl w:val="true"/>
              </w:rPr>
              <w:t>تحديد دور الاستقلال والتكامل</w:t>
            </w:r>
            <w:r>
              <w:rPr>
                <w:rStyle w:val="IndexLink"/>
                <w:rtl w:val="true"/>
              </w:rPr>
              <w:tab/>
            </w:r>
            <w:r>
              <w:rPr>
                <w:rStyle w:val="IndexLink"/>
              </w:rPr>
              <w:t>311</w:t>
            </w:r>
          </w:hyperlink>
        </w:p>
        <w:p>
          <w:pPr>
            <w:pStyle w:val="Contents5"/>
            <w:tabs>
              <w:tab w:val="clear" w:pos="7892"/>
              <w:tab w:val="right" w:pos="9026" w:leader="dot"/>
            </w:tabs>
            <w:rPr/>
          </w:pPr>
          <w:hyperlink w:anchor="__RefHeading___Toc2474272_653776707">
            <w:r>
              <w:rPr>
                <w:webHidden/>
                <w:rStyle w:val="IndexLink"/>
                <w:rtl w:val="true"/>
              </w:rPr>
              <w:t>الأمر الثاني</w:t>
            </w:r>
            <w:r>
              <w:rPr>
                <w:rStyle w:val="IndexLink"/>
                <w:rtl w:val="true"/>
              </w:rPr>
              <w:t xml:space="preserve">: </w:t>
            </w:r>
            <w:r>
              <w:rPr>
                <w:rStyle w:val="IndexLink"/>
                <w:rtl w:val="true"/>
              </w:rPr>
              <w:t>التعريف بدور الاستقلال والتکامل</w:t>
            </w:r>
            <w:r>
              <w:rPr>
                <w:rStyle w:val="IndexLink"/>
                <w:rtl w:val="true"/>
              </w:rPr>
              <w:tab/>
            </w:r>
            <w:r>
              <w:rPr>
                <w:rStyle w:val="IndexLink"/>
              </w:rPr>
              <w:t>311</w:t>
            </w:r>
          </w:hyperlink>
        </w:p>
        <w:p>
          <w:pPr>
            <w:pStyle w:val="Contents5"/>
            <w:tabs>
              <w:tab w:val="clear" w:pos="7892"/>
              <w:tab w:val="right" w:pos="9026" w:leader="dot"/>
            </w:tabs>
            <w:rPr/>
          </w:pPr>
          <w:hyperlink w:anchor="__RefHeading___Toc2474274_653776707">
            <w:r>
              <w:rPr>
                <w:webHidden/>
                <w:rStyle w:val="IndexLink"/>
                <w:rtl w:val="true"/>
              </w:rPr>
              <w:t>الأمر الثالث</w:t>
            </w:r>
            <w:r>
              <w:rPr>
                <w:rStyle w:val="IndexLink"/>
                <w:rtl w:val="true"/>
              </w:rPr>
              <w:t xml:space="preserve">: </w:t>
            </w:r>
            <w:r>
              <w:rPr>
                <w:rStyle w:val="IndexLink"/>
                <w:rtl w:val="true"/>
              </w:rPr>
              <w:t>فقهاء دور الاستقلال وأهم مؤلفاتهم</w:t>
            </w:r>
            <w:r>
              <w:rPr>
                <w:rStyle w:val="IndexLink"/>
                <w:rtl w:val="true"/>
              </w:rPr>
              <w:tab/>
            </w:r>
            <w:r>
              <w:rPr>
                <w:rStyle w:val="IndexLink"/>
              </w:rPr>
              <w:t>315</w:t>
            </w:r>
          </w:hyperlink>
        </w:p>
        <w:p>
          <w:pPr>
            <w:pStyle w:val="Contents5"/>
            <w:tabs>
              <w:tab w:val="clear" w:pos="7892"/>
              <w:tab w:val="right" w:pos="9026" w:leader="dot"/>
            </w:tabs>
            <w:rPr/>
          </w:pPr>
          <w:hyperlink w:anchor="__RefHeading___Toc2474276_653776707">
            <w:r>
              <w:rPr>
                <w:webHidden/>
                <w:rStyle w:val="IndexLink"/>
                <w:rtl w:val="true"/>
              </w:rPr>
              <w:t>الأمر الرابع</w:t>
            </w:r>
            <w:r>
              <w:rPr>
                <w:rStyle w:val="IndexLink"/>
                <w:rtl w:val="true"/>
              </w:rPr>
              <w:t xml:space="preserve">: </w:t>
            </w:r>
            <w:r>
              <w:rPr>
                <w:rStyle w:val="IndexLink"/>
                <w:rtl w:val="true"/>
              </w:rPr>
              <w:t>منهج الإجتهاد في الدور الاستقلال والتکامل</w:t>
            </w:r>
            <w:r>
              <w:rPr>
                <w:rStyle w:val="IndexLink"/>
                <w:rtl w:val="true"/>
              </w:rPr>
              <w:tab/>
            </w:r>
            <w:r>
              <w:rPr>
                <w:rStyle w:val="IndexLink"/>
              </w:rPr>
              <w:t>329</w:t>
            </w:r>
          </w:hyperlink>
        </w:p>
        <w:p>
          <w:pPr>
            <w:pStyle w:val="Contents5"/>
            <w:tabs>
              <w:tab w:val="clear" w:pos="7892"/>
              <w:tab w:val="right" w:pos="9026" w:leader="dot"/>
            </w:tabs>
            <w:rPr/>
          </w:pPr>
          <w:hyperlink w:anchor="__RefHeading___Toc2474278_653776707">
            <w:r>
              <w:rPr>
                <w:webHidden/>
                <w:rStyle w:val="IndexLink"/>
                <w:rtl w:val="true"/>
              </w:rPr>
              <w:t>الأمر الخامس</w:t>
            </w:r>
            <w:r>
              <w:rPr>
                <w:rStyle w:val="IndexLink"/>
                <w:rtl w:val="true"/>
              </w:rPr>
              <w:t xml:space="preserve">: </w:t>
            </w:r>
            <w:r>
              <w:rPr>
                <w:rStyle w:val="IndexLink"/>
                <w:rtl w:val="true"/>
              </w:rPr>
              <w:t>أهم خصائص دور الاستقلال والتکامل</w:t>
            </w:r>
            <w:r>
              <w:rPr>
                <w:rStyle w:val="IndexLink"/>
                <w:rtl w:val="true"/>
              </w:rPr>
              <w:tab/>
            </w:r>
            <w:r>
              <w:rPr>
                <w:rStyle w:val="IndexLink"/>
              </w:rPr>
              <w:t>330</w:t>
            </w:r>
          </w:hyperlink>
        </w:p>
        <w:p>
          <w:pPr>
            <w:pStyle w:val="Contents4"/>
            <w:tabs>
              <w:tab w:val="clear" w:pos="8176"/>
              <w:tab w:val="right" w:pos="9026" w:leader="dot"/>
            </w:tabs>
            <w:rPr/>
          </w:pPr>
          <w:hyperlink w:anchor="__RefHeading___Toc2474280_653776707">
            <w:r>
              <w:rPr>
                <w:webHidden/>
                <w:rStyle w:val="IndexLink"/>
                <w:rtl w:val="true"/>
              </w:rPr>
              <w:t>الدور الرابع دور الإفراط في الإتجاه العقلي للاستنباط</w:t>
            </w:r>
            <w:r>
              <w:rPr>
                <w:rStyle w:val="IndexLink"/>
                <w:rtl w:val="true"/>
              </w:rPr>
              <w:tab/>
            </w:r>
            <w:r>
              <w:rPr>
                <w:rStyle w:val="IndexLink"/>
              </w:rPr>
              <w:t>335</w:t>
            </w:r>
          </w:hyperlink>
        </w:p>
        <w:p>
          <w:pPr>
            <w:pStyle w:val="Contents5"/>
            <w:tabs>
              <w:tab w:val="clear" w:pos="7892"/>
              <w:tab w:val="right" w:pos="9026" w:leader="dot"/>
            </w:tabs>
            <w:rPr/>
          </w:pPr>
          <w:hyperlink w:anchor="__RefHeading___Toc2474282_653776707">
            <w:r>
              <w:rPr>
                <w:webHidden/>
                <w:rStyle w:val="IndexLink"/>
                <w:rtl w:val="true"/>
              </w:rPr>
              <w:t>اشارة</w:t>
            </w:r>
            <w:r>
              <w:rPr>
                <w:rStyle w:val="IndexLink"/>
                <w:rtl w:val="true"/>
              </w:rPr>
              <w:tab/>
            </w:r>
            <w:r>
              <w:rPr>
                <w:rStyle w:val="IndexLink"/>
              </w:rPr>
              <w:t>335</w:t>
            </w:r>
          </w:hyperlink>
        </w:p>
        <w:p>
          <w:pPr>
            <w:pStyle w:val="Contents5"/>
            <w:tabs>
              <w:tab w:val="clear" w:pos="7892"/>
              <w:tab w:val="right" w:pos="9026" w:leader="dot"/>
            </w:tabs>
            <w:rPr/>
          </w:pPr>
          <w:hyperlink w:anchor="__RefHeading___Toc2474284_653776707">
            <w:r>
              <w:rPr>
                <w:webHidden/>
                <w:rStyle w:val="IndexLink"/>
                <w:rtl w:val="true"/>
              </w:rPr>
              <w:t>الأمر الأول</w:t>
            </w:r>
            <w:r>
              <w:rPr>
                <w:rStyle w:val="IndexLink"/>
                <w:rtl w:val="true"/>
              </w:rPr>
              <w:t xml:space="preserve">: </w:t>
            </w:r>
            <w:r>
              <w:rPr>
                <w:rStyle w:val="IndexLink"/>
                <w:rtl w:val="true"/>
              </w:rPr>
              <w:t>التحديد الزمني للدور الرابع</w:t>
            </w:r>
            <w:r>
              <w:rPr>
                <w:rStyle w:val="IndexLink"/>
                <w:rtl w:val="true"/>
              </w:rPr>
              <w:tab/>
            </w:r>
            <w:r>
              <w:rPr>
                <w:rStyle w:val="IndexLink"/>
              </w:rPr>
              <w:t>335</w:t>
            </w:r>
          </w:hyperlink>
        </w:p>
        <w:p>
          <w:pPr>
            <w:pStyle w:val="Contents5"/>
            <w:tabs>
              <w:tab w:val="clear" w:pos="7892"/>
              <w:tab w:val="right" w:pos="9026" w:leader="dot"/>
            </w:tabs>
            <w:rPr/>
          </w:pPr>
          <w:hyperlink w:anchor="__RefHeading___Toc2474286_653776707">
            <w:r>
              <w:rPr>
                <w:webHidden/>
                <w:rStyle w:val="IndexLink"/>
                <w:rtl w:val="true"/>
              </w:rPr>
              <w:t>الأمرالثاني</w:t>
            </w:r>
            <w:r>
              <w:rPr>
                <w:rStyle w:val="IndexLink"/>
                <w:rtl w:val="true"/>
              </w:rPr>
              <w:t xml:space="preserve">: </w:t>
            </w:r>
            <w:r>
              <w:rPr>
                <w:rStyle w:val="IndexLink"/>
                <w:rtl w:val="true"/>
              </w:rPr>
              <w:t>التعريف بالدور الرابع</w:t>
            </w:r>
            <w:r>
              <w:rPr>
                <w:rStyle w:val="IndexLink"/>
                <w:rtl w:val="true"/>
              </w:rPr>
              <w:tab/>
            </w:r>
            <w:r>
              <w:rPr>
                <w:rStyle w:val="IndexLink"/>
              </w:rPr>
              <w:t>335</w:t>
            </w:r>
          </w:hyperlink>
        </w:p>
        <w:p>
          <w:pPr>
            <w:pStyle w:val="Contents5"/>
            <w:tabs>
              <w:tab w:val="clear" w:pos="7892"/>
              <w:tab w:val="right" w:pos="9026" w:leader="dot"/>
            </w:tabs>
            <w:rPr/>
          </w:pPr>
          <w:hyperlink w:anchor="__RefHeading___Toc2474288_653776707">
            <w:r>
              <w:rPr>
                <w:webHidden/>
                <w:rStyle w:val="IndexLink"/>
                <w:rtl w:val="true"/>
              </w:rPr>
              <w:t>الأمر الثالث</w:t>
            </w:r>
            <w:r>
              <w:rPr>
                <w:rStyle w:val="IndexLink"/>
                <w:rtl w:val="true"/>
              </w:rPr>
              <w:t xml:space="preserve">: </w:t>
            </w:r>
            <w:r>
              <w:rPr>
                <w:rStyle w:val="IndexLink"/>
                <w:rtl w:val="true"/>
              </w:rPr>
              <w:t>أهمّ المجتهدين في الدور الرابع ومؤلفاتهم</w:t>
            </w:r>
            <w:r>
              <w:rPr>
                <w:rStyle w:val="IndexLink"/>
                <w:rtl w:val="true"/>
              </w:rPr>
              <w:tab/>
            </w:r>
            <w:r>
              <w:rPr>
                <w:rStyle w:val="IndexLink"/>
              </w:rPr>
              <w:t>336</w:t>
            </w:r>
          </w:hyperlink>
        </w:p>
        <w:p>
          <w:pPr>
            <w:pStyle w:val="Contents5"/>
            <w:tabs>
              <w:tab w:val="clear" w:pos="7892"/>
              <w:tab w:val="right" w:pos="9026" w:leader="dot"/>
            </w:tabs>
            <w:rPr/>
          </w:pPr>
          <w:hyperlink w:anchor="__RefHeading___Toc2474290_653776707">
            <w:r>
              <w:rPr>
                <w:webHidden/>
                <w:rStyle w:val="IndexLink"/>
                <w:rtl w:val="true"/>
              </w:rPr>
              <w:t>الامر الرابع</w:t>
            </w:r>
            <w:r>
              <w:rPr>
                <w:rStyle w:val="IndexLink"/>
                <w:rtl w:val="true"/>
              </w:rPr>
              <w:t xml:space="preserve">: </w:t>
            </w:r>
            <w:r>
              <w:rPr>
                <w:rStyle w:val="IndexLink"/>
                <w:rtl w:val="true"/>
              </w:rPr>
              <w:t>منهج الإجتهاد في الدور الرابع</w:t>
            </w:r>
            <w:r>
              <w:rPr>
                <w:rStyle w:val="IndexLink"/>
                <w:rtl w:val="true"/>
              </w:rPr>
              <w:tab/>
            </w:r>
            <w:r>
              <w:rPr>
                <w:rStyle w:val="IndexLink"/>
              </w:rPr>
              <w:t>339</w:t>
            </w:r>
          </w:hyperlink>
        </w:p>
        <w:p>
          <w:pPr>
            <w:pStyle w:val="Contents5"/>
            <w:tabs>
              <w:tab w:val="clear" w:pos="7892"/>
              <w:tab w:val="right" w:pos="9026" w:leader="dot"/>
            </w:tabs>
            <w:rPr/>
          </w:pPr>
          <w:hyperlink w:anchor="__RefHeading___Toc2474292_653776707">
            <w:r>
              <w:rPr>
                <w:webHidden/>
                <w:rStyle w:val="IndexLink"/>
                <w:rtl w:val="true"/>
              </w:rPr>
              <w:t>الأمر الخامس</w:t>
            </w:r>
            <w:r>
              <w:rPr>
                <w:rStyle w:val="IndexLink"/>
                <w:rtl w:val="true"/>
              </w:rPr>
              <w:t xml:space="preserve">: </w:t>
            </w:r>
            <w:r>
              <w:rPr>
                <w:rStyle w:val="IndexLink"/>
                <w:rtl w:val="true"/>
              </w:rPr>
              <w:t>أهمّ خصاص الدور الرابع</w:t>
            </w:r>
            <w:r>
              <w:rPr>
                <w:rStyle w:val="IndexLink"/>
                <w:rtl w:val="true"/>
              </w:rPr>
              <w:tab/>
            </w:r>
            <w:r>
              <w:rPr>
                <w:rStyle w:val="IndexLink"/>
              </w:rPr>
              <w:t>340</w:t>
            </w:r>
          </w:hyperlink>
        </w:p>
        <w:p>
          <w:pPr>
            <w:pStyle w:val="Contents4"/>
            <w:tabs>
              <w:tab w:val="clear" w:pos="8176"/>
              <w:tab w:val="right" w:pos="9026" w:leader="dot"/>
            </w:tabs>
            <w:rPr/>
          </w:pPr>
          <w:hyperlink w:anchor="__RefHeading___Toc2474294_653776707">
            <w:r>
              <w:rPr>
                <w:webHidden/>
                <w:rStyle w:val="IndexLink"/>
                <w:rtl w:val="true"/>
              </w:rPr>
              <w:t xml:space="preserve">الدور الخامس دور التفريط في الإتجاه العقلي للاستنباط </w:t>
            </w:r>
            <w:r>
              <w:rPr>
                <w:rStyle w:val="IndexLink"/>
                <w:rtl w:val="true"/>
              </w:rPr>
              <w:t>(</w:t>
            </w:r>
            <w:r>
              <w:rPr>
                <w:rStyle w:val="IndexLink"/>
                <w:rtl w:val="true"/>
              </w:rPr>
              <w:t>مدرسة الأخباریّة</w:t>
            </w:r>
            <w:r>
              <w:rPr>
                <w:rStyle w:val="IndexLink"/>
                <w:rtl w:val="true"/>
              </w:rPr>
              <w:t>)</w:t>
              <w:tab/>
            </w:r>
            <w:r>
              <w:rPr>
                <w:rStyle w:val="IndexLink"/>
              </w:rPr>
              <w:t>343</w:t>
            </w:r>
          </w:hyperlink>
        </w:p>
        <w:p>
          <w:pPr>
            <w:pStyle w:val="Contents5"/>
            <w:tabs>
              <w:tab w:val="clear" w:pos="7892"/>
              <w:tab w:val="right" w:pos="9026" w:leader="dot"/>
            </w:tabs>
            <w:rPr/>
          </w:pPr>
          <w:hyperlink w:anchor="__RefHeading___Toc2474296_653776707">
            <w:r>
              <w:rPr>
                <w:webHidden/>
                <w:rStyle w:val="IndexLink"/>
                <w:rtl w:val="true"/>
              </w:rPr>
              <w:t>اشارة</w:t>
            </w:r>
            <w:r>
              <w:rPr>
                <w:rStyle w:val="IndexLink"/>
                <w:rtl w:val="true"/>
              </w:rPr>
              <w:tab/>
            </w:r>
            <w:r>
              <w:rPr>
                <w:rStyle w:val="IndexLink"/>
              </w:rPr>
              <w:t>343</w:t>
            </w:r>
          </w:hyperlink>
        </w:p>
        <w:p>
          <w:pPr>
            <w:pStyle w:val="Contents5"/>
            <w:tabs>
              <w:tab w:val="clear" w:pos="7892"/>
              <w:tab w:val="right" w:pos="9026" w:leader="dot"/>
            </w:tabs>
            <w:rPr/>
          </w:pPr>
          <w:hyperlink w:anchor="__RefHeading___Toc2474298_653776707">
            <w:r>
              <w:rPr>
                <w:webHidden/>
                <w:rStyle w:val="IndexLink"/>
                <w:rtl w:val="true"/>
              </w:rPr>
              <w:t>الأمر الأول</w:t>
            </w:r>
            <w:r>
              <w:rPr>
                <w:rStyle w:val="IndexLink"/>
                <w:rtl w:val="true"/>
              </w:rPr>
              <w:t xml:space="preserve">: </w:t>
            </w:r>
            <w:r>
              <w:rPr>
                <w:rStyle w:val="IndexLink"/>
                <w:rtl w:val="true"/>
              </w:rPr>
              <w:t>التحديد الزمنى للدور الخامس</w:t>
            </w:r>
            <w:r>
              <w:rPr>
                <w:rStyle w:val="IndexLink"/>
                <w:rtl w:val="true"/>
              </w:rPr>
              <w:tab/>
            </w:r>
            <w:r>
              <w:rPr>
                <w:rStyle w:val="IndexLink"/>
              </w:rPr>
              <w:t>343</w:t>
            </w:r>
          </w:hyperlink>
        </w:p>
        <w:p>
          <w:pPr>
            <w:pStyle w:val="Contents5"/>
            <w:tabs>
              <w:tab w:val="clear" w:pos="7892"/>
              <w:tab w:val="right" w:pos="9026" w:leader="dot"/>
            </w:tabs>
            <w:rPr/>
          </w:pPr>
          <w:hyperlink w:anchor="__RefHeading___Toc2474300_653776707">
            <w:r>
              <w:rPr>
                <w:webHidden/>
                <w:rStyle w:val="IndexLink"/>
                <w:rtl w:val="true"/>
              </w:rPr>
              <w:t>الأمر الثاني</w:t>
            </w:r>
            <w:r>
              <w:rPr>
                <w:rStyle w:val="IndexLink"/>
                <w:rtl w:val="true"/>
              </w:rPr>
              <w:t xml:space="preserve">: </w:t>
            </w:r>
            <w:r>
              <w:rPr>
                <w:rStyle w:val="IndexLink"/>
                <w:rtl w:val="true"/>
              </w:rPr>
              <w:t>التعريف بالدور الخامس ووجه تسميته بدور التفريط</w:t>
            </w:r>
            <w:r>
              <w:rPr>
                <w:rStyle w:val="IndexLink"/>
                <w:rtl w:val="true"/>
              </w:rPr>
              <w:tab/>
            </w:r>
            <w:r>
              <w:rPr>
                <w:rStyle w:val="IndexLink"/>
              </w:rPr>
              <w:t>343</w:t>
            </w:r>
          </w:hyperlink>
        </w:p>
        <w:p>
          <w:pPr>
            <w:pStyle w:val="Contents5"/>
            <w:tabs>
              <w:tab w:val="clear" w:pos="7892"/>
              <w:tab w:val="right" w:pos="9026" w:leader="dot"/>
            </w:tabs>
            <w:rPr/>
          </w:pPr>
          <w:hyperlink w:anchor="__RefHeading___Toc2474302_653776707">
            <w:r>
              <w:rPr>
                <w:webHidden/>
                <w:rStyle w:val="IndexLink"/>
                <w:rtl w:val="true"/>
              </w:rPr>
              <w:t>الأمر الثالث</w:t>
            </w:r>
            <w:r>
              <w:rPr>
                <w:rStyle w:val="IndexLink"/>
                <w:rtl w:val="true"/>
              </w:rPr>
              <w:t xml:space="preserve">: </w:t>
            </w:r>
            <w:r>
              <w:rPr>
                <w:rStyle w:val="IndexLink"/>
                <w:rtl w:val="true"/>
              </w:rPr>
              <w:t>أهمّ الشخصيّات البارزة في الدور الخامس</w:t>
            </w:r>
            <w:r>
              <w:rPr>
                <w:rStyle w:val="IndexLink"/>
                <w:rtl w:val="true"/>
              </w:rPr>
              <w:tab/>
            </w:r>
            <w:r>
              <w:rPr>
                <w:rStyle w:val="IndexLink"/>
              </w:rPr>
              <w:t>344</w:t>
            </w:r>
          </w:hyperlink>
        </w:p>
        <w:p>
          <w:pPr>
            <w:pStyle w:val="Contents5"/>
            <w:tabs>
              <w:tab w:val="clear" w:pos="7892"/>
              <w:tab w:val="right" w:pos="9026" w:leader="dot"/>
            </w:tabs>
            <w:rPr/>
          </w:pPr>
          <w:hyperlink w:anchor="__RefHeading___Toc2474304_653776707">
            <w:r>
              <w:rPr>
                <w:webHidden/>
                <w:rStyle w:val="IndexLink"/>
                <w:rtl w:val="true"/>
              </w:rPr>
              <w:t>الأمر الرابع</w:t>
            </w:r>
            <w:r>
              <w:rPr>
                <w:rStyle w:val="IndexLink"/>
                <w:rtl w:val="true"/>
              </w:rPr>
              <w:t xml:space="preserve">: </w:t>
            </w:r>
            <w:r>
              <w:rPr>
                <w:rStyle w:val="IndexLink"/>
                <w:rtl w:val="true"/>
              </w:rPr>
              <w:t>منهج الإجتهاد في الدور الخامس</w:t>
            </w:r>
            <w:r>
              <w:rPr>
                <w:rStyle w:val="IndexLink"/>
                <w:rtl w:val="true"/>
              </w:rPr>
              <w:tab/>
            </w:r>
            <w:r>
              <w:rPr>
                <w:rStyle w:val="IndexLink"/>
              </w:rPr>
              <w:t>349</w:t>
            </w:r>
          </w:hyperlink>
        </w:p>
        <w:p>
          <w:pPr>
            <w:pStyle w:val="Contents6"/>
            <w:tabs>
              <w:tab w:val="clear" w:pos="7609"/>
              <w:tab w:val="right" w:pos="9026" w:leader="dot"/>
            </w:tabs>
            <w:rPr/>
          </w:pPr>
          <w:hyperlink w:anchor="__RefHeading___Toc2474306_653776707">
            <w:r>
              <w:rPr>
                <w:webHidden/>
                <w:rStyle w:val="IndexLink"/>
                <w:rtl w:val="true"/>
              </w:rPr>
              <w:t>اشارة</w:t>
            </w:r>
            <w:r>
              <w:rPr>
                <w:rStyle w:val="IndexLink"/>
                <w:rtl w:val="true"/>
              </w:rPr>
              <w:tab/>
            </w:r>
            <w:r>
              <w:rPr>
                <w:rStyle w:val="IndexLink"/>
              </w:rPr>
              <w:t>349</w:t>
            </w:r>
          </w:hyperlink>
        </w:p>
        <w:p>
          <w:pPr>
            <w:pStyle w:val="Contents6"/>
            <w:tabs>
              <w:tab w:val="clear" w:pos="7609"/>
              <w:tab w:val="right" w:pos="9026" w:leader="dot"/>
            </w:tabs>
            <w:rPr/>
          </w:pPr>
          <w:hyperlink w:anchor="__RefHeading___Toc2474308_653776707">
            <w:r>
              <w:rPr>
                <w:webHidden/>
                <w:rStyle w:val="IndexLink"/>
                <w:rtl w:val="true"/>
              </w:rPr>
              <w:t>الفرق بين الاخبارية القديمة والحديثة</w:t>
            </w:r>
            <w:r>
              <w:rPr>
                <w:rStyle w:val="IndexLink"/>
                <w:rtl w:val="true"/>
              </w:rPr>
              <w:tab/>
            </w:r>
            <w:r>
              <w:rPr>
                <w:rStyle w:val="IndexLink"/>
              </w:rPr>
              <w:t>351</w:t>
            </w:r>
          </w:hyperlink>
        </w:p>
        <w:p>
          <w:pPr>
            <w:pStyle w:val="Contents6"/>
            <w:tabs>
              <w:tab w:val="clear" w:pos="7609"/>
              <w:tab w:val="right" w:pos="9026" w:leader="dot"/>
            </w:tabs>
            <w:rPr/>
          </w:pPr>
          <w:hyperlink w:anchor="__RefHeading___Toc2474310_653776707">
            <w:r>
              <w:rPr>
                <w:webHidden/>
                <w:rStyle w:val="IndexLink"/>
                <w:rtl w:val="true"/>
              </w:rPr>
              <w:t>أسباب ظهور الحركة الاخبارية</w:t>
            </w:r>
            <w:r>
              <w:rPr>
                <w:rStyle w:val="IndexLink"/>
                <w:rtl w:val="true"/>
              </w:rPr>
              <w:tab/>
            </w:r>
            <w:r>
              <w:rPr>
                <w:rStyle w:val="IndexLink"/>
              </w:rPr>
              <w:t>353</w:t>
            </w:r>
          </w:hyperlink>
        </w:p>
        <w:p>
          <w:pPr>
            <w:pStyle w:val="Contents6"/>
            <w:tabs>
              <w:tab w:val="clear" w:pos="7609"/>
              <w:tab w:val="right" w:pos="9026" w:leader="dot"/>
            </w:tabs>
            <w:rPr/>
          </w:pPr>
          <w:hyperlink w:anchor="__RefHeading___Toc2474312_653776707">
            <w:r>
              <w:rPr>
                <w:webHidden/>
                <w:rStyle w:val="IndexLink"/>
                <w:rtl w:val="true"/>
              </w:rPr>
              <w:t>عالِم الدين ومكانته السياسية عند الأخباري والأصولي</w:t>
            </w:r>
            <w:r>
              <w:rPr>
                <w:rStyle w:val="IndexLink"/>
                <w:rtl w:val="true"/>
              </w:rPr>
              <w:tab/>
            </w:r>
            <w:r>
              <w:rPr>
                <w:rStyle w:val="IndexLink"/>
              </w:rPr>
              <w:t>355</w:t>
            </w:r>
          </w:hyperlink>
        </w:p>
        <w:p>
          <w:pPr>
            <w:pStyle w:val="Contents5"/>
            <w:tabs>
              <w:tab w:val="clear" w:pos="7892"/>
              <w:tab w:val="right" w:pos="9026" w:leader="dot"/>
            </w:tabs>
            <w:rPr/>
          </w:pPr>
          <w:hyperlink w:anchor="__RefHeading___Toc2474314_653776707">
            <w:r>
              <w:rPr>
                <w:webHidden/>
                <w:rStyle w:val="IndexLink"/>
                <w:rtl w:val="true"/>
              </w:rPr>
              <w:t>الأمر الخامس</w:t>
            </w:r>
            <w:r>
              <w:rPr>
                <w:rStyle w:val="IndexLink"/>
                <w:rtl w:val="true"/>
              </w:rPr>
              <w:t xml:space="preserve">: </w:t>
            </w:r>
            <w:r>
              <w:rPr>
                <w:rStyle w:val="IndexLink"/>
                <w:rtl w:val="true"/>
              </w:rPr>
              <w:t>أهم خصائص الدور الخامس</w:t>
            </w:r>
            <w:r>
              <w:rPr>
                <w:rStyle w:val="IndexLink"/>
                <w:rtl w:val="true"/>
              </w:rPr>
              <w:tab/>
            </w:r>
            <w:r>
              <w:rPr>
                <w:rStyle w:val="IndexLink"/>
              </w:rPr>
              <w:t>357</w:t>
            </w:r>
          </w:hyperlink>
        </w:p>
        <w:p>
          <w:pPr>
            <w:pStyle w:val="Contents4"/>
            <w:tabs>
              <w:tab w:val="clear" w:pos="8176"/>
              <w:tab w:val="right" w:pos="9026" w:leader="dot"/>
            </w:tabs>
            <w:rPr/>
          </w:pPr>
          <w:hyperlink w:anchor="__RefHeading___Toc2474316_653776707">
            <w:r>
              <w:rPr>
                <w:webHidden/>
                <w:rStyle w:val="IndexLink"/>
                <w:rtl w:val="true"/>
              </w:rPr>
              <w:t>الدور السادس دور التصحيح والإعتدال</w:t>
            </w:r>
            <w:r>
              <w:rPr>
                <w:rStyle w:val="IndexLink"/>
                <w:rtl w:val="true"/>
              </w:rPr>
              <w:tab/>
            </w:r>
            <w:r>
              <w:rPr>
                <w:rStyle w:val="IndexLink"/>
              </w:rPr>
              <w:t>361</w:t>
            </w:r>
          </w:hyperlink>
        </w:p>
        <w:p>
          <w:pPr>
            <w:pStyle w:val="Contents5"/>
            <w:tabs>
              <w:tab w:val="clear" w:pos="7892"/>
              <w:tab w:val="right" w:pos="9026" w:leader="dot"/>
            </w:tabs>
            <w:rPr/>
          </w:pPr>
          <w:hyperlink w:anchor="__RefHeading___Toc2474318_653776707">
            <w:r>
              <w:rPr>
                <w:webHidden/>
                <w:rStyle w:val="IndexLink"/>
                <w:rtl w:val="true"/>
              </w:rPr>
              <w:t>اشارة</w:t>
            </w:r>
            <w:r>
              <w:rPr>
                <w:rStyle w:val="IndexLink"/>
                <w:rtl w:val="true"/>
              </w:rPr>
              <w:tab/>
            </w:r>
            <w:r>
              <w:rPr>
                <w:rStyle w:val="IndexLink"/>
              </w:rPr>
              <w:t>361</w:t>
            </w:r>
          </w:hyperlink>
        </w:p>
        <w:p>
          <w:pPr>
            <w:pStyle w:val="Contents5"/>
            <w:tabs>
              <w:tab w:val="clear" w:pos="7892"/>
              <w:tab w:val="right" w:pos="9026" w:leader="dot"/>
            </w:tabs>
            <w:rPr/>
          </w:pPr>
          <w:hyperlink w:anchor="__RefHeading___Toc2474320_653776707">
            <w:r>
              <w:rPr>
                <w:webHidden/>
                <w:rStyle w:val="IndexLink"/>
                <w:rtl w:val="true"/>
              </w:rPr>
              <w:t>الأمر الأول</w:t>
            </w:r>
            <w:r>
              <w:rPr>
                <w:rStyle w:val="IndexLink"/>
                <w:rtl w:val="true"/>
              </w:rPr>
              <w:t xml:space="preserve">: </w:t>
            </w:r>
            <w:r>
              <w:rPr>
                <w:rStyle w:val="IndexLink"/>
                <w:rtl w:val="true"/>
              </w:rPr>
              <w:t>التحديد الزمنى للدور السادس</w:t>
            </w:r>
            <w:r>
              <w:rPr>
                <w:rStyle w:val="IndexLink"/>
                <w:rtl w:val="true"/>
              </w:rPr>
              <w:tab/>
            </w:r>
            <w:r>
              <w:rPr>
                <w:rStyle w:val="IndexLink"/>
              </w:rPr>
              <w:t>361</w:t>
            </w:r>
          </w:hyperlink>
        </w:p>
        <w:p>
          <w:pPr>
            <w:pStyle w:val="Contents5"/>
            <w:tabs>
              <w:tab w:val="clear" w:pos="7892"/>
              <w:tab w:val="right" w:pos="9026" w:leader="dot"/>
            </w:tabs>
            <w:rPr/>
          </w:pPr>
          <w:hyperlink w:anchor="__RefHeading___Toc2474322_653776707">
            <w:r>
              <w:rPr>
                <w:webHidden/>
                <w:rStyle w:val="IndexLink"/>
                <w:rtl w:val="true"/>
              </w:rPr>
              <w:t>الأمر الثاني</w:t>
            </w:r>
            <w:r>
              <w:rPr>
                <w:rStyle w:val="IndexLink"/>
                <w:rtl w:val="true"/>
              </w:rPr>
              <w:t xml:space="preserve">: </w:t>
            </w:r>
            <w:r>
              <w:rPr>
                <w:rStyle w:val="IndexLink"/>
                <w:rtl w:val="true"/>
              </w:rPr>
              <w:t>التعريف بالدور السادس</w:t>
            </w:r>
            <w:r>
              <w:rPr>
                <w:rStyle w:val="IndexLink"/>
                <w:rtl w:val="true"/>
              </w:rPr>
              <w:tab/>
            </w:r>
            <w:r>
              <w:rPr>
                <w:rStyle w:val="IndexLink"/>
              </w:rPr>
              <w:t>361</w:t>
            </w:r>
          </w:hyperlink>
        </w:p>
        <w:p>
          <w:pPr>
            <w:pStyle w:val="Contents5"/>
            <w:tabs>
              <w:tab w:val="clear" w:pos="7892"/>
              <w:tab w:val="right" w:pos="9026" w:leader="dot"/>
            </w:tabs>
            <w:rPr/>
          </w:pPr>
          <w:hyperlink w:anchor="__RefHeading___Toc2474324_653776707">
            <w:r>
              <w:rPr>
                <w:webHidden/>
                <w:rStyle w:val="IndexLink"/>
                <w:rtl w:val="true"/>
              </w:rPr>
              <w:t>الأمر الثالث</w:t>
            </w:r>
            <w:r>
              <w:rPr>
                <w:rStyle w:val="IndexLink"/>
                <w:rtl w:val="true"/>
              </w:rPr>
              <w:t xml:space="preserve">: </w:t>
            </w:r>
            <w:r>
              <w:rPr>
                <w:rStyle w:val="IndexLink"/>
                <w:rtl w:val="true"/>
              </w:rPr>
              <w:t>فقهاء دور الإعتدال وأهم مؤلفاتهم</w:t>
            </w:r>
            <w:r>
              <w:rPr>
                <w:rStyle w:val="IndexLink"/>
                <w:rtl w:val="true"/>
              </w:rPr>
              <w:tab/>
            </w:r>
            <w:r>
              <w:rPr>
                <w:rStyle w:val="IndexLink"/>
              </w:rPr>
              <w:t>362</w:t>
            </w:r>
          </w:hyperlink>
        </w:p>
        <w:p>
          <w:pPr>
            <w:pStyle w:val="Contents5"/>
            <w:tabs>
              <w:tab w:val="clear" w:pos="7892"/>
              <w:tab w:val="right" w:pos="9026" w:leader="dot"/>
            </w:tabs>
            <w:rPr/>
          </w:pPr>
          <w:hyperlink w:anchor="__RefHeading___Toc2474326_653776707">
            <w:r>
              <w:rPr>
                <w:webHidden/>
                <w:rStyle w:val="IndexLink"/>
                <w:rtl w:val="true"/>
              </w:rPr>
              <w:t>الأمر الرابع</w:t>
            </w:r>
            <w:r>
              <w:rPr>
                <w:rStyle w:val="IndexLink"/>
                <w:rtl w:val="true"/>
              </w:rPr>
              <w:t xml:space="preserve">: </w:t>
            </w:r>
            <w:r>
              <w:rPr>
                <w:rStyle w:val="IndexLink"/>
                <w:rtl w:val="true"/>
              </w:rPr>
              <w:t>منهج الإجتهاد في الدور السادس</w:t>
            </w:r>
            <w:r>
              <w:rPr>
                <w:rStyle w:val="IndexLink"/>
                <w:rtl w:val="true"/>
              </w:rPr>
              <w:tab/>
            </w:r>
            <w:r>
              <w:rPr>
                <w:rStyle w:val="IndexLink"/>
              </w:rPr>
              <w:t>368</w:t>
            </w:r>
          </w:hyperlink>
        </w:p>
        <w:p>
          <w:pPr>
            <w:pStyle w:val="Contents5"/>
            <w:tabs>
              <w:tab w:val="clear" w:pos="7892"/>
              <w:tab w:val="right" w:pos="9026" w:leader="dot"/>
            </w:tabs>
            <w:rPr/>
          </w:pPr>
          <w:hyperlink w:anchor="__RefHeading___Toc2474328_653776707">
            <w:r>
              <w:rPr>
                <w:webHidden/>
                <w:rStyle w:val="IndexLink"/>
                <w:rtl w:val="true"/>
              </w:rPr>
              <w:t>الأمر الخامس</w:t>
            </w:r>
            <w:r>
              <w:rPr>
                <w:rStyle w:val="IndexLink"/>
                <w:rtl w:val="true"/>
              </w:rPr>
              <w:t xml:space="preserve">: </w:t>
            </w:r>
            <w:r>
              <w:rPr>
                <w:rStyle w:val="IndexLink"/>
                <w:rtl w:val="true"/>
              </w:rPr>
              <w:t>أهمّ خصائص الدور السادس</w:t>
            </w:r>
            <w:r>
              <w:rPr>
                <w:rStyle w:val="IndexLink"/>
                <w:rtl w:val="true"/>
              </w:rPr>
              <w:tab/>
            </w:r>
            <w:r>
              <w:rPr>
                <w:rStyle w:val="IndexLink"/>
              </w:rPr>
              <w:t>369</w:t>
            </w:r>
          </w:hyperlink>
        </w:p>
        <w:p>
          <w:pPr>
            <w:pStyle w:val="Contents4"/>
            <w:tabs>
              <w:tab w:val="clear" w:pos="8176"/>
              <w:tab w:val="right" w:pos="9026" w:leader="dot"/>
            </w:tabs>
            <w:rPr/>
          </w:pPr>
          <w:hyperlink w:anchor="__RefHeading___Toc2474330_653776707">
            <w:r>
              <w:rPr>
                <w:webHidden/>
                <w:rStyle w:val="IndexLink"/>
                <w:rtl w:val="true"/>
              </w:rPr>
              <w:t>الدور السابع دور النضج الفكر الإجتهادي و إبداعه</w:t>
            </w:r>
            <w:r>
              <w:rPr>
                <w:rStyle w:val="IndexLink"/>
                <w:rtl w:val="true"/>
              </w:rPr>
              <w:tab/>
            </w:r>
            <w:r>
              <w:rPr>
                <w:rStyle w:val="IndexLink"/>
              </w:rPr>
              <w:t>371</w:t>
            </w:r>
          </w:hyperlink>
        </w:p>
        <w:p>
          <w:pPr>
            <w:pStyle w:val="Contents5"/>
            <w:tabs>
              <w:tab w:val="clear" w:pos="7892"/>
              <w:tab w:val="right" w:pos="9026" w:leader="dot"/>
            </w:tabs>
            <w:rPr/>
          </w:pPr>
          <w:hyperlink w:anchor="__RefHeading___Toc2474332_653776707">
            <w:r>
              <w:rPr>
                <w:webHidden/>
                <w:rStyle w:val="IndexLink"/>
                <w:rtl w:val="true"/>
              </w:rPr>
              <w:t>اشارة</w:t>
            </w:r>
            <w:r>
              <w:rPr>
                <w:rStyle w:val="IndexLink"/>
                <w:rtl w:val="true"/>
              </w:rPr>
              <w:tab/>
            </w:r>
            <w:r>
              <w:rPr>
                <w:rStyle w:val="IndexLink"/>
              </w:rPr>
              <w:t>371</w:t>
            </w:r>
          </w:hyperlink>
        </w:p>
        <w:p>
          <w:pPr>
            <w:pStyle w:val="Contents5"/>
            <w:tabs>
              <w:tab w:val="clear" w:pos="7892"/>
              <w:tab w:val="right" w:pos="9026" w:leader="dot"/>
            </w:tabs>
            <w:rPr/>
          </w:pPr>
          <w:hyperlink w:anchor="__RefHeading___Toc2474334_653776707">
            <w:r>
              <w:rPr>
                <w:webHidden/>
                <w:rStyle w:val="IndexLink"/>
                <w:rtl w:val="true"/>
              </w:rPr>
              <w:t>الأمر الأول</w:t>
            </w:r>
            <w:r>
              <w:rPr>
                <w:rStyle w:val="IndexLink"/>
                <w:rtl w:val="true"/>
              </w:rPr>
              <w:t xml:space="preserve">: </w:t>
            </w:r>
            <w:r>
              <w:rPr>
                <w:rStyle w:val="IndexLink"/>
                <w:rtl w:val="true"/>
              </w:rPr>
              <w:t>التحديد الزمني للدور السابع</w:t>
            </w:r>
            <w:r>
              <w:rPr>
                <w:rStyle w:val="IndexLink"/>
                <w:rtl w:val="true"/>
              </w:rPr>
              <w:tab/>
            </w:r>
            <w:r>
              <w:rPr>
                <w:rStyle w:val="IndexLink"/>
              </w:rPr>
              <w:t>371</w:t>
            </w:r>
          </w:hyperlink>
        </w:p>
        <w:p>
          <w:pPr>
            <w:pStyle w:val="Contents5"/>
            <w:tabs>
              <w:tab w:val="clear" w:pos="7892"/>
              <w:tab w:val="right" w:pos="9026" w:leader="dot"/>
            </w:tabs>
            <w:rPr/>
          </w:pPr>
          <w:hyperlink w:anchor="__RefHeading___Toc2474336_653776707">
            <w:r>
              <w:rPr>
                <w:webHidden/>
                <w:rStyle w:val="IndexLink"/>
                <w:rtl w:val="true"/>
              </w:rPr>
              <w:t>الأمر الثاني</w:t>
            </w:r>
            <w:r>
              <w:rPr>
                <w:rStyle w:val="IndexLink"/>
                <w:rtl w:val="true"/>
              </w:rPr>
              <w:t xml:space="preserve">: </w:t>
            </w:r>
            <w:r>
              <w:rPr>
                <w:rStyle w:val="IndexLink"/>
                <w:rtl w:val="true"/>
              </w:rPr>
              <w:t>التعريف بالدور السابع</w:t>
            </w:r>
            <w:r>
              <w:rPr>
                <w:rStyle w:val="IndexLink"/>
                <w:rtl w:val="true"/>
              </w:rPr>
              <w:tab/>
            </w:r>
            <w:r>
              <w:rPr>
                <w:rStyle w:val="IndexLink"/>
              </w:rPr>
              <w:t>371</w:t>
            </w:r>
          </w:hyperlink>
        </w:p>
        <w:p>
          <w:pPr>
            <w:pStyle w:val="Contents5"/>
            <w:tabs>
              <w:tab w:val="clear" w:pos="7892"/>
              <w:tab w:val="right" w:pos="9026" w:leader="dot"/>
            </w:tabs>
            <w:rPr/>
          </w:pPr>
          <w:hyperlink w:anchor="__RefHeading___Toc2474338_653776707">
            <w:r>
              <w:rPr>
                <w:webHidden/>
                <w:rStyle w:val="IndexLink"/>
                <w:rtl w:val="true"/>
              </w:rPr>
              <w:t>الأمر الثالث</w:t>
            </w:r>
            <w:r>
              <w:rPr>
                <w:rStyle w:val="IndexLink"/>
                <w:rtl w:val="true"/>
              </w:rPr>
              <w:t xml:space="preserve">: </w:t>
            </w:r>
            <w:r>
              <w:rPr>
                <w:rStyle w:val="IndexLink"/>
                <w:rtl w:val="true"/>
              </w:rPr>
              <w:t>فقهاء دور النضج والإبداع وأهم مؤلفاتهم</w:t>
            </w:r>
            <w:r>
              <w:rPr>
                <w:rStyle w:val="IndexLink"/>
                <w:rtl w:val="true"/>
              </w:rPr>
              <w:tab/>
            </w:r>
            <w:r>
              <w:rPr>
                <w:rStyle w:val="IndexLink"/>
              </w:rPr>
              <w:t>372</w:t>
            </w:r>
          </w:hyperlink>
        </w:p>
        <w:p>
          <w:pPr>
            <w:pStyle w:val="Contents5"/>
            <w:tabs>
              <w:tab w:val="clear" w:pos="7892"/>
              <w:tab w:val="right" w:pos="9026" w:leader="dot"/>
            </w:tabs>
            <w:rPr/>
          </w:pPr>
          <w:hyperlink w:anchor="__RefHeading___Toc2474340_653776707">
            <w:r>
              <w:rPr>
                <w:webHidden/>
                <w:rStyle w:val="IndexLink"/>
                <w:rtl w:val="true"/>
              </w:rPr>
              <w:t>الأمر الرابع</w:t>
            </w:r>
            <w:r>
              <w:rPr>
                <w:rStyle w:val="IndexLink"/>
                <w:rtl w:val="true"/>
              </w:rPr>
              <w:t xml:space="preserve">: </w:t>
            </w:r>
            <w:r>
              <w:rPr>
                <w:rStyle w:val="IndexLink"/>
                <w:rtl w:val="true"/>
              </w:rPr>
              <w:t>منهج الإجتهاد في الدور السابع</w:t>
            </w:r>
            <w:r>
              <w:rPr>
                <w:rStyle w:val="IndexLink"/>
                <w:rtl w:val="true"/>
              </w:rPr>
              <w:tab/>
            </w:r>
            <w:r>
              <w:rPr>
                <w:rStyle w:val="IndexLink"/>
              </w:rPr>
              <w:t>376</w:t>
            </w:r>
          </w:hyperlink>
        </w:p>
        <w:p>
          <w:pPr>
            <w:pStyle w:val="Contents5"/>
            <w:tabs>
              <w:tab w:val="clear" w:pos="7892"/>
              <w:tab w:val="right" w:pos="9026" w:leader="dot"/>
            </w:tabs>
            <w:rPr/>
          </w:pPr>
          <w:hyperlink w:anchor="__RefHeading___Toc2474342_653776707">
            <w:r>
              <w:rPr>
                <w:webHidden/>
                <w:rStyle w:val="IndexLink"/>
                <w:rtl w:val="true"/>
              </w:rPr>
              <w:t>الأمر الخامس</w:t>
            </w:r>
            <w:r>
              <w:rPr>
                <w:rStyle w:val="IndexLink"/>
                <w:rtl w:val="true"/>
              </w:rPr>
              <w:t xml:space="preserve">: </w:t>
            </w:r>
            <w:r>
              <w:rPr>
                <w:rStyle w:val="IndexLink"/>
                <w:rtl w:val="true"/>
              </w:rPr>
              <w:t>أهم خصائص الدور السابع ومميزاتها</w:t>
            </w:r>
            <w:r>
              <w:rPr>
                <w:rStyle w:val="IndexLink"/>
                <w:rtl w:val="true"/>
              </w:rPr>
              <w:tab/>
            </w:r>
            <w:r>
              <w:rPr>
                <w:rStyle w:val="IndexLink"/>
              </w:rPr>
              <w:t>379</w:t>
            </w:r>
          </w:hyperlink>
        </w:p>
        <w:p>
          <w:pPr>
            <w:pStyle w:val="Contents4"/>
            <w:tabs>
              <w:tab w:val="clear" w:pos="8176"/>
              <w:tab w:val="right" w:pos="9026" w:leader="dot"/>
            </w:tabs>
            <w:rPr/>
          </w:pPr>
          <w:hyperlink w:anchor="__RefHeading___Toc2474344_653776707">
            <w:r>
              <w:rPr>
                <w:webHidden/>
                <w:rStyle w:val="IndexLink"/>
                <w:rtl w:val="true"/>
              </w:rPr>
              <w:t>الدور الثامن دور تأسيس الدولة وفقاً لنظرية الحكم في الإسلام</w:t>
            </w:r>
            <w:r>
              <w:rPr>
                <w:rStyle w:val="IndexLink"/>
                <w:rtl w:val="true"/>
              </w:rPr>
              <w:tab/>
            </w:r>
            <w:r>
              <w:rPr>
                <w:rStyle w:val="IndexLink"/>
              </w:rPr>
              <w:t>383</w:t>
            </w:r>
          </w:hyperlink>
        </w:p>
        <w:p>
          <w:pPr>
            <w:pStyle w:val="Contents5"/>
            <w:tabs>
              <w:tab w:val="clear" w:pos="7892"/>
              <w:tab w:val="right" w:pos="9026" w:leader="dot"/>
            </w:tabs>
            <w:rPr/>
          </w:pPr>
          <w:hyperlink w:anchor="__RefHeading___Toc2474346_653776707">
            <w:r>
              <w:rPr>
                <w:webHidden/>
                <w:rStyle w:val="IndexLink"/>
                <w:rtl w:val="true"/>
              </w:rPr>
              <w:t>اشارة</w:t>
            </w:r>
            <w:r>
              <w:rPr>
                <w:rStyle w:val="IndexLink"/>
                <w:rtl w:val="true"/>
              </w:rPr>
              <w:tab/>
            </w:r>
            <w:r>
              <w:rPr>
                <w:rStyle w:val="IndexLink"/>
              </w:rPr>
              <w:t>383</w:t>
            </w:r>
          </w:hyperlink>
        </w:p>
        <w:p>
          <w:pPr>
            <w:pStyle w:val="Contents5"/>
            <w:tabs>
              <w:tab w:val="clear" w:pos="7892"/>
              <w:tab w:val="right" w:pos="9026" w:leader="dot"/>
            </w:tabs>
            <w:rPr/>
          </w:pPr>
          <w:hyperlink w:anchor="__RefHeading___Toc2474348_653776707">
            <w:r>
              <w:rPr>
                <w:webHidden/>
                <w:rStyle w:val="IndexLink"/>
                <w:rtl w:val="true"/>
              </w:rPr>
              <w:t>الأمر الأول</w:t>
            </w:r>
            <w:r>
              <w:rPr>
                <w:rStyle w:val="IndexLink"/>
                <w:rtl w:val="true"/>
              </w:rPr>
              <w:t xml:space="preserve">: </w:t>
            </w:r>
            <w:r>
              <w:rPr>
                <w:rStyle w:val="IndexLink"/>
                <w:rtl w:val="true"/>
              </w:rPr>
              <w:t>التحديد الزمني للدور الثامن</w:t>
            </w:r>
            <w:r>
              <w:rPr>
                <w:rStyle w:val="IndexLink"/>
                <w:rtl w:val="true"/>
              </w:rPr>
              <w:tab/>
            </w:r>
            <w:r>
              <w:rPr>
                <w:rStyle w:val="IndexLink"/>
              </w:rPr>
              <w:t>383</w:t>
            </w:r>
          </w:hyperlink>
        </w:p>
        <w:p>
          <w:pPr>
            <w:pStyle w:val="Contents5"/>
            <w:tabs>
              <w:tab w:val="clear" w:pos="7892"/>
              <w:tab w:val="right" w:pos="9026" w:leader="dot"/>
            </w:tabs>
            <w:rPr/>
          </w:pPr>
          <w:hyperlink w:anchor="__RefHeading___Toc2474350_653776707">
            <w:r>
              <w:rPr>
                <w:webHidden/>
                <w:rStyle w:val="IndexLink"/>
                <w:rtl w:val="true"/>
              </w:rPr>
              <w:t>الأمر الثاني</w:t>
            </w:r>
            <w:r>
              <w:rPr>
                <w:rStyle w:val="IndexLink"/>
                <w:rtl w:val="true"/>
              </w:rPr>
              <w:t xml:space="preserve">: </w:t>
            </w:r>
            <w:r>
              <w:rPr>
                <w:rStyle w:val="IndexLink"/>
                <w:rtl w:val="true"/>
              </w:rPr>
              <w:t>التعريف بالدور الثامن</w:t>
            </w:r>
            <w:r>
              <w:rPr>
                <w:rStyle w:val="IndexLink"/>
                <w:rtl w:val="true"/>
              </w:rPr>
              <w:tab/>
            </w:r>
            <w:r>
              <w:rPr>
                <w:rStyle w:val="IndexLink"/>
              </w:rPr>
              <w:t>383</w:t>
            </w:r>
          </w:hyperlink>
        </w:p>
        <w:p>
          <w:pPr>
            <w:pStyle w:val="Contents5"/>
            <w:tabs>
              <w:tab w:val="clear" w:pos="7892"/>
              <w:tab w:val="right" w:pos="9026" w:leader="dot"/>
            </w:tabs>
            <w:rPr/>
          </w:pPr>
          <w:hyperlink w:anchor="__RefHeading___Toc2474352_653776707">
            <w:r>
              <w:rPr>
                <w:webHidden/>
                <w:rStyle w:val="IndexLink"/>
                <w:rtl w:val="true"/>
              </w:rPr>
              <w:t>الأمر الثالث</w:t>
            </w:r>
            <w:r>
              <w:rPr>
                <w:rStyle w:val="IndexLink"/>
                <w:rtl w:val="true"/>
              </w:rPr>
              <w:t xml:space="preserve">: </w:t>
            </w:r>
            <w:r>
              <w:rPr>
                <w:rStyle w:val="IndexLink"/>
                <w:rtl w:val="true"/>
              </w:rPr>
              <w:t>أهم فقها دور الثامن</w:t>
            </w:r>
            <w:r>
              <w:rPr>
                <w:rStyle w:val="IndexLink"/>
                <w:rtl w:val="true"/>
              </w:rPr>
              <w:tab/>
            </w:r>
            <w:r>
              <w:rPr>
                <w:rStyle w:val="IndexLink"/>
              </w:rPr>
              <w:t>384</w:t>
            </w:r>
          </w:hyperlink>
        </w:p>
        <w:p>
          <w:pPr>
            <w:pStyle w:val="Contents5"/>
            <w:tabs>
              <w:tab w:val="clear" w:pos="7892"/>
              <w:tab w:val="right" w:pos="9026" w:leader="dot"/>
            </w:tabs>
            <w:rPr/>
          </w:pPr>
          <w:hyperlink w:anchor="__RefHeading___Toc2474354_653776707">
            <w:r>
              <w:rPr>
                <w:webHidden/>
                <w:rStyle w:val="IndexLink"/>
                <w:rtl w:val="true"/>
              </w:rPr>
              <w:t>الأمر الرابع</w:t>
            </w:r>
            <w:r>
              <w:rPr>
                <w:rStyle w:val="IndexLink"/>
                <w:rtl w:val="true"/>
              </w:rPr>
              <w:t xml:space="preserve">: </w:t>
            </w:r>
            <w:r>
              <w:rPr>
                <w:rStyle w:val="IndexLink"/>
                <w:rtl w:val="true"/>
              </w:rPr>
              <w:t>منهج الإجتهاد في الدور الثامن</w:t>
            </w:r>
            <w:r>
              <w:rPr>
                <w:rStyle w:val="IndexLink"/>
                <w:rtl w:val="true"/>
              </w:rPr>
              <w:tab/>
            </w:r>
            <w:r>
              <w:rPr>
                <w:rStyle w:val="IndexLink"/>
              </w:rPr>
              <w:t>389</w:t>
            </w:r>
          </w:hyperlink>
        </w:p>
        <w:p>
          <w:pPr>
            <w:pStyle w:val="Contents5"/>
            <w:tabs>
              <w:tab w:val="clear" w:pos="7892"/>
              <w:tab w:val="right" w:pos="9026" w:leader="dot"/>
            </w:tabs>
            <w:rPr/>
          </w:pPr>
          <w:hyperlink w:anchor="__RefHeading___Toc2474356_653776707">
            <w:r>
              <w:rPr>
                <w:webHidden/>
                <w:rStyle w:val="IndexLink"/>
                <w:rtl w:val="true"/>
              </w:rPr>
              <w:t>الأمر الخامس</w:t>
            </w:r>
            <w:r>
              <w:rPr>
                <w:rStyle w:val="IndexLink"/>
                <w:rtl w:val="true"/>
              </w:rPr>
              <w:t xml:space="preserve">: </w:t>
            </w:r>
            <w:r>
              <w:rPr>
                <w:rStyle w:val="IndexLink"/>
                <w:rtl w:val="true"/>
              </w:rPr>
              <w:t>أهم خصائص الدور الثامن</w:t>
            </w:r>
            <w:r>
              <w:rPr>
                <w:rStyle w:val="IndexLink"/>
                <w:rtl w:val="true"/>
              </w:rPr>
              <w:tab/>
            </w:r>
            <w:r>
              <w:rPr>
                <w:rStyle w:val="IndexLink"/>
              </w:rPr>
              <w:t>393</w:t>
            </w:r>
          </w:hyperlink>
        </w:p>
        <w:p>
          <w:pPr>
            <w:pStyle w:val="Contents2"/>
            <w:tabs>
              <w:tab w:val="clear" w:pos="8743"/>
              <w:tab w:val="right" w:pos="9026" w:leader="dot"/>
            </w:tabs>
            <w:rPr/>
          </w:pPr>
          <w:hyperlink w:anchor="__RefHeading___Toc2474358_653776707">
            <w:r>
              <w:rPr>
                <w:webHidden/>
                <w:rStyle w:val="IndexLink"/>
                <w:rtl w:val="true"/>
              </w:rPr>
              <w:t>المصادر و المراجع</w:t>
            </w:r>
            <w:r>
              <w:rPr>
                <w:rStyle w:val="IndexLink"/>
                <w:rtl w:val="true"/>
              </w:rPr>
              <w:tab/>
            </w:r>
            <w:r>
              <w:rPr>
                <w:rStyle w:val="IndexLink"/>
              </w:rPr>
              <w:t>395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75_122572"/>
      <w:bookmarkStart w:id="1" w:name="pg8675_122572"/>
      <w:bookmarkEnd w:id="1"/>
    </w:p>
    <w:p>
      <w:pPr>
        <w:pStyle w:val="Heading2"/>
        <w:numPr>
          <w:ilvl w:val="1"/>
          <w:numId w:val="1"/>
        </w:numPr>
        <w:rPr/>
      </w:pPr>
      <w:bookmarkStart w:id="2" w:name="pg8675_122572"/>
      <w:bookmarkStart w:id="3" w:name="__RefHeading___Toc2473754_653776707"/>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جعفرپیشه فرد، مصطفی ،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 عندالمذاهب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دراسه تحلیلیه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الاجتهاد و مناهجه و ادواره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مصطفی جعفرپیشه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 امر طه،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سلسلة مباحث الفقه والاجتهاد؛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1000000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92632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اجتهاد و تقلید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Ijtihad and taqlid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اجتهاد و 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هاو ردیه 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Ijtihad and taqlid -- Controversial literature</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BP167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297/31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8963148</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73756_65377670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حبيبه وصفيّه من خلقه نبيّنا محمّد وآله الذين أذهب الله عنهم الرجس وطهّرهم تطهيراً </w:t>
      </w:r>
    </w:p>
    <w:p>
      <w:pPr>
        <w:pStyle w:val="BookText"/>
        <w:rPr/>
      </w:pPr>
      <w:r>
        <w:rPr>
          <w:rFonts w:ascii="Amiri" w:hAnsi="Amiri" w:eastAsia="Amiri" w:cs="Amiri"/>
          <w:color w:val="111111"/>
          <w:sz w:val="28"/>
          <w:sz w:val="28"/>
          <w:szCs w:val="28"/>
          <w:rtl w:val="true"/>
          <w:lang w:bidi="ar-SA"/>
        </w:rPr>
        <w:t>الإجتهاد عند المذاهب الإسلاميّة</w:t>
      </w:r>
    </w:p>
    <w:p>
      <w:pPr>
        <w:pStyle w:val="BookText"/>
        <w:rPr/>
      </w:pPr>
      <w:r>
        <w:rPr>
          <w:rFonts w:ascii="Amiri" w:hAnsi="Amiri" w:eastAsia="Amiri" w:cs="Amiri"/>
          <w:color w:val="111111"/>
          <w:sz w:val="28"/>
          <w:sz w:val="28"/>
          <w:szCs w:val="28"/>
          <w:rtl w:val="true"/>
          <w:lang w:bidi="ar-SA"/>
        </w:rPr>
        <w:t>دراسة تحليليّة</w:t>
      </w:r>
    </w:p>
    <w:p>
      <w:pPr>
        <w:pStyle w:val="BookText"/>
        <w:rPr/>
      </w:pPr>
      <w:r>
        <w:rPr>
          <w:rFonts w:ascii="IRNazanin" w:hAnsi="IRNazanin" w:eastAsia="IRNazanin"/>
          <w:color w:val="111111"/>
          <w:sz w:val="28"/>
          <w:sz w:val="28"/>
          <w:szCs w:val="28"/>
          <w:rtl w:val="true"/>
          <w:lang w:bidi="fa-IR"/>
        </w:rPr>
        <w:t>حول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الإجتهاد ومناهجه وأدواره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جعفرپيشه‌فرد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صلّی الله علیک یا بقیّة‌الله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الاهداء إلی</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رائد الاجتهاد المعاصر، الإمام المجاهد آیةالله العظمی، السید روح‌الله الموسوی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قدس‌الله نفسه الزکیه</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675_122590"/>
      <w:bookmarkStart w:id="8" w:name="pg8675_122590"/>
      <w:bookmarkEnd w:id="8"/>
    </w:p>
    <w:p>
      <w:pPr>
        <w:pStyle w:val="Heading2"/>
        <w:numPr>
          <w:ilvl w:val="1"/>
          <w:numId w:val="1"/>
        </w:numPr>
        <w:rPr/>
      </w:pPr>
      <w:bookmarkStart w:id="9" w:name="pg8675_122590"/>
      <w:bookmarkStart w:id="10" w:name="__RefHeading___Toc2473758_653776707"/>
      <w:bookmarkStart w:id="11" w:name="_Toc3"/>
      <w:bookmarkEnd w:id="9"/>
      <w:bookmarkEnd w:id="10"/>
      <w:r>
        <w:rPr>
          <w:rtl w:val="true"/>
        </w:rPr>
        <w:t>الفهرس</w:t>
      </w:r>
      <w:bookmarkEnd w:id="11"/>
    </w:p>
    <w:p>
      <w:pPr>
        <w:pStyle w:val="BookText"/>
        <w:rPr/>
      </w:pPr>
      <w:r>
        <w:rPr>
          <w:rFonts w:ascii="IRNazanin" w:hAnsi="IRNazanin" w:eastAsia="IRNazanin"/>
          <w:color w:val="111111"/>
          <w:sz w:val="28"/>
          <w:sz w:val="28"/>
          <w:szCs w:val="28"/>
          <w:rtl w:val="true"/>
          <w:lang w:bidi="fa-IR"/>
        </w:rPr>
        <w:t>کلمة الناشر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کلمة المرکز</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الباب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مدارس الإجتهاد ومناهجه وأدواره عند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الفصل الأول بيان المبادئ التصورية لهذا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المبحث الأول تعريف الإجتهاد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الإجتهاد 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الإجتهاد اصطلاحاً</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الفقهي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بالرأي والنظر الشخصي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إستكشاف الحكم من أدلّة الشرع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أمور ينبغي التنبيه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أركان الإجتهاد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الإجتهاد وحدود دائرته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الإجتهاد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الاخبارية والإجتهاد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المبحث الثاني التعريف بالمنهج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المنهج 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المنهج إصطلاحاً</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المبحث الثالث التعريف بالمدارس والمذاهب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المدرسِة 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المدارس اصطلاحاً</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المذهب لغةً وإصطلاحاً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المبحث الرابع التعريف بالمناهج والمدارس والمذاهب الإجتهادية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مناهج الإجتهاد ومدارسه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المناهج التي يكون منشأ اختلافها راجعاً إلى اختلاف الأصول والمباني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المناهج التي يكون منشأ اختلافها راجعاً إلى الاختلاف في نفس المنهج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المدارس والمذاهب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المبحث الخامس الإشارة إلى ضرورة البحث وأهميته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المبحث السادس نشأة المدارس وأسباب الخلاف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أسباب ظهور الاختلاف</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نكات مهمة ينبغي الالتفات إليها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المبحث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الثاني أهم المدراس والمذاهب الإجتهادية عند العامة وخصائصها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أهم المشتركات بين مذهب العامة ومذهب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ظهور المدارس الفقهية عند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المبحث الأول مدرسة الحديث ومنهجها في الإجتهاد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منهج مدرسة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أقسام أهل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المبحث الثاني مدرسة الرأي ومنهجها في الإجتهاد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منهج مدرسة الرأي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أمران مهمان ينبغي الإشارة إليهما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نماذج تطبيقية من فقه أهل الرأي وأهل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القراءة خلف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القضاء بشاهد واحد مع يمين المدعي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قضاء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الولاية في عقد الزواج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ضمان المصراة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خاتمة المطاف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موقف الإمامیه من المدرستين المتقدمين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المبحث الثالث ظهورالمدارس‌الفقهية في ظل مدرسه‌الحديث ومدرسة الرأي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الفصل الثالث مدرسة أبي حنيفة ومنهجه في الإجتهاد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محاور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 المذهب الحنفی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نشوء الدعوة للمذهب الحنفی ومحلها</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الأسس الرئيسيّة للمذهب الحنفي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عزوجل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النبوية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الصحابي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أركان القياس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حجية القياس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الاستحسان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حجية الاستحسان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العرف</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أقسام العرف</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إعتبار العرف</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أقسام الحكم التكليفي عند الحنفية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نماذج من فتاوي المذهب الحنفي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تكبيرة الاحرام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الواجبات الأخرى للصلاة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الترتيب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الفصل الرابع مدرسة مالك ومنهجه في الإجتهاد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محاور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مؤسس المذهب المالكي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تصانيف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نشوء الدعوة للمذهب المالكي ومحلّها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أهمّ مصادر الفقه المالكي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مکان انتشار فيه المذهب المالكي</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الأصول الرئيسيّة للمذهب المالكي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المشتركة مع سائر المذاهب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الصحابي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الإستقراء</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الاستدلال</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الاستحسان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شرع من قبلنا شرع لنا</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البراءة الأصلية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الخاصة بالمذهب المالكي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 أهل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المصالح المرسلة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سدّ الذرائع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مراعاة الخلاف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مراعاة العرف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المنهج الكلامي والفقهي للمذهب المالکی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الكلامي لمالك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الفقهي لمالك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منهج مالك في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منهج مالك في المخصص للعمومات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 مالك في الفتاوى الفقهيّة للفقهاء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منهج مالك في الإجتهاد بالرأى والمصلحة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نماذج من فتاوی المذهب المالکی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الفصل الخامس مدرسة الشافعي ومنهجه في الإجتهاد مجالات البحث في المذهب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مؤسس المذهب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منطلق المذهب الشافعي وأماكن انتشاره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الأسس الرئيسيّة في المذهب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مذهب الشافعي والاستحسان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مذهب الشافعي والمصالح المرسلة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إطلالة على المنهج الفقهي والكلامي للمذهب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الفقهي للمذهب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الكلامي للمذهب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نماذج من الفتاوى التي إنفرد بها المذهب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الفصل السادس مدرسة أحمد بن حنبل ومنهجه في الإجتهاد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مجالات البحث في المذهب الحنبلی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مؤسس المذهب الحنبلي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منطلق انتشار المذهب الحنبلي ومکانه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أهم المؤلّفات في الفقه الحنبلي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الأسس الرئيسيّة للمذهب الحنبلي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موقف أحمد من الأستصحاب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موقف أحمد من المصالح المرسله</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موقف أحمد من سدّ الذرائع</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موقف أحمد من الاجماع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إطلالة على المنهج الكلامي والفقهي للمذهب الحنبلي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المنهج الکلامی للمهذب الحنبلی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القرآن ومحنة ابن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والقدر والجبر</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واختيار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المنهج الفقهي للمذهب الحنبلی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نماذج من الفتاوى التي إنفرد بها الفقه الحنبلي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الفصل السابع إستمرار مدرسة أحمد بن حنبل في القرون المتأخرة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قيم الجوزيّة الحنبلي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عبد الوهّاب النجدي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بعض الأصول الأساسيّة للفكر الوهابیّ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الفصل الثامن مدرسة الظاهري ومنهجه في الإجتهاد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مجالات البحث في المذهب الظاهری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مؤسّس المذهب‌الظاهري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منطلق انتشار المذهب الظاهری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ابن حزم الظاهري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نفور العلماء من داود الظاهري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الأصول الأساسيّة للمذهب الظاهريّ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تعليل النصوص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إطلالة على بعض آراء المذهب الظاهری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رأيهم في الأمور الغيبيّة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رأيهم في الخلافة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رأيهم في الإجماع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رأيهم في عمل أهل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رأيهم في القياس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رأيهم في شرع من قبلنا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رأيهم في التقليد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نماذج من الفتاوي الخاصّة بالمذهب الظاهری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الفصل التاسع انسداد باب الإجتهاد عند العامّة وأسبابه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الأسباب التاريخيّة التي أدّت إلى انسداد باب الإجتهاد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الإنسداد، تاریخیاً وسیاسیاً واجتماعیاً</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ضعف الدولة العبّاسيّة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التعصّب للمذاهب وأئمّتها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الحروب الداخليّة وكثرة الفتن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الأمراض الخُلقيّة والتحاسد بين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بسدّ باب الإجتهاد وأدلّته</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بإمكان الإجتهاد وأدلّته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أدلّة كلٍّ من الموافقين والمخالفين لانسداد من الإجتهاد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أدلّة القائلين بانسداد باب الإجتهاد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أدلّة المنكرين لانسداد الإجتهاد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الفصل العاشر تبعات انسداد باب الإجتهاد حتى العصر الحاضر</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الأثار السيّئة للانسداد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حركة الإجتهاد في مذاهب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جديدة إلى إحياء حركة الإجتهاد في مذاهب أهل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أدوار الإجتهاد ومناهجه في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الفصل الأول المفاهيم والكليات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المبحث الأول ما يرتبط بكلمة الإجتهاد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المبحث الثاني ما يرتبط بكلمة الأدوار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ومنهجيّة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منهجية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المبحث الثالث ضرورة البحث وسابقته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المبحث الرابع النظرة الاجمالية إلى مصادر الإستنباط في فقه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الفصل الثاني الإجتهاد في عصر الحضور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 حركة الإجتهاد في عصر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الدور الأول دور التأسيس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دور التأسيس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بدور التأسيس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 فقهاء الدور الأوّل وأهمّ مؤلفاتهم</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الإجتهاد في الدور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الاتجاه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الاتجاه الروائي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الاتجاه الروائی والاستدلالات العقلية</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الاتجاه الروائی والغلوّ</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الاتجاه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الإتجاه العقلي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الاتجاه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الإعتدال والتوفیق بين العقل والنقل</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خصائص دور التأسيس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الدور الثاني دور الإنطلاق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دور الإنطلاق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بدور الإنطلاق</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دور الإنطلاق وأهم مؤلفاتهم</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ومعاصروه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أهم الآثار العلمية للشيخ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فقهاء ما بعد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الإجتهاد في دور الإنطلاق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 خصائص دور الإنطلاق</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الدور الثالث دور الاستقلال والتكامل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دور الاستقلال والتكامل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الأمر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التعريف بدور الاستقلال والتکامل</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دور الاستقلال وأهم مؤلفاتهم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الإجتهاد في الدور الاستقلال والتکامل</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 خصائص دور الاستقلال والتکامل</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الدور الرابع دور الإفراط في الإتجاه العقلي للاستنباط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التحديد الزمني للدور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الأمرالثاني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بالدور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المجتهدين في الدور الرابع ومؤلفاتهم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الامر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الإجتهاد في الدور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 خصاص الدور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الدور الخامس دور التفريط في الإتجاه العقلي للاستنباط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الأخباریّة</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التحديد الزمنى للدور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بالدور الخامس ووجه تسميته بدور التفريط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الشخصيّات البارزة في الدور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الإجتهاد في الدور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الفرق بين الاخبارية القديمة والحديثة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أسباب ظهور الحركة الاخبارية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عالِم الدين ومكانته السياسية عند الأخباري والأصولي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 خصائص الدور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الدور السادس دور التصحيح والإعتدال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التحديد الزمنى للدور السادس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بالدور السادس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دور الإعتدال وأهم مؤلفاتهم</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الإجتهاد في الدور السادس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 خصائص الدور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الدور السابع دور النضج الفكر الإجتهادي و إبداعه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التحديد الزمني للدور السابع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بالدور السابع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دور النضج والإبداع وأهم مؤلفاتهم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الإجتهاد في الدور السابع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خصائص الدور السابع ومميزاتها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الدور الثامن دور تأسيس الدولة وفقاً لنظرية الحكم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التحديد الزمني للدور الثامن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بالدور الثامن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 فقها دور الثامن</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الإجتهاد في الدور الثامن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 خصائص الدور الثامن</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 و المراجع</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bookmarkStart w:id="12" w:name="pg8675_122627"/>
    </w:p>
    <w:p>
      <w:pPr>
        <w:pStyle w:val="Heading2"/>
        <w:numPr>
          <w:ilvl w:val="1"/>
          <w:numId w:val="1"/>
        </w:numPr>
        <w:rPr/>
      </w:pPr>
      <w:bookmarkStart w:id="13" w:name="__RefHeading___Toc2473760_653776707"/>
      <w:bookmarkStart w:id="14" w:name="_Toc4"/>
      <w:bookmarkEnd w:id="12"/>
      <w:bookmarkEnd w:id="13"/>
      <w:r>
        <w:rPr>
          <w:rtl w:val="true"/>
        </w:rPr>
        <w:t>کلمة الناشر</w:t>
      </w:r>
      <w:bookmarkEnd w:id="14"/>
    </w:p>
    <w:p>
      <w:pPr>
        <w:pStyle w:val="BookText"/>
        <w:rPr/>
      </w:pPr>
      <w:r>
        <w:rPr>
          <w:rFonts w:ascii="Amiri" w:hAnsi="Amiri" w:eastAsia="Amiri" w:cs="Amiri"/>
          <w:color w:val="111111"/>
          <w:sz w:val="28"/>
          <w:sz w:val="28"/>
          <w:szCs w:val="28"/>
          <w:rtl w:val="true"/>
          <w:lang w:bidi="ar-SA"/>
        </w:rPr>
        <w:t xml:space="preserve">أكثر من عقدٍ من الزمن مرّ على إصدار الطبعة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 عند المذاهب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الحضارة لتنمية لفكر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ونظرًا إلى المضمون التدريسي للكتاب، ونتيجةً لنفاد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وبخاصّة في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وحاجة الطلاب والفضلاء في السطح الرابع ودكتوراه الفقه والأصول إليه، كان لا بدّ من طباعة هذا الكتاب طبعته الثانية في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نتوجّه بالشكر إلى مركز الحضارة على الجهود التي بذلها لإصدار الطبعة الأولى، فبعد تجربة الكتاب في مجال التدريس لمدّة عشر سنوات، ومن باب تحضير هذا الكتاب لطبعة جديدة، فقد رأينا من الضروري أن نقوم ببعض الإصلاحات والتغييرات فيه لكي يؤحَذ بها في الطبعة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الإصلاحات التي قام بها الكاتب تشمل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التحريريّة والصياغيّة، الأخطاء الطباعيّة، مع إصلاح بعض العناوين الرئيسيّة والفرعيّة، وتشمل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بعض النكات والإضافات التوضيحيّة، وبخاصّة في الباب الثاني من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هذا السياق تتوجّه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إحياء أمر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الفاضل المحترم جناب السيد عادل الحكيم دامت توفیقاته بجزيل الشكر والامتنان على الجهود التي بذلها لإعادة قراءة الكتاب ومعالجة أخطائه وتحرير بعض عباراته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 احیاء امر آل طه</w:t>
      </w:r>
    </w:p>
    <w:p>
      <w:pPr>
        <w:pStyle w:val="BookText"/>
        <w:rPr/>
      </w:pPr>
      <w:r>
        <w:rPr>
          <w:rFonts w:ascii="IRNazanin" w:hAnsi="IRNazanin" w:eastAsia="IRNazanin"/>
          <w:color w:val="111111"/>
          <w:sz w:val="28"/>
          <w:sz w:val="28"/>
          <w:szCs w:val="28"/>
          <w:rtl w:val="true"/>
          <w:lang w:bidi="fa-IR"/>
        </w:rPr>
        <w:t xml:space="preserve">قم المقدسه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8675_122633"/>
      <w:bookmarkStart w:id="16" w:name="pg8675_122633"/>
      <w:bookmarkEnd w:id="16"/>
    </w:p>
    <w:p>
      <w:pPr>
        <w:pStyle w:val="Heading2"/>
        <w:numPr>
          <w:ilvl w:val="1"/>
          <w:numId w:val="1"/>
        </w:numPr>
        <w:rPr/>
      </w:pPr>
      <w:bookmarkStart w:id="17" w:name="pg8675_122633"/>
      <w:bookmarkStart w:id="18" w:name="__RefHeading___Toc2473762_653776707"/>
      <w:bookmarkStart w:id="19" w:name="_Toc5"/>
      <w:bookmarkEnd w:id="17"/>
      <w:bookmarkEnd w:id="18"/>
      <w:r>
        <w:rPr>
          <w:rtl w:val="true"/>
        </w:rPr>
        <w:t>کلمة المرکز</w:t>
      </w:r>
      <w:bookmarkEnd w:id="19"/>
    </w:p>
    <w:p>
      <w:pPr>
        <w:pStyle w:val="BookText"/>
        <w:rPr/>
      </w:pPr>
      <w:r>
        <w:rPr>
          <w:rFonts w:ascii="IRNazanin" w:hAnsi="IRNazanin" w:eastAsia="IRNazanin"/>
          <w:color w:val="111111"/>
          <w:sz w:val="28"/>
          <w:sz w:val="28"/>
          <w:szCs w:val="28"/>
          <w:rtl w:val="true"/>
          <w:lang w:bidi="fa-IR"/>
        </w:rPr>
        <w:t>الاجتهاد هو بذل الجهد الذی یقوم به الفقیه المتخصّص لاکتشاف الحکم الشرعیّ من مصادره المقررّة، التی هی الکتاب والسنّة والعقل والإجماع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الحدود تتّفق المدارس الإسلاميّة الاجتهادیه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وتتّفق هذه المدارس علی کثیر من قواعد التعامل مع هذه المصادر، وکیفیّة فهمها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ولکنّها مع هذا الاتفاق تختلف حول بعض القواعد والضوابط الاجتهادیّة، ما یجعل المقارنة بین هذه المدارس عملیة کبیرة الجدوی لتطویر التواصل وإزالة سوء الفهم المتبادل بین المسلمین ومدارسهم الاجتهادیة والفقهیة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حصر الشیخ مصطفی جعفر یشه جهوده لمعالجة المدارس الاجتهادیة فی الفقه الإسلامی، فی دراسة تجمع بین المقارنة والعرض دون إصرار علی الانتصار لمدرسة علی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ولسنا ندّعی ولا المؤلف نفسه یدّعی أنّ الکتاب فرید فی بابه، فقد کتبت العشرات من الدراسات الممائلة فی الموضوع نفسه؛ ولکنّ لهذا الکتاب امتیازات دعتنا فی مرکز الحضارة إلی تبنّیه ونشره فی سلسلة الدراسات الحضاریّة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الختام نأمل أن یجد القارئ فی هذا الکتاب ما وجدناه، وأن یحظی الکتاب واختیارنا إیاه برضاه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من وراء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الحضارة لتمنیة الفکر الإسلامی</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8675_122639"/>
      <w:bookmarkStart w:id="21" w:name="pg8675_122639"/>
      <w:bookmarkEnd w:id="21"/>
    </w:p>
    <w:p>
      <w:pPr>
        <w:pStyle w:val="Heading2"/>
        <w:numPr>
          <w:ilvl w:val="1"/>
          <w:numId w:val="1"/>
        </w:numPr>
        <w:rPr/>
      </w:pPr>
      <w:bookmarkStart w:id="22" w:name="pg8675_122639"/>
      <w:bookmarkStart w:id="23" w:name="__RefHeading___Toc2473764_653776707"/>
      <w:bookmarkStart w:id="24" w:name="_Toc6"/>
      <w:bookmarkEnd w:id="22"/>
      <w:bookmarkEnd w:id="23"/>
      <w:r>
        <w:rPr>
          <w:rtl w:val="true"/>
        </w:rPr>
        <w:t>الباب الاول</w:t>
      </w:r>
      <w:r>
        <w:rPr>
          <w:rtl w:val="true"/>
        </w:rPr>
        <w:t xml:space="preserve">: </w:t>
      </w:r>
      <w:r>
        <w:rPr>
          <w:rtl w:val="true"/>
        </w:rPr>
        <w:t>مدارس الإجتهاد ومناهجه وأدواره عند العامّة</w:t>
      </w:r>
      <w:bookmarkEnd w:id="24"/>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2473766_653776707"/>
      <w:bookmarkStart w:id="26" w:name="_Toc7"/>
      <w:bookmarkEnd w:id="25"/>
      <w:r>
        <w:rPr>
          <w:rtl w:val="true"/>
        </w:rPr>
        <w:t>اشارة</w:t>
      </w:r>
      <w:bookmarkEnd w:id="26"/>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8675_122644"/>
      <w:bookmarkStart w:id="28" w:name="pg8675_122644"/>
      <w:bookmarkEnd w:id="28"/>
    </w:p>
    <w:p>
      <w:pPr>
        <w:pStyle w:val="Heading3"/>
        <w:numPr>
          <w:ilvl w:val="2"/>
          <w:numId w:val="1"/>
        </w:numPr>
        <w:rPr/>
      </w:pPr>
      <w:bookmarkStart w:id="29" w:name="pg8675_122644"/>
      <w:bookmarkStart w:id="30" w:name="__RefHeading___Toc2473768_653776707"/>
      <w:bookmarkStart w:id="31" w:name="_Toc8"/>
      <w:bookmarkEnd w:id="29"/>
      <w:bookmarkEnd w:id="30"/>
      <w:r>
        <w:rPr>
          <w:rtl w:val="true"/>
        </w:rPr>
        <w:t>الفصل الأول بيان المبادئ التصورية لهذا البحث</w:t>
      </w:r>
      <w:bookmarkEnd w:id="31"/>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 w:name="__RefHeading___Toc2473770_653776707"/>
      <w:bookmarkStart w:id="33" w:name="_Toc9"/>
      <w:bookmarkEnd w:id="32"/>
      <w:r>
        <w:rPr>
          <w:rtl w:val="true"/>
        </w:rPr>
        <w:t>اشارة</w:t>
      </w:r>
      <w:bookmarkEnd w:id="33"/>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8675_122650"/>
      <w:bookmarkStart w:id="35" w:name="pg8675_122650"/>
      <w:bookmarkEnd w:id="35"/>
    </w:p>
    <w:p>
      <w:pPr>
        <w:pStyle w:val="Heading4"/>
        <w:numPr>
          <w:ilvl w:val="3"/>
          <w:numId w:val="1"/>
        </w:numPr>
        <w:rPr/>
      </w:pPr>
      <w:bookmarkStart w:id="36" w:name="pg8675_122650"/>
      <w:bookmarkStart w:id="37" w:name="__RefHeading___Toc2473772_653776707"/>
      <w:bookmarkStart w:id="38" w:name="_Toc10"/>
      <w:bookmarkEnd w:id="36"/>
      <w:bookmarkEnd w:id="37"/>
      <w:r>
        <w:rPr>
          <w:rtl w:val="true"/>
        </w:rPr>
        <w:t>التمهيد</w:t>
      </w:r>
      <w:bookmarkEnd w:id="38"/>
    </w:p>
    <w:p>
      <w:pPr>
        <w:pStyle w:val="BookText"/>
        <w:rPr/>
      </w:pPr>
      <w:r>
        <w:rPr>
          <w:rFonts w:ascii="IRNazanin" w:hAnsi="IRNazanin" w:eastAsia="IRNazanin"/>
          <w:color w:val="111111"/>
          <w:sz w:val="28"/>
          <w:sz w:val="28"/>
          <w:szCs w:val="28"/>
          <w:rtl w:val="true"/>
          <w:lang w:bidi="fa-IR"/>
        </w:rPr>
        <w:t xml:space="preserve">في مقام البحث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الإجتهاد ومناهجه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قبل الدخول في صلب البحث من توضیح المبادئ التصورية لهذا العنوان وتعريف المفاهيم المندرجة تحته، لإن ضرورة المقام تقتضي ذلك؛ حيث أنه في ضوء توضیح المقصود من الألفاظ المندرجة في العنوان سوف يظهر المراد من السؤال مورد البحث وبالتالي تبيين الأهداف الموجبة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إلى ذلك أنّ عنوان البحث من العناوين الجديدة التي لم يُصنّف حوله مؤلف بشكل مستقل وإن أمكن اصطياد جذوره من بین ثنایا الكتب المدوّنة المرتبطة بالفقه وأصوله، لاسيّما المؤلفات المختصّة بالإجتهاد وأطواره وتاريخه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تعريف الإجتهاد والمناهج والمذاهب وغير ذلك من المفاهيم المرتبطة بالموضوع وتبيين مغزاها في اللغة والاصطلاح يرفع الكثير من الابهامات ویحول دون سوء الفهم والوقوع فی كثيرٍ من الإخطاء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يمكن أن يقع فيها الباحث نتيجة عدم وضوح المفاهيم المرتبطة بالبحث</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فسوف يقع الكلام في الفصل الأول في عدة مباحث</w:t>
      </w:r>
      <w:r>
        <w:rPr>
          <w:rFonts w:eastAsia="Amiri" w:cs="Amiri" w:ascii="Amiri" w:hAnsi="Amiri"/>
          <w:color w:val="111111"/>
          <w:sz w:val="28"/>
          <w:szCs w:val="28"/>
          <w:rtl w:val="true"/>
          <w:lang w:bidi="ar-SA"/>
        </w:rPr>
        <w:t xml:space="preserve">.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8675_122656"/>
      <w:bookmarkStart w:id="40" w:name="pg8675_122656"/>
      <w:bookmarkEnd w:id="40"/>
    </w:p>
    <w:p>
      <w:pPr>
        <w:pStyle w:val="Heading4"/>
        <w:numPr>
          <w:ilvl w:val="3"/>
          <w:numId w:val="1"/>
        </w:numPr>
        <w:rPr/>
      </w:pPr>
      <w:bookmarkStart w:id="41" w:name="pg8675_122656"/>
      <w:bookmarkStart w:id="42" w:name="__RefHeading___Toc2473774_653776707"/>
      <w:bookmarkStart w:id="43" w:name="_Toc11"/>
      <w:bookmarkEnd w:id="41"/>
      <w:bookmarkEnd w:id="42"/>
      <w:r>
        <w:rPr>
          <w:rtl w:val="true"/>
        </w:rPr>
        <w:t>المبحث الأول تعريف الإجتهاد</w:t>
      </w:r>
      <w:bookmarkEnd w:id="43"/>
    </w:p>
    <w:p>
      <w:pPr>
        <w:pStyle w:val="Heading5"/>
        <w:numPr>
          <w:ilvl w:val="4"/>
          <w:numId w:val="1"/>
        </w:numPr>
        <w:rPr/>
      </w:pPr>
      <w:bookmarkStart w:id="44" w:name="__RefHeading___Toc2473776_653776707"/>
      <w:bookmarkStart w:id="45" w:name="_Toc12"/>
      <w:bookmarkEnd w:id="44"/>
      <w:r>
        <w:rPr/>
        <w:t>1</w:t>
      </w:r>
      <w:r>
        <w:rPr>
          <w:rtl w:val="true"/>
        </w:rPr>
        <w:t xml:space="preserve">) </w:t>
      </w:r>
      <w:r>
        <w:rPr>
          <w:rtl w:val="true"/>
        </w:rPr>
        <w:t>الإجتهاد لغةً</w:t>
      </w:r>
      <w:r>
        <w:rPr>
          <w:rtl w:val="true"/>
        </w:rPr>
        <w:t>:</w:t>
      </w:r>
      <w:bookmarkEnd w:id="45"/>
    </w:p>
    <w:p>
      <w:pPr>
        <w:pStyle w:val="BookText"/>
        <w:rPr/>
      </w:pPr>
      <w:r>
        <w:rPr>
          <w:rFonts w:ascii="Amiri" w:hAnsi="Amiri" w:eastAsia="Amiri" w:cs="Amiri"/>
          <w:color w:val="111111"/>
          <w:sz w:val="28"/>
          <w:sz w:val="28"/>
          <w:szCs w:val="28"/>
          <w:rtl w:val="true"/>
          <w:lang w:bidi="ar-SA"/>
        </w:rPr>
        <w:t>الإجتهاد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من باب الافتعال وهومأخوذ من الجهد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أوالضم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الطاقة،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إجهَد جَهدَك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المشقّة، والجُهد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الطاقة</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فالإجتهاد بمعنى بذل الوسع والطاقة سواء أخذناه من الجهد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أوالجُهد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 بذل الطاقة لايخلومن مشقة وهما أمران متلازمان</w:t>
      </w:r>
      <w:r>
        <w:rPr>
          <w:rStyle w:val="FootnoteAnchor"/>
          <w:rtl w:val="true"/>
        </w:rPr>
        <w:footnoteReference w:id="3"/>
      </w:r>
      <w:r>
        <w:rPr>
          <w:rFonts w:ascii="IRNazanin" w:hAnsi="IRNazanin" w:eastAsia="IRNazanin"/>
          <w:color w:val="111111"/>
          <w:sz w:val="28"/>
          <w:sz w:val="28"/>
          <w:szCs w:val="28"/>
          <w:rtl w:val="true"/>
          <w:lang w:bidi="fa-IR"/>
        </w:rPr>
        <w:t>ولايكون الإجتهاد إلا فيما فيه الكلفة والمشقة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تكرّر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الأحاديث المرويّة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 هذا المعنى</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في الكافي بإسناده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ضعيف العمل قليل الصيام ولكنّي أرجوأن لا آكل الاّ 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الإجتهاد أفضل من عفّة بطن وفرج</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ومنها، ما في نهج البلاغة عن أميرالمومنين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فَعَلَيْكُمْ بِالْجِدِّ وَالْإِجْتِهَادِ، والتَّأَهُّبِ، والاْءِسْتِعْدَادِ، والتَّزَوُّدِ فِي مَنْزِلِ الزَّادِ</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في نهج‌البلاغة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عامله عثمان بن حنيف الأنصاري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لِكُلِّ مَأْمُومٍ إِمَاماً، يَقْتَدِي بِهِ ويَسْتَضِيءُ بِنُورِ عِلْمِهِ، أَلا وَإِنَّ إِمَامَكُمْ قَدِ اكْتَفَى مِنْ دُنْيَاهُ بِطِمْرَيْهِ، ومِنْ طُعْمِهِ بِقُرْصَيْهِ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وَإِنَّكُمْ لاتَقْدِرُونَ عَلَى ذلِكَ، وَلكِنْ أَعِينُونِي بِوَرَعٍ وَاجْتِهَادٍ، وَعِفَّةٍ وَسَدَادٍ</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 xml:space="preserve">إلى غير ذلك من الروايات العديدة المروية عن الائّمة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استعمل لفظ الإجتهاد فيها بمعناه اللغوي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الوسع والطاقة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يخفى إن لفظ الإجتهاد قد ورد بنفس ذلك المعنى اللغوي في الأحاديث المروّية عن اهل السنّة أيضاً، كما روى مسلم في صحيحه عن عائشة،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يجتهد في العشر الاواخر ما لا يجتهد في غيرها</w:t>
      </w:r>
      <w:r>
        <w:rPr>
          <w:rFonts w:eastAsia="IRNazanin" w:cs="IRNazanin"/>
          <w:color w:val="111111"/>
          <w:sz w:val="28"/>
          <w:szCs w:val="28"/>
          <w:rtl w:val="true"/>
          <w:lang w:bidi="fa-IR"/>
        </w:rPr>
        <w:t>».</w:t>
      </w:r>
      <w:r>
        <w:rPr>
          <w:rStyle w:val="FootnoteAnchor"/>
          <w:rtl w:val="true"/>
        </w:rPr>
        <w:footnoteReference w:id="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صلّوا عليّ واجتهدوا في الدعاء</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فضل العالم على المجتهد مئة درجة</w:t>
      </w:r>
      <w:r>
        <w:rPr>
          <w:rFonts w:eastAsia="IRNazanin" w:cs="IRNazanin"/>
          <w:color w:val="111111"/>
          <w:sz w:val="28"/>
          <w:szCs w:val="28"/>
          <w:rtl w:val="true"/>
          <w:lang w:bidi="fa-IR"/>
        </w:rPr>
        <w:t>».</w:t>
      </w:r>
      <w:r>
        <w:rPr>
          <w:rStyle w:val="FootnoteAnchor"/>
          <w:rtl w:val="true"/>
        </w:rPr>
        <w:footnoteReference w:id="9"/>
      </w:r>
      <w:r>
        <w:rPr>
          <w:rFonts w:ascii="Amiri" w:hAnsi="Amiri" w:eastAsia="Amiri" w:cs="Amiri"/>
          <w:color w:val="111111"/>
          <w:sz w:val="28"/>
          <w:sz w:val="28"/>
          <w:szCs w:val="28"/>
          <w:rtl w:val="true"/>
          <w:lang w:bidi="ar-SA"/>
        </w:rPr>
        <w:t>أي المجتهد في العبادة</w:t>
      </w:r>
      <w:r>
        <w:rPr>
          <w:rFonts w:eastAsia="Amiri" w:cs="Amiri" w:ascii="Amiri" w:hAnsi="Amiri"/>
          <w:color w:val="111111"/>
          <w:sz w:val="28"/>
          <w:szCs w:val="28"/>
          <w:rtl w:val="true"/>
          <w:lang w:bidi="ar-SA"/>
        </w:rPr>
        <w:t xml:space="preserve">. </w:t>
      </w:r>
      <w:bookmarkStart w:id="46" w:name="pg8675_122661"/>
    </w:p>
    <w:p>
      <w:pPr>
        <w:pStyle w:val="BookText"/>
        <w:rPr/>
      </w:pPr>
      <w:bookmarkEnd w:id="46"/>
      <w:r>
        <w:rPr>
          <w:rFonts w:ascii="Amiri" w:hAnsi="Amiri" w:eastAsia="Amiri" w:cs="Amiri"/>
          <w:color w:val="111111"/>
          <w:sz w:val="28"/>
          <w:sz w:val="28"/>
          <w:szCs w:val="28"/>
          <w:rtl w:val="true"/>
          <w:lang w:bidi="ar-SA"/>
        </w:rPr>
        <w:t>فنعرف من خلال هذه الموارد أنّ مدلول الإجتهاد والمستعمل فيه هذا اللفظ هونفس مفهومه اللغوي الذي مرّ ذكره</w:t>
      </w:r>
      <w:r>
        <w:rPr>
          <w:rFonts w:eastAsia="Amiri" w:cs="Amiri" w:ascii="Amiri" w:hAnsi="Amiri"/>
          <w:color w:val="111111"/>
          <w:sz w:val="28"/>
          <w:szCs w:val="28"/>
          <w:rtl w:val="true"/>
          <w:lang w:bidi="ar-SA"/>
        </w:rPr>
        <w:t>.</w:t>
      </w:r>
    </w:p>
    <w:p>
      <w:pPr>
        <w:pStyle w:val="Heading5"/>
        <w:numPr>
          <w:ilvl w:val="4"/>
          <w:numId w:val="1"/>
        </w:numPr>
        <w:rPr/>
      </w:pPr>
      <w:bookmarkStart w:id="47" w:name="__RefHeading___Toc2473778_653776707"/>
      <w:bookmarkStart w:id="48" w:name="_Toc13"/>
      <w:bookmarkEnd w:id="47"/>
      <w:r>
        <w:rPr/>
        <w:t>2</w:t>
      </w:r>
      <w:r>
        <w:rPr>
          <w:rtl w:val="true"/>
        </w:rPr>
        <w:t xml:space="preserve">) </w:t>
      </w:r>
      <w:r>
        <w:rPr>
          <w:rtl w:val="true"/>
        </w:rPr>
        <w:t>الإجتهاد اصطلاحاً</w:t>
      </w:r>
      <w:r>
        <w:rPr>
          <w:rtl w:val="true"/>
        </w:rPr>
        <w:t>:</w:t>
      </w:r>
      <w:bookmarkEnd w:id="48"/>
    </w:p>
    <w:p>
      <w:pPr>
        <w:pStyle w:val="Heading6"/>
        <w:numPr>
          <w:ilvl w:val="5"/>
          <w:numId w:val="1"/>
        </w:numPr>
        <w:rPr/>
      </w:pPr>
      <w:bookmarkStart w:id="49" w:name="__RefHeading___Toc2473780_653776707"/>
      <w:bookmarkStart w:id="50" w:name="_Toc14"/>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أمّا في الاصطلاح فالإجتهاد يطلق على عدّة معان</w:t>
      </w:r>
      <w:r>
        <w:rPr>
          <w:rFonts w:eastAsia="Amiri" w:cs="Amiri" w:ascii="Amiri" w:hAnsi="Amiri"/>
          <w:color w:val="111111"/>
          <w:sz w:val="28"/>
          <w:szCs w:val="28"/>
          <w:rtl w:val="true"/>
          <w:lang w:bidi="ar-SA"/>
        </w:rPr>
        <w:t>:</w:t>
      </w:r>
    </w:p>
    <w:p>
      <w:pPr>
        <w:pStyle w:val="Heading6"/>
        <w:numPr>
          <w:ilvl w:val="5"/>
          <w:numId w:val="1"/>
        </w:numPr>
        <w:rPr/>
      </w:pPr>
      <w:bookmarkStart w:id="51" w:name="__RefHeading___Toc2473782_653776707"/>
      <w:bookmarkStart w:id="52" w:name="_Toc15"/>
      <w:bookmarkEnd w:id="51"/>
      <w:r>
        <w:rPr>
          <w:rtl w:val="true"/>
        </w:rPr>
        <w:t>الأول</w:t>
      </w:r>
      <w:r>
        <w:rPr>
          <w:rtl w:val="true"/>
        </w:rPr>
        <w:t xml:space="preserve">: </w:t>
      </w:r>
      <w:r>
        <w:rPr>
          <w:rtl w:val="true"/>
        </w:rPr>
        <w:t>القياس الفقهي</w:t>
      </w:r>
      <w:bookmarkEnd w:id="52"/>
    </w:p>
    <w:p>
      <w:pPr>
        <w:pStyle w:val="BookText"/>
        <w:rPr/>
      </w:pPr>
      <w:r>
        <w:rPr>
          <w:rFonts w:ascii="Amiri" w:hAnsi="Amiri" w:eastAsia="Amiri" w:cs="Amiri"/>
          <w:color w:val="111111"/>
          <w:sz w:val="28"/>
          <w:sz w:val="28"/>
          <w:szCs w:val="28"/>
          <w:rtl w:val="true"/>
          <w:lang w:bidi="ar-SA"/>
        </w:rPr>
        <w:t>قال الشافعي في الرسالة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القياس أهوالإجتهاد أم هما متفرقان؟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اسمان لمعنى واحد</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البحث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هوعبارة عن حمل معلوم على معلوم أونفيه عنهما بأمر جامع بينهما من حكم أوصفة</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والقياس بهذا المعنى يقال له في المنطق التمثيل</w:t>
      </w:r>
      <w:r>
        <w:rPr>
          <w:rFonts w:eastAsia="Amiri" w:cs="Amiri" w:ascii="Amiri" w:hAnsi="Amiri"/>
          <w:color w:val="111111"/>
          <w:sz w:val="28"/>
          <w:szCs w:val="28"/>
          <w:rtl w:val="true"/>
          <w:lang w:bidi="ar-SA"/>
        </w:rPr>
        <w:t>.</w:t>
      </w:r>
      <w:r>
        <w:rPr>
          <w:rStyle w:val="FootnoteAnchor"/>
          <w:rtl w:val="true"/>
        </w:rPr>
        <w:footnoteReference w:id="12"/>
      </w:r>
    </w:p>
    <w:p>
      <w:pPr>
        <w:pStyle w:val="Heading6"/>
        <w:numPr>
          <w:ilvl w:val="5"/>
          <w:numId w:val="1"/>
        </w:numPr>
        <w:rPr/>
      </w:pPr>
      <w:bookmarkStart w:id="53" w:name="__RefHeading___Toc2473784_653776707"/>
      <w:bookmarkStart w:id="54" w:name="_Toc16"/>
      <w:bookmarkEnd w:id="53"/>
      <w:r>
        <w:rPr>
          <w:rtl w:val="true"/>
        </w:rPr>
        <w:t>الثاني</w:t>
      </w:r>
      <w:r>
        <w:rPr>
          <w:rtl w:val="true"/>
        </w:rPr>
        <w:t xml:space="preserve">: </w:t>
      </w:r>
      <w:r>
        <w:rPr>
          <w:rtl w:val="true"/>
        </w:rPr>
        <w:t>العمل بالرأي والنظر الشخصي</w:t>
      </w:r>
      <w:bookmarkEnd w:id="5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المصطلح الثاني للاجتهاد هوعبارة عن بذل الجهد للتوصل إلى الحكم في واقعة لا نصّ فيها، بالتفكير واستخدام الوسائل المختلفة من قياس أواستحسان أومصالح </w:t>
      </w:r>
    </w:p>
    <w:p>
      <w:pPr>
        <w:pStyle w:val="BookText"/>
        <w:rPr/>
      </w:pPr>
      <w:r>
        <w:rPr>
          <w:rFonts w:ascii="Amiri" w:hAnsi="Amiri" w:eastAsia="Amiri" w:cs="Amiri"/>
          <w:color w:val="111111"/>
          <w:sz w:val="28"/>
          <w:sz w:val="28"/>
          <w:szCs w:val="28"/>
          <w:rtl w:val="true"/>
          <w:lang w:bidi="ar-SA"/>
        </w:rPr>
        <w:t>مرسلة أوترجيحات عقلية ظنية للاستنباط بها فيما لا نصّ فيه</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والفرق بين المصطلحين المتقدمين للاجتهاد أن المعنى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أخصّ من المعنى الثاني الذي یدل علی مطلق العمل بالرأي والنظر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ينبغي ذكره في المقام أنّ العمل بالرأي كما يسمّى بالإجتهاد، كذلك يسمّى بالتأويل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أبوالغادية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متأوّل مجتهد مخطي باغٍ عليه مأجور اجراً واحداً وليس هذا كقتلة عثمان؛ لأنهم لامجال لهم للاجتهاد في قتله</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لاخلاف بين أحد من الأمّة في أن عبدالرحمن بن ملجم لم يقتل علياً إلا متأولاً مجتهداً مقدّراً انه على صوابٍ</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فالعمل بالرأي تارة يسمّى عند فقهاء العامّة بالتأويل وتارة بالإجتهاد</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وتسمية القياس والعمل بالرأي بالإجتهاد الذي هومصطلح عليه في فقه الجمهور، أساسه عبارة عن إعتبار الرأي والنظر الشخصي فالفقيه حيث لا يجد النص، يرجع إلى نظره الخاصّ والإجتهاد بهذا المعنى يعتبر دليلاً من أدلة الفقه ومصدراً من مصادره، كالكتاب والسنة وقد نادت بهذا المعنى للاجتهاد مدارس كبيرة في الفقه السنّي</w:t>
      </w:r>
      <w:r>
        <w:rPr>
          <w:rFonts w:eastAsia="Amiri" w:cs="Amiri" w:ascii="Amiri" w:hAnsi="Amiri"/>
          <w:color w:val="111111"/>
          <w:sz w:val="28"/>
          <w:szCs w:val="28"/>
          <w:rtl w:val="true"/>
          <w:lang w:bidi="ar-SA"/>
        </w:rPr>
        <w:t xml:space="preserve">. </w:t>
      </w:r>
      <w:bookmarkStart w:id="55" w:name="pg8675_122668"/>
    </w:p>
    <w:p>
      <w:pPr>
        <w:pStyle w:val="BookText"/>
        <w:rPr/>
      </w:pPr>
      <w:bookmarkEnd w:id="55"/>
      <w:r>
        <w:rPr>
          <w:rFonts w:ascii="Amiri" w:hAnsi="Amiri" w:eastAsia="Amiri" w:cs="Amiri"/>
          <w:color w:val="111111"/>
          <w:sz w:val="28"/>
          <w:sz w:val="28"/>
          <w:szCs w:val="28"/>
          <w:rtl w:val="true"/>
          <w:lang w:bidi="ar-SA"/>
        </w:rPr>
        <w:t>قال الشهيد الصدر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تتبّع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الكلمة حملت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بالرأي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تستخدم للتعبير عنه منذ عصر الائمة إلى القرن السابع فالروايات المأثورة</w:t>
      </w:r>
      <w:r>
        <w:rPr>
          <w:rStyle w:val="FootnoteAnchor"/>
          <w:rtl w:val="true"/>
        </w:rPr>
        <w:footnoteReference w:id="17"/>
      </w:r>
      <w:r>
        <w:rPr>
          <w:rFonts w:ascii="IRNazanin" w:hAnsi="IRNazanin" w:eastAsia="IRNazanin"/>
          <w:color w:val="111111"/>
          <w:sz w:val="28"/>
          <w:sz w:val="28"/>
          <w:szCs w:val="28"/>
          <w:rtl w:val="true"/>
          <w:lang w:bidi="fa-IR"/>
        </w:rPr>
        <w:t xml:space="preserve">عن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تذّم الإجتهاد وتريد به ذلك المبدأ الفقهي الذي يتخذ من التفكير الشخصي مصدراً من مصادر الحكم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المصطلح الأول للاجتهاد المعتبر عند مدارس كثيرة من الجمهور وخاصة عند مدرسة أبي حنيفة، والمصطلح الثاني الذي ينظرون إليه عموم فقهاء العامة بعين الاعتبار، لا حجيّة ولا إعتبار لهما في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والإجتهاد المذموم والباطل في فقههم هوأحد هذين المعنيين</w:t>
      </w:r>
      <w:r>
        <w:rPr>
          <w:rFonts w:eastAsia="IRNazanin" w:cs="IRNazanin"/>
          <w:color w:val="111111"/>
          <w:sz w:val="28"/>
          <w:szCs w:val="28"/>
          <w:rtl w:val="true"/>
          <w:lang w:bidi="fa-IR"/>
        </w:rPr>
        <w:t>.</w:t>
      </w:r>
    </w:p>
    <w:p>
      <w:pPr>
        <w:pStyle w:val="Heading6"/>
        <w:numPr>
          <w:ilvl w:val="5"/>
          <w:numId w:val="1"/>
        </w:numPr>
        <w:rPr/>
      </w:pPr>
      <w:bookmarkStart w:id="56" w:name="__RefHeading___Toc2473786_653776707"/>
      <w:bookmarkStart w:id="57" w:name="_Toc17"/>
      <w:bookmarkEnd w:id="56"/>
      <w:r>
        <w:rPr>
          <w:rtl w:val="true"/>
        </w:rPr>
        <w:t>الثالث</w:t>
      </w:r>
      <w:r>
        <w:rPr>
          <w:rtl w:val="true"/>
        </w:rPr>
        <w:t xml:space="preserve">: </w:t>
      </w:r>
      <w:r>
        <w:rPr>
          <w:rtl w:val="true"/>
        </w:rPr>
        <w:t>إستكشاف الحكم من أدلّة الشرع</w:t>
      </w:r>
      <w:bookmarkEnd w:id="57"/>
    </w:p>
    <w:p>
      <w:pPr>
        <w:pStyle w:val="BookText"/>
        <w:rPr/>
      </w:pPr>
      <w:r>
        <w:rPr>
          <w:rFonts w:ascii="Amiri" w:hAnsi="Amiri" w:eastAsia="Amiri" w:cs="Amiri"/>
          <w:color w:val="111111"/>
          <w:sz w:val="28"/>
          <w:sz w:val="28"/>
          <w:szCs w:val="28"/>
          <w:rtl w:val="true"/>
          <w:lang w:bidi="ar-SA"/>
        </w:rPr>
        <w:t xml:space="preserve">المصطلح الثالث للاجتهاد هوعبارة عن إستكشاف الحكم الشرعي من أدلته وهوبهذا المعنى لا يكون مصدراً من مصادر التشريع، ولا دليلاً على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المصطلحين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هوعبارة عن إستنباط الحكم الشرعي من أدلته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والإجتهاد بهذا المعنى قد عرّف في المذاهب والمدارس الفقهية المختلفة بعدّة تعريفات، نذكر منها في ما يلي أهمّها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عن ابن الحاجب والعلامة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تعريفهما للاجتهاد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استفراغ</w:t>
      </w:r>
      <w:bookmarkStart w:id="58" w:name="pg8675_122671"/>
    </w:p>
    <w:p>
      <w:pPr>
        <w:pStyle w:val="BookText"/>
        <w:rPr/>
      </w:pPr>
      <w:bookmarkEnd w:id="58"/>
      <w:r>
        <w:rPr>
          <w:rFonts w:ascii="Amiri" w:hAnsi="Amiri" w:eastAsia="Amiri" w:cs="Amiri"/>
          <w:color w:val="111111"/>
          <w:sz w:val="28"/>
          <w:sz w:val="28"/>
          <w:szCs w:val="28"/>
          <w:rtl w:val="true"/>
          <w:lang w:bidi="ar-SA"/>
        </w:rPr>
        <w:t>الوسع لتحصيل الظن بالحكم الشرعي</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وعن الآمدي تعريفه ایّاه بانّه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استفراغ الوسع في طلب الظن بشيء من الأحكام الشرعية على وجه يحسّ من النفس العجز عن المزيد فيه</w:t>
      </w:r>
      <w:r>
        <w:rPr>
          <w:rFonts w:eastAsia="IRNazanin" w:cs="IRNazanin"/>
          <w:color w:val="111111"/>
          <w:sz w:val="28"/>
          <w:szCs w:val="28"/>
          <w:rtl w:val="true"/>
          <w:lang w:bidi="fa-IR"/>
        </w:rPr>
        <w:t>».</w:t>
      </w:r>
      <w:r>
        <w:rPr>
          <w:rStyle w:val="FootnoteAnchor"/>
          <w:rtl w:val="true"/>
        </w:rPr>
        <w:footnoteReference w:id="20"/>
      </w:r>
    </w:p>
    <w:p>
      <w:pPr>
        <w:pStyle w:val="Heading6"/>
        <w:numPr>
          <w:ilvl w:val="5"/>
          <w:numId w:val="1"/>
        </w:numPr>
        <w:rPr/>
      </w:pPr>
      <w:bookmarkStart w:id="59" w:name="__RefHeading___Toc2473788_653776707"/>
      <w:bookmarkStart w:id="60" w:name="_Toc18"/>
      <w:bookmarkEnd w:id="59"/>
      <w:r>
        <w:rPr>
          <w:rtl w:val="true"/>
        </w:rPr>
        <w:t>وأورد عليه</w:t>
      </w:r>
      <w:r>
        <w:rPr>
          <w:rtl w:val="true"/>
        </w:rPr>
        <w:t>:</w:t>
      </w:r>
      <w:bookmarkEnd w:id="60"/>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غير منعكس؛ لأنّ الظن المأخوذ فيه يشمل الظنون غير المعتبرة التي لم يتم الدليل على حجيتها شرعاً فإنّ فقهاء الإسلام عموماً ومن جميع المذاهب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الآخذين بالظنون القياسية والاستحسانية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يعملون بها لكونها من الظنون المعتبرة التي قام الدليل الشرعي بحسب اعتقادهم على إعتبارها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مطّرد؛ لأن الدليل على الحكم الشرعي ليس منحصراً بالظن فهوتفسير بالأخص ولايشمل غيره من العلم بالحكم وغيره ممّا اعتبر من الأدلّة التعبديّة التي لا تفيد الظن ولونوعاً كأصالة البراءة وأصالة الطهارة وأصالة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فالتعريف غير مانع وغير جامع</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ویعرّف الغزالي للاجتهاد بانه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بذل المجتهد وسعه فی طلب العلم بالاحكام</w:t>
      </w:r>
    </w:p>
    <w:p>
      <w:pPr>
        <w:pStyle w:val="BookText"/>
        <w:rPr/>
      </w:pPr>
      <w:r>
        <w:rPr>
          <w:rFonts w:ascii="Amiri" w:hAnsi="Amiri" w:eastAsia="Amiri" w:cs="Amiri"/>
          <w:color w:val="111111"/>
          <w:sz w:val="28"/>
          <w:sz w:val="28"/>
          <w:szCs w:val="28"/>
          <w:rtl w:val="true"/>
          <w:lang w:bidi="ar-SA"/>
        </w:rPr>
        <w:t>الشرعية بحيث يحس في نفسه بالعجز من مزيد 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وعن الخضري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بذل الفقيه وسعه في طلب العلم بالأحكام الشرعية</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يرد على تعريف الغزالي من أنه دوريّ، حيث إنه أخذ المجتهد في تعريف الإجتهاد، انه لواريد من العلم الوارد في هذا التعريف، خصوص العلم الوجداني، وأريد من الحكم الشرعي خصوص الحكم الواقعي فالتعريف غير مطّرد؛ لعدم شموله للأحكام الظاهرية التي يقوم الفقيه بإستنباطها إعتماداً على الأماراتوالأصول العملية، وأما لو أريد من العلم الأعم من الوجداني والتعبّدي ومن الحكم الأعم من الواقعي والظاهري، فلا إشكال عليه من هذه الجهة، ويقع سليماً عمّا 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محتاج إلى ضميمة كلمة الوظائف لتشمل كل ما يتصل بوظائف المجتهدين من عمليات الإستنباط</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فإنه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لوأريد من الحكم الشرعي الأعّم من الواقعي والظاهري فالحكم الظاهري لايختص بمفاد الظنون المعتبرة والأمارات، بل يشمل ما يستفاد من الأصول العملية المتصلة بوظائف المجتهدين ولا فرق بين الأمارات والأصول العملية من هذه الجهة</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عن الميرزا القمي تعريفه للاجتهاد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استفراغ الوسع في تحصيل الحكم الشرعي الفرعي من أدلّته لمن عرف الأدلّة وأحوالها وكان له القوة القدسية</w:t>
      </w:r>
    </w:p>
    <w:p>
      <w:pPr>
        <w:pStyle w:val="BookText"/>
        <w:rPr/>
      </w:pPr>
      <w:r>
        <w:rPr>
          <w:rFonts w:ascii="Amiri" w:hAnsi="Amiri" w:eastAsia="Amiri" w:cs="Amiri"/>
          <w:color w:val="111111"/>
          <w:sz w:val="28"/>
          <w:sz w:val="28"/>
          <w:szCs w:val="28"/>
          <w:rtl w:val="true"/>
          <w:lang w:bidi="ar-SA"/>
        </w:rPr>
        <w:t>التي يتمكن بها من مطلق ردّ الفرع إلى الأصل</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وجاء عن الفقهاء المتأخرين تعريفهم للإجتهاد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ملكة يقتدر بها على إستنباط الأحكام الشرعية</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ذيل تعريفه من ردّ الفرع إلى الأصل، لعلّه إشارة إلى ما روي عن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علينا إلقاء الأصول وعليكم التفريع</w:t>
      </w:r>
      <w:r>
        <w:rPr>
          <w:rFonts w:eastAsia="IRNazanin" w:cs="IRNazanin"/>
          <w:color w:val="111111"/>
          <w:sz w:val="28"/>
          <w:szCs w:val="28"/>
          <w:rtl w:val="true"/>
          <w:lang w:bidi="fa-IR"/>
        </w:rPr>
        <w:t>».</w:t>
      </w:r>
      <w:r>
        <w:rPr>
          <w:rStyle w:val="FootnoteAnchor"/>
          <w:rtl w:val="true"/>
        </w:rPr>
        <w:footnoteReference w:id="28"/>
      </w:r>
      <w:r>
        <w:rPr>
          <w:rFonts w:ascii="Amiri" w:hAnsi="Amiri" w:eastAsia="Amiri" w:cs="Amiri"/>
          <w:color w:val="111111"/>
          <w:sz w:val="28"/>
          <w:sz w:val="28"/>
          <w:szCs w:val="28"/>
          <w:rtl w:val="true"/>
          <w:lang w:bidi="ar-SA"/>
        </w:rPr>
        <w:t xml:space="preserve">وأمّا ما أورد على هذا التعريف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الإجتهاد الذي يعدّ عدلاً للتقليد والاحتياط ليس هوبمعنى الملكة وإنّما معناه تحصيل الحجة على الحكم الشرعي بالفعل، أعني العمل والإستنباط الخارجيين، وإن ملكة الإجتهاد غير ملكة السخاوة والشجاعة ونحوهما من الملكات، إذ الملكة في مثلهما إنما تتحقق بالعمل وبالمزاولة وهذا بخلاف ملكة الإجتهاد لأنها تتوقف على جملة من المبادى‌ء والعلوم وبعد تعلّمها تحصل له ملكة الإستنباط وإن لم يتصد للاستنباط، فإذن العمل أي الإستنباط متأخر عن الملكة</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فيمكن أن يجاب عنه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في الواقع بين ملكة الشجاعة والسخاوة وغيرهما من الملكات وبين ملكة الإجتهاد، فكما ان تحقق تلك الملكات يحتاج إلى العمل والمزاولة، فكذلك ملكة الإجتهاد أيضاً، فانها مما تتوقف على العمل والممارسة، مضافاٌ إلی توقفها على </w:t>
      </w:r>
    </w:p>
    <w:p>
      <w:pPr>
        <w:pStyle w:val="BookText"/>
        <w:rPr/>
      </w:pPr>
      <w:r>
        <w:rPr>
          <w:rFonts w:ascii="Amiri" w:hAnsi="Amiri" w:eastAsia="Amiri" w:cs="Amiri"/>
          <w:color w:val="111111"/>
          <w:sz w:val="28"/>
          <w:sz w:val="28"/>
          <w:szCs w:val="28"/>
          <w:rtl w:val="true"/>
          <w:lang w:bidi="ar-SA"/>
        </w:rPr>
        <w:t>تعلّم المبادى‌ء والعلوم، ومجرد تعلّم المبادىء من الصرف والنحوواصول الفقه وغير ذلك لا يوجب تحقق ملكة الإجتهاد والإستنباط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إذا تحققت بعد تعلّم المبادىء وبعد الاقدام والعمل، فإنه يصدق على صاحب الملكة انه مجتهد وان لم يباشر عمليّة الإستنباط فعلاً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لايترتب على نفس هذه الملكة الأمن من العقاب الناتج عن التقصیر فی المعرفة الاحکام الاّ إذا اشتغل بالاستنباط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ذكر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تعريف الإجتهاد على ما ذكره صاحب الكفاية وايده المحقق الخوئي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تحصيل الحجة على الحكم الشرعي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زائد مستدرك؛لان الإجتهاد هواستفراغ الوسع في تحصيل نفس الحكم الشرعي، ومن المعلوم ان تحصيل الحكم الشرعي لا يمكن ان يتحقق الاّ بالحجة المعتبرة شرعاً فعلى هذا یکون ذكر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التعريف زائداً غير محتاج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يسهّل الخطب ان الإجتهاد تارة يقع وصفاً لقوة الإستنباط والقدرة على تحصيل الحكم الشرعي مثل 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زيد إلى ذروة الإجتهاد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يمكن ان يعرف بالملكة وتارة يطلق على نفس عملية الإستنباط ومباشرة تحصيل الحكم الشرعي مثل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 زيد، أوإجتهاده في المسألة كذا فحينئذٍ لايمكن ان يعرف الإجتهاد بمجرد الملكة والقدرة على الإستنباط</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ان الإجتهاد كما اعترف به السيد الخوئي يكون على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الإجتهاد بمعنى الملكة وقدرة الإستنباط، والإجتهاد بمعنى عمليّة الإستنباط</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والجدير بالذكر، أن كلّ التعاريف التي مرّ ذكرها؛ هی تعاريف لفظيّة تقع في جواب السؤل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الشارحة، وليست واقعة في جواب السؤل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الحقيقية، فانها ليست في مقام بيان حدّ الإجتهاد أورسمه، بل هي في مقام شرحه كما ذکر ذلک فی صاحب الكفاية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فالأنسب ان يقال في تعريف الإجتهاد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ملكة يقتدر بها على استفراغ الوسع في تحصيل الحكم الشرعي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أوأنه عبارة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استفراغ الوسع في تحصيل الحكم الشرعي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وعلى كلّ تقدير فالفرق بين الإجتهاد بمعنى القياس والعمل بالرأي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المعنيين الاوّلين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الإجتهاد بمعنى إستنباط الحكم الشرعي واستخراجه من الادلّة، فرق جوهريّ، فانّه على الاولين يكون بمعنى الذوق الشخصي والرأي الخاص للمجتهد فيكون مصدراً للحكم الشرعي في عرض المصادر الأخرى من الكتاب والسنة والاجماع وغيرها؛ بينما على الثالث لايكون الإجتهاد مصدراً ومنبعاً للحكم، بل هونفس عملية تحصيل المجتهد للعلم بالحكم من الأدلة المعتبرة والحجج الشرعية فالمصدر هوالادلة، وليس نظر المجتهد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هذا، فالذي نجده في روايات الائمة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كلمات العلماء المتقدمين من تابعيهم، كالصدوق والمفيد والسيد المرتضى والشيخ الطوسي وغيرهم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ذمّ الإجتهاد والقول ببطلانه وان الإماميّة لايجوز عندهم العمل بالرأي </w:t>
      </w:r>
      <w:bookmarkStart w:id="61" w:name="pg8675_122686"/>
    </w:p>
    <w:p>
      <w:pPr>
        <w:pStyle w:val="BookText"/>
        <w:rPr/>
      </w:pPr>
      <w:bookmarkEnd w:id="61"/>
      <w:r>
        <w:rPr>
          <w:rFonts w:ascii="Amiri" w:hAnsi="Amiri" w:eastAsia="Amiri" w:cs="Amiri"/>
          <w:color w:val="111111"/>
          <w:sz w:val="28"/>
          <w:sz w:val="28"/>
          <w:szCs w:val="28"/>
          <w:rtl w:val="true"/>
          <w:lang w:bidi="ar-SA"/>
        </w:rPr>
        <w:t>والإجتهاد وان القياس والإجتهاد ليسا بدليلين ومحظور استعمالهما، الى غير ذلك من التعابير الواردة في مقام الردّ على الإجتهاد، فالمراد به إنما هوخصوص المصطلحين الاولين للاجتهاد، واما الإجتهاد بالمعني الثالث والذي هوعبارة عن عمليّة الإستنباط فلا اشكال فيه، وجوازه بل وجوبه من البديهيات والضروريات التي لا غبار عليها</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فإن الإجتهاد في نفسه واجب نفسي كفائي من أجل وجوب الحصول على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وبالنسبة إلى كل مكلف هوواجب تخييري على سبيل منع الخلوّ، فإن المكلف بالنسبة إلى تحصيل الحكم الشرعي يجب عليه إما أن يكون مجتهداً أومقلداًأومحتاطاً</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ثم إن هذا المعني الثالث للاجتهاد هومدار الكلام في موضوع بحثنا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مدارس الاجتهاد ومناهجه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البحث عن القياس والعمل بالرأي وحجيّتهما أوعدمها فموكول إلى البحث عن المذاهب والمدارس الفقهية المختلفة، فإن الاختلاف بين المذاهب الفقهية بالنسبة إلى حجية الرأي والقياس كبير جداً، وسنشير إلى هذا الاختلاف، إن شاء الله، في مجال البحث عن المنهج الإجتهادي لكل مذهب</w:t>
      </w:r>
      <w:r>
        <w:rPr>
          <w:rFonts w:eastAsia="Amiri" w:cs="Amiri" w:ascii="Amiri" w:hAnsi="Amiri"/>
          <w:color w:val="111111"/>
          <w:sz w:val="28"/>
          <w:szCs w:val="28"/>
          <w:rtl w:val="true"/>
          <w:lang w:bidi="ar-SA"/>
        </w:rPr>
        <w:t>.</w:t>
      </w:r>
    </w:p>
    <w:p>
      <w:pPr>
        <w:pStyle w:val="Heading6"/>
        <w:numPr>
          <w:ilvl w:val="5"/>
          <w:numId w:val="1"/>
        </w:numPr>
        <w:rPr/>
      </w:pPr>
      <w:bookmarkStart w:id="62" w:name="__RefHeading___Toc2473790_653776707"/>
      <w:bookmarkStart w:id="63" w:name="_Toc19"/>
      <w:bookmarkEnd w:id="62"/>
      <w:r>
        <w:rPr>
          <w:rtl w:val="true"/>
        </w:rPr>
        <w:t>أمور ينبغي التنبيه عليها</w:t>
      </w:r>
      <w:r>
        <w:rPr>
          <w:rtl w:val="true"/>
        </w:rPr>
        <w:t>:</w:t>
      </w:r>
      <w:bookmarkEnd w:id="6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تعيين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مدلوله في المقام ينبغي التنبيه على عدة أمور</w:t>
      </w:r>
      <w:r>
        <w:rPr>
          <w:rFonts w:eastAsia="Amiri" w:cs="Amiri" w:ascii="Amiri" w:hAnsi="Amiri"/>
          <w:color w:val="111111"/>
          <w:sz w:val="28"/>
          <w:szCs w:val="28"/>
          <w:rtl w:val="true"/>
          <w:lang w:bidi="ar-SA"/>
        </w:rPr>
        <w:t xml:space="preserve">: </w:t>
      </w:r>
      <w:bookmarkStart w:id="64" w:name="pg8675_122690"/>
    </w:p>
    <w:p>
      <w:pPr>
        <w:pStyle w:val="Heading6"/>
        <w:numPr>
          <w:ilvl w:val="5"/>
          <w:numId w:val="1"/>
        </w:numPr>
        <w:rPr/>
      </w:pPr>
      <w:bookmarkStart w:id="65" w:name="__RefHeading___Toc2473792_653776707"/>
      <w:bookmarkStart w:id="66" w:name="_Toc20"/>
      <w:bookmarkEnd w:id="64"/>
      <w:bookmarkEnd w:id="65"/>
      <w:r>
        <w:rPr>
          <w:rtl w:val="true"/>
        </w:rPr>
        <w:t>الأمر الأول</w:t>
      </w:r>
      <w:r>
        <w:rPr>
          <w:rtl w:val="true"/>
        </w:rPr>
        <w:t xml:space="preserve">: </w:t>
      </w:r>
      <w:r>
        <w:rPr>
          <w:rtl w:val="true"/>
        </w:rPr>
        <w:t>أركان الإجتهاد</w:t>
      </w:r>
      <w:bookmarkEnd w:id="66"/>
    </w:p>
    <w:p>
      <w:pPr>
        <w:pStyle w:val="BookText"/>
        <w:rPr/>
      </w:pPr>
      <w:r>
        <w:rPr>
          <w:rFonts w:ascii="Amiri" w:hAnsi="Amiri" w:eastAsia="Amiri" w:cs="Amiri"/>
          <w:color w:val="111111"/>
          <w:sz w:val="28"/>
          <w:sz w:val="28"/>
          <w:szCs w:val="28"/>
          <w:rtl w:val="true"/>
          <w:lang w:bidi="ar-SA"/>
        </w:rPr>
        <w:t>أركان الإجتهاد ومقوماته التي لا تتحقق ماهيته إلا بها، كما هوالظاهر، أربعة</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الركن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المجتهد الذي يمارس عملية الإستنباط لتحصيل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المجتهد فيه؛ أي الحكم الشرعي المجهول الذي يقوم المجتهد باستفراغ وسعه لتحصيله وكشفه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الركن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الادّلة والحجج التي تكون مصدراً للكشف عن الحكم، والتي ببركتها یستطیع المجتهد على تحصيل الحكم واسناده إلى الشارع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الركن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عملية الإجتهاد والإستنباط التي يُقدم عليها المجتهد بالاتكال علىالملكة والقدرة الموجودة لديه للكشف عن الحكم الشرعي المجهول من الأدلّه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المستوفى حول هذه الأركان ومميزاتها وأقسامها موكول إلى محلّه</w:t>
      </w:r>
      <w:r>
        <w:rPr>
          <w:rFonts w:eastAsia="Amiri" w:cs="Amiri" w:ascii="Amiri" w:hAnsi="Amiri"/>
          <w:color w:val="111111"/>
          <w:sz w:val="28"/>
          <w:szCs w:val="28"/>
          <w:rtl w:val="true"/>
          <w:lang w:bidi="ar-SA"/>
        </w:rPr>
        <w:t>.</w:t>
      </w:r>
    </w:p>
    <w:p>
      <w:pPr>
        <w:pStyle w:val="Heading6"/>
        <w:numPr>
          <w:ilvl w:val="5"/>
          <w:numId w:val="1"/>
        </w:numPr>
        <w:rPr/>
      </w:pPr>
      <w:bookmarkStart w:id="67" w:name="__RefHeading___Toc2473794_653776707"/>
      <w:bookmarkStart w:id="68" w:name="_Toc21"/>
      <w:bookmarkEnd w:id="67"/>
      <w:r>
        <w:rPr>
          <w:rtl w:val="true"/>
        </w:rPr>
        <w:t>الأمر الثاني</w:t>
      </w:r>
      <w:r>
        <w:rPr>
          <w:rtl w:val="true"/>
        </w:rPr>
        <w:t xml:space="preserve">: </w:t>
      </w:r>
      <w:r>
        <w:rPr>
          <w:rtl w:val="true"/>
        </w:rPr>
        <w:t>الإجتهاد وحدود دائرته</w:t>
      </w:r>
      <w:bookmarkEnd w:id="68"/>
    </w:p>
    <w:p>
      <w:pPr>
        <w:pStyle w:val="BookText"/>
        <w:rPr/>
      </w:pPr>
      <w:r>
        <w:rPr>
          <w:rFonts w:ascii="Amiri" w:hAnsi="Amiri" w:eastAsia="Amiri" w:cs="Amiri"/>
          <w:color w:val="111111"/>
          <w:sz w:val="28"/>
          <w:sz w:val="28"/>
          <w:szCs w:val="28"/>
          <w:rtl w:val="true"/>
          <w:lang w:bidi="ar-SA"/>
        </w:rPr>
        <w:t>إنّ الذي يجب التأكيد عليه هوأن حدود الإجتهاد وشعاعه ومصبه وموضوعه هوالحكم الشرعي والمسائل الفقهية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الإجتهاد بالمصطلح الفقهي هوعبارة عن الفروع الفقهية والأحكام الشرعية المرتبطة بتكاليف العباد في مختلف مجالاتها، من العبادات والسياسات والمعاملات ووظائفهم الشرعية، الفردية منها والإجتماعية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كما يشمل الإجتهاد في الفروع الفقهية، كذلك يشمل الإجتهاد في أصول الفقه، </w:t>
      </w:r>
      <w:bookmarkStart w:id="69" w:name="pg8675_122693"/>
    </w:p>
    <w:p>
      <w:pPr>
        <w:pStyle w:val="BookText"/>
        <w:rPr/>
      </w:pPr>
      <w:bookmarkEnd w:id="69"/>
      <w:r>
        <w:rPr>
          <w:rFonts w:ascii="Amiri" w:hAnsi="Amiri" w:eastAsia="Amiri" w:cs="Amiri"/>
          <w:color w:val="111111"/>
          <w:sz w:val="28"/>
          <w:sz w:val="28"/>
          <w:szCs w:val="28"/>
          <w:rtl w:val="true"/>
          <w:lang w:bidi="ar-SA"/>
        </w:rPr>
        <w:t>وأمّا الإجتهاد في أصول الدين وما يرتبط بالعقائد الدينية، من التوحيد والنّبوة والمعاد وما إلى ذلك، فهوخارج عن محلّ البحث في هذا المقام، وإنما يتولى البحث عنها العلوم المرتبطة بها كعلم‌الكلام والفلسفة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يجب التأكيد عليه هنا هوأن الإجتهاد الفقهي الذي يعبّر عنه بسر حياة المجتمع الإسلامي عبر الزمن، من عصر ظهور الإسلام إلى يوم القيامة، لا يختص بشأن دون شأ،ن بل له مجال واسع يعهم جميع الشؤن المرتبطة بالبشر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ووظيفة المجتهد، هي القيام بعملية الإستنباط من أجل اكتشاف الحكم الشرعي في نطاق العبادات والمسائل المرتبطة بحياة الإنسان الفردية، كذلك من وظيفته التصدي لتحصيل الوظائف الشرعية للعباد والأحكام المختصة بهم في المجالات الأخرى من الأمور الإجتماعية والسياسية وغير ذلك ممّا له صلة بحياة الإنسان وهذه الخاصيةللاجتهاد تجعله غير منحصر بزمان دون زمان ومكان دون مكان، وهذه المنزلة الرفيعة هي التي ادت بالشهيد المطهري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وصفه بأنه معجزة الإسلام، وهي التي دعت ابن سينا إلى القول بلزوم وجود مجتهد في كلّ زمان، وهي التي أدت بالبعض إلى القول في شأنه وأهمّيته بأنّه القوّة المحركة للإسلام</w:t>
      </w:r>
      <w:r>
        <w:rPr>
          <w:rFonts w:eastAsia="Amiri" w:cs="Amiri" w:ascii="Amiri" w:hAnsi="Amiri"/>
          <w:color w:val="111111"/>
          <w:sz w:val="28"/>
          <w:szCs w:val="28"/>
          <w:rtl w:val="true"/>
          <w:lang w:bidi="ar-SA"/>
        </w:rPr>
        <w:t>.</w:t>
      </w:r>
      <w:r>
        <w:rPr>
          <w:rStyle w:val="FootnoteAnchor"/>
          <w:rtl w:val="true"/>
        </w:rPr>
        <w:footnoteReference w:id="35"/>
      </w:r>
    </w:p>
    <w:p>
      <w:pPr>
        <w:pStyle w:val="Heading6"/>
        <w:numPr>
          <w:ilvl w:val="5"/>
          <w:numId w:val="1"/>
        </w:numPr>
        <w:rPr/>
      </w:pPr>
      <w:bookmarkStart w:id="70" w:name="__RefHeading___Toc2473796_653776707"/>
      <w:bookmarkStart w:id="71" w:name="_Toc22"/>
      <w:bookmarkEnd w:id="70"/>
      <w:r>
        <w:rPr>
          <w:rtl w:val="true"/>
        </w:rPr>
        <w:t>الأمر الثالث</w:t>
      </w:r>
      <w:r>
        <w:rPr>
          <w:rtl w:val="true"/>
        </w:rPr>
        <w:t xml:space="preserve">: </w:t>
      </w:r>
      <w:r>
        <w:rPr>
          <w:rtl w:val="true"/>
        </w:rPr>
        <w:t>أقسام الإجتهاد</w:t>
      </w:r>
      <w:bookmarkEnd w:id="7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للاجتهاد، بإعتبارات مختلفة، تقسيمات متفاوته، كتقسيمه إلى الخاطئ والمصيب، أوتقسيمه إلى التجزي والمطلق، وتقسيمه إلى العقلي والشرعي، وهناك تقسيم آخر </w:t>
      </w:r>
    </w:p>
    <w:p>
      <w:pPr>
        <w:pStyle w:val="BookText"/>
        <w:rPr/>
      </w:pPr>
      <w:r>
        <w:rPr>
          <w:rFonts w:ascii="Amiri" w:hAnsi="Amiri" w:eastAsia="Amiri" w:cs="Amiri"/>
          <w:color w:val="111111"/>
          <w:sz w:val="28"/>
          <w:sz w:val="28"/>
          <w:szCs w:val="28"/>
          <w:rtl w:val="true"/>
          <w:lang w:bidi="ar-SA"/>
        </w:rPr>
        <w:t>للاجتهاد، بلحاظ مراتب المجتهدين، وهوبهذا اللحاظ ينقسم إلى القسمين التاليين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الإجتهاد المستقل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وهوان يجتهد الفقيه في استخراج منهاج له في إجتهاده، على نحويكون مستقلاً في منهاجه، وفي استخراج الأحكام على وفق هذا المنهاج، كاجتهاد أئمة المذاهب الأربعة</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الإجتهاد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وهوأن يجتهد في إطار مذهب معين على وفق أصول الإجتهاد التي قرّرها إمام ذلك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القسم بدوره ينقسم إلى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الإجتهاد في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وهوأن يجتهد الفقيه المنتسب إلى مذهب معين على وفق أصول ذلك المذهب، ومع ذلك قد يخالف مذهب زعيمه في بعض الأحكام الفرعية، ومن هؤاء الحسن بنزياد من المذهب الحنفي، والمازني من المذهب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الإجتهاد في المسائل التي لارواية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يروعن إمام المذهب شيء في المسألة فالمجتهد المقيد يجتهد وفق الأصول المجعولة من قبل إمام المذهب، وبالقياس على ما اجتهد فيها من الفروع، ومن أمثلة هؤلاء الكرخي من المذهب الحنفي، وابن رشد من المذهب المالكي، والغزالي من المذهب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إجتهاد أهل التخريج</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هوالإجتهاد الذي لايتجاوز تفسير قول مجمل من أقوال امام مذهبه أوتعيين وجه </w:t>
      </w:r>
    </w:p>
    <w:p>
      <w:pPr>
        <w:pStyle w:val="BookText"/>
        <w:rPr/>
      </w:pPr>
      <w:r>
        <w:rPr>
          <w:rFonts w:ascii="Amiri" w:hAnsi="Amiri" w:eastAsia="Amiri" w:cs="Amiri"/>
          <w:color w:val="111111"/>
          <w:sz w:val="28"/>
          <w:sz w:val="28"/>
          <w:szCs w:val="28"/>
          <w:rtl w:val="true"/>
          <w:lang w:bidi="ar-SA"/>
        </w:rPr>
        <w:t>لحكم ذهب إليه إمام مذهبه يحتمل وجهين، ويكون إليه المرجع في إزالة الخفاء والغموض عن بعض أقوال الأئمة وأحكامهم، ومن هؤلاء الجصاص من علماء المذهب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إجتهاد أهل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ويراد به الموازنة بين ما روي عن ائمتهم من الروايات المختلفة، وترجيح بعضها على بعض، من جهة الرواية أومن جهة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أصح رواية أوهذا أوفق للقياس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هؤلاء القدوري من علماء الحنفية</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ثم إنه لايخفي أن في تقسيم الإجتهاد إلى المستقل والمقيد، نوع من المسامحة وعدم الدقة، فإن هذا التقسيم أشبه بتقسيم الشيء إلى نفسه وإلى غيره؛ لأن المجتهدالمقيد بمذهب خاص، هوفي الواقع مقلد لإمام ذلك المذهب، وإن اطلق عليه المجتهد تسامحاً؛ لأنه لاينتهي باستنباطه إلى حكم شرعي جديد غير الحكم الذي قال به إمام مذهبه، بل غاية ما ينتهي إليه هورأي إمامه، وإلا فمع انتهائه إلى الحكم الشرعي وقيام الحجه لديه لا يسوغ له التقیّد التقليد بأصول مذهبه والسير ضمن إطاره الخاص، وربما إختلف مع إمام المذهب في أصل، من الأصول فما الذي يصنعه إذ ذاك؟ فهو يقلد امام مذهبه ولا يخرج عن إطاره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إجتهاد الشيعة ليس من قبيل الإجتهاد المطلق؛ لأن المجتهد </w:t>
      </w:r>
      <w:bookmarkStart w:id="72" w:name="pg8675_122702"/>
    </w:p>
    <w:p>
      <w:pPr>
        <w:pStyle w:val="BookText"/>
        <w:rPr/>
      </w:pPr>
      <w:bookmarkEnd w:id="72"/>
      <w:r>
        <w:rPr>
          <w:rFonts w:ascii="Amiri" w:hAnsi="Amiri" w:eastAsia="Amiri" w:cs="Amiri"/>
          <w:color w:val="111111"/>
          <w:sz w:val="28"/>
          <w:sz w:val="28"/>
          <w:szCs w:val="28"/>
          <w:rtl w:val="true"/>
          <w:lang w:bidi="ar-SA"/>
        </w:rPr>
        <w:t>الشيعي يسير في إجتهاده على خط مرسوم لايعدوه ولايبتعد عنه يُمنة ولا يُسرة</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 xml:space="preserve">فهوناش من التغافل عن دور الإمام ووظيفته لدى الشيعة، والذي يبدوأن المتوهم يري أنّ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مجتهدون في كل ما يأتون به وحسابهم حساب بقية أئمة المذاهب مع أن الشيعة يرونهم المصدر الثاني للتشريع بعد الكتاب الكريم؛ ولذلك اعتبروا أن ما يأتون به أنه من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من هذه الناحية كالنبي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والفارق بينهم وبين النبي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يتلقى الوحي،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يتلقون ما يوحي به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طريقه</w:t>
      </w:r>
      <w:r>
        <w:rPr>
          <w:rFonts w:eastAsia="IRNazanin" w:cs="IRNazanin"/>
          <w:color w:val="111111"/>
          <w:sz w:val="28"/>
          <w:szCs w:val="28"/>
          <w:rtl w:val="true"/>
          <w:lang w:bidi="fa-IR"/>
        </w:rPr>
        <w:t>.</w:t>
      </w:r>
      <w:r>
        <w:rPr>
          <w:rStyle w:val="FootnoteAnchor"/>
          <w:rtl w:val="true"/>
        </w:rPr>
        <w:footnoteReference w:id="39"/>
      </w:r>
    </w:p>
    <w:p>
      <w:pPr>
        <w:pStyle w:val="Heading6"/>
        <w:numPr>
          <w:ilvl w:val="5"/>
          <w:numId w:val="1"/>
        </w:numPr>
        <w:rPr/>
      </w:pPr>
      <w:bookmarkStart w:id="73" w:name="__RefHeading___Toc2473798_653776707"/>
      <w:bookmarkStart w:id="74" w:name="_Toc23"/>
      <w:bookmarkEnd w:id="73"/>
      <w:r>
        <w:rPr>
          <w:rtl w:val="true"/>
        </w:rPr>
        <w:t>الأمر الرابع</w:t>
      </w:r>
      <w:r>
        <w:rPr>
          <w:rtl w:val="true"/>
        </w:rPr>
        <w:t xml:space="preserve">: </w:t>
      </w:r>
      <w:r>
        <w:rPr>
          <w:rtl w:val="true"/>
        </w:rPr>
        <w:t>الاخبارية والإجتهاد</w:t>
      </w:r>
      <w:bookmarkEnd w:id="74"/>
    </w:p>
    <w:p>
      <w:pPr>
        <w:pStyle w:val="BookText"/>
        <w:rPr/>
      </w:pPr>
      <w:r>
        <w:rPr>
          <w:rFonts w:ascii="IRNazanin" w:hAnsi="IRNazanin" w:eastAsia="IRNazanin"/>
          <w:color w:val="111111"/>
          <w:sz w:val="28"/>
          <w:sz w:val="28"/>
          <w:szCs w:val="28"/>
          <w:rtl w:val="true"/>
          <w:lang w:bidi="fa-IR"/>
        </w:rPr>
        <w:t>بعد ذكر المعانی المختلفة لمصطلح الإجتهاد ومدلوله، وبعد تحديد محلّ البحث الفعليّ، يجب أن ننبّه علی أنّه یدخل في موضوع بحثنا جميع المناهج والمذاهب الفقهية، من العامّة والخاصّة والمحدّث والاخباري والأصولي، فكما أنّ الأصوليمجتهد له منهج خاصّ في طريق تحصيل الحكم الشرعي، فكذلك الاخباري فهوأيضاً مجتهد وله طريقة خاصّة في إستنباط الحكم الشرعي</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ينسب إلى المدرسة الاخبارية من القول بنفي الإجتهاد وحرمته، فهوصحيح إذا كان المراد من هذا القول العمل بالرأي والقياس وما شابهه فإن النزاع الرئيسي بين المدرسة الأصولية والاخبارية منحصر في بعض أدلة التشريع ومصادره، </w:t>
      </w:r>
    </w:p>
    <w:p>
      <w:pPr>
        <w:pStyle w:val="BookText"/>
        <w:rPr/>
      </w:pPr>
      <w:r>
        <w:rPr>
          <w:rFonts w:ascii="Amiri" w:hAnsi="Amiri" w:eastAsia="Amiri" w:cs="Amiri"/>
          <w:color w:val="111111"/>
          <w:sz w:val="28"/>
          <w:sz w:val="28"/>
          <w:szCs w:val="28"/>
          <w:rtl w:val="true"/>
          <w:lang w:bidi="ar-SA"/>
        </w:rPr>
        <w:t xml:space="preserve">كالعقل والاجماع والرجوع إلى ظواهر الكتاب، وإلا فالاخباري أيضاً عندما يحاول إستكشاف الحكم الشرعي لابدّ أن يتمتّع بملكة، يستطيع بها أن يرجع إلى الكتاب والسنة وأن يستنبط منهما الحكم الشرعي، وكما قال الشيخ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الاخبارية إن لم يجتهدوا في المقدمات التي يتوقف عليها فهم الأخبار، فقد خرجوا عن طريقة الإمامية، فالمجتهد أخباري عند التحقيق والاخباري مجتهد بعد النظر الدقيق</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وقال صاحب الكفاية بعد تعريف الإجتهاد ومدلوله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لاوجه لتأبّي الاخباري عن الإجتهاد بهذا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استفراغ الوسع لتحصيل الحجّة على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لامحيص عنه كما لايخفى، غاية الأمر له أن ينازع في حجّية بعض ما يقول الأصولي بإعتباره ويمنع عنها، وهوغير ضائر بالاتفاق على صحّة الإجتهاد بذاك المعنى، ضرورة أنه ربما يقع بين الاخباريين كما وقع بينهم وبين الأصوليين</w:t>
      </w:r>
      <w:r>
        <w:rPr>
          <w:rFonts w:eastAsia="Amiri" w:cs="Amiri" w:ascii="Amiri" w:hAnsi="Amiri"/>
          <w:color w:val="111111"/>
          <w:sz w:val="28"/>
          <w:szCs w:val="28"/>
          <w:rtl w:val="true"/>
          <w:lang w:bidi="ar-SA"/>
        </w:rPr>
        <w:t>».</w:t>
      </w:r>
      <w:r>
        <w:rPr>
          <w:rStyle w:val="FootnoteAnchor"/>
          <w:rtl w:val="true"/>
        </w:rPr>
        <w:footnoteReference w:id="4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فالبحث عن منهج الاخبارية ومذهبهم في الإستنباط يدخل في نطاق بحثنا، كما يدخل أيضاً سائر المناهج والمدارس الفقهية والأصولّية، والبحث عنصحّة الإجتهاد وجوازه بالمعني الثالث المجمع عليه عند جميع المذاهب والمدارس الفقهية الإسلامية</w:t>
      </w:r>
      <w:r>
        <w:rPr>
          <w:rFonts w:eastAsia="Amiri" w:cs="Amiri" w:ascii="Amiri" w:hAnsi="Amiri"/>
          <w:color w:val="111111"/>
          <w:sz w:val="28"/>
          <w:szCs w:val="28"/>
          <w:rtl w:val="true"/>
          <w:lang w:bidi="ar-SA"/>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8675_122710"/>
      <w:bookmarkStart w:id="76" w:name="pg8675_122710"/>
      <w:bookmarkEnd w:id="76"/>
    </w:p>
    <w:p>
      <w:pPr>
        <w:pStyle w:val="Heading4"/>
        <w:numPr>
          <w:ilvl w:val="3"/>
          <w:numId w:val="1"/>
        </w:numPr>
        <w:rPr/>
      </w:pPr>
      <w:bookmarkStart w:id="77" w:name="pg8675_122710"/>
      <w:bookmarkStart w:id="78" w:name="__RefHeading___Toc2473800_653776707"/>
      <w:bookmarkStart w:id="79" w:name="_Toc24"/>
      <w:bookmarkEnd w:id="77"/>
      <w:bookmarkEnd w:id="78"/>
      <w:r>
        <w:rPr>
          <w:rtl w:val="true"/>
        </w:rPr>
        <w:t>المبحث الثاني التعريف بالمنهج</w:t>
      </w:r>
      <w:bookmarkEnd w:id="79"/>
    </w:p>
    <w:p>
      <w:pPr>
        <w:pStyle w:val="Heading5"/>
        <w:numPr>
          <w:ilvl w:val="4"/>
          <w:numId w:val="1"/>
        </w:numPr>
        <w:rPr/>
      </w:pPr>
      <w:bookmarkStart w:id="80" w:name="__RefHeading___Toc2473802_653776707"/>
      <w:bookmarkStart w:id="81" w:name="_Toc25"/>
      <w:bookmarkEnd w:id="80"/>
      <w:r>
        <w:rPr/>
        <w:t>1</w:t>
      </w:r>
      <w:r>
        <w:rPr>
          <w:rtl w:val="true"/>
        </w:rPr>
        <w:t xml:space="preserve">) </w:t>
      </w:r>
      <w:r>
        <w:rPr>
          <w:rtl w:val="true"/>
        </w:rPr>
        <w:t>المنهج لغةً</w:t>
      </w:r>
      <w:r>
        <w:rPr>
          <w:rtl w:val="true"/>
        </w:rPr>
        <w:t>:</w:t>
      </w:r>
      <w:bookmarkEnd w:id="8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المنهج والمنهاج جمعه المناهج من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ومعني النهج الطريق الواضح،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الأمر وأنهج أي وضح، 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واضح، وسبيل 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كنهج ومنهج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وَضحُه والمنهاج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كالمنهج</w:t>
      </w:r>
      <w:r>
        <w:rPr>
          <w:rFonts w:eastAsia="IRNazanin" w:cs="IRNazanin"/>
          <w:color w:val="111111"/>
          <w:sz w:val="28"/>
          <w:szCs w:val="28"/>
          <w:rtl w:val="true"/>
          <w:lang w:bidi="fa-IR"/>
        </w:rPr>
        <w:t>.</w:t>
      </w:r>
      <w:r>
        <w:rPr>
          <w:rStyle w:val="FootnoteAnchor"/>
          <w:rtl w:val="true"/>
        </w:rPr>
        <w:footnoteReference w:id="42"/>
      </w:r>
      <w:r>
        <w:rPr>
          <w:rFonts w:ascii="Amiri" w:hAnsi="Amiri" w:eastAsia="Amiri" w:cs="Amiri"/>
          <w:color w:val="111111"/>
          <w:sz w:val="28"/>
          <w:sz w:val="28"/>
          <w:szCs w:val="28"/>
          <w:rtl w:val="true"/>
          <w:lang w:bidi="ar-SA"/>
        </w:rPr>
        <w:t>وفي دعاء العهد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وَعَجِّلْ فَرَجَهُ، وَسَهِّلْ مَخْرَجَهُ، وَاَوْسِعْ مَنْهَجَهُ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الدعاء السيفي الصغير المعروف بدعاء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وَسَهِّلْ لى مَناهِجَ الْوُصْلَةِ والْوُصُولِ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 قَلْبي وَسِرّي بِالاْءِطِّلاعِ عَلى مَناهِجِ مَساعيكَ</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جَعَلْنا مِنْكُمْ شِرْعَةً ومِنْهاجاً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فالشرعة والشريعة واحد وهي الطريقة الظاهرة، وفي الأصل هي الطريق إلى الماء، شبّه بها الدين؛ لأنه طريق إلى ما هوسبب الحياة الأبديّة، ومنهاجاً أي سبيلاً واضحاً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المنهاج الطريق المستمر،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الشرعة ابتداء الطريق، والمنهاج الطريق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الالفاظ إذا تكررت فلزيادة الفائدة</w:t>
      </w:r>
      <w:r>
        <w:rPr>
          <w:rFonts w:eastAsia="Amiri" w:cs="Amiri" w:ascii="Amiri" w:hAnsi="Amiri"/>
          <w:color w:val="111111"/>
          <w:sz w:val="28"/>
          <w:szCs w:val="28"/>
          <w:rtl w:val="true"/>
          <w:lang w:bidi="ar-SA"/>
        </w:rPr>
        <w:t>.</w:t>
      </w:r>
      <w:r>
        <w:rPr>
          <w:rStyle w:val="FootnoteAnchor"/>
          <w:rtl w:val="true"/>
        </w:rPr>
        <w:footnoteReference w:id="44"/>
      </w:r>
      <w:bookmarkStart w:id="82" w:name="pg8675_122713"/>
    </w:p>
    <w:p>
      <w:pPr>
        <w:pStyle w:val="BookText"/>
        <w:rPr/>
      </w:pPr>
      <w:bookmarkEnd w:id="82"/>
      <w:r>
        <w:rPr>
          <w:rFonts w:ascii="Amiri" w:hAnsi="Amiri" w:eastAsia="Amiri" w:cs="Amiri"/>
          <w:color w:val="111111"/>
          <w:sz w:val="28"/>
          <w:sz w:val="28"/>
          <w:szCs w:val="28"/>
          <w:rtl w:val="true"/>
          <w:lang w:bidi="ar-SA"/>
        </w:rPr>
        <w:t>وفي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فَهُوأَبْلَجُ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اشدّ الطرق وضوحاً، وأيضاً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لَعَلَى بَيِّنَةٍ مِنْ رَبِّي، ومِنْهَاجٍ مِنْ نَبِيِّي، وَإِنِّي لَعَلَى الطَّرِيقِ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أَنَّكُمْ إِنِ اتَّبَعْتُمُ الدَّاعِيَ لَكُمْ، سَلَكَ بِكُمْ مِنْهَاجَ الرَّسُولِ</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وعلى هذا، فالمدلول اللغوي لكلمة المنهج، وموارد استعمالها في العرف والكتاب والسنّة هوالطريق الظاهر الواضح</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2473804_653776707"/>
      <w:bookmarkStart w:id="84" w:name="_Toc26"/>
      <w:bookmarkEnd w:id="83"/>
      <w:r>
        <w:rPr/>
        <w:t>2</w:t>
      </w:r>
      <w:r>
        <w:rPr>
          <w:rtl w:val="true"/>
        </w:rPr>
        <w:t xml:space="preserve">) </w:t>
      </w:r>
      <w:r>
        <w:rPr>
          <w:rtl w:val="true"/>
        </w:rPr>
        <w:t>المنهج إصطلاحاً</w:t>
      </w:r>
      <w:r>
        <w:rPr>
          <w:rtl w:val="true"/>
        </w:rPr>
        <w:t>:</w:t>
      </w:r>
      <w:bookmarkEnd w:id="84"/>
    </w:p>
    <w:p>
      <w:pPr>
        <w:pStyle w:val="BookText"/>
        <w:rPr/>
      </w:pPr>
      <w:r>
        <w:rPr>
          <w:rFonts w:ascii="Amiri" w:hAnsi="Amiri" w:eastAsia="Amiri" w:cs="Amiri"/>
          <w:color w:val="111111"/>
          <w:sz w:val="28"/>
          <w:sz w:val="28"/>
          <w:szCs w:val="28"/>
          <w:rtl w:val="true"/>
          <w:lang w:bidi="ar-SA"/>
        </w:rPr>
        <w:t>كان الكلام بحسب الوضع اللغوي والإستعمال العرفي، وأمّا على المستوى العلمي الإصطلاحى فالمنهج يستعمل قريباً من معناه اللغوي ولا تفاوت جوهري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يعرّف المنهج في البحوث العلميّة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 التنظيم الصحيح لسلسلة الأفكار العديدة، إما من أجل الكشف عن الحقيقة، حين نكون بها جاهلين، وإمّا من اجل البرهنة عليها للآخرين حين نكون عارفين بها</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التعريف غير مطّرد وغير جامع؛ لأجل اختصاصه بالعلوم المبتنية على الفكر </w:t>
      </w:r>
    </w:p>
    <w:p>
      <w:pPr>
        <w:pStyle w:val="BookText"/>
        <w:rPr/>
      </w:pPr>
      <w:r>
        <w:rPr>
          <w:rFonts w:ascii="IRNazanin" w:hAnsi="IRNazanin" w:eastAsia="IRNazanin"/>
          <w:color w:val="111111"/>
          <w:sz w:val="28"/>
          <w:sz w:val="28"/>
          <w:szCs w:val="28"/>
          <w:rtl w:val="true"/>
          <w:lang w:bidi="fa-IR"/>
        </w:rPr>
        <w:t>والنظر، والذي ينبغي أن يقال في توضيح هذا اللغة الفارسیّة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وباللغة الانجليزية ب</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method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هوعبارة عن السبك والأسلوب الخاص الذي يسلكه صاحب كل فرع من الفروع العلمية للتوصل إلى النتائج المرجوّة والغاية المطلوبة، فإنّ لكل فرع من الفروع العلمية أسلوب وطريقة خاصة للتحقيق والتعليم والتعلّم يقالله منهجه، الذي يتفاوت عن منهج سائر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فمنهج بعض العلوم إستقرائي أوتجريبي وبعضها إستدلالي وبرهاني، فأسلوب البحث الفلسفي يختلف عن أسلوب البحث الفيزيائي والكيميائي، وسبك الشعر يختلف عن سبك الطبّ، كما أنّ العلوم الأدبية لها أسلوب خاص، لا يمكن نيل الغاية المطلوبة منها، إلاّ بالسلوك على نهجها الخاص والالتزام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فبالإمكان تقسيم العلوم بلحاظ مناهجها إلى العلوم العقلية والنقلية والتجريبية، فالمنهج على اختلاف أنواعه ومجالاته عبارة عن عملية تنظيميّة، تسير وفق ترتيب منطقي، يتلائم وطبيعة البحث، وبذلك يظهر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 فرع من العلوم الإسلامية له منهج خاص، لابدّ للطالب ان يراعيه للتوصل إلى الغاية المرجوّة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 لكل فرع من الفروع العلميّة منهج خاص للتحقيق، فلربّما يتشعّب هذا المنهج الرئيسي والأصلي في ذلك العلم إلى شعوب مختلفة وأقسام متفاوته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منهج خاصّ، ومع ذلك نجد انه في نفس علم الطبّ توجد مناهج مختلفة، كالطب النباتي والطب الكيمياوي، وغير ذلك من مناهج التحقيق الطبيية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 علم الطب، علم الفقه، فإنه مع وجود منهج خاصّ به توجد في دائرة منهجه مناهج مختلفة، يتفاوت كلّ منها عن غيره في المنهجيّه والسلوك العلمي، وهذا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هوالمراد مما ورد في عنوان بحثنا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الإجتهاد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فالهدف الأساسي من البحث هوالتعرّف على المناهج المرتبطة بالإجتهاد وإستنباط الأحكام وتمييز كلّ منها عن غيره</w:t>
      </w:r>
      <w:r>
        <w:rPr>
          <w:rFonts w:eastAsia="Amiri" w:cs="Amiri" w:ascii="Amiri" w:hAnsi="Amiri"/>
          <w:color w:val="111111"/>
          <w:sz w:val="28"/>
          <w:szCs w:val="28"/>
          <w:rtl w:val="true"/>
          <w:lang w:bidi="ar-SA"/>
        </w:rPr>
        <w:t xml:space="preserve">. </w:t>
      </w:r>
      <w:bookmarkStart w:id="85" w:name="pg8675_122722"/>
    </w:p>
    <w:p>
      <w:pPr>
        <w:pStyle w:val="Heading4"/>
        <w:numPr>
          <w:ilvl w:val="3"/>
          <w:numId w:val="1"/>
        </w:numPr>
        <w:rPr/>
      </w:pPr>
      <w:bookmarkStart w:id="86" w:name="__RefHeading___Toc2473806_653776707"/>
      <w:bookmarkStart w:id="87" w:name="_Toc27"/>
      <w:bookmarkEnd w:id="85"/>
      <w:bookmarkEnd w:id="86"/>
      <w:r>
        <w:rPr>
          <w:rtl w:val="true"/>
        </w:rPr>
        <w:t>المبحث الثالث التعريف بالمدارس والمذاهب</w:t>
      </w:r>
      <w:bookmarkEnd w:id="87"/>
    </w:p>
    <w:p>
      <w:pPr>
        <w:pStyle w:val="Heading5"/>
        <w:numPr>
          <w:ilvl w:val="4"/>
          <w:numId w:val="1"/>
        </w:numPr>
        <w:rPr/>
      </w:pPr>
      <w:bookmarkStart w:id="88" w:name="__RefHeading___Toc2473808_653776707"/>
      <w:bookmarkStart w:id="89" w:name="_Toc28"/>
      <w:bookmarkEnd w:id="88"/>
      <w:r>
        <w:rPr/>
        <w:t>1</w:t>
      </w:r>
      <w:r>
        <w:rPr>
          <w:rtl w:val="true"/>
        </w:rPr>
        <w:t xml:space="preserve">) </w:t>
      </w:r>
      <w:r>
        <w:rPr>
          <w:rtl w:val="true"/>
        </w:rPr>
        <w:t>المدرسِة لغةً</w:t>
      </w:r>
      <w:r>
        <w:rPr>
          <w:rtl w:val="true"/>
        </w:rPr>
        <w:t>:</w:t>
      </w:r>
      <w:bookmarkEnd w:id="89"/>
    </w:p>
    <w:p>
      <w:pPr>
        <w:pStyle w:val="BookText"/>
        <w:rPr/>
      </w:pPr>
      <w:r>
        <w:rPr>
          <w:rFonts w:ascii="Amiri" w:hAnsi="Amiri" w:eastAsia="Amiri" w:cs="Amiri"/>
          <w:color w:val="111111"/>
          <w:sz w:val="28"/>
          <w:sz w:val="28"/>
          <w:szCs w:val="28"/>
          <w:rtl w:val="true"/>
          <w:lang w:bidi="ar-SA"/>
        </w:rPr>
        <w:t>المدرسة من درس والدال والراء والسين أصل واحد، يدلّ على خَفاء وخفض وعفاءٍ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فالدرس الطريق 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المنزل، عفا ومن الباب الدريس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الخلق</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السورة أي حفظتها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تدارسوا القرآن، أي اقرؤه وتعهدوه لئلا تنسوه، وأصل 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الرياضة والتعهد للشئ</w:t>
      </w:r>
      <w:r>
        <w:rPr>
          <w:rStyle w:val="FootnoteAnchor"/>
          <w:rtl w:val="true"/>
        </w:rPr>
        <w:footnoteReference w:id="48"/>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ودَرَسُوا ما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اقرؤا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ودراستهم قرائتهم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ودرس الكتاب للحفظ كرّر قرائته درساً ودراسة</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وفي المصباح المنير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المدرسة بفتح الميم موضع الدرس ومِدارس اليهود كنيستهم والجمع مداريس مثل مفتاح ومفاتيح</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أقرب الموارد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المدرسة الموضع الذی تتعلّم فيه الطلبة والموضع الذي يقرأ </w:t>
      </w:r>
      <w:bookmarkStart w:id="90" w:name="pg8675_122724"/>
    </w:p>
    <w:p>
      <w:pPr>
        <w:pStyle w:val="BookText"/>
        <w:rPr/>
      </w:pPr>
      <w:bookmarkEnd w:id="90"/>
      <w:r>
        <w:rPr>
          <w:rFonts w:ascii="Amiri" w:hAnsi="Amiri" w:eastAsia="Amiri" w:cs="Amiri"/>
          <w:color w:val="111111"/>
          <w:sz w:val="28"/>
          <w:sz w:val="28"/>
          <w:szCs w:val="28"/>
          <w:rtl w:val="true"/>
          <w:lang w:bidi="ar-SA"/>
        </w:rPr>
        <w:t>فيه القرآن وغيره</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ماذكره أئمة اللغة أن المدرسة تدل على الموضع والمكان الممهّد للتعلم والتعليم، ومن الجدير بالذكر أنّ كلمة المعهد أيضاً ربما يراد منها موضع التعليم، فمعهد اللغات مثلاً هوالموضع الذي يعلّم فيه اللغة</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2473810_653776707"/>
      <w:bookmarkStart w:id="92" w:name="_Toc29"/>
      <w:bookmarkEnd w:id="91"/>
      <w:r>
        <w:rPr/>
        <w:t>2</w:t>
      </w:r>
      <w:r>
        <w:rPr>
          <w:rtl w:val="true"/>
        </w:rPr>
        <w:t xml:space="preserve">) </w:t>
      </w:r>
      <w:r>
        <w:rPr>
          <w:rtl w:val="true"/>
        </w:rPr>
        <w:t>المدارس اصطلاحاً</w:t>
      </w:r>
      <w:r>
        <w:rPr>
          <w:rtl w:val="true"/>
        </w:rPr>
        <w:t>:</w:t>
      </w:r>
      <w:bookmarkEnd w:id="92"/>
    </w:p>
    <w:p>
      <w:pPr>
        <w:pStyle w:val="BookText"/>
        <w:rPr/>
      </w:pPr>
      <w:r>
        <w:rPr>
          <w:rFonts w:ascii="Amiri" w:hAnsi="Amiri" w:eastAsia="Amiri" w:cs="Amiri"/>
          <w:color w:val="111111"/>
          <w:sz w:val="28"/>
          <w:sz w:val="28"/>
          <w:szCs w:val="28"/>
          <w:rtl w:val="true"/>
          <w:lang w:bidi="ar-SA"/>
        </w:rPr>
        <w:t>شاع في البحوث العلمية استعمال لفظ المدرسة من قبيل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المدارس الفلسفية أوالمدارس الفقهية، كمدرسة أهل الحديث، أومدرسة أهل الرأي، وهكذا بالنسبة إلى سائر أنواع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هذه الاستعمالات ليس المراد من المدرسة معناها الحقيقي أي المكان الخاصّ الذي يدرس ويتعلم فيه الادب أوالفقه أوالفلسفه، بل المراد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الاضافة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الأراء والمباني التي جمعت في إطار واحد وإبتدعها وإخترعها الرئيس لتك المدرسة والتزم بها واعتقدها تابعيه، فيطلق على هذه المجموعة المرتبطة بفرع من الفروع العلمية أوالدينية أوالفلسفية إلى غير ذلك بانها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كذا أومذهب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الاستعمال في الواقع يكون من المجاز والكناية بالقياس إلى المعنى اللغوي</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2473812_653776707"/>
      <w:bookmarkStart w:id="94" w:name="_Toc30"/>
      <w:bookmarkEnd w:id="93"/>
      <w:r>
        <w:rPr/>
        <w:t>3</w:t>
      </w:r>
      <w:r>
        <w:rPr>
          <w:rtl w:val="true"/>
        </w:rPr>
        <w:t xml:space="preserve">) </w:t>
      </w:r>
      <w:r>
        <w:rPr>
          <w:rtl w:val="true"/>
        </w:rPr>
        <w:t>المذهب لغةً وإصطلاحاً</w:t>
      </w:r>
      <w:r>
        <w:rPr>
          <w:rtl w:val="true"/>
        </w:rPr>
        <w:t>:</w:t>
      </w:r>
      <w:bookmarkEnd w:id="9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المذهب لغةً من ذهب بمعنى سار ومرّ، وذهاب الشئ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w:t>
      </w:r>
    </w:p>
    <w:p>
      <w:pPr>
        <w:pStyle w:val="BookText"/>
        <w:rPr/>
      </w:pPr>
      <w:r>
        <w:rPr>
          <w:rFonts w:ascii="Amiri" w:hAnsi="Amiri" w:eastAsia="Amiri" w:cs="Amiri"/>
          <w:color w:val="111111"/>
          <w:sz w:val="28"/>
          <w:sz w:val="28"/>
          <w:szCs w:val="28"/>
          <w:rtl w:val="true"/>
          <w:lang w:bidi="ar-SA"/>
        </w:rPr>
        <w:t>يذهب ذهاباً وذهوباً ومذهباً وذهب مذهباً حسناً</w:t>
      </w:r>
      <w:r>
        <w:rPr>
          <w:rFonts w:eastAsia="Amiri" w:cs="Amiri" w:ascii="Amiri" w:hAnsi="Amiri"/>
          <w:color w:val="111111"/>
          <w:sz w:val="28"/>
          <w:szCs w:val="28"/>
          <w:rtl w:val="true"/>
          <w:lang w:bidi="ar-SA"/>
        </w:rPr>
        <w:t>.</w:t>
      </w:r>
      <w:r>
        <w:rPr>
          <w:rStyle w:val="FootnoteAnchor"/>
          <w:rtl w:val="true"/>
        </w:rPr>
        <w:footnoteReference w:id="5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في الاصطلاح فهوعبارة عن المعتقد الذي يذهب إليه شخص أوجماعه‌ويتبنونه فعلاً، فيقولون تمذهب بالمذهب أي اتّبعه، وهوأكثر ما يستعمل في الأديان وقد يستعمل في غيرها من مطلق الاراء كقولهم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ولهم في المسألة مذاهب شتّى، وأيضاً قد يكون بمعنى الطريقة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فالمعني المصطلح للمذهب قريب من المعنى الإصطلاحي للمدرسة، المذهب غير أنّه أكثر ما يستعمل في الأديان وبالأخص إذا وجد في البين لهذا الفكر الديني مناصرون يعتقدون به و يتبعون سبيله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يمكن أن يفّرق بينه وبين لفظ المدرسة بأن المدرسة تستعمك غالباً في مطلق الرأي والنظر وإن لم يكن لها تابع أوناصر أوكان له تابع أوناصر ولكن كانوا قليلين، وهذا بخلاف المذهب فإنّ وجود التابع شرط لازم للاستعمال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لايخفی أن في هذا المجال يوجد أيضاً الفاظ أخرى كالفرقة والنحلة والملة، وهي بحسب المعنى قريبة من معني المذهب والمدرسة وإن كان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يستعمل بالنسبة إلى أهل الديانات 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يستعمل لغيرهم من أهل الأهواء والأراء، كالدهرية وعبدة الكواكب والاوثان</w:t>
      </w:r>
      <w:r>
        <w:rPr>
          <w:rFonts w:eastAsia="IRNazanin" w:cs="IRNazanin"/>
          <w:color w:val="111111"/>
          <w:sz w:val="28"/>
          <w:szCs w:val="28"/>
          <w:rtl w:val="true"/>
          <w:lang w:bidi="fa-IR"/>
        </w:rPr>
        <w:t>.</w:t>
      </w:r>
      <w:r>
        <w:rPr>
          <w:rStyle w:val="FootnoteAnchor"/>
          <w:rtl w:val="true"/>
        </w:rPr>
        <w:footnoteReference w:id="5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8675_122733"/>
      <w:bookmarkStart w:id="96" w:name="pg8675_122733"/>
      <w:bookmarkEnd w:id="96"/>
    </w:p>
    <w:p>
      <w:pPr>
        <w:pStyle w:val="Heading4"/>
        <w:numPr>
          <w:ilvl w:val="3"/>
          <w:numId w:val="1"/>
        </w:numPr>
        <w:rPr/>
      </w:pPr>
      <w:bookmarkStart w:id="97" w:name="pg8675_122733"/>
      <w:bookmarkStart w:id="98" w:name="__RefHeading___Toc2473814_653776707"/>
      <w:bookmarkStart w:id="99" w:name="_Toc31"/>
      <w:bookmarkEnd w:id="97"/>
      <w:bookmarkEnd w:id="98"/>
      <w:r>
        <w:rPr>
          <w:rtl w:val="true"/>
        </w:rPr>
        <w:t>المبحث الرابع التعريف بالمناهج والمدارس</w:t>
      </w:r>
      <w:bookmarkEnd w:id="99"/>
    </w:p>
    <w:p>
      <w:pPr>
        <w:pStyle w:val="Heading5"/>
        <w:numPr>
          <w:ilvl w:val="4"/>
          <w:numId w:val="1"/>
        </w:numPr>
        <w:rPr/>
      </w:pPr>
      <w:bookmarkStart w:id="100" w:name="__RefHeading___Toc2473816_653776707"/>
      <w:bookmarkStart w:id="101" w:name="_Toc32"/>
      <w:bookmarkEnd w:id="100"/>
      <w:r>
        <w:rPr>
          <w:rtl w:val="true"/>
        </w:rPr>
        <w:t>والمذاهب الإجتهادية</w:t>
      </w:r>
      <w:bookmarkEnd w:id="101"/>
    </w:p>
    <w:p>
      <w:pPr>
        <w:pStyle w:val="BookText"/>
        <w:rPr/>
      </w:pPr>
      <w:r>
        <w:rPr>
          <w:rFonts w:ascii="Amiri" w:hAnsi="Amiri" w:eastAsia="Amiri" w:cs="Amiri"/>
          <w:color w:val="111111"/>
          <w:sz w:val="28"/>
          <w:sz w:val="28"/>
          <w:szCs w:val="28"/>
          <w:rtl w:val="true"/>
          <w:lang w:bidi="ar-SA"/>
        </w:rPr>
        <w:t>بعد الفراغ من تعريف الإجتهاد وبيان سائر الالفاظ الأخرى المرتبطة بالبحث، وبيان أن المراد بالإجتهاد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استفراغ الوسع لتحصيل الحكم الشرعي، أوهو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الملكة والاقتدار عليه يقع الكلام في بيان المراد من التركيب في عنوان البحث،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الإجتهاد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مدارس الإجتهاد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مذاهب الإجتهاد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بيان الفرق بين هذه التعابِير وإن كان مشكل في الغاية، فإنه كثيراً ما يستعمل كل منها مكان الاخر ويراد منها معنى واحد، مثلاً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الشافعي في الإجتهاد، أومدرسة أبي حنيفة في الإجتهاد، أومنهج المالكي في الإجتهاد، ويراد منها معنى واحد وكما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أهل البيت، أومدرسة أهل البيت ومنهجهم في الإجتهاد، لكن مع ذلك كله، فلربما يمكن أن يفرق بين هذه التعابير من خلال عدة أمورٍ</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2473818_653776707"/>
      <w:bookmarkStart w:id="103" w:name="_Toc33"/>
      <w:bookmarkEnd w:id="102"/>
      <w:r>
        <w:rPr>
          <w:rtl w:val="true"/>
        </w:rPr>
        <w:t>الأمر الأول</w:t>
      </w:r>
      <w:r>
        <w:rPr>
          <w:rtl w:val="true"/>
        </w:rPr>
        <w:t xml:space="preserve">: </w:t>
      </w:r>
      <w:r>
        <w:rPr>
          <w:rtl w:val="true"/>
        </w:rPr>
        <w:t>الفرق بين مناهج الإجتهاد ومدارسه</w:t>
      </w:r>
      <w:bookmarkEnd w:id="103"/>
    </w:p>
    <w:p>
      <w:pPr>
        <w:pStyle w:val="Heading6"/>
        <w:numPr>
          <w:ilvl w:val="5"/>
          <w:numId w:val="1"/>
        </w:numPr>
        <w:rPr/>
      </w:pPr>
      <w:bookmarkStart w:id="104" w:name="__RefHeading___Toc2473820_653776707"/>
      <w:bookmarkStart w:id="105" w:name="_Toc34"/>
      <w:bookmarkEnd w:id="104"/>
      <w:r>
        <w:rPr>
          <w:rtl w:val="true"/>
        </w:rPr>
        <w:t>اشارة</w:t>
      </w:r>
      <w:bookmarkEnd w:id="105"/>
    </w:p>
    <w:p>
      <w:pPr>
        <w:pStyle w:val="BookText"/>
        <w:rPr/>
      </w:pPr>
      <w:r>
        <w:rPr>
          <w:rFonts w:ascii="Amiri" w:hAnsi="Amiri" w:eastAsia="Amiri" w:cs="Amiri"/>
          <w:color w:val="111111"/>
          <w:sz w:val="28"/>
          <w:sz w:val="28"/>
          <w:szCs w:val="28"/>
          <w:rtl w:val="true"/>
          <w:lang w:bidi="ar-SA"/>
        </w:rPr>
        <w:t xml:space="preserve">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مناهج الإجتهاد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مدارس الإجتهاد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يبين من خلال تقسيم المناهج إلى القسمين التاليين</w:t>
      </w:r>
      <w:r>
        <w:rPr>
          <w:rFonts w:eastAsia="Amiri" w:cs="Amiri" w:ascii="Amiri" w:hAnsi="Amiri"/>
          <w:color w:val="111111"/>
          <w:sz w:val="28"/>
          <w:szCs w:val="28"/>
          <w:rtl w:val="true"/>
          <w:lang w:bidi="ar-SA"/>
        </w:rPr>
        <w:t>:</w:t>
      </w:r>
    </w:p>
    <w:p>
      <w:pPr>
        <w:pStyle w:val="Heading6"/>
        <w:numPr>
          <w:ilvl w:val="5"/>
          <w:numId w:val="1"/>
        </w:numPr>
        <w:rPr/>
      </w:pPr>
      <w:bookmarkStart w:id="106" w:name="__RefHeading___Toc2473822_653776707"/>
      <w:bookmarkStart w:id="107" w:name="_Toc35"/>
      <w:bookmarkEnd w:id="106"/>
      <w:r>
        <w:rPr>
          <w:rtl w:val="true"/>
        </w:rPr>
        <w:t>أ</w:t>
      </w:r>
      <w:r>
        <w:rPr>
          <w:rtl w:val="true"/>
        </w:rPr>
        <w:t xml:space="preserve">) </w:t>
      </w:r>
      <w:r>
        <w:rPr>
          <w:rtl w:val="true"/>
        </w:rPr>
        <w:t>المناهج التي يكون منشأ اختلافها راجعاً إلى اختلاف الأصول والمباني</w:t>
      </w:r>
      <w:bookmarkEnd w:id="10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الاختلاف في المباني وتفاوت الآراء في الأصول والمصادر من الأمور التي تشاهد بوضوح في عملية الإجتهاد، وهذا الاختلاف يؤر في منهج الإجتهاد وإتخاذ الطريقة </w:t>
      </w:r>
      <w:bookmarkStart w:id="108" w:name="pg8675_122736"/>
    </w:p>
    <w:p>
      <w:pPr>
        <w:pStyle w:val="BookText"/>
        <w:rPr/>
      </w:pPr>
      <w:bookmarkEnd w:id="108"/>
      <w:r>
        <w:rPr>
          <w:rFonts w:ascii="IRNazanin" w:hAnsi="IRNazanin" w:eastAsia="IRNazanin"/>
          <w:color w:val="111111"/>
          <w:sz w:val="28"/>
          <w:sz w:val="28"/>
          <w:szCs w:val="28"/>
          <w:rtl w:val="true"/>
          <w:lang w:bidi="fa-IR"/>
        </w:rPr>
        <w:t>المتبعة للاستنباط، فالمجتهد الذي يلتزم بالقياس أويری الاستحسان من المصادرالمعتبرة لاستنباط الحكم الشرعي، سوف يختلف منهجه تبعاً لذلك، عن منهج من يرى بطلانهما وعدم جواز الاعتماد عليهما في ذلك، لإن صاحب المنهج الأول یرجع عند فقدان النص المعتبر إلى القياس والاستحسان، بينما نجد صاحب المنهج الثاني يرجع في مثل تلك الحالة إلى الأصول العملية، فالاختلاف في المنهج هنا ينشأ من الاختلاف في المباني</w:t>
      </w:r>
      <w:r>
        <w:rPr>
          <w:rFonts w:eastAsia="IRNazanin" w:cs="IRNazanin"/>
          <w:color w:val="111111"/>
          <w:sz w:val="28"/>
          <w:szCs w:val="28"/>
          <w:rtl w:val="true"/>
          <w:lang w:bidi="fa-IR"/>
        </w:rPr>
        <w:t>.</w:t>
      </w:r>
    </w:p>
    <w:p>
      <w:pPr>
        <w:pStyle w:val="Heading6"/>
        <w:numPr>
          <w:ilvl w:val="5"/>
          <w:numId w:val="1"/>
        </w:numPr>
        <w:rPr/>
      </w:pPr>
      <w:bookmarkStart w:id="109" w:name="__RefHeading___Toc2473824_653776707"/>
      <w:bookmarkStart w:id="110" w:name="_Toc36"/>
      <w:bookmarkEnd w:id="109"/>
      <w:r>
        <w:rPr>
          <w:rtl w:val="true"/>
        </w:rPr>
        <w:t>ب</w:t>
      </w:r>
      <w:r>
        <w:rPr>
          <w:rtl w:val="true"/>
        </w:rPr>
        <w:t xml:space="preserve">) </w:t>
      </w:r>
      <w:r>
        <w:rPr>
          <w:rtl w:val="true"/>
        </w:rPr>
        <w:t>المناهج التي يكون منشأ اختلافها راجعاً إلى الاختلاف في نفس المنهج</w:t>
      </w:r>
      <w:r>
        <w:rPr>
          <w:rtl w:val="true"/>
        </w:rPr>
        <w:t>:</w:t>
      </w:r>
      <w:bookmarkEnd w:id="11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يكون الاختلاف بين منهجين أوأكثر راجعاً أحياناً إلى الاختلاف في نفس المنهج عل الرغم من اشتراك هذه المناهج في جل الأصول والمباني أوكلها فقد، تجد مجتهداً يعتمد في الإستنباط منهجاً معيناً، يختلف عن المنهج الذي يعتمده المجتهد الآخر، فمثلاً تجد أحدهما حين يتصدّي لإستنباط حكم شرعي معين، أولاً على مراجعة أقوال الفقهاء في المسألة واستقرائها، ثم یفحص عن أدلّة كل قولٍ منها ویناقشته إلى أن ينتهي إلى الفتوى واتخاذ الرأي المناسب في المسألة، بينما تجد مجتهداً ثانياً يعتمد في منهجه على الرجوع إلى الأدلة مباشرة مع غض النظر عن الأقوال الموجودة في المسألة، إذ انه لا يرى أيّ مبرّر أوضرورة للرجوع إلى آراء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تجد مجتهداً ثالثاً يعتمد في منهجه ابتداءً على تأسيس الأصل في المسألة للرجوع إليه عند الشك وعدم تكافؤالأدلة لاتخاذ الرأي واصدار الفتوی، بينما لا یری المجتهد الاخر لا ضرورة لتأسيس الأصل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 ذلك من المناهج الفقهية التي سيأتي الإشاره إلى بعضها في طيّ المباحث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والنكتة المهمة في هذا المجال هی </w:t>
      </w:r>
      <w:bookmarkStart w:id="111" w:name="pg8675_122739"/>
    </w:p>
    <w:p>
      <w:pPr>
        <w:pStyle w:val="BookText"/>
        <w:rPr/>
      </w:pPr>
      <w:bookmarkEnd w:id="111"/>
      <w:r>
        <w:rPr>
          <w:rFonts w:ascii="Amiri" w:hAnsi="Amiri" w:eastAsia="Amiri" w:cs="Amiri"/>
          <w:color w:val="111111"/>
          <w:sz w:val="28"/>
          <w:sz w:val="28"/>
          <w:szCs w:val="28"/>
          <w:rtl w:val="true"/>
          <w:lang w:bidi="ar-SA"/>
        </w:rPr>
        <w:t>التأكيد على انّ هذا القسم من المناهج لاينشأ من الاختلاف في المباني والمبادئ الرئيسية، بل أكثر ما يمكن أن يستند إليه مثل هذا التفاوت، هونفس المنهج والطريقةالمتخذة للاستنباط</w:t>
      </w:r>
      <w:r>
        <w:rPr>
          <w:rFonts w:eastAsia="Amiri" w:cs="Amiri" w:ascii="Amiri" w:hAnsi="Amiri"/>
          <w:color w:val="111111"/>
          <w:sz w:val="28"/>
          <w:szCs w:val="28"/>
          <w:rtl w:val="true"/>
          <w:lang w:bidi="ar-SA"/>
        </w:rPr>
        <w:t>.</w:t>
      </w:r>
    </w:p>
    <w:p>
      <w:pPr>
        <w:pStyle w:val="Heading5"/>
        <w:numPr>
          <w:ilvl w:val="4"/>
          <w:numId w:val="1"/>
        </w:numPr>
        <w:rPr/>
      </w:pPr>
      <w:bookmarkStart w:id="112" w:name="__RefHeading___Toc2473826_653776707"/>
      <w:bookmarkStart w:id="113" w:name="_Toc37"/>
      <w:bookmarkEnd w:id="112"/>
      <w:r>
        <w:rPr>
          <w:rtl w:val="true"/>
        </w:rPr>
        <w:t>الأمر الثاني</w:t>
      </w:r>
      <w:r>
        <w:rPr>
          <w:rtl w:val="true"/>
        </w:rPr>
        <w:t xml:space="preserve">: </w:t>
      </w:r>
      <w:r>
        <w:rPr>
          <w:rtl w:val="true"/>
        </w:rPr>
        <w:t>الفرق بين المدارس والمذاهب</w:t>
      </w:r>
      <w:bookmarkEnd w:id="113"/>
    </w:p>
    <w:p>
      <w:pPr>
        <w:pStyle w:val="BookText"/>
        <w:rPr/>
      </w:pPr>
      <w:r>
        <w:rPr>
          <w:rFonts w:ascii="IRNazanin" w:hAnsi="IRNazanin" w:eastAsia="IRNazanin"/>
          <w:color w:val="111111"/>
          <w:sz w:val="28"/>
          <w:sz w:val="28"/>
          <w:szCs w:val="28"/>
          <w:rtl w:val="true"/>
          <w:lang w:bidi="fa-IR"/>
        </w:rPr>
        <w:t xml:space="preserve">في مقام ذكر التفاوت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المدارس والمذاهب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الفرق بينهما إنما هومن جهة العموم والخصوص، حيث أن المذهب أعم من المدرسة؛ لانّ هناك عاملان رئيسيین يوجبان ظهور المذاهب المتعددة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وهوالأهم وجود الناصر، وثانيهما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التعمق وتوسعة الخلاف في الأصول والمباني الأساسية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فالمدرسة الفقهية إذا أخذت في التعمق وتوسعة الاختلاف في المباني، وبالخصوص فی الأصول المهمة من ناحية، وإذا وجد لهذه المباني المناصرون والمؤیدون الذين هم علی استعداد لبذل طاقاتهم من أجل ترويج تلك المباني وتأیيدها، وبالأخص إذا كان المؤید من أرباب السياسة والحكم من ناحية ثانية، فحينئذ سوف يتسع أمر تلك المدرسة في المجتمع ويزداد أتباعها إلى حدّ يمكن أن يعبر عنه بالمذهب الذي يذهب إليه جماعة من الناس، ويعتقدون بنتائجه وافكاره، وبهذا يمكن أن نفسر الفرق بين المدرسة الإجتهادية والمذهب الإجتهادي</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وخلاصة القول في المقام لتفسير الفرق بين الألفاظ المتقدمة، هي أن المذهب أعم مورداً من الكل؛ لانه قد يقع تحت كل مذهب عدة مدارس، ثم إن المدرسة أعم مورداً من المنهج؛ لأنه يمكن أن يفترض تحت كل مدرسة عدة مناهج، فالترتيب بين هذه الالفاظ من حيث العموم والخصوص یکون کالتالی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المدرسة، المنهج</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 w:name="pg8675_122744"/>
      <w:bookmarkStart w:id="115" w:name="pg8675_122744"/>
      <w:bookmarkEnd w:id="115"/>
    </w:p>
    <w:p>
      <w:pPr>
        <w:pStyle w:val="Heading4"/>
        <w:numPr>
          <w:ilvl w:val="3"/>
          <w:numId w:val="1"/>
        </w:numPr>
        <w:rPr/>
      </w:pPr>
      <w:bookmarkStart w:id="116" w:name="pg8675_122744"/>
      <w:bookmarkStart w:id="117" w:name="__RefHeading___Toc2473828_653776707"/>
      <w:bookmarkStart w:id="118" w:name="_Toc38"/>
      <w:bookmarkEnd w:id="116"/>
      <w:bookmarkEnd w:id="117"/>
      <w:r>
        <w:rPr>
          <w:rtl w:val="true"/>
        </w:rPr>
        <w:t>المبحث الخامس الإشارة إلى ضرورة البحث وأهميته</w:t>
      </w:r>
      <w:bookmarkEnd w:id="118"/>
    </w:p>
    <w:p>
      <w:pPr>
        <w:pStyle w:val="BookText"/>
        <w:rPr/>
      </w:pPr>
      <w:r>
        <w:rPr>
          <w:rFonts w:ascii="IRNazanin" w:hAnsi="IRNazanin" w:eastAsia="IRNazanin"/>
          <w:color w:val="111111"/>
          <w:sz w:val="28"/>
          <w:sz w:val="28"/>
          <w:szCs w:val="28"/>
          <w:rtl w:val="true"/>
          <w:lang w:bidi="fa-IR"/>
        </w:rPr>
        <w:t>من یعرف منهج التعلیم في الحوزات العلمية ومراتبها ودرجاتها، يعلم أنّ الغرض الاقصى لطالب العلوم الدينية هونيل درجة الإجتهاد وتحصيل القدرة على الإستنباط، بعد دراسة المقدمات والانتقال إلی ما یعرف بمرحلة السطوح، فإذا وصل إلى مستوى الدراسات العلیا المعروفة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يعدّ المرتبة الأقصى لدراسة الفقه وشارك في التحقيق الفقهي، فإنه سوف يواجه بحراً واسعاً وعميقاً من الآراء ووجهات النظرالمختلفة والفتاوى المتضادة، فهویشعر بأنه عائم في بحر لا يُجید السباحة فيه، فيقول محدثاً نفسه، ما الحيلة؟ وما هوالطريق للموازنة بین وجهات النظر هذه؟ وكيف يمكن الوصول إلى الرأي السائد؟ اضف إلى ذلك أنّ الطريقة الرائجة في درس الخارج هوتحقيق المسألة وفقاً لمنهج الاستاذ وطريقته، غالباً مالایکون امام الاستاذ مجال بعد طرح المسألة لیقوم ببحثها طبق المدارس والمناهج الأخرى والمناقشتها، فبالنتيجه أنّ الطالب لايستطيع أن يتعرّف بمجرد الحضور في الدرس إلاّ على منهج الاستاذ وطريقته، وأمّا بالنسبة إلى سائر المدارس والمناهج الأخرى، فهي مما لا يتعرض لها الاستاذ في درس الخارج، مع أنّ الغرض الاقصى من درس الخارج هوإيصال الطالب إلى ذروة سنام الإجتهاد، وحصول ملكة الإستنباط عنده، عن طريق التدقیق في الآراء، والقدرة على المناقشة فيها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فبهذا يتضح مدى ضرورة دراسة المناهج والمدارس المختلفة للاجتهاد، بالنسبة </w:t>
      </w:r>
    </w:p>
    <w:p>
      <w:pPr>
        <w:pStyle w:val="BookText"/>
        <w:rPr/>
      </w:pPr>
      <w:r>
        <w:rPr>
          <w:rFonts w:ascii="IRNazanin" w:hAnsi="IRNazanin" w:eastAsia="IRNazanin"/>
          <w:color w:val="111111"/>
          <w:sz w:val="28"/>
          <w:sz w:val="28"/>
          <w:szCs w:val="28"/>
          <w:rtl w:val="true"/>
          <w:lang w:bidi="fa-IR"/>
        </w:rPr>
        <w:t>إلى طالب العلوم الدينية، وتتجلی الأهمية الأساسية لهذه المادّة في طريق تحصيل الإجتهاد، وبالأخص بالنسبة إلى طلبة درس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الواضح أنه مع تعرف الطالب على المناهج والمدارس المتعددة في ساحة الإجتهاد عند المسلمین جمیعا، سوف يتمكن من الوقوف على ركيزة البحث، ووجهة كلّ رأي ونظر، وبالتالي يتمكن من المقارنة بين تلك الآراء عن طريق النظر في المباني والأصول الموجبة لتبنی هذا الرأي أوذاك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فالتعرف على المناهج يوسّع من نظرة الباحث، ويعطيه القدرة على اتخاذ الرأي القويم، ويجعله على بصيرة بالنسبة إلى جوانب البحث ونواحيه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مَثَل العارف بالمدارس والمناهج مَثَل القائم على قمّة جبل، ينظر إلى الاطراف، ويشرف على جميع النواحي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انّ طالب الفلسفة إذا تعرّف، ولواجمالاً على أهمّ المدارس الفلسفية كفلسفة الاشراق والمشاء والحكمة المتعالية واطلع على سائر المدارس من آراء المتكلمين والعرفاء والفلاسفة وعرف الأصول المهمة لكلّ واحد منها، ولوبنحواجمالي، فإن ذلك سوف یمکّنه من نیل مراده من الفكر الفلسفي</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الحقيقة سارٍية وجاريةٍ في جميع المجالات والعلوم، وبالأخصّ في الفقه الذي يعدّ من أدقّ العلوم وأهمها للإنسان؛ بسبب ارتباط بتكاليفه تجاه ربّه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أنّ التعرّف إلى تاريخ الإجتهاد وأدواره، له دور مهم في الإستنباط وكشف الحكم من الأدلة، فكذلك التعرف على المناهج والمدارس له دور مهمّ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فالغرض الرئيس من تدوين بحث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الاجتهاد ومناهجه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هوالتعرف على أهمّ الاراء والطرق في ساحة الإستنباط التي توجد في عالم الإسلام ومذاهبه عملاً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 عِبادِ الَّذينَ يَسْتَمِعُونَ الْقَوْلَ فَيَتَّبِعُونَ أَحْسَنَهُ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يمكن أن يستنتج أنّ الثمرات والفوائد المترتبة على دراسة هذه المادة هی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التعرف على المناهج والمدارس المختلفة، وامكان المقارنة والمقایسة بينها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الاطلاع على امتياز كلّ مدرسة ومذهب والوقوف على صواب كّل منهج أوعدمه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التعرف علی أخطاء المدارس والمذاهب وكشف الخطأ في كل منهج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التعرف على المذهب الحقّ والمنهج الصحيح والدفاع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تشخیص مشاكل الإجتهاد والانحرافات العارضة على الإستنباط، وبالأخص بالنسبة إلى بعض المذاهب الفقهية، في عصرنا الراهن وكشف الطريق لمعالجتها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التقريب بين المذاهب الإسلامية والمساهمة فی توحيد امّتنا الإسلامية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التأمل في كيفية تعامل كلّ مذهب ومنهج مع مشاكل العصر المرتبطة بالفقاهة والإجتهاد، وكيفية حلّ للمسائل الفقهية المستحدثة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الآثار والثمرات المترتبة على هذا البحث التي تظهر في خلال الدراسة إن‌شاءالله</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8675_122757"/>
      <w:bookmarkStart w:id="120" w:name="pg8675_122757"/>
      <w:bookmarkEnd w:id="120"/>
    </w:p>
    <w:p>
      <w:pPr>
        <w:pStyle w:val="Heading4"/>
        <w:numPr>
          <w:ilvl w:val="3"/>
          <w:numId w:val="1"/>
        </w:numPr>
        <w:rPr/>
      </w:pPr>
      <w:bookmarkStart w:id="121" w:name="pg8675_122757"/>
      <w:bookmarkStart w:id="122" w:name="__RefHeading___Toc2473830_653776707"/>
      <w:bookmarkStart w:id="123" w:name="_Toc39"/>
      <w:bookmarkEnd w:id="121"/>
      <w:bookmarkEnd w:id="122"/>
      <w:r>
        <w:rPr>
          <w:rtl w:val="true"/>
        </w:rPr>
        <w:t>المبحث السادس نشأة المدارس وأسباب الخلاف</w:t>
      </w:r>
      <w:bookmarkEnd w:id="123"/>
    </w:p>
    <w:p>
      <w:pPr>
        <w:pStyle w:val="Heading4"/>
        <w:numPr>
          <w:ilvl w:val="3"/>
          <w:numId w:val="1"/>
        </w:numPr>
        <w:rPr/>
      </w:pPr>
      <w:bookmarkStart w:id="124" w:name="__RefHeading___Toc2473832_653776707"/>
      <w:bookmarkStart w:id="125" w:name="_Toc40"/>
      <w:bookmarkEnd w:id="124"/>
      <w:r>
        <w:rPr>
          <w:rtl w:val="true"/>
        </w:rPr>
        <w:t>تمهيد</w:t>
      </w:r>
      <w:r>
        <w:rPr>
          <w:rtl w:val="true"/>
        </w:rPr>
        <w:t>:</w:t>
      </w:r>
      <w:bookmarkEnd w:id="125"/>
    </w:p>
    <w:p>
      <w:pPr>
        <w:pStyle w:val="BookText"/>
        <w:rPr/>
      </w:pPr>
      <w:r>
        <w:rPr>
          <w:rFonts w:ascii="IRNazanin" w:hAnsi="IRNazanin" w:eastAsia="IRNazanin"/>
          <w:color w:val="111111"/>
          <w:sz w:val="28"/>
          <w:sz w:val="28"/>
          <w:szCs w:val="28"/>
          <w:rtl w:val="true"/>
          <w:lang w:bidi="fa-IR"/>
        </w:rPr>
        <w:t>من أهمّ الأسس التي يجب أن يبحث عنها ويركز عليها، في دراسة المذاهب والمدارس والمناهج الإجتهادية، هي عبارة عن معرفة أسباب الخلاف ومنشأ ظهور المذاهب الفقهية المختلفة، وكيفية تكوّن الإجتهادات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حقق عدّة من الباحثين فی أسباب الاختلاف الفقهية وتعدادها وشرحها، كالشاطبي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790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والدهلوي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والحكيم من المعاصرين وغيرهم من السنة والشیعة</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والجدير بالذكر انّ الكلام في هذا المقام انما هوفي منشأ ظهور المدارس والمذاهب‌الفقهية، دون سائر المذاهب والمدارس الأخري غير الفقهية كالمدارس الكلامية والفلسفية وغيرهما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بداية المجتهد ونهاية المقتصد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الاختلاف في ستة 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الالفاظ بين أن يكون اللفظ عاماً يراد به الخاص، أوخاصاً يراد به العام،أوعاماً يراد به العام، أوخاصاً يراد به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الاشتراك الذي يكون في الالفاظ،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يطلق على الطهر تارة، وعلى الحيض تارة أخري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الإعراب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اللفظ بين حمله على الحقيقة وحمله على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اللفظ تارة وتقييده تارة أخري كأعتق رقبة، وأعتق رقبة مؤمنة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في الشيئين في جميع اصناف الألفاظ بعضها مع بعض، وكذلك التعارض الذي يأتي في الأفعال أوفي الإقرارات أوتعارض القِياسات أنفسها</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ولكن هذه الأسباب التي اقتبسها غير واحد من الباحثين المتأخرين، إنما تشير في الواقع إلى منشأ بعض الاختلافات في الفتاوى الفقهية، ولم تتعرض إلى الجذور الأساسية لظهور المدارس المتعددة والمذاهب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أنّ المهم هوالإشارة إلى العوامل والأسباب الباعثة علی تكّون المذاهب والمدارس الإجتهادية في العالم الإسلامي</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الدهلوي من الذين التفتوا إلى هذا الامر في رسالته المسماة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الإنصاف في بيان سبب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 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الفقه لم يكن في زمان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مدوناً، 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يتوضأ، فيرى الصحابة وضوئه فيأخذون به من غير أن </w:t>
      </w:r>
    </w:p>
    <w:p>
      <w:pPr>
        <w:pStyle w:val="BookText"/>
        <w:rPr/>
      </w:pPr>
      <w:r>
        <w:rPr>
          <w:rFonts w:ascii="IRNazanin" w:hAnsi="IRNazanin" w:eastAsia="IRNazanin"/>
          <w:color w:val="111111"/>
          <w:sz w:val="28"/>
          <w:sz w:val="28"/>
          <w:szCs w:val="28"/>
          <w:rtl w:val="true"/>
          <w:lang w:bidi="fa-IR"/>
        </w:rPr>
        <w:t>يبين أنّ هذا ركن وذلك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يصلي، فيرون صلاته، فصلوا كما رأوه يصلي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كان غالب 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يبين أن فروض الوضوء ستة أو أربعة، فرأي كل صحابي ما يسره الله له منعباداته وفتاواه واقضيته فحفظها وعقلها وعرف شؤونها من قِبَل احتفاف القرائن بها، فحمل بعضها على الاباحة، وبعضها على الاستحباب، وبعضها على النسخ، لامارات وقرائن كانت كافية عنده ولم يكن عندهم إلا وجدان الاطمئنان من غير الإلتفات إلى طرق الاستدلال، ثم إنهم تفرقوا في البلاد وصار كل واحد في ناحية من النواحي، فكثرت الوقائع ودارت المسائل فاستفتوا فيها فأجاب كل واحد بحسب ما حفظه أواستنبطه، فإن لم يجد مايصلح للجواب اجتهد برأيه، فعند ذلك وقع الاختلاف بينهم على ضروب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صحابياً سمع حكماً في قضية أوفتوى ولم يسمعه الآخر فاجتهد برأيه في ذلك وهذا على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إجتهاده وفق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بينهما المناظرة ويظهر الحديث بالوجه الذي يقع به غالب ظنه فيرجع عن إجتهاده إلى المسموع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يبلغه الحديث ولكن لا على الوجه الذي يقع به غالب الظن فلم يترك إجتهاده؛ بل طعن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يصل إليه الحديث أصلا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اختلاف الوهم، 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فذهب بعضهم إلى أنه كان متمتعاً، وبعضهم إلى أنه كان قارناً، وبعضهم إلى انه كان مفرداً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السهووالنسيان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اختلافهم في الجمع بين المختلفين، </w:t>
      </w:r>
    </w:p>
    <w:p>
      <w:pPr>
        <w:pStyle w:val="BookText"/>
        <w:rPr/>
      </w:pPr>
      <w:r>
        <w:rPr>
          <w:rFonts w:ascii="IRNazanin" w:hAnsi="IRNazanin" w:eastAsia="IRNazanin"/>
          <w:color w:val="111111"/>
          <w:sz w:val="28"/>
          <w:sz w:val="28"/>
          <w:szCs w:val="28"/>
          <w:rtl w:val="true"/>
          <w:lang w:bidi="fa-IR"/>
        </w:rPr>
        <w:t xml:space="preserve">كالنهي عن المتعة عام خيبر، فاختلفت مذاهب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وأخذ عنهم التابعون كل واحد ما تيسر له، ورجح بعض الأقوال على بعض، واضمحل في نظرهم بعضالأقوال، فعند ذلك صار لكل عالم من العلماء التابعين مذهب على حياله، فانتصب في كل بلد امام،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المسيب في المدينة، وعطاء بن رباح بمكه، وابراهيم النخعي بالكوفة، فرغب الناس إلى علومهم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سعيد بن المسيب وابراهيم النخعي جمعا أبواب الفقه وكان لهم في كل باب أصول تلقوها من‌السلف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سعيد وأصحابه يذهبون إلى أن أهل الحرمين اثبت الناس في الفقه، وأصل مذهبهم فتاوي عمر وعثمان وعبدالله بن عمر وعائشه فجمعوا من ذلك، ونظروا فيها، فما كان منها مجمعاً عليه بين علماء المدينة فإنهم يأخذون عليه بنواجذهم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فيه اختلاف عندهم، فإنهم يأخذون بأقواها وارجحها، إما لكثرة من ذهب إليه منهم، أولموافقته لقياس قوي، فحصل لهم مسائل كثيره في كل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إبراهيم وأصحابه يرون أن عبدالله بن مسعود وأصحابه اثبت الناس في الفقه، فجمع من ذلك، ثم صنع في آثارهم كما صنع أهل المدينة، فتلخص لهم مسائل في الفقه في كل باب، وكان سعيد بن المسيب لسان فقهاء المدينة، وإبراهيم لسان فقهاء الكوفة، فاجتمع عليهما فقهاء بلدهم واخذوا عنهما وعقلوه وخرجوا عليه</w:t>
      </w:r>
      <w:r>
        <w:rPr>
          <w:rFonts w:eastAsia="Amiri" w:cs="Amiri" w:ascii="Amiri" w:hAnsi="Amiri"/>
          <w:color w:val="111111"/>
          <w:sz w:val="28"/>
          <w:szCs w:val="28"/>
          <w:rtl w:val="true"/>
          <w:lang w:bidi="ar-SA"/>
        </w:rPr>
        <w:t>.</w:t>
      </w:r>
      <w:r>
        <w:rPr>
          <w:rStyle w:val="FootnoteAnchor"/>
          <w:rtl w:val="true"/>
        </w:rPr>
        <w:footnoteReference w:id="5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فعند ذلك ظهرت مدرستان في دائرة إجتهاد السنّی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الحديث، ومدرسة الرأي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وهذان الاتجاهان كانا اللبنة الأساسية لظهور المذاهب الفقهية في القرون </w:t>
      </w:r>
      <w:bookmarkStart w:id="126" w:name="pg8675_122769"/>
    </w:p>
    <w:p>
      <w:pPr>
        <w:pStyle w:val="BookText"/>
        <w:rPr/>
      </w:pPr>
      <w:bookmarkEnd w:id="126"/>
      <w:r>
        <w:rPr>
          <w:rFonts w:ascii="Amiri" w:hAnsi="Amiri" w:eastAsia="Amiri" w:cs="Amiri"/>
          <w:color w:val="111111"/>
          <w:sz w:val="28"/>
          <w:sz w:val="28"/>
          <w:szCs w:val="28"/>
          <w:rtl w:val="true"/>
          <w:lang w:bidi="ar-SA"/>
        </w:rPr>
        <w:t>المتأخرة بعد عصر التابعين وتابعي التابعين</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يبدومن كلام الدهلوي وأقرانه ممن تصدى لتفسير منشأ الاختلافات وعلل ظهورالمذاهب والمدارس الفقهية، أنهم وإن أشاروا إلى بعض الجذور في هذا المجال، فانهم مع ذلك غفلوا عن الإشارة إلى ما هوبمنزلة اللبنة الأساسية في هذا الموضوع، ولم يجيبوا عن السؤال الأصلي الذي ظهرت بسببه الأمور التي مرّ ذكرها في كلام الدهلوي من التفاسير المختلفه لما شاهد الصحابة من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والرجوع إلى آرائهم عند فقدان النص، إلى غير ذلك من الأسباب المذكورة</w:t>
      </w:r>
      <w:r>
        <w:rPr>
          <w:rFonts w:eastAsia="IRNazanin" w:cs="IRNazanin"/>
          <w:color w:val="111111"/>
          <w:sz w:val="28"/>
          <w:szCs w:val="28"/>
          <w:rtl w:val="true"/>
          <w:lang w:bidi="fa-IR"/>
        </w:rPr>
        <w:t>.</w:t>
      </w:r>
    </w:p>
    <w:p>
      <w:pPr>
        <w:pStyle w:val="Heading4"/>
        <w:numPr>
          <w:ilvl w:val="3"/>
          <w:numId w:val="1"/>
        </w:numPr>
        <w:rPr/>
      </w:pPr>
      <w:bookmarkStart w:id="127" w:name="__RefHeading___Toc2473834_653776707"/>
      <w:bookmarkStart w:id="128" w:name="_Toc41"/>
      <w:bookmarkEnd w:id="127"/>
      <w:r>
        <w:rPr>
          <w:rtl w:val="true"/>
        </w:rPr>
        <w:t>أسباب ظهور الاختلاف</w:t>
      </w:r>
      <w:r>
        <w:rPr>
          <w:rtl w:val="true"/>
        </w:rPr>
        <w:t>:</w:t>
      </w:r>
      <w:bookmarkEnd w:id="128"/>
    </w:p>
    <w:p>
      <w:pPr>
        <w:pStyle w:val="BookText"/>
        <w:rPr/>
      </w:pPr>
      <w:r>
        <w:rPr>
          <w:rFonts w:ascii="IRNazanin" w:hAnsi="IRNazanin" w:eastAsia="IRNazanin"/>
          <w:color w:val="111111"/>
          <w:sz w:val="28"/>
          <w:sz w:val="28"/>
          <w:szCs w:val="28"/>
          <w:rtl w:val="true"/>
          <w:lang w:bidi="fa-IR"/>
        </w:rPr>
        <w:t>للإشارة إلى العلة الأساسية في هذا المجال، وأيضاً لتوضیح العوامل الدخيلة في ذلك، ينبغي التنبيه الى بعض الأمور التي تعتبر بمنزلة الأصول الموضوعية في مبحث الاختلافات والبحث عن سببها في شتّى أنواعها ومجالاتها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ويقابله الاتفاق، وهومن الأمور التي لا يرتضيها الطبع السليم، لما في ذلک من تشتت القوى واضعافها، وآثار أخري غيرمحمودة، من نزاع ومشاجرة، وجدال وقتال، وشقاق وغير ذلك مما یخل بالأمن ويذهب السلام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نوعاً من الاختلاف لا مناص منه في عالم الإنسان، وهوالاختلاف من حيث الطبائع المنتهية إلى اختلاف البنى، فإنّ التركيبات البدنية مختلفة، مايؤدّي قهراً إلى الاختلاف في الاستعدادات البدنية والروحية، وبإنضمام اختلاف الأجواء </w:t>
      </w:r>
    </w:p>
    <w:p>
      <w:pPr>
        <w:pStyle w:val="BookText"/>
        <w:rPr/>
      </w:pPr>
      <w:r>
        <w:rPr>
          <w:rFonts w:ascii="Amiri" w:hAnsi="Amiri" w:eastAsia="Amiri" w:cs="Amiri"/>
          <w:color w:val="111111"/>
          <w:sz w:val="28"/>
          <w:sz w:val="28"/>
          <w:szCs w:val="28"/>
          <w:rtl w:val="true"/>
          <w:lang w:bidi="ar-SA"/>
        </w:rPr>
        <w:t>والظروف إلى ذلك، يظهر اختلاف الاذواق والسنن والآداب والمقاصد والأعمال النوعية والشخصية في المجتمعات الإنسانية، وقد أوضحت الأبحاث الإجتماعية أنه لولا ذلك لم يعش المجتمع الإنساني طرفة عين</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فمن الحقائق الثابتة اختلاف الناس في تفكيرهم وتباين وجهات نظرهم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افلاطون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الحق لم يصبه الناس في كل وجوهه ولا اخطئوه في كل وجوهه، بل أصاب كل إنسان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ذلك عميان انطلقوا إلى فيل وأخذ كل منهم جارحة منه</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ظهور الاختلاف كما مر أمر ضروري الوقوع بين الناس، ونفس هذا الاختلاف هوالذي استدعى التشريع، وهوجعل قوانين كلية يوجب العمل بها ارتفاع الاختلاف ونيل كل ذي حق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أُمَّةً واحِدَةً فَبَعَثَ الله النَّبِيِّينَ مُبَشِّرينَ ومُنْذِرينَ وأَنْزَلَ مَعَهُمُ الْكِتابَ بِالْحَقِّ لِيَحْكُمَ بَيْنَ النَّاسِ فيمَا اخْتَلَفُوا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فهوتعالى يخبرنا بأنّ الغاية من الدين هي رف</w:t>
      </w:r>
      <w:r>
        <w:rPr>
          <w:rFonts w:eastAsia="Amiri" w:cs="Amiri" w:ascii="Amiri" w:hAnsi="Amiri"/>
          <w:color w:val="111111"/>
          <w:sz w:val="28"/>
          <w:szCs w:val="28"/>
          <w:lang w:bidi="ar-SA"/>
        </w:rPr>
        <w:t>99999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الاختلاف</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فالدين أمر فطري، وما كان كذلك لايتبدل فيه الحكم، فالدين والشريعة أمر واحد، لايمكن أن يقع فيه الاختلاف، لأنه إنما جيئ به لرفع الاختلاف والتنازع، وما جيئ به لرفع النزاع وكان حاكماً بين </w:t>
      </w:r>
    </w:p>
    <w:p>
      <w:pPr>
        <w:pStyle w:val="BookText"/>
        <w:rPr/>
      </w:pPr>
      <w:r>
        <w:rPr>
          <w:rFonts w:ascii="Amiri" w:hAnsi="Amiri" w:eastAsia="Amiri" w:cs="Amiri"/>
          <w:color w:val="111111"/>
          <w:sz w:val="28"/>
          <w:sz w:val="28"/>
          <w:szCs w:val="28"/>
          <w:rtl w:val="true"/>
          <w:lang w:bidi="ar-SA"/>
        </w:rPr>
        <w:t>المختلفين لايكون إلا أمراً واحداً</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تعالى يخبرنا أنّ هناك اختلاف آخر غير الاختلاف الذي مرّذكره، وهوالاختلاف في نفس الدين؛ فهناك اختلافان احدهما ضروري قطعي لا مناص منه يرتفع بالتشريع الإلهي، والثاني اختلاف يوجد في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جمع الله الاختلافين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النَّاسُ أُمَّةً واحِدَةً فَبَعَثَ الله النَّبِيِّينَ مُبَشِّرينَ ومُنْذِرينَ وأَنْزَلَ مَعَهُمُ الْكِتابَ بِالْحَقِّ لِيَحْكُمَ بَيْنَ النَّاسِ فيمَا اخْتَلَفُوا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هوالاختلاف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اخْتَلَفَ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هوالاختلاف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أُوتُوهُ مِنْ بَعْدِ ما جاءَتْهُمُ الْبَيِّناتُ بَغْياً بَيْنَهُمْ فَهَدَى الله الَّذينَ آمَنُوا لِمَا اخْتَلَفُوا فيهِ مِنَ الْحَقِّ بِإِذْنِهِ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فالاختلاف الأول طبيعي من سنن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تَجِدَ لِسُنَّتِ الله تَبْديلاً ولَنْ تَجِدَ لِسُنَّتِ الله تَحْويلاً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الاختلاف الثاني فهوغير طبيعي، وإنما أوجده حملة الدين والعلماء، بغياً بينهم وظلماً وعتوّاً فالاختلاف في الدين مستند إلى البغي دون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ولَوشاءَ رَبُّكَ لَجَعَلَ النَّاسَ أُمَّةً واحِدَةً ولا يَزالُونَ مُخْتَلِفينَ إِلاَّ مَنْ رَحِمَ رَبُّكَ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فالناس يخالف بعضهم بعضاً في الحق، إلا الذين رحمهم الله، فإنهم لايختلفون فيه، والرحمة هي الهداية الإلهية، كما يفيده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فَهَدَى الله الَّذينَ آمَنُوا لِمَا اخْتَلَفُوا فيهِ مِنَ الْحَقِّ بِإِذْنِهِ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مما تقدم أنّ الاختلاف في الدين منسوب، کما یقول الله تعالى، إلى البغي، مع أنّ ظهور الاختلاف في العقائد والآراء والإجتهادات ضروري بين الأفراد، لاختلاف الأفهام والاستعدادات والظروف الإجتماعية، ولكن كما أنّظهور هذا الاختلاف أمر ضروري، فكذلك الاجتماع وردّ المختلفين إلى ساحة الاتحاد ضروري أيضاً، فإن رفع الاختلاف ممكن مقدور بالواسطة، واعراض الأمة عن ذلك بغي منها وإلقاء للنفس تهلكة الاختلاف</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أكد القرآن الكريم الدعوة إلى الاتحاد، وبالغ في النهي عن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 واذْكُرُوا نِعْمَتَ الله عَلَيْكُمْ إِذْ كُنْتُمْ أَعْداءً فَأَلَّفَ بَيْنَ قُلُوبِكُمْ فَأَصْبَحْتُمْ بِنِعْمَتِهِ إِخْواناً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كَالَّذينَ تَفَرَّقُوا واخْتَلَفُوا مِنْ بَعْدِ ما جاءَهُمُ الْبَيِّناتُ وأُولئِكَ لَهُمْ عَذابٌ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الطباطبائي في تفسير الميزان حول هذ المعنی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كان يتفرس من أمر هذه الأمة أنهم سيختلفون كالذين من قبلهم؛ بل يزيدون عليهم في ذلك، وهذا أمر أخبر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كما أخبر به القرآن، وأنّ الاختلاف سيدبّ في أمته، ثم يظهر في صورة الفرق المتنوعة، وأنّ أمته ستختلف كما اختلفت اليهود والنصارى من قبل، وقد صدق جريان الحوادث هذه النبوءة القرآنية، فلم تلبث الأمة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تفرقوا شذر مدر</w:t>
      </w:r>
      <w:r>
        <w:rPr>
          <w:rStyle w:val="FootnoteAnchor"/>
          <w:rtl w:val="true"/>
        </w:rPr>
        <w:footnoteReference w:id="62"/>
      </w:r>
      <w:r>
        <w:rPr>
          <w:rFonts w:ascii="Amiri" w:hAnsi="Amiri" w:eastAsia="Amiri" w:cs="Amiri"/>
          <w:color w:val="111111"/>
          <w:sz w:val="28"/>
          <w:sz w:val="28"/>
          <w:szCs w:val="28"/>
          <w:rtl w:val="true"/>
          <w:lang w:bidi="ar-SA"/>
        </w:rPr>
        <w:t>واختلفوا في مذاهب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يهدينا إليه البحث بالتحليل والتجزية، أنّ أصل هذا الاختلاف </w:t>
      </w:r>
      <w:bookmarkStart w:id="129" w:name="pg8675_122781"/>
    </w:p>
    <w:p>
      <w:pPr>
        <w:pStyle w:val="BookText"/>
        <w:rPr/>
      </w:pPr>
      <w:bookmarkEnd w:id="129"/>
      <w:r>
        <w:rPr>
          <w:rFonts w:ascii="IRNazanin" w:hAnsi="IRNazanin" w:eastAsia="IRNazanin"/>
          <w:color w:val="111111"/>
          <w:sz w:val="28"/>
          <w:sz w:val="28"/>
          <w:szCs w:val="28"/>
          <w:rtl w:val="true"/>
          <w:lang w:bidi="fa-IR"/>
        </w:rPr>
        <w:t>ينتهي إلى المنافقين الذين يغلظ القرآن القول فيهم وعليهم ويستعظم مكرهم وكيدهم، فإنك لوتدبرت ما يذكره الله تعالى في حقهم في 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البقرة، والتوبة، والاحزاب، والمنافقين، وغيرها لرأيت عجباً، وكان هذا حالهم في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ينقطع الوحي، ثم لمّا توفاه الله، غاب ذكرهم، وسكنت أجراسهم دفعة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 لم يكن بين الحجون إلى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 ولم يسمر بمكّة سامر</w:t>
      </w:r>
    </w:p>
    <w:p>
      <w:pPr>
        <w:pStyle w:val="BookText"/>
        <w:rPr/>
      </w:pPr>
      <w:r>
        <w:rPr>
          <w:rFonts w:ascii="IRNazanin" w:hAnsi="IRNazanin" w:eastAsia="IRNazanin"/>
          <w:color w:val="111111"/>
          <w:sz w:val="28"/>
          <w:sz w:val="28"/>
          <w:szCs w:val="28"/>
          <w:rtl w:val="true"/>
          <w:lang w:bidi="fa-IR"/>
        </w:rPr>
        <w:t>ولم يلبث الناس طویلاً حتی وجدوا أنفسهم وقد تفرقوا أيادي سبأ، وباعدت بينهم شتى المذاهب، واستعبدتهم حكومات التحكم والاستبداد، وابدلوا سعادة الحياة بشقاء الضلال والغيّ</w:t>
      </w:r>
      <w:r>
        <w:rPr>
          <w:rFonts w:eastAsia="IRNazanin" w:cs="IRNazanin"/>
          <w:color w:val="111111"/>
          <w:sz w:val="28"/>
          <w:szCs w:val="28"/>
          <w:rtl w:val="true"/>
          <w:lang w:bidi="fa-IR"/>
        </w:rPr>
        <w:t>».</w:t>
      </w:r>
      <w:r>
        <w:rPr>
          <w:rStyle w:val="FootnoteAnchor"/>
          <w:rtl w:val="true"/>
        </w:rPr>
        <w:footnoteReference w:id="63"/>
      </w:r>
    </w:p>
    <w:p>
      <w:pPr>
        <w:pStyle w:val="Heading4"/>
        <w:numPr>
          <w:ilvl w:val="3"/>
          <w:numId w:val="1"/>
        </w:numPr>
        <w:rPr/>
      </w:pPr>
      <w:bookmarkStart w:id="130" w:name="__RefHeading___Toc2473836_653776707"/>
      <w:bookmarkStart w:id="131" w:name="_Toc42"/>
      <w:bookmarkEnd w:id="130"/>
      <w:r>
        <w:rPr>
          <w:rtl w:val="true"/>
        </w:rPr>
        <w:t>نكات مهمة ينبغي الالتفات إليها</w:t>
      </w:r>
      <w:r>
        <w:rPr>
          <w:rtl w:val="true"/>
        </w:rPr>
        <w:t>:</w:t>
      </w:r>
      <w:bookmarkEnd w:id="131"/>
    </w:p>
    <w:p>
      <w:pPr>
        <w:pStyle w:val="BookText"/>
        <w:rPr/>
      </w:pPr>
      <w:r>
        <w:rPr>
          <w:rFonts w:ascii="Amiri" w:hAnsi="Amiri" w:eastAsia="Amiri" w:cs="Amiri"/>
          <w:color w:val="111111"/>
          <w:sz w:val="28"/>
          <w:sz w:val="28"/>
          <w:szCs w:val="28"/>
          <w:rtl w:val="true"/>
          <w:lang w:bidi="ar-SA"/>
        </w:rPr>
        <w:t>بعد التأمل في هذه المقدمات السبعة التي تعد بمنزلة المباني الأساسية للبحث عن سبب الاختلاف، سوف نذكر نكاتاً في هذا المجال نفسرّ في ظلالها منشأ الاختلاف في الإجتهاد وعوامل ظهور المذاهب والمناهج الإجتهادية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النكتة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أساس ما مر ذكره يمكن أن نقسم سبب الخلاف في مجال الإجتهاد ومنشأه إلى القسمين الرئسيين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ممدوح ومنشأ مذموم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فهوالخلاف الذي ينشأ من تفاوت الأفهام والاستعداد واختلاف الاجواء والظروف، وقد بينّا في المقدمة الثانية أنّ هذا أمر ضروري، لابد منه، بل هوآلة التحريك وعامل </w:t>
      </w:r>
    </w:p>
    <w:p>
      <w:pPr>
        <w:pStyle w:val="BookText"/>
        <w:rPr/>
      </w:pPr>
      <w:r>
        <w:rPr>
          <w:rFonts w:ascii="Amiri" w:hAnsi="Amiri" w:eastAsia="Amiri" w:cs="Amiri"/>
          <w:color w:val="111111"/>
          <w:sz w:val="28"/>
          <w:sz w:val="28"/>
          <w:szCs w:val="28"/>
          <w:rtl w:val="true"/>
          <w:lang w:bidi="ar-SA"/>
        </w:rPr>
        <w:t>الارتقاء للمجتمع الانساني في مجال العلم والتجربة، فهذا المنشأ أمر ميمون وممدوح، بما له من البركات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أي المنشأ المذموم للخلاف، فهوالخلاف المناجم عن الأهواء الضالة المضلة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والباحث عن أسباب الاختلاف ومنشأ ظهور المذاهب والمدارس الإجتهاديةلايمكنه ان يغضّ الطرف عن الأهواء الموجبة لظهور الفرق والمذاهب الكلامية والفقهية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ولعمري هذا أمر بديهي، لايخفي على من له معرفة بتاريخ الملل وبالأخص تاريخ الإسلام، من لدن ارتحال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الرفيق الأعلى إلى يومنا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الاختلاف كما مرّ في المقدمة الخامسة إلى السابعة اوجده حملة الدين والعلماء، بغياً وظلماً، والذي يستحق إسم الخلاف في الحقيقة هوهذا النحومن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المنشأ الأول، الذي هوأمر طبيعي 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الشاطبي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الخلاف الذي هوفي الحقيقة خلاف ناشئ عن الهوي المضل لا عن تحري قصد الشارع باتباع الأدلة على الجملة والتفصيل، وهوالصادر عن أهل الأهواء، وإذا دخل الهوى أدى إلى اتباع المتشابه حرصاً على الغلبة والظهور بإقامة العذر في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وأدى إلى الفرقة والتقاطع والعداوة والبغضاء؛ لاختلاف الأهواء وعدم اتفاقها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جاء الشرع بحسم مادّة الهوى بإطلاق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صار الهوى بعض مقدمات الدليل، لم ينتج إلا إتباع الهوى وذلك مخالفة للشرع، ومخالفة الشرع ليست من الشرع في شئ، فاتباع الهوى من </w:t>
      </w:r>
    </w:p>
    <w:p>
      <w:pPr>
        <w:pStyle w:val="BookText"/>
        <w:rPr/>
      </w:pPr>
      <w:r>
        <w:rPr>
          <w:rFonts w:ascii="Amiri" w:hAnsi="Amiri" w:eastAsia="Amiri" w:cs="Amiri"/>
          <w:color w:val="111111"/>
          <w:sz w:val="28"/>
          <w:sz w:val="28"/>
          <w:szCs w:val="28"/>
          <w:rtl w:val="true"/>
          <w:lang w:bidi="ar-SA"/>
        </w:rPr>
        <w:t>حيث يظن انه اتباع للشرع ضلال في الشرع</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ومما هوجدير بالذكر، وينبغي التأمل فيه هوامتزاج الهوى بالسياسة فالسياسة، كما قيل، لها دخل في هذا،</w:t>
      </w:r>
      <w:r>
        <w:rPr>
          <w:rStyle w:val="FootnoteAnchor"/>
          <w:rtl w:val="true"/>
        </w:rPr>
        <w:footnoteReference w:id="65"/>
      </w:r>
      <w:r>
        <w:rPr>
          <w:rFonts w:ascii="IRNazanin" w:hAnsi="IRNazanin" w:eastAsia="IRNazanin"/>
          <w:color w:val="111111"/>
          <w:sz w:val="28"/>
          <w:sz w:val="28"/>
          <w:szCs w:val="28"/>
          <w:rtl w:val="true"/>
          <w:lang w:bidi="fa-IR"/>
        </w:rPr>
        <w:t>بل أن للسلطة الطاغوتية غير المشروعة علاقة وصلة عظيمة للتفرقة واشعال الفتنة والفساد، وکذا لک فی حماية والتأييد بعض المذاهب في مقابلغیرها، اضف إلى ذلك تدخل عنصر النفاق بين المسلمين الذي هوالأصل في الخلاف، ويستعظم القرآن كيده ومكره، وهذا يعد من دأب القرآن فی أنه إذا بالغ في التحذير عن شئ كان ذلك آية وقوعه وتحققه</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والسؤل الأساس والمهم في هذا المجال هوانه إذا كان حال المنافقين في عهد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العداوة والبغض والمكر على الإسلام والمسلمين هذا الحال الذي أخبر به الصادق، ومن أصدق من الله قيلاً؟ فلمّا توفّي الله رسوله كيف یکون الحال وکیف غاب ذكرهم ولم ينقل أخبارهم؟ وما حدود تدخّلهم في أمور المسلمين؟ هل انهم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تابوا كلهم وامنوا ودخلوا في صفوف المؤمنين أم انهم بادوا وهلكوا ولم يبق منهم اثر؟ أوهناک أمر ثالث يحتاج إلى التحقيق والتفحص عنه في صفحات التاريخ؟</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في مجال البحث عنمنشأ الخلاف وظهور المذاهب والمدارس الإجتهادية، وإن كان هناك أمر إيجابي وقد عبّرنا عنه بمنشأ الممدوح، لكن مع ذلك </w:t>
      </w:r>
    </w:p>
    <w:p>
      <w:pPr>
        <w:pStyle w:val="BookText"/>
        <w:rPr/>
      </w:pPr>
      <w:r>
        <w:rPr>
          <w:rFonts w:ascii="Amiri" w:hAnsi="Amiri" w:eastAsia="Amiri" w:cs="Amiri"/>
          <w:color w:val="111111"/>
          <w:sz w:val="28"/>
          <w:sz w:val="28"/>
          <w:szCs w:val="28"/>
          <w:rtl w:val="true"/>
          <w:lang w:bidi="ar-SA"/>
        </w:rPr>
        <w:t>لايمكننا أن نغضّ الطرف عن منشأ سلبي مذموم، وهوفي الواقع مثلث مشؤم مركب من النفاق والسياسة والأهواء المضلة وإن كان كلها يرجع إلى الأمر الأخير وهوهوى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المثلث صلة وثيقة بأمر الخلاف والشقاق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نهج البلاغة عن الإمام أمیر المؤمنین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 اختلاف العلماء في الفتيا ما يشير إلى هذا المنشأ المذموم ببيان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تَرِدُ عَلَى أَحَدِهِمُ الْقَضِيَّةُ فِي حُكْمٍ مِنَ الْأَحْكَامِ فَيَحْكُمُ فِيهَا بِرَأْيِهِ، ثُمَّ تَرِدُ تِلْكَ الْقَضِيَّةُ بِعَيْنِهَا عَلَى غَيْرِهِ فَيَحْكُمُ فِيهَا بِخِلافِ قَوْلِهِ، ثُمَّ يَجْتَمِعُ الْقُضَاةُ بِذلِكَ عِنْدَ الاْءِمَامِ الَّذِى اسْتَقْضَاهُمْ،فَيُصَوِّبُ آرَاءَهُمْ جَمِيعاً، وَإِلهُهُمْ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ونَبِيُّهُمْ وَاحِدٌ، وكِتَابُهُمْ، وَاحِدٌ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أَفَأَمَرَهُمُ الله سُبْحَانَهُ بِالاْخْتِلافِ فَأَطَاعُوهُ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نَهَاهُمْ عَنْهُ فَعَصَوْهُ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أَنْزَلَ الله سُبْحَانَهُ دِيناً نَاقِصاً فَاسْتَعَانَ بِهِمْ عَلَى إِتْمَامِهِ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كَانُوا شُرَكَاءَ لَهُ، فَلَهُمْ أَنْ يَقُولُوا، وعَلَيْهِ أَنْ يَرْضَى؟ أَمْ أَنْزَلَ الله سُبْحَانَهُ دِيناً تَامّاً فَقَصَّرَ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تَبْلِيغِهِ وأَدَائِهِ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تِبْيَانٌ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 الْكِتَابَ يُصَدِّقُ بَعْضُهُ بَعْضاً، وَأَنَّهُ لا اخْتِلاف فِيهِ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وَلَوكَانَ مِنْ عِنْدِ غَيْرِ الله لَوَجَدُوا فِيهِ اخْتِلافاً كَثِيراً</w:t>
      </w:r>
      <w:r>
        <w:rPr>
          <w:rFonts w:eastAsia="Amiri" w:cs="Amiri" w:ascii="Amiri" w:hAnsi="Amiri"/>
          <w:color w:val="111111"/>
          <w:sz w:val="28"/>
          <w:szCs w:val="28"/>
          <w:rtl w:val="true"/>
          <w:lang w:bidi="ar-SA"/>
        </w:rPr>
        <w:t>»(.</w:t>
      </w:r>
      <w:r>
        <w:rPr>
          <w:rStyle w:val="FootnoteAnchor"/>
          <w:rtl w:val="true"/>
        </w:rPr>
        <w:footnoteReference w:id="6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كلام آخر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سائل عن أحاديث البدع وعما في ايدي الناس من اختلاف الخبر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فِي أَيْدِي النَّاسِ حَقّاً وبَاطِلاً، وصِدْقاً وَكَذِباً، وَنَاسِخاً وَمَنْسُوخاً، وعَامّاً وَخَاصّاً، ومُحْكَماً ومُتَشَابِهاً، وحِفْظاً وَوَهْماً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عَهْدِهِ، حَتَّى قَامَ خَطِيباً،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كَذَبَ عَلَيَّ مُتَعَمِّداً فَلْيَتَبَوَّأْ مَقْعَدَهُ مِنَ </w:t>
      </w:r>
    </w:p>
    <w:p>
      <w:pPr>
        <w:pStyle w:val="BookText"/>
        <w:rPr/>
      </w:pP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أتاك بالحديث أربعة رجال ليس لهم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مُنَافِقٌ مُظْهِرٌ لِلإيمانِ، مُتَصَنِّعٌ بِالاْءِسْلامِ، لا يَتَأَثَّمُ ولايَتَحَرَّجُ، يَكْذِبُ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مُتَعَمِّداً، فَلَوعَلِمَ النَّاسُ اَنَّهُ منافقٌ كاذِبٌ لَمْ يَقْبَلوا مِنْهُ ولَمْ يُصَدِّقوا قَوْلَهُ ولكِنَّهُمْ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وسَمِعَ مِنْهُ، وَلَقِفَ عَنْهُ، فَيَأْخُذُونَ بِقَوْلِهِ، وَقَدْ أَخْبَرَكَ الله عَنِ الْمُنَافِقِينَ بِمَا أَخْبَرَكَ، وَوَصَفَهُمْ بِمَا وَصَفَهُمْ بِهِ لَكَ، ثُمَّ بَقُوا بَعْدَهُ، فَتَقَرَّبُوا إِلَى أَئِمَّةِ الضَّلالَةِ، وَالدُّعَاةِ إِلَى النَّارِ بِالزُّورِ وَالْبُهْتَانِ، فَوَلَّوْهُمُ الْأَعْمَالَ، وَجَعَلُوهُمْ حُكّاماً عَلَى رِقَابِ النَّاسِ، فَأَكَلُوا بِهِمُ الدُّنْيَا، وَإِنَّمَا النَّاسُ مَعَ الْمُلُوكِ وَالدُّنْيَا، إِلاَّ مَنْ عَصَمَ الله، فَهذَا أَحَدُ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سَمِعَ مِنْ رَسُولِ الله شَيْئاً لَمْ يَحْفَظْهُ عَلَى وَجْهِهِ، فَوَهِمَ فِيهِ، ولَمْ يَتَعَمَّدْكَذِباً، فَهُوفِي يَدَيْهِ، وَيَرْوِيهِ وَيَعْمَلُ 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فَلَوعَلِمَ الْمُسْلِمُونَ أَنَّهُ وَهِمَ فِيهِ لَمْ يَقْبَلُوهُ مِنْهُ، وَلَوعَلِمَ هُوأَنَّهُ كَذلِكَ لَرَفَضَهُ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ثَالِثٌ، سَمِعَ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يَأْمُرُ بِهِ، ثُمَّ إِنَّهُ نَهَى عَنْهُ، وهُولا يَعْلَمُ، أَوسَمِعَهُ يَنْهَى عَنْ شَيْءٍ، ثُمَّ أَمَرَ بِهِ وَهُولا يَعْلَمُ، فَحَفِظَ الْمَنْسُوخَ، وَلَمْ يَحْفَظِ النَّاسِخَ، فَلَوعَلِمَ أَنَّهُ مَنْسُوخٌ لَرَفَضَهُ، وَلَوعَلِمَ الْمُسْلِمُونَ إِذْ سَمَعُوهُ مِنْهُ أَنَّهُ مَنْسُوخٌ لَرَفَضُوهُ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 رَابِعٌ، لَمْ يَكْذِبْ عَلَى الله، وَلا عَلَى رَسُولِهِ، مُبْغِضٌ لِلْكَذِبِ خَوْفاً مِنَ الله، وَتَعْظِيماً لِرَسُولِ‌الله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يَهِمْ، بَلْ حَفِظَ مَا سَمِعَ عَلَى وَجْهِهِ، فَجَاءَ بِهَ عَلَى مَا سَمِعَهُ، لَمْ يَزِدْ فِيهِ ولَمْ يَنْقُصْ مِنْهُ، فَهُو حَفِظَ النَّاسِخَ فَعَمِلَ بِهِ، وحَفِظَ الْمَنْسُوخَ فَجَنَّبَ عَنْهُ، وعَرَفَ الْخَاصَّ والْعَامَّ، والْمحْكَمَ والْمُتَشَابِهَ، فَوَضَعَ كُلَّ شَيْءٍ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يَكُونُ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لَهُ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فَكَلامٌ خَاصٌّ، وَكَلامٌ عَامٌّ، فَيَسْمَعُهُ مَنْ لا يَعْرِفُ مَا عَنَى الله، سُبْحانَهُ، بِهِ، وَلا مَا عَنَى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فَيَحْمِلُهُ السَّامِعُ، وَيُوَجِّهُهُ عَلَى غَيْرِ مَعْرِفَةٍ بِمَعْنَاهُ، وَمَا قُصِدَ بِهِ، وَمَا خَرَجَ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كُلُّ أَصْحَابِ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يَسْأَلُهُ وَيَسْتَفْهِمُهُ، حَتَّى إِنْ كَانُوا لَيُحِبُّونَ أَنْ يَجِيءَ الْأَعْرَابِيُّ وَالطَّارِئُ، فَيَسْأَلَهُ عَلَيْهِ‌السَّلامْ حَتَّى يَسْمَعُوا، وَكَانَ لايَمُرُّ بِي مِنْ ذلِكَ شَيْءٌ إِلاَّ سَأَلْتُهُ عَنْهُ وَحَفِظْتُهُ فَهذِهِ وُجُوهُ مَا عَلَيْهِ النَّاسُ فِي اخْتِلافِهِمْ، وَعِلَلِهِمْ فِي رِوَايَاتِهِمْ</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 xml:space="preserve">انتهى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فالذي يظهر من هذين الكلامين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للسياسة والنفاق والأهواء النفسانية دور واسع لظهور الخلاف وتكوّن الفِرَق والمذاهب، الأمر الذي غفل عنه الدهلوي وأمثاله من الذين يتصدون لدراسة منشأ الخلاف ولم يأتوا بذكرهفلابدّ من أن يكون مورداً للعناية وبذل الوسع للوقوف على هذا العامل المهم الذي يعدّ بمنزلة اللبنة الأولى للاختلاف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النكتة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أنّ الاختلاف من الأمور التي لا يرتضيها الطبع السليم، وقد بالغ القرآن الكريم في النهي عنه، وأما الرواية المشهورة في كتب العامه المنسوبة إلى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أمّتي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فيرد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أكثر المحدثين من العامة، كما عن السخاوي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يرمونه بالضعف ويقولون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أصل له</w:t>
      </w:r>
      <w:r>
        <w:rPr>
          <w:rFonts w:eastAsia="Amiri" w:cs="Amiri" w:ascii="Amiri" w:hAnsi="Amiri"/>
          <w:color w:val="111111"/>
          <w:sz w:val="28"/>
          <w:szCs w:val="28"/>
          <w:rtl w:val="true"/>
          <w:lang w:bidi="ar-SA"/>
        </w:rPr>
        <w:t>».</w:t>
      </w:r>
      <w:r>
        <w:rPr>
          <w:rStyle w:val="FootnoteAnchor"/>
          <w:rtl w:val="true"/>
        </w:rPr>
        <w:footnoteReference w:id="69"/>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على تقدير صحة هذه الرواية فإن المراد من الاختلاف فيها ليس هوالاختلاف في الدين، بل المراد منه التردد والزیادة فإنّ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بإسناده عن ابن أبي عمير عن عبد المؤمن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قوماً رووا أنّ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اختلاف أُمتي رحمة؟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إختلافهم رحمة فإجتماعهم عذاب؟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ذهبت وذهبوا، إنما أراد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فأمرهم أن ينفروا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ويختلفوا إليه، فيتعلموا ثم يرجعوا إلى قومهم فيعلموهم، إنما أراد إختلافهم من البلدان لا اختلافهم في دين الله، إنما الدين واحد</w:t>
      </w:r>
      <w:r>
        <w:rPr>
          <w:rFonts w:eastAsia="Amiri" w:cs="Amiri" w:ascii="Amiri" w:hAnsi="Amiri"/>
          <w:color w:val="111111"/>
          <w:sz w:val="28"/>
          <w:szCs w:val="28"/>
          <w:rtl w:val="true"/>
          <w:lang w:bidi="ar-SA"/>
        </w:rPr>
        <w:t>.</w:t>
      </w:r>
      <w:r>
        <w:rPr>
          <w:rStyle w:val="FootnoteAnchor"/>
          <w:rtl w:val="true"/>
        </w:rPr>
        <w:footnoteReference w:id="7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النكتة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الأسباب المهمه لظهور الخلاف وتكوّن المذاهب والمدارس ما هومجمع عليه عند العامة والخاصة، وهوالمنع عن كتابة الحديث وتدوينه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عهد الخليفه عمر بن عبد العزيز، بل إلى عهد المنصور العباسي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السنة النبوية الشريفة هي أهم مصدر للتشريع بعد كتاب الله تعالى عند جميع المذاهب والمدارس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كانت سنة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إلينا إلاّ بواسطة الرواية والحديث عنه، فإن للمنع عن كتابة الحديث دور عظيم في الخلاف بين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أوجد هذا المنع أرضية مناسبة لوضع الحديث واختراع روايات كثيرة ونسبتها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فها هوالذهبي يروي في ترجمه أبي بكر أنّه جمع الناس بعد وفاة نبيهم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إنكم تحدثون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أحاديث تختلفون فيها والناس بعدكم أشد اختلافاً، فلا تحدثوا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فمن سألكم، فقولوا بيننا كتاب الله فاستحلّوا حلاله وحرّموا حرامه</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وفي طبقات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الأحاديث كثرت على عهد عمر بن الخطاب فأنشد الناس أن يأتوا بها، فلمّا أتوه بها أمر بتحريقها</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وهذا عثمان يقول على المنبر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لأحد يروي حديثاً لم يسمع به على عهد أبي بكر ولا على عهد عمر</w:t>
      </w:r>
      <w:r>
        <w:rPr>
          <w:rFonts w:eastAsia="Amiri" w:cs="Amiri" w:ascii="Amiri" w:hAnsi="Amiri"/>
          <w:color w:val="111111"/>
          <w:sz w:val="28"/>
          <w:szCs w:val="28"/>
          <w:rtl w:val="true"/>
          <w:lang w:bidi="ar-SA"/>
        </w:rPr>
        <w:t>».</w:t>
      </w:r>
      <w:r>
        <w:rPr>
          <w:rStyle w:val="FootnoteAnchor"/>
          <w:rtl w:val="true"/>
        </w:rPr>
        <w:footnoteReference w:id="7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بین الصحابة من خالف سنّة الخلفاء كأبن مسعود وأبي الدرداء وأبي ذروغيرهم، ولكن سيرة الخلفاء في المنع عن الحديث استمرت في عهد معاوية ومن بعده، ولقد خسر المسلمون من جراء حظر الحديث خسارة عظمى من ناحيتين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ناحية ضياع الأحاديث الكثيرة التي سمعها الصحابة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شاهدوه من فعله وتقريره وسيرته، فإنّهم ماتوا ونقلوا معهم ما سمعوه وشاهدوه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الدار الآخرة، ومن ناحية أُخرى كثرت الأكاذيب والإفتعالات على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وانتهج نظام الحكم والسلطة نهج أبي بكر وعمر بن الخطاب، حتى تولی الخليفة عمر بن عبد العزيز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بتدوين الحديث، ولكن مرور هذا الزمن الطويل کان كفيلاً بأن يذهب بالكثير من حملة الحديث من الصحابة والتابعين ويهيئ لكثير من أهل الأهواء أن يضعوا الحديث أويزيدوا في بعض الأحاديث ما شاؤا وشائت لهم أهوائهم فعند ذلك كتب عمر بن عبد العزيز إلى أبي بكر بن حزم في المدينة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أُنظر ما كان من حديث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فاكتبه</w:t>
      </w:r>
      <w:r>
        <w:rPr>
          <w:rFonts w:eastAsia="IRNazanin" w:cs="IRNazanin"/>
          <w:color w:val="111111"/>
          <w:sz w:val="28"/>
          <w:szCs w:val="28"/>
          <w:rtl w:val="true"/>
          <w:lang w:bidi="fa-IR"/>
        </w:rPr>
        <w:t>».</w:t>
      </w:r>
      <w:r>
        <w:rPr>
          <w:rStyle w:val="FootnoteAnchor"/>
          <w:rtl w:val="true"/>
        </w:rPr>
        <w:footnoteReference w:id="74"/>
      </w:r>
      <w:r>
        <w:rPr>
          <w:rFonts w:ascii="Amiri" w:hAnsi="Amiri" w:eastAsia="Amiri" w:cs="Amiri"/>
          <w:color w:val="111111"/>
          <w:sz w:val="28"/>
          <w:sz w:val="28"/>
          <w:szCs w:val="28"/>
          <w:rtl w:val="true"/>
          <w:lang w:bidi="ar-SA"/>
        </w:rPr>
        <w:t xml:space="preserve">وكان ابن شهاب أول من دوّن الحديث </w:t>
      </w:r>
    </w:p>
    <w:p>
      <w:pPr>
        <w:pStyle w:val="BookText"/>
        <w:rPr/>
      </w:pPr>
      <w:r>
        <w:rPr>
          <w:rFonts w:ascii="Amiri" w:hAnsi="Amiri" w:eastAsia="Amiri" w:cs="Amiri"/>
          <w:color w:val="111111"/>
          <w:sz w:val="28"/>
          <w:sz w:val="28"/>
          <w:szCs w:val="28"/>
          <w:rtl w:val="true"/>
          <w:lang w:bidi="ar-SA"/>
        </w:rPr>
        <w:t xml:space="preserve">على رأس المائة بأمر عمر بن عبد العزيز، غير أنّه لم يتمّ الأمر بسبب وفاته بالسم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فضاعت تلك الكتب التي دوّنت في عصره، حتى تولّى المنصور الحكم، فقام المحدثون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بتدوين الحديث كما 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علماء الإسلام في هذا العص العصر في تدوين الحديث والفقه والتفسير</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 xml:space="preserve">ولهذا السبب نجد أنه كلما بعد الناس عن عصر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إزداد عدد الأحاديث، وهذا يدلّ على أنّ الأحاديث أخذت بالإزدياد والكثرة بحسب وضع الوضاعين وكذب الكذابين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عبده عن حماد بن 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وضعت الزنادقة أربعة عشر ألف 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بحسب ما وصل إليه علمه واختباره في كشف كذبها، وإلا فقد نقل المحدثون أنّ زنديقاً واحداً وضع هذا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أخذ ابن أبي العوجاء ليضرب عنقه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فيكم أربعة الأف حديثاً احرم فيها الحلال وأحل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أبي العوجاء هوربيب حماد بن سلمة المحدث الشهير</w:t>
      </w:r>
      <w:r>
        <w:rPr>
          <w:rFonts w:eastAsia="IRNazanin" w:cs="IRNazanin"/>
          <w:color w:val="111111"/>
          <w:sz w:val="28"/>
          <w:szCs w:val="28"/>
          <w:rtl w:val="true"/>
          <w:lang w:bidi="fa-IR"/>
        </w:rPr>
        <w:t>.</w:t>
      </w:r>
      <w:r>
        <w:rPr>
          <w:rStyle w:val="FootnoteAnchor"/>
          <w:rtl w:val="true"/>
        </w:rPr>
        <w:footnoteReference w:id="7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يظهر من ذلک أنّ من العلل المهمة لظهور الآراء والإجتهادات المختلفة النهي عن نشر السنّة النبوية إلى أوائل القرن الثاني</w:t>
      </w:r>
      <w:r>
        <w:rPr>
          <w:rFonts w:eastAsia="IRNazanin" w:cs="IRNazanin"/>
          <w:color w:val="111111"/>
          <w:sz w:val="28"/>
          <w:szCs w:val="28"/>
          <w:rtl w:val="true"/>
          <w:lang w:bidi="fa-IR"/>
        </w:rPr>
        <w:t>.</w:t>
      </w:r>
      <w:r>
        <w:rPr>
          <w:rStyle w:val="FootnoteAnchor"/>
          <w:rtl w:val="true"/>
        </w:rPr>
        <w:footnoteReference w:id="77"/>
      </w:r>
      <w:r>
        <w:rPr>
          <w:rFonts w:ascii="Amiri" w:hAnsi="Amiri" w:eastAsia="Amiri" w:cs="Amiri"/>
          <w:color w:val="111111"/>
          <w:sz w:val="28"/>
          <w:sz w:val="28"/>
          <w:szCs w:val="28"/>
          <w:rtl w:val="true"/>
          <w:lang w:bidi="ar-SA"/>
        </w:rPr>
        <w:t xml:space="preserve">فهذا هوالأمر الخطير الذي غفل عنه كثير </w:t>
      </w:r>
    </w:p>
    <w:p>
      <w:pPr>
        <w:pStyle w:val="BookText"/>
        <w:rPr/>
      </w:pPr>
      <w:r>
        <w:rPr>
          <w:rFonts w:ascii="Amiri" w:hAnsi="Amiri" w:eastAsia="Amiri" w:cs="Amiri"/>
          <w:color w:val="111111"/>
          <w:sz w:val="28"/>
          <w:sz w:val="28"/>
          <w:szCs w:val="28"/>
          <w:rtl w:val="true"/>
          <w:lang w:bidi="ar-SA"/>
        </w:rPr>
        <w:t>من الباحثين في أسباب الخلاف كالدهلوي والشاطبي وابن رشد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النكتة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الجهل وقلّة الاطلاع على حقيقة الشريعة من الأسباب المهمة التي لا بدّ أن تعدّ لظهور المذاهب والمناهج وقد مرّ مما نقلناه عن نهج البلاغه من كلام الإمام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ذكر اختلاف الأخبار أنّ هناك مضافاً إلى الكذب والنفاق، يوجد أمران آخران يوجبان ظهور الاختلاف في الحديث؛ 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الوهم في الحديث، وثانيهما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فالمتدبر في هذين الأمرين يجد أنّ الوهم وعدم الحفظ ينتهيان في حقيقتهما إلى الجهل يعتبران من العوامل الرئيسية في ظهور البدعوانتشار الخلاف في الخبر، فإذا كان هذا هوحال بعض الرواة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الصحابة، في ما هم عليه من الجهل والوهم وعدم الاطلاع على الناسخ والمنسوخ وعدم الحفظ، وهم قد تفرقوا في البلاد وصار كل واحد منهم قدوة للناس،كما نقلنا عن الدهلوي، حيث كانوا يرجعون إليهم ويستفتونهم وهم يجيبونهم بعلمهم هذا الذي كان مشوباً بالجهل والوهم وعدم الحفظ، حتى أنهم إذا لم يتمكنوا من هذا العلم البسيط الناقص المشوب بالجهل، اجتهدوا بآرائهم، وإذا كان الأمر كذلك فبإمكاننا أن نستنتج أنّ جهل المحدثين الأوائل الذين صاروا قدوة للناس ومرجعاً للفتوى يعتبر من أهم الأسباب التي أدت إلى ظهور المدارس المختلفة للاجتهاد، وسيأتي توضيح ذلك أكثر في النكتة الأتية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النكتة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بعض الكتّاب یری أن أول منشأ لظهور الاختلاف هونشوء مدرستين،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الحديث ومدرسة الرأي، فإن النظر الدقيق یوضح أنّ هذا بعض الحقيقة وليس تمامها؛ ذلک أن ظهور هذين المدرستين في نطاق مدارس الإجتهاد عند السنّة امر صحیح ومطابق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محل تأمل اذا عمّم جمیع </w:t>
      </w:r>
    </w:p>
    <w:p>
      <w:pPr>
        <w:pStyle w:val="BookText"/>
        <w:rPr/>
      </w:pPr>
      <w:r>
        <w:rPr>
          <w:rFonts w:ascii="IRNazanin" w:hAnsi="IRNazanin" w:eastAsia="IRNazanin"/>
          <w:color w:val="111111"/>
          <w:sz w:val="28"/>
          <w:sz w:val="28"/>
          <w:szCs w:val="28"/>
          <w:rtl w:val="true"/>
          <w:lang w:bidi="fa-IR"/>
        </w:rPr>
        <w:t xml:space="preserve">المسلمين؛ لأن أول منشأ للاختلاف بين المسلمين كان حول تحديد مقام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وبيان مرتبتهم، حيث إنّنا نجد أنه بعد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حصل بين المسلمين في ذلك الوقت إنقساماً واضح بالنسبة إلى مقام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ومرتبتهم، وهذا هوالعامل الرئيس الأول لظهور مذهبين في العالم الإسلامي، يجسدان أول إنشقاق ظهر بين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هذين المذهبين يتمثل بالمذهب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لهم منالشأن ما لايمكن لأي مسلم إنكاره وقد وجبت مودّتهم بنص الأمر الالهي</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لا أَسْئَلُكُمْ عَلَيْهِ أَجْراً إِلاَّ الْمَوَدَّةَ فِي الْقُرْبى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وهی تعتبر من ضروريات الدين إلا أنهم ليس لهم المرجعية في أمر الدين والدنيا ولا تنحصر المرجعية العلمية بهم خاصة، فهم كغيرهم من الصحابة من هذه الناحية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 هذين المذهبين يتمثل بالمذهب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بيت الرسول وعترته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المرجع العلمي الوحيد للناس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وعندهم ميراث علمه، هذا أولاً، وهم الأئمة والساسة في جميع أمور الدين والدنيا ثانياً؛ فأصحاب هذا المذهب يعتقدون بوجوب التمسك بالعترة في المجالات المتفاوتة ومن أهمها وأعظمها الرجوع إليهم في المسائل والمشاكل المرتبطة بالشريعة، وتكاليف العباد المجهولة تمسكاً بحديث الثقلين</w:t>
      </w:r>
      <w:r>
        <w:rPr>
          <w:rStyle w:val="FootnoteAnchor"/>
          <w:rtl w:val="true"/>
        </w:rPr>
        <w:footnoteReference w:id="79"/>
      </w:r>
      <w:r>
        <w:rPr>
          <w:rFonts w:ascii="Amiri" w:hAnsi="Amiri" w:eastAsia="Amiri" w:cs="Amiri"/>
          <w:color w:val="111111"/>
          <w:sz w:val="28"/>
          <w:sz w:val="28"/>
          <w:szCs w:val="28"/>
          <w:rtl w:val="true"/>
          <w:lang w:bidi="ar-SA"/>
        </w:rPr>
        <w:t>المتواتر، وغيره من الأدلّة المذكورة في مواضعها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أصحاب المذهب </w:t>
      </w:r>
    </w:p>
    <w:p>
      <w:pPr>
        <w:pStyle w:val="BookText"/>
        <w:rPr/>
      </w:pPr>
      <w:r>
        <w:rPr>
          <w:rFonts w:ascii="IRNazanin" w:hAnsi="IRNazanin" w:eastAsia="IRNazanin"/>
          <w:color w:val="111111"/>
          <w:sz w:val="28"/>
          <w:sz w:val="28"/>
          <w:szCs w:val="28"/>
          <w:rtl w:val="true"/>
          <w:lang w:bidi="fa-IR"/>
        </w:rPr>
        <w:t xml:space="preserve">الأول كانوا يرجعون الناس في مسائلهم الفقهية المجهولة إلى المحدثين، وكانوا لايعتقدون بمرجع معصوم عن الخطأ، منصوب من قبل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للجواب عن استفتائاتهم؛ بينما نجد أن أصحاب المذهب الثاني كانوا يرجعون الناس إلى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لأجل إعتقادهم بأنّ حديثهم حديث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ولاتوجد مسألة إلاّ وعندهم جوابها، فعلى هذا یظهر أن المنهج الإجتهادي للمذهب الأول منشأه الصحابة، بينما المنهج الإجتهادي للمذهب الثاني منشؤه العترة الطاهرة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النكتة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الإشارة إلى أهم أسباب الخلاف ومنشأ ظهور المذاهب يمكن أن نلخص تنوع المذاهب في إطار أمور ثلاثة،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المباني والمصادر والمناهج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فالمذاهب والمدارس الفقهية مع ما بینهما من التفاوت والاختلاف، كما سيظهر في المباحث الآتية، يكون مرجع الخلاف فيما بينها إما إلى الخلاف في المباني والمبادئ التصديقية الكلامية والأصولية وغيرها، كالاعتقاد بعصمة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وعدالة الصحابة وحجية السنة ومدى إعتبارها، وحجية أخبار الآحاد،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وإنسداد باب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غير ذلك من المباني المختلفة المذکورة في آراء المذاهب وفتاواهم، وإما إلى الخلاف في المصادر التي منها تستنبط الأحكام كالخلاف في حجية القياس أوالإجتهاد بالرأي أوحجية العقل ومدى إعتبارها، وإما إلى الخلاف في نفس المنهج مع الاتفاق على كلّ الأصول والمباني أوالقبول والامضاء لكلّ المصادر كالخلاف في كيفية الرجوع إلى أقوال سائر الفقهاء ولزومها أوإلى آراء المذاهب الأُخرى</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النكتة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الأمور المهمة الجديرة بالإشارة هنا، وإن كان سيأتي التعرضلها بتفصيل أكثر في الفصول الآتية، اختلاف رأي المدارس الإجتهادية وتفاوت نظر الفقهاء أوغفلتهم بالنسبة إلى مجموع الشريعة ودائرة نطاق الأحكام الفقهية وحدود نفوذها إلى جميع مجالات الحياة الإنسانية، من الفردية والإجتماعية، أواختصاصها بالحياة الفردية وما يرتبط بالإنسان مع نفسه أومع ربّه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المجتهد إذا غفل عن سعة الأحكام وشمولها لشتى جوانب الحياة وركز فقط على البُعد الخصوصي والفردي للفقه سوف يكون لهذا الرؤیة أثرها فی ما یفهم من الأدلة ويستنبط من الكتاب والسنة وهذا الامر لايمكن إنكاره وهويوجب ظهور مدرسة أومذهب إجتهادي، یختلف عن مذهب من يرى سعة الشريعة وشمولها لشتى جوانب الحياة؛ فإن المجتهد الذي يرى ذلك ويبذل العناية لمشاهدة جميع الشريعة في إطار واحد، فإنه سوف يتصدى لهداية الناس في جميع مجالات الحياة إلى طريق الرشد والسیر إلى السعادة الأبدية دنيويّاً وأخرويّاً، فرديّاً واجتماعيّاً، عباديّاً وسياسياً، إلى غير ذلك من الأبعاد الأخرى للحياة؛ وهذا ما نشاهده بوضوح في المنهج الفقهي للإمام روح الله الخميني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bookmarkStart w:id="132" w:name="pg8675_122821"/>
    </w:p>
    <w:p>
      <w:pPr>
        <w:pStyle w:val="Heading4"/>
        <w:numPr>
          <w:ilvl w:val="3"/>
          <w:numId w:val="1"/>
        </w:numPr>
        <w:rPr/>
      </w:pPr>
      <w:bookmarkStart w:id="133" w:name="__RefHeading___Toc2473838_653776707"/>
      <w:bookmarkStart w:id="134" w:name="_Toc43"/>
      <w:bookmarkEnd w:id="132"/>
      <w:bookmarkEnd w:id="133"/>
      <w:r>
        <w:rPr>
          <w:rtl w:val="true"/>
        </w:rPr>
        <w:t>خلاصة المبحث</w:t>
      </w:r>
      <w:bookmarkEnd w:id="134"/>
    </w:p>
    <w:p>
      <w:pPr>
        <w:pStyle w:val="BookText"/>
        <w:rPr/>
      </w:pPr>
      <w:r>
        <w:rPr>
          <w:rFonts w:ascii="Amiri" w:hAnsi="Amiri" w:eastAsia="Amiri" w:cs="Amiri"/>
          <w:color w:val="111111"/>
          <w:sz w:val="28"/>
          <w:sz w:val="28"/>
          <w:szCs w:val="28"/>
          <w:rtl w:val="true"/>
          <w:lang w:bidi="ar-SA"/>
        </w:rPr>
        <w:t>إن الاختلاف في الإجتهاد وظهور المدارس والمناهج والمذاهب ينشأ من أمور عديدة، بعضها ممدوحاً وبعضها مذموماً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 هذه الأمور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الأهواء النفسية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والنفاق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 الافهام والاستعدادات الفردية واختلاف الأجواء والظروف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كتابة الحديث وتدوينه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وعدم الاطلاع على مصادر الشريعة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الإيمان بعصمة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ومرجعيتهم العلمية والسياسية، وعدم الإيمان بذلك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المباني والمصادر والمناهج</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النظر إلى الشريعة، من حيث شمولها لمختلف مجالات الحياة وعدم شمولها لذلك</w:t>
      </w:r>
      <w:r>
        <w:rPr>
          <w:rFonts w:eastAsia="Amiri" w:cs="Amiri" w:ascii="Amiri" w:hAnsi="Amiri"/>
          <w:color w:val="111111"/>
          <w:sz w:val="28"/>
          <w:szCs w:val="28"/>
          <w:rtl w:val="true"/>
          <w:lang w:bidi="ar-SA"/>
        </w:rPr>
        <w:t xml:space="preserve">. </w:t>
      </w:r>
      <w:bookmarkStart w:id="135" w:name="pg8675_122824"/>
    </w:p>
    <w:p>
      <w:pPr>
        <w:pStyle w:val="Heading3"/>
        <w:numPr>
          <w:ilvl w:val="2"/>
          <w:numId w:val="1"/>
        </w:numPr>
        <w:rPr/>
      </w:pPr>
      <w:bookmarkStart w:id="136" w:name="__RefHeading___Toc2473840_653776707"/>
      <w:bookmarkStart w:id="137" w:name="_Toc44"/>
      <w:bookmarkEnd w:id="135"/>
      <w:bookmarkEnd w:id="136"/>
      <w:r>
        <w:rPr>
          <w:rtl w:val="true"/>
        </w:rPr>
        <w:t>الفصل الثاني أهم المدراس والمذاهب الإجتهادية عند العامة وخصائصها</w:t>
      </w:r>
      <w:bookmarkEnd w:id="13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8" w:name="__RefHeading___Toc2473842_653776707"/>
      <w:bookmarkStart w:id="139" w:name="_Toc45"/>
      <w:bookmarkEnd w:id="138"/>
      <w:r>
        <w:rPr>
          <w:rtl w:val="true"/>
        </w:rPr>
        <w:t>اشارة</w:t>
      </w:r>
      <w:bookmarkEnd w:id="13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 w:name="pg8675_122830"/>
      <w:bookmarkStart w:id="141" w:name="pg8675_122830"/>
      <w:bookmarkEnd w:id="141"/>
    </w:p>
    <w:p>
      <w:pPr>
        <w:pStyle w:val="Heading4"/>
        <w:numPr>
          <w:ilvl w:val="3"/>
          <w:numId w:val="1"/>
        </w:numPr>
        <w:rPr/>
      </w:pPr>
      <w:bookmarkStart w:id="142" w:name="pg8675_122830"/>
      <w:bookmarkStart w:id="143" w:name="__RefHeading___Toc2473844_653776707"/>
      <w:bookmarkStart w:id="144" w:name="_Toc46"/>
      <w:bookmarkEnd w:id="142"/>
      <w:bookmarkEnd w:id="143"/>
      <w:r>
        <w:rPr>
          <w:rtl w:val="true"/>
        </w:rPr>
        <w:t>تمهيد</w:t>
      </w:r>
      <w:r>
        <w:rPr>
          <w:rtl w:val="true"/>
        </w:rPr>
        <w:t>:</w:t>
      </w:r>
      <w:bookmarkEnd w:id="144"/>
    </w:p>
    <w:p>
      <w:pPr>
        <w:pStyle w:val="BookText"/>
        <w:rPr/>
      </w:pPr>
      <w:r>
        <w:rPr>
          <w:rFonts w:ascii="IRNazanin" w:hAnsi="IRNazanin" w:eastAsia="IRNazanin"/>
          <w:color w:val="111111"/>
          <w:sz w:val="28"/>
          <w:sz w:val="28"/>
          <w:szCs w:val="28"/>
          <w:rtl w:val="true"/>
          <w:lang w:bidi="fa-IR"/>
        </w:rPr>
        <w:t xml:space="preserve">قد مرّ في مبحث أسباب الخلاف من الفصل السابق أنّ أول خلاف ظهر بين المسلمين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هوالخلاف حول مرجعيّة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إلى الشؤن الدينية والدنيوية للمجتمع الإسلامي، وكانت نتيجة هذا الخلاف ظهور مدرستين، بل مذهبين قد سميّا بأسماء عدّة في المتون والكتب المختلفه، كمدرسة الإمامة ومدرسة الخلافة، أومدرسة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ومدرسة الخلفاء، أومدرسة الشيعة ومدرسة السنة، أومدرسة العامة ومدرسة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في ما يلي من المباحث نصطلح على المدرسة الأولی بمدرسة أومذهب العامّة، بإعتبار أنّ الذين تابعوهذه المدرسة وهذا المذهب هم أكثرية المسلمين ونصطلح على المدرسة والمذهب الثاني بمدرسة أومذهب الخاصة بإعتبار قلّة تابعيه في العالم الإسلامي</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وهذان المذهبان، العامة والخاصة، وإن كان بينهما نقاط اختلاف في مجالات العقيدة والعمل، وهی قد تؤدی بدورها إلى التأثير في أرضية الإجتهاد والفقاهة، لكن مع ذلك فإن بینهما مشتركات كثيرة في شتّى المجالات، بل يمكن أن يدعى أنّ المذهبين في أكثر الساحات الإعتقادية والاخلاقية والفقهية إلى غير ذلك، مما يرتبط بالتعاليم الإسلامية والعلوم الدينية، متوافقان لا خلاف بينهما، وسوف نشير في ما يلي إلى أهم تلك المشتركات في مجال الفقه والإجتهاد</w:t>
      </w:r>
      <w:r>
        <w:rPr>
          <w:rFonts w:eastAsia="IRNazanin" w:cs="IRNazanin"/>
          <w:color w:val="111111"/>
          <w:sz w:val="28"/>
          <w:szCs w:val="28"/>
          <w:rtl w:val="true"/>
          <w:lang w:bidi="fa-IR"/>
        </w:rPr>
        <w:t xml:space="preserve">: </w:t>
      </w:r>
      <w:bookmarkStart w:id="145" w:name="pg8675_122832"/>
    </w:p>
    <w:p>
      <w:pPr>
        <w:pStyle w:val="Heading4"/>
        <w:numPr>
          <w:ilvl w:val="3"/>
          <w:numId w:val="1"/>
        </w:numPr>
        <w:rPr/>
      </w:pPr>
      <w:bookmarkStart w:id="146" w:name="__RefHeading___Toc2473846_653776707"/>
      <w:bookmarkStart w:id="147" w:name="_Toc47"/>
      <w:bookmarkEnd w:id="145"/>
      <w:bookmarkEnd w:id="146"/>
      <w:r>
        <w:rPr>
          <w:rtl w:val="true"/>
        </w:rPr>
        <w:t>أهم المشتركات بين مذهب العامة ومذهب الخاصة</w:t>
      </w:r>
      <w:r>
        <w:rPr>
          <w:rtl w:val="true"/>
        </w:rPr>
        <w:t>:</w:t>
      </w:r>
      <w:bookmarkEnd w:id="147"/>
    </w:p>
    <w:p>
      <w:pPr>
        <w:pStyle w:val="BookText"/>
        <w:rPr/>
      </w:pPr>
      <w:r>
        <w:rPr>
          <w:rFonts w:ascii="Amiri" w:hAnsi="Amiri" w:eastAsia="Amiri" w:cs="Amiri"/>
          <w:color w:val="111111"/>
          <w:sz w:val="28"/>
          <w:sz w:val="28"/>
          <w:szCs w:val="28"/>
          <w:rtl w:val="true"/>
          <w:lang w:bidi="ar-SA"/>
        </w:rPr>
        <w:t>توجد بين مذهب العامة ومذهب الخاصة في ما يرتبط بميدان الإجتهاد والفقاهة نقاط مشتركه كثيرة، من أهمها تلك المرتبطة بالأصول والمباني الاجتهاد ومصادره، وهي كالتالي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التوحيد فی الألوهیة والتشریع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النبوة العامة والنبوة الخاصة ووحدة الدين والشريعة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الخاتمية، وأنّ حلال محمد حلال إلى يوم القيامة وحرامه حرام إلى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جامعية الشريعة، وأنّ أحكامها تدخل في جميع مجالات الحياة الإنسانية، مما ینطبق علیه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هداية الله عزوجل للإنسان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حجية وإعتبار المصادر الأربعة لعملية الإستنباط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 والاجماع والعقل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فالعامة والخاصة متفقان بالنسبة إلى أصل هذه الأمور الخمسة التي تعدّ بمنزلة المباني الأساسية للاجتهاد، وإن كانا مختلفين في تفريعاتها الجزئية وسيأتي إن شاء الله بيان أهمها في ذيل البحث عن مدارس كلّ مذهب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نشرع في الفصل الثاني بذكر أهم المدارس الإجتهادية عند العامة</w:t>
      </w:r>
      <w:r>
        <w:rPr>
          <w:rFonts w:eastAsia="Amiri" w:cs="Amiri" w:ascii="Amiri" w:hAnsi="Amiri"/>
          <w:color w:val="111111"/>
          <w:sz w:val="28"/>
          <w:szCs w:val="28"/>
          <w:rtl w:val="true"/>
          <w:lang w:bidi="ar-SA"/>
        </w:rPr>
        <w:t xml:space="preserve">. </w:t>
      </w:r>
      <w:bookmarkStart w:id="148" w:name="pg8675_122835"/>
    </w:p>
    <w:p>
      <w:pPr>
        <w:pStyle w:val="Heading4"/>
        <w:numPr>
          <w:ilvl w:val="3"/>
          <w:numId w:val="1"/>
        </w:numPr>
        <w:rPr/>
      </w:pPr>
      <w:bookmarkStart w:id="149" w:name="__RefHeading___Toc2473848_653776707"/>
      <w:bookmarkStart w:id="150" w:name="_Toc48"/>
      <w:bookmarkEnd w:id="148"/>
      <w:bookmarkEnd w:id="149"/>
      <w:r>
        <w:rPr>
          <w:rtl w:val="true"/>
        </w:rPr>
        <w:t>ظهور المدارس الفقهية عند العامة</w:t>
      </w:r>
      <w:bookmarkEnd w:id="150"/>
    </w:p>
    <w:p>
      <w:pPr>
        <w:pStyle w:val="Heading4"/>
        <w:numPr>
          <w:ilvl w:val="3"/>
          <w:numId w:val="1"/>
        </w:numPr>
        <w:rPr/>
      </w:pPr>
      <w:bookmarkStart w:id="151" w:name="__RefHeading___Toc2473850_653776707"/>
      <w:bookmarkStart w:id="152" w:name="_Toc49"/>
      <w:bookmarkEnd w:id="151"/>
      <w:r>
        <w:rPr>
          <w:rtl w:val="true"/>
        </w:rPr>
        <w:t>تمهيد</w:t>
      </w:r>
      <w:r>
        <w:rPr>
          <w:rtl w:val="true"/>
        </w:rPr>
        <w:t>:</w:t>
      </w:r>
      <w:bookmarkEnd w:id="152"/>
    </w:p>
    <w:p>
      <w:pPr>
        <w:pStyle w:val="BookText"/>
        <w:rPr/>
      </w:pPr>
      <w:r>
        <w:rPr>
          <w:rFonts w:ascii="IRNazanin" w:hAnsi="IRNazanin" w:eastAsia="IRNazanin"/>
          <w:color w:val="111111"/>
          <w:sz w:val="28"/>
          <w:sz w:val="28"/>
          <w:szCs w:val="28"/>
          <w:rtl w:val="true"/>
          <w:lang w:bidi="fa-IR"/>
        </w:rPr>
        <w:t xml:space="preserve">قد مرّ في المبحث الخامس من الفصل السابق أنّ الصحابة والتابعين تفرقوا بعدوفات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الأمصار والمدن، وصاروا مرجعاً عاماً للناس في الفتوى والحكم في ما بينهم، وكان الناس يلتفون حولهم في كل بلد، ويأخذون عنهم الكتاب والسنة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لهم طرقهم الخاصة في الفتوي والإستنباط، فمنهم من توسع في الرأي كعمر بن الخطاب، ومنهم من وقف عند النص وتمسك بالآثار كعبدالله بن عمر، وعلى هذا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المدارس الفقهية عند العامة تعود في واقعها إلى أحد إتجاهين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إتجاه الوقوف عند الأثر وهوما يسمي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واتجاه التوسع في الرأي وهوما يسمي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الرأي</w:t>
      </w:r>
      <w:r>
        <w:rPr>
          <w:rFonts w:eastAsia="Amiri" w:cs="Amiri" w:ascii="Amiri" w:hAnsi="Amiri"/>
          <w:color w:val="111111"/>
          <w:sz w:val="28"/>
          <w:szCs w:val="28"/>
          <w:rtl w:val="true"/>
          <w:lang w:bidi="ar-SA"/>
        </w:rPr>
        <w:t>».</w:t>
      </w:r>
      <w:r>
        <w:rPr>
          <w:rStyle w:val="FootnoteAnchor"/>
          <w:rtl w:val="true"/>
        </w:rPr>
        <w:footnoteReference w:id="81"/>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8675_122841"/>
      <w:bookmarkStart w:id="154" w:name="pg8675_122841"/>
      <w:bookmarkEnd w:id="154"/>
    </w:p>
    <w:p>
      <w:pPr>
        <w:pStyle w:val="Heading4"/>
        <w:numPr>
          <w:ilvl w:val="3"/>
          <w:numId w:val="1"/>
        </w:numPr>
        <w:rPr/>
      </w:pPr>
      <w:bookmarkStart w:id="155" w:name="pg8675_122841"/>
      <w:bookmarkStart w:id="156" w:name="__RefHeading___Toc2473852_653776707"/>
      <w:bookmarkStart w:id="157" w:name="_Toc50"/>
      <w:bookmarkEnd w:id="155"/>
      <w:bookmarkEnd w:id="156"/>
      <w:r>
        <w:rPr>
          <w:rtl w:val="true"/>
        </w:rPr>
        <w:t>المبحث الأول مدرسة الحديث ومنهجها في الإجتهاد</w:t>
      </w:r>
      <w:bookmarkEnd w:id="157"/>
    </w:p>
    <w:p>
      <w:pPr>
        <w:pStyle w:val="Heading5"/>
        <w:numPr>
          <w:ilvl w:val="4"/>
          <w:numId w:val="1"/>
        </w:numPr>
        <w:rPr/>
      </w:pPr>
      <w:bookmarkStart w:id="158" w:name="__RefHeading___Toc2473854_653776707"/>
      <w:bookmarkStart w:id="159" w:name="_Toc51"/>
      <w:bookmarkEnd w:id="158"/>
      <w:r>
        <w:rPr>
          <w:rtl w:val="true"/>
        </w:rPr>
        <w:t>اشارة</w:t>
      </w:r>
      <w:bookmarkEnd w:id="159"/>
    </w:p>
    <w:p>
      <w:pPr>
        <w:pStyle w:val="BookText"/>
        <w:rPr/>
      </w:pPr>
      <w:r>
        <w:rPr>
          <w:rFonts w:ascii="Amiri" w:hAnsi="Amiri" w:eastAsia="Amiri" w:cs="Amiri"/>
          <w:color w:val="111111"/>
          <w:sz w:val="28"/>
          <w:sz w:val="28"/>
          <w:szCs w:val="28"/>
          <w:rtl w:val="true"/>
          <w:lang w:bidi="ar-SA"/>
        </w:rPr>
        <w:t>كانت الحجاز، وخاصة المدينة، المكان الأول لنشأة مدرسة الحديث وظهورها، وكانت تعرف بمدرسة المدينة؛ لأنها مهد السنة النبوية، وفيها سلالة الصحابة وقد حمل لواء هذه المدرسة الفقهاء السبعة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المسيب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وعروة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والقاسم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وأبوبكر بن عبدالرحمن بن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وعبيدالله بن عبدالله بن عتبة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وسليمان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وخارجة بن زيد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سعيد بن المسيب على رأس هؤلاء السبعة،</w:t>
      </w:r>
      <w:r>
        <w:rPr>
          <w:rStyle w:val="FootnoteAnchor"/>
          <w:rtl w:val="true"/>
        </w:rPr>
        <w:footnoteReference w:id="82"/>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تزعم هذه المدرسة من الصحابة قبل هؤلاء السبعة كل من العباس والزبير وعبدالله بن عمر، كما أنه قد حمل لوائه من تابعي التابعين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والشافعي وأحمد بن حنبل</w:t>
      </w:r>
      <w:r>
        <w:rPr>
          <w:rFonts w:eastAsia="Amiri" w:cs="Amiri" w:ascii="Amiri" w:hAnsi="Amiri"/>
          <w:color w:val="111111"/>
          <w:sz w:val="28"/>
          <w:szCs w:val="28"/>
          <w:rtl w:val="true"/>
          <w:lang w:bidi="ar-SA"/>
        </w:rPr>
        <w:t>.</w:t>
      </w:r>
      <w:r>
        <w:rPr>
          <w:rStyle w:val="FootnoteAnchor"/>
          <w:rtl w:val="true"/>
        </w:rPr>
        <w:footnoteReference w:id="83"/>
      </w:r>
    </w:p>
    <w:p>
      <w:pPr>
        <w:pStyle w:val="Heading5"/>
        <w:numPr>
          <w:ilvl w:val="4"/>
          <w:numId w:val="1"/>
        </w:numPr>
        <w:rPr/>
      </w:pPr>
      <w:bookmarkStart w:id="160" w:name="__RefHeading___Toc2473856_653776707"/>
      <w:bookmarkStart w:id="161" w:name="_Toc52"/>
      <w:bookmarkEnd w:id="160"/>
      <w:r>
        <w:rPr>
          <w:rtl w:val="true"/>
        </w:rPr>
        <w:t>منهج مدرسة الحديث</w:t>
      </w:r>
      <w:r>
        <w:rPr>
          <w:rtl w:val="true"/>
        </w:rPr>
        <w:t>:</w:t>
      </w:r>
      <w:bookmarkEnd w:id="161"/>
    </w:p>
    <w:p>
      <w:pPr>
        <w:pStyle w:val="BookText"/>
        <w:rPr/>
      </w:pPr>
      <w:r>
        <w:rPr>
          <w:rFonts w:ascii="IRNazanin" w:hAnsi="IRNazanin" w:eastAsia="IRNazanin"/>
          <w:color w:val="111111"/>
          <w:sz w:val="28"/>
          <w:sz w:val="28"/>
          <w:szCs w:val="28"/>
          <w:rtl w:val="true"/>
          <w:lang w:bidi="fa-IR"/>
        </w:rPr>
        <w:t>یقف فقهاء هذه المدرسة عند النص وخلاصة منهجهم ما يأتی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إذا ما استفتاهم أحد من الناس ينظرون في كتاب الله ثم سنة رسوله، فإن وجدوا فيها أحاديث مختلفة فاضلوا بينها بالراوي، فإذا لم يجدوا حديث نظروا في آثار الصحابة وإن لم يجدوا نصاً ولا اجماعاً عملوا بالرأي، وما كان فيه اختلاف عندهم </w:t>
      </w:r>
    </w:p>
    <w:p>
      <w:pPr>
        <w:pStyle w:val="BookText"/>
        <w:rPr/>
      </w:pPr>
      <w:r>
        <w:rPr>
          <w:rFonts w:ascii="Amiri" w:hAnsi="Amiri" w:eastAsia="Amiri" w:cs="Amiri"/>
          <w:color w:val="111111"/>
          <w:sz w:val="28"/>
          <w:sz w:val="28"/>
          <w:szCs w:val="28"/>
          <w:rtl w:val="true"/>
          <w:lang w:bidi="ar-SA"/>
        </w:rPr>
        <w:t>أخذوا بأقواه وارجحه؛ إما لكثرة من ذهب إليه، وإما لموافقته لقياس قوي، وإمالموافقته لتخريج صريح من الكتاب والسنة، وإذا لم يجدوا فيما حفظوا سنة خرّجوا من كلام فقهائهم وتتبعوا الايماء والاقتضاء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فقهاء المدينة من هذه المدرسة يؤخرون الأخذ بخبر الواحد عن عمل أهل المدينة، كما انهم ومن بعدهم مالك يرون أن الاجماع الملزم يتحقق باتفاق فقهاء المدينة وحدهم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فقهاء هذه المدرسة على خلاف مدرسة الرأي، أن السنة تستقل بتشريع الأحكام ولولم يرد بخصوصها شئ فی القرآن وفی هذا يقول الأوزاعي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الكتاب أحوج إلى السنة من‌السنة إلى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هذا سبباً في اختلاف المدرستين في فروع كثيرة،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بالشاهد واليمين،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عقوبة الزاني غير المحصن مع الجلد،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تغريب الزناة سنة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يجيزون تخصيص عام القرآن بخبر الواحد، لأنّ دلالة العام عندهم ظنية، بخلاف مدرسة الرأي، فإن دلالة العام من الكتاب عندهم قطعية، في حين أن خبر الواحد ظني، والظني لايعارض القطعي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ذلك يشير أحمد بن حنبل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ولوساغ رد سنن الله بما فهمه الرجل من ظاهر الكتاب لردت بذلك أكثر السنن وبطلت بالكلية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ترتب على منهجهم هذا أنهم قالوا بحل أكل الذبيحة التي لم يسم عليها، مع أن النص القرآني يشعر بالتحريم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قالوا بجواز قتل مباح الدم لردته ونحوها، وإن لجأ إلى الحرم؛ لأن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دَخَلَه وكَانَ ءَامِنًا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خصص بالخبر</w:t>
      </w:r>
      <w:r>
        <w:rPr>
          <w:rFonts w:eastAsia="Amiri" w:cs="Amiri" w:ascii="Amiri" w:hAnsi="Amiri"/>
          <w:color w:val="111111"/>
          <w:sz w:val="28"/>
          <w:szCs w:val="28"/>
          <w:rtl w:val="true"/>
          <w:lang w:bidi="ar-SA"/>
        </w:rPr>
        <w:t xml:space="preserve">. </w:t>
      </w:r>
      <w:bookmarkStart w:id="162" w:name="pg8675_122847"/>
    </w:p>
    <w:p>
      <w:pPr>
        <w:pStyle w:val="BookText"/>
        <w:rPr/>
      </w:pPr>
      <w:bookmarkEnd w:id="162"/>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لفقهاء مدرسة الحديث منهج خاص في إعتبار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اشتراطألا يكون الخبر في أمر تعم به البلوى، بخلاف أهل الرأي، فإنهم يشترطون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فأهل الحديث يرون أنه لا يلزم من عموم البلوى إشتهار حكمها، فإن حكم الفصد والحجامة، والقهقهة في الصلاة، وقراءة الفاتحة خلف الإمام وتركها، والجهر بالتسمية واخفائها لم تشتهر مع أن هذه الحوادث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لا يشترطون في إعتبار خبر الواحد عدم مخالفته لنص من الكتاب والسنة المشهورة، بينما تشترط مدرسة الرأي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يعملون بالخبر، ولولم يعمل به نفس الصحابي الذي رواه مادام إسناد الحديث صحيحاً؛ لأنه حجة، بينما تری مدرسة الرأي أنّ عمل الصحابي الراوي للحديث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ترتب على ذلك أن أهل الحديث لم يجوزوا نكاح المرأة بغير إذن وليها، أخذاً بما روته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امرأة نكحت بغير إذن وليها فنكاحها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عائشة الراوية للخبر قد عملت بخلافه، إذ زوجت حفصة بنت أخيها عبدالرحمن وهوغائب بالشام</w:t>
      </w:r>
      <w:r>
        <w:rPr>
          <w:rFonts w:eastAsia="IRNazanin" w:cs="IRNazanin"/>
          <w:color w:val="111111"/>
          <w:sz w:val="28"/>
          <w:szCs w:val="28"/>
          <w:rtl w:val="true"/>
          <w:lang w:bidi="fa-IR"/>
        </w:rPr>
        <w:t>.</w:t>
      </w:r>
    </w:p>
    <w:p>
      <w:pPr>
        <w:pStyle w:val="Heading5"/>
        <w:numPr>
          <w:ilvl w:val="4"/>
          <w:numId w:val="1"/>
        </w:numPr>
        <w:rPr/>
      </w:pPr>
      <w:bookmarkStart w:id="163" w:name="__RefHeading___Toc2473858_653776707"/>
      <w:bookmarkStart w:id="164" w:name="_Toc53"/>
      <w:bookmarkEnd w:id="163"/>
      <w:r>
        <w:rPr>
          <w:rtl w:val="true"/>
        </w:rPr>
        <w:t>أقسام أهل الحديث</w:t>
      </w:r>
      <w:r>
        <w:rPr>
          <w:rtl w:val="true"/>
        </w:rPr>
        <w:t>:</w:t>
      </w:r>
      <w:bookmarkEnd w:id="16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أهل الحديث، وإن كان أساس رأيهم هوالاعتماد على الحديث، إلا أنهم یختلفون فی ما بینهم، ولكل منهم منهج يتميز به في مجال قبول أخبار الآحاد، وتقديمها على غيرها من الأدلة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ففقهاء المدينة الذین كانت المنافسة والجدل بينهم وبين فقهاء الرأي بالكوفة شديدین، يختلف منهجهم كثيراً عن عموم منهج مدرسة الحديث وخاصة فيما يتصل بشروط السنة حتى عدّ بعض المؤرخين، كابن قتيبة، مالكاً من فقهاء مدرسة الرأي، لأنه يأخذ بظاهر القرآن، ويرفض خبر الواحد إذا </w:t>
      </w:r>
    </w:p>
    <w:p>
      <w:pPr>
        <w:pStyle w:val="BookText"/>
        <w:rPr/>
      </w:pPr>
      <w:r>
        <w:rPr>
          <w:rFonts w:ascii="Amiri" w:hAnsi="Amiri" w:eastAsia="Amiri" w:cs="Amiri"/>
          <w:color w:val="111111"/>
          <w:sz w:val="28"/>
          <w:sz w:val="28"/>
          <w:szCs w:val="28"/>
          <w:rtl w:val="true"/>
          <w:lang w:bidi="ar-SA"/>
        </w:rPr>
        <w:t>تعارض معه، كما أنه يقدم ما عليه عمل أهل المدينة على خبر الواحد، وأيضاً كان يقدم القياس على خبر الواحد، إذا اعتضد القياس بقاعدة 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فقهاء المدينةقد يلاحظ في آرائهم التعليل ورعاية المصلحة، كما علل سليمان بن يسار، وسالم بن عبدالله بن عمر الترخيص للمتوفي عنها زوجها باستعمال بعض أنواع الطيب والزينة، برفع الحرج ودفع الضرر عنها، وقد علل ابن المسيب جواز تسعير السلعة، بأن مصلحة المجتمع تقتضي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الظاهرية، وهم متطرفوأهل الحديث، يتعلقون بظواهر النصوص، وينكرون أصل التعليل وما ترتب عليه من القول بالقياس والرأي بكافة وجوهه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فقهاء مدرسة المدينة كانوا إذا لم يجدوا نصاً يرجعون إلى أقوال خصوص الصحابة المقيمين في المدينة، أما غيرهم من فقهاء أهل الحديث، فإنهم عند إنعدام النص يأخذون بقول الصحابي، سواء كان من المقيمين في المدينة أم لا</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فإننا نستطيع أن نقسم مدرسة الحديث إلى مدرسة المدنيين والظاهريين والمتأخرين، كمايأتي تفصيله في المباحث الآتية</w:t>
      </w:r>
      <w:r>
        <w:rPr>
          <w:rFonts w:eastAsia="Amiri" w:cs="Amiri" w:ascii="Amiri" w:hAnsi="Amiri"/>
          <w:color w:val="111111"/>
          <w:sz w:val="28"/>
          <w:szCs w:val="28"/>
          <w:rtl w:val="true"/>
          <w:lang w:bidi="ar-SA"/>
        </w:rPr>
        <w:t xml:space="preserve">. </w:t>
      </w:r>
      <w:bookmarkStart w:id="165" w:name="pg8675_122853"/>
    </w:p>
    <w:p>
      <w:pPr>
        <w:pStyle w:val="Heading4"/>
        <w:numPr>
          <w:ilvl w:val="3"/>
          <w:numId w:val="1"/>
        </w:numPr>
        <w:rPr/>
      </w:pPr>
      <w:bookmarkStart w:id="166" w:name="__RefHeading___Toc2473860_653776707"/>
      <w:bookmarkStart w:id="167" w:name="_Toc54"/>
      <w:bookmarkEnd w:id="165"/>
      <w:bookmarkEnd w:id="166"/>
      <w:r>
        <w:rPr>
          <w:rtl w:val="true"/>
        </w:rPr>
        <w:t>المبحث الثاني مدرسة الرأي ومنهجها في الإجتهاد</w:t>
      </w:r>
      <w:bookmarkEnd w:id="167"/>
    </w:p>
    <w:p>
      <w:pPr>
        <w:pStyle w:val="Heading5"/>
        <w:numPr>
          <w:ilvl w:val="4"/>
          <w:numId w:val="1"/>
        </w:numPr>
        <w:rPr/>
      </w:pPr>
      <w:bookmarkStart w:id="168" w:name="__RefHeading___Toc2473862_653776707"/>
      <w:bookmarkStart w:id="169" w:name="_Toc55"/>
      <w:bookmarkEnd w:id="168"/>
      <w:r>
        <w:rPr>
          <w:rtl w:val="true"/>
        </w:rPr>
        <w:t>اشارة</w:t>
      </w:r>
      <w:bookmarkEnd w:id="169"/>
    </w:p>
    <w:p>
      <w:pPr>
        <w:pStyle w:val="BookText"/>
        <w:rPr/>
      </w:pPr>
      <w:r>
        <w:rPr>
          <w:rFonts w:ascii="Amiri" w:hAnsi="Amiri" w:eastAsia="Amiri" w:cs="Amiri"/>
          <w:color w:val="111111"/>
          <w:sz w:val="28"/>
          <w:sz w:val="28"/>
          <w:szCs w:val="28"/>
          <w:rtl w:val="true"/>
          <w:lang w:bidi="ar-SA"/>
        </w:rPr>
        <w:t>الرأي في اللغة بمعنى العلم بالشئ على سبيل الظن أوعلى سبيل الإعتقاد، ثم خصه الفقهاء بالنظر وإعمال الفكر في الوقائع التي لم يرد فيها نص</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والمراد من النص الدليل اللفظي الدالّ علی الحكم الشرعي، سواء كان كتاباً أوسنة، كما قد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الأثر، أيضاً، وقد أشرنا في المبحث الأول من الفصل السابق أنّ العمل بالرأي والتفكير الشخصي للتوصل إلى الحكم الشرعي كان يسمى في الصدر الأول بالإجتهاد، كما كان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التأويل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والتأويل وإمعان الرأي بهذا المعنى كان موجوداً في عصر الصحابة، وكان كل من الخلفاء الأول والثاني والثالث وکذلک عائشة وخالد بن الوليد وأمثالهم، هم الأصل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ذكرت إجتهاداتهم بالرأي وتأويلاتهم في الكتب المفصلة</w:t>
      </w:r>
      <w:r>
        <w:rPr>
          <w:rFonts w:eastAsia="IRNazanin" w:cs="IRNazanin"/>
          <w:color w:val="111111"/>
          <w:sz w:val="28"/>
          <w:szCs w:val="28"/>
          <w:rtl w:val="true"/>
          <w:lang w:bidi="fa-IR"/>
        </w:rPr>
        <w:t>.</w:t>
      </w:r>
      <w:r>
        <w:rPr>
          <w:rStyle w:val="FootnoteAnchor"/>
          <w:rtl w:val="true"/>
        </w:rPr>
        <w:footnoteReference w:id="86"/>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والذي يجدر ذكره، ومن الضروري الإشارة إليه، هوأنّه قد ذكر في بعض المصنفات المختصة بالإجتهاد وتاريخه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العاملين </w:t>
      </w:r>
    </w:p>
    <w:p>
      <w:pPr>
        <w:pStyle w:val="BookText"/>
        <w:rPr/>
      </w:pPr>
      <w:r>
        <w:rPr>
          <w:rFonts w:ascii="IRNazanin" w:hAnsi="IRNazanin" w:eastAsia="IRNazanin"/>
          <w:color w:val="111111"/>
          <w:sz w:val="28"/>
          <w:sz w:val="28"/>
          <w:szCs w:val="28"/>
          <w:rtl w:val="true"/>
          <w:lang w:bidi="fa-IR"/>
        </w:rPr>
        <w:t xml:space="preserve">بالرأي، بل 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المؤسسين له</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مع أنّ هذا المدّعى خلاف الواقع، ولا يوجد له شاهدأصلاً، بل أن المعروف من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رأسهم الإمام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والواضح كالشمس في رائعة النهار، والذي يعرفه الصديق والعدوّ، هوالإنكار الشديد للعمل بالرأي، والروايات عنهم في حرمة الحكم بالرأي متواترة</w:t>
      </w:r>
      <w:r>
        <w:rPr>
          <w:rStyle w:val="FootnoteAnchor"/>
          <w:rtl w:val="true"/>
        </w:rPr>
        <w:footnoteReference w:id="88"/>
      </w:r>
      <w:r>
        <w:rPr>
          <w:rFonts w:ascii="IRNazanin" w:hAnsi="IRNazanin" w:eastAsia="IRNazanin"/>
          <w:color w:val="111111"/>
          <w:sz w:val="28"/>
          <w:sz w:val="28"/>
          <w:szCs w:val="28"/>
          <w:rtl w:val="true"/>
          <w:lang w:bidi="fa-IR"/>
        </w:rPr>
        <w:t xml:space="preserve">بل يعدّ هذا من ضروريات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سيأتي تفصيله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معنا في مبحث أسباب الخلاف ذكر حديث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ذمّ أهل الرأي فراجع</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وعلى أيّ حال، فإن الجذور الأساسية لمدرسة الرأي بدأت من بعض الصحابة، وعلى رأسهم الخليفة الثاني، كما هومذكور في محله،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عبدالله بن مسعود عمل برأي عمر في الأخذ بالرأي، ثم أصحابه في الكوفة، كعلقمة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والأسود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وشريح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وأمثالهم كانوا أركان هذه المدرسة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هؤلاء كان زعيم مدرسة الرأي إبراهيم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له أثر واضح في مدرسة الكوفة، ومن بعده تلميذه حماد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أبي حنيفة، ثم آلت الزعامة إلى أبي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شنع أهل الحديث على أهل الرأي، حتى نقل عن ابن حنبل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الرأي مبتدعه، ضلال أعداء للسنة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فقهاء مدرسة الرأي يرمون فقهاء مدرسة </w:t>
      </w:r>
      <w:bookmarkStart w:id="170" w:name="pg8675_122859"/>
    </w:p>
    <w:p>
      <w:pPr>
        <w:pStyle w:val="BookText"/>
        <w:rPr/>
      </w:pPr>
      <w:bookmarkEnd w:id="170"/>
      <w:r>
        <w:rPr>
          <w:rFonts w:ascii="Amiri" w:hAnsi="Amiri" w:eastAsia="Amiri" w:cs="Amiri"/>
          <w:color w:val="111111"/>
          <w:sz w:val="28"/>
          <w:sz w:val="28"/>
          <w:szCs w:val="28"/>
          <w:rtl w:val="true"/>
          <w:lang w:bidi="ar-SA"/>
        </w:rPr>
        <w:t>الحديث بالجمود وضعف الفكر</w:t>
      </w:r>
      <w:r>
        <w:rPr>
          <w:rFonts w:eastAsia="Amiri" w:cs="Amiri" w:ascii="Amiri" w:hAnsi="Amiri"/>
          <w:color w:val="111111"/>
          <w:sz w:val="28"/>
          <w:szCs w:val="28"/>
          <w:rtl w:val="true"/>
          <w:lang w:bidi="ar-SA"/>
        </w:rPr>
        <w:t>.</w:t>
      </w:r>
      <w:r>
        <w:rPr>
          <w:rStyle w:val="FootnoteAnchor"/>
          <w:rtl w:val="true"/>
        </w:rPr>
        <w:footnoteReference w:id="90"/>
      </w:r>
    </w:p>
    <w:p>
      <w:pPr>
        <w:pStyle w:val="Heading5"/>
        <w:numPr>
          <w:ilvl w:val="4"/>
          <w:numId w:val="1"/>
        </w:numPr>
        <w:rPr/>
      </w:pPr>
      <w:bookmarkStart w:id="171" w:name="__RefHeading___Toc2473864_653776707"/>
      <w:bookmarkStart w:id="172" w:name="_Toc56"/>
      <w:bookmarkEnd w:id="171"/>
      <w:r>
        <w:rPr>
          <w:rtl w:val="true"/>
        </w:rPr>
        <w:t>منهج مدرسة الرأي</w:t>
      </w:r>
      <w:r>
        <w:rPr>
          <w:rtl w:val="true"/>
        </w:rPr>
        <w:t>:</w:t>
      </w:r>
      <w:bookmarkEnd w:id="17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والحقیقة هی أنّ فقهاء المدرستين يأخذون بالحديث، كما يأخذون بالرأي، إلا الظاهريين من أهل الحديث، فالخلاف الفئتین كما يقول الحجوي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هوفي الفروع التي يثبت الأثر فيها عند الحجازيين دون العراقيين، لعدم اطلاعهم عليها، أولوجود قادح عندهم</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وكان منهج أهل هذه المدرسة هوالتهيّب رواية الحديث ورفع سنده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مخافة أن يكون من الموضوعات، وكانوا مع هذا لا يتهيبون الفتيا؛ لأنهم على منهجهم يعتقدون أن شرع الله قد إكتمل قبل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أحكامه معقولة المعاني، مبنية على علل ضابطة لتلك الأحكام، فكان فقهاء هذه المدرسة يبحثون عن تلك العلل ويجعلون الحكم دائراً معها وجوداً وعدماً، ونتيجة لقلة بضاعتهم من الحديث وبعدهم عن موطنه وتحرجهم من الأخذ بأخبار الآحاد، خشية أن تكون موضوعة، إتجهوا إلى الرأي، فقدموا القياس على خبر الواحد أحياناً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يظهر أنّ المدرستين تجتمعان في التوسع في الرأي واعمال القياس والاستحسان، ووضع القيود في مجال العمل بأخبار الآحاد، وإن اختلفوا فيما بينهم في هذه الأمور وفي طبيعة ونوع القيود التي وضعوها</w:t>
      </w:r>
      <w:r>
        <w:rPr>
          <w:rFonts w:eastAsia="IRNazanin" w:cs="IRNazanin"/>
          <w:color w:val="111111"/>
          <w:sz w:val="28"/>
          <w:szCs w:val="28"/>
          <w:rtl w:val="true"/>
          <w:lang w:bidi="fa-IR"/>
        </w:rPr>
        <w:t xml:space="preserve">. </w:t>
      </w:r>
      <w:bookmarkStart w:id="173" w:name="pg8675_122862"/>
    </w:p>
    <w:p>
      <w:pPr>
        <w:pStyle w:val="Heading5"/>
        <w:numPr>
          <w:ilvl w:val="4"/>
          <w:numId w:val="1"/>
        </w:numPr>
        <w:rPr/>
      </w:pPr>
      <w:bookmarkStart w:id="174" w:name="__RefHeading___Toc2473866_653776707"/>
      <w:bookmarkStart w:id="175" w:name="_Toc57"/>
      <w:bookmarkEnd w:id="173"/>
      <w:bookmarkEnd w:id="174"/>
      <w:r>
        <w:rPr>
          <w:rtl w:val="true"/>
        </w:rPr>
        <w:t>أمران مهمان ينبغي الإشارة إليهما</w:t>
      </w:r>
      <w:r>
        <w:rPr>
          <w:rtl w:val="true"/>
        </w:rPr>
        <w:t>:</w:t>
      </w:r>
      <w:bookmarkEnd w:id="175"/>
    </w:p>
    <w:p>
      <w:pPr>
        <w:pStyle w:val="BookText"/>
        <w:rPr/>
      </w:pPr>
      <w:r>
        <w:rPr>
          <w:rFonts w:ascii="Amiri" w:hAnsi="Amiri" w:eastAsia="Amiri" w:cs="Amiri"/>
          <w:color w:val="111111"/>
          <w:sz w:val="28"/>
          <w:sz w:val="28"/>
          <w:szCs w:val="28"/>
          <w:rtl w:val="true"/>
          <w:lang w:bidi="ar-SA"/>
        </w:rPr>
        <w:t xml:space="preserve">ينبغي الإشارة في هذا المجال إلى أمرين مهمين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سيأتي تفصيلهما عند البحث في فقه أبي حنيفة الذي يعدّ من أساطين مكتب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التوسع في الحيل الشرعية في شتى أبواب الفقه، من المعاملات والوقوف والوصايا والشروط والنفقات وغيرها، وينقل عن أبي حنيفة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قصد ابطال الأحكام صراحة ممنوع، وأما إبطالها ضمناً فلا</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بينما ينكر أهل الحديث عليهم إعتبارهم للحيل الشرعية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التوسع في الفقه الإفتراضي، فإنهم كما كانوا ينظرون في المسائل الواقعية الفعلية، كانوا يفترضون المسائل، ويبحثون عن حكم الله في كل ما يفترض وقوعه، الامر الذی كوّن لهم ثروة فقهية واسعة</w:t>
      </w:r>
      <w:r>
        <w:rPr>
          <w:rFonts w:eastAsia="IRNazanin" w:cs="IRNazanin"/>
          <w:color w:val="111111"/>
          <w:sz w:val="28"/>
          <w:szCs w:val="28"/>
          <w:rtl w:val="true"/>
          <w:lang w:bidi="fa-IR"/>
        </w:rPr>
        <w:t>.</w:t>
      </w:r>
      <w:r>
        <w:rPr>
          <w:rStyle w:val="FootnoteAnchor"/>
          <w:rtl w:val="true"/>
        </w:rPr>
        <w:footnoteReference w:id="93"/>
      </w:r>
    </w:p>
    <w:p>
      <w:pPr>
        <w:pStyle w:val="Heading5"/>
        <w:numPr>
          <w:ilvl w:val="4"/>
          <w:numId w:val="1"/>
        </w:numPr>
        <w:rPr/>
      </w:pPr>
      <w:bookmarkStart w:id="176" w:name="__RefHeading___Toc2473868_653776707"/>
      <w:bookmarkStart w:id="177" w:name="_Toc58"/>
      <w:bookmarkEnd w:id="176"/>
      <w:r>
        <w:rPr>
          <w:rtl w:val="true"/>
        </w:rPr>
        <w:t>نماذج تطبيقية من فقه أهل الرأي وأهل الحديث</w:t>
      </w:r>
      <w:r>
        <w:rPr>
          <w:rtl w:val="true"/>
        </w:rPr>
        <w:t>:</w:t>
      </w:r>
      <w:bookmarkEnd w:id="177"/>
    </w:p>
    <w:p>
      <w:pPr>
        <w:pStyle w:val="Heading6"/>
        <w:numPr>
          <w:ilvl w:val="5"/>
          <w:numId w:val="1"/>
        </w:numPr>
        <w:rPr/>
      </w:pPr>
      <w:bookmarkStart w:id="178" w:name="__RefHeading___Toc2473870_653776707"/>
      <w:bookmarkStart w:id="179" w:name="_Toc59"/>
      <w:bookmarkEnd w:id="178"/>
      <w:r>
        <w:rPr/>
        <w:t>1</w:t>
      </w:r>
      <w:r>
        <w:rPr>
          <w:rtl w:val="true"/>
        </w:rPr>
        <w:t xml:space="preserve">) </w:t>
      </w:r>
      <w:r>
        <w:rPr>
          <w:rtl w:val="true"/>
        </w:rPr>
        <w:t>القراءة خلف الإمام</w:t>
      </w:r>
      <w:r>
        <w:rPr>
          <w:rtl w:val="true"/>
        </w:rPr>
        <w:t>:</w:t>
      </w:r>
      <w:bookmarkEnd w:id="17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الرأي الغالب لفقهاء المدينة من أهل الحديث هوالقراءة مع الإمام، فيما يخفت فيه ويسر، وعدم القراءة فيما يجهر فيه، بينما كان رأي مدرسة الكوفه هوعدم القراءة خلف الإمام مطلقاً، حتى فيما اسر به، ومرجع الخلاف في ذلك هواختلاف الآثار</w:t>
      </w:r>
      <w:r>
        <w:rPr>
          <w:rFonts w:eastAsia="Amiri" w:cs="Amiri" w:ascii="Amiri" w:hAnsi="Amiri"/>
          <w:color w:val="111111"/>
          <w:sz w:val="28"/>
          <w:szCs w:val="28"/>
          <w:rtl w:val="true"/>
          <w:lang w:bidi="ar-SA"/>
        </w:rPr>
        <w:t xml:space="preserve">. </w:t>
      </w:r>
      <w:bookmarkStart w:id="180" w:name="pg8675_122865"/>
    </w:p>
    <w:p>
      <w:pPr>
        <w:pStyle w:val="Heading6"/>
        <w:numPr>
          <w:ilvl w:val="5"/>
          <w:numId w:val="1"/>
        </w:numPr>
        <w:rPr/>
      </w:pPr>
      <w:bookmarkStart w:id="181" w:name="__RefHeading___Toc2473872_653776707"/>
      <w:bookmarkStart w:id="182" w:name="_Toc60"/>
      <w:bookmarkEnd w:id="180"/>
      <w:bookmarkEnd w:id="181"/>
      <w:r>
        <w:rPr/>
        <w:t>2</w:t>
      </w:r>
      <w:r>
        <w:rPr>
          <w:rtl w:val="true"/>
        </w:rPr>
        <w:t xml:space="preserve">) </w:t>
      </w:r>
      <w:r>
        <w:rPr>
          <w:rtl w:val="true"/>
        </w:rPr>
        <w:t>القضاء بشاهد واحد مع يمين المدعي</w:t>
      </w:r>
      <w:r>
        <w:rPr>
          <w:rtl w:val="true"/>
        </w:rPr>
        <w:t>:</w:t>
      </w:r>
      <w:bookmarkEnd w:id="182"/>
    </w:p>
    <w:p>
      <w:pPr>
        <w:pStyle w:val="BookText"/>
        <w:rPr/>
      </w:pPr>
      <w:r>
        <w:rPr>
          <w:rFonts w:ascii="IRNazanin" w:hAnsi="IRNazanin" w:eastAsia="IRNazanin"/>
          <w:color w:val="111111"/>
          <w:sz w:val="28"/>
          <w:sz w:val="28"/>
          <w:szCs w:val="28"/>
          <w:rtl w:val="true"/>
          <w:lang w:bidi="fa-IR"/>
        </w:rPr>
        <w:t>مرّ سابقاً أنّ فقهاء أهل الحديث يرون صحة القضاء بشاهد واحد مع اليمين في الأموال، تمسكاً بالخبرالموجود عندهم، بينما یری فقهاء الرأي عدم الإکتفاء باليمينمع البينه، تمسكاً بالنص القرآني</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ذَوَيْ عَدْلٍ مِنْكُمْ وأَقيمُوا الشَّهادَةَ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ثبوت السنة عندهم</w:t>
      </w:r>
      <w:r>
        <w:rPr>
          <w:rFonts w:eastAsia="Amiri" w:cs="Amiri" w:ascii="Amiri" w:hAnsi="Amiri"/>
          <w:color w:val="111111"/>
          <w:sz w:val="28"/>
          <w:szCs w:val="28"/>
          <w:rtl w:val="true"/>
          <w:lang w:bidi="ar-SA"/>
        </w:rPr>
        <w:t>.</w:t>
      </w:r>
    </w:p>
    <w:p>
      <w:pPr>
        <w:pStyle w:val="Heading6"/>
        <w:numPr>
          <w:ilvl w:val="5"/>
          <w:numId w:val="1"/>
        </w:numPr>
        <w:rPr/>
      </w:pPr>
      <w:bookmarkStart w:id="183" w:name="__RefHeading___Toc2473874_653776707"/>
      <w:bookmarkStart w:id="184" w:name="_Toc61"/>
      <w:bookmarkEnd w:id="183"/>
      <w:r>
        <w:rPr/>
        <w:t>3</w:t>
      </w:r>
      <w:r>
        <w:rPr>
          <w:rtl w:val="true"/>
        </w:rPr>
        <w:t xml:space="preserve">) </w:t>
      </w:r>
      <w:r>
        <w:rPr>
          <w:rtl w:val="true"/>
        </w:rPr>
        <w:t>قضاء المرأة</w:t>
      </w:r>
      <w:r>
        <w:rPr>
          <w:rtl w:val="true"/>
        </w:rPr>
        <w:t>:</w:t>
      </w:r>
      <w:bookmarkEnd w:id="184"/>
    </w:p>
    <w:p>
      <w:pPr>
        <w:pStyle w:val="BookText"/>
        <w:rPr/>
      </w:pPr>
      <w:r>
        <w:rPr>
          <w:rFonts w:ascii="IRNazanin" w:hAnsi="IRNazanin" w:eastAsia="IRNazanin"/>
          <w:color w:val="111111"/>
          <w:sz w:val="28"/>
          <w:sz w:val="28"/>
          <w:szCs w:val="28"/>
          <w:rtl w:val="true"/>
          <w:lang w:bidi="fa-IR"/>
        </w:rPr>
        <w:t xml:space="preserve">إ يشترط فقهاء الحديث فيمن يلي القضاء الذكورة؛ إذ تنقص الأُنوثة عن كمال الولايات؛ ولأنه لم يحدّث أن ولّى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احد من أصحابه امرأة في القضاء، كما أنه 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يفلح قوم ولوا امرهم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بينما ترى مدرسة الرأي وابن حزم من الظاهرية أن الذكورة ليست شرطاً لجواز تقلد القضاء في غير الحدود والدماء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روي عن عمر بن الخطاب أنه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فأهل الرأي قاسوا القضاء على الشهادة، وحملوا الحديث المروي على رياسة الدولة</w:t>
      </w:r>
      <w:r>
        <w:rPr>
          <w:rFonts w:eastAsia="IRNazanin" w:cs="IRNazanin"/>
          <w:color w:val="111111"/>
          <w:sz w:val="28"/>
          <w:szCs w:val="28"/>
          <w:rtl w:val="true"/>
          <w:lang w:bidi="fa-IR"/>
        </w:rPr>
        <w:t>.</w:t>
      </w:r>
    </w:p>
    <w:p>
      <w:pPr>
        <w:pStyle w:val="Heading6"/>
        <w:numPr>
          <w:ilvl w:val="5"/>
          <w:numId w:val="1"/>
        </w:numPr>
        <w:rPr/>
      </w:pPr>
      <w:bookmarkStart w:id="185" w:name="__RefHeading___Toc2473876_653776707"/>
      <w:bookmarkStart w:id="186" w:name="_Toc62"/>
      <w:bookmarkEnd w:id="185"/>
      <w:r>
        <w:rPr/>
        <w:t>4</w:t>
      </w:r>
      <w:r>
        <w:rPr>
          <w:rtl w:val="true"/>
        </w:rPr>
        <w:t xml:space="preserve">) </w:t>
      </w:r>
      <w:r>
        <w:rPr>
          <w:rtl w:val="true"/>
        </w:rPr>
        <w:t>الولاية في عقد الزواج</w:t>
      </w:r>
      <w:r>
        <w:rPr>
          <w:rtl w:val="true"/>
        </w:rPr>
        <w:t>:</w:t>
      </w:r>
      <w:bookmarkEnd w:id="18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يتفق الفقهاء على أن الرجل البالغ العاقل له أن يزوج نفسه، وأنّ يباشر عقد الزواج، وأما بالنسبة إلى المرأة فبعض أهل الرأي يجوزون لها أن تباشر عقد زواج نفسها وأن تنوب عن غيرها في مباشرة عقد الزواج، غير أنهم اشترطوا لنفاذ عقدها أن يكون الزوج كفواً وأن لا يقل المهر عن مهر المثل، واستدلوا على ذلك بالقياس، فقاسوا مباشرة ذلك على مباشرتها لشؤنها المالية، بينما غيرهم من الفقهاء لا يجوزون ذلك، </w:t>
      </w:r>
      <w:bookmarkStart w:id="187" w:name="pg8675_122868"/>
    </w:p>
    <w:p>
      <w:pPr>
        <w:pStyle w:val="BookText"/>
        <w:rPr/>
      </w:pPr>
      <w:bookmarkEnd w:id="187"/>
      <w:r>
        <w:rPr>
          <w:rFonts w:ascii="IRNazanin" w:hAnsi="IRNazanin" w:eastAsia="IRNazanin"/>
          <w:color w:val="111111"/>
          <w:sz w:val="28"/>
          <w:sz w:val="28"/>
          <w:szCs w:val="28"/>
          <w:rtl w:val="true"/>
          <w:lang w:bidi="fa-IR"/>
        </w:rPr>
        <w:t xml:space="preserve">لا لنفسها ولا لغيرها، ويستدلون بما روي عن أبي هريرة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وهوممن لا معرفة له بالفقه من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تزوج المرأة المرأة ولا تزوج المرأة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نكاح إلا بوليّ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امرأة تزوجت بغير إذن وليها فنكاحها باطل، فإن لم يكن لها ولي، فالسلطانولي من لا ولي له</w:t>
      </w:r>
      <w:r>
        <w:rPr>
          <w:rFonts w:eastAsia="IRNazanin" w:cs="IRNazanin"/>
          <w:color w:val="111111"/>
          <w:sz w:val="28"/>
          <w:szCs w:val="28"/>
          <w:rtl w:val="true"/>
          <w:lang w:bidi="fa-IR"/>
        </w:rPr>
        <w:t>».</w:t>
      </w:r>
      <w:r>
        <w:rPr>
          <w:rStyle w:val="FootnoteAnchor"/>
          <w:rtl w:val="true"/>
        </w:rPr>
        <w:footnoteReference w:id="95"/>
      </w:r>
    </w:p>
    <w:p>
      <w:pPr>
        <w:pStyle w:val="Heading6"/>
        <w:numPr>
          <w:ilvl w:val="5"/>
          <w:numId w:val="1"/>
        </w:numPr>
        <w:rPr/>
      </w:pPr>
      <w:bookmarkStart w:id="188" w:name="__RefHeading___Toc2473878_653776707"/>
      <w:bookmarkStart w:id="189" w:name="_Toc63"/>
      <w:bookmarkEnd w:id="188"/>
      <w:r>
        <w:rPr/>
        <w:t>5</w:t>
      </w:r>
      <w:r>
        <w:rPr>
          <w:rtl w:val="true"/>
        </w:rPr>
        <w:t xml:space="preserve">) </w:t>
      </w:r>
      <w:r>
        <w:rPr>
          <w:rtl w:val="true"/>
        </w:rPr>
        <w:t>ضمان المصراة</w:t>
      </w:r>
      <w:r>
        <w:rPr>
          <w:rtl w:val="true"/>
        </w:rPr>
        <w:t>:</w:t>
      </w:r>
      <w:bookmarkEnd w:id="189"/>
    </w:p>
    <w:p>
      <w:pPr>
        <w:pStyle w:val="BookText"/>
        <w:rPr/>
      </w:pPr>
      <w:r>
        <w:rPr>
          <w:rFonts w:ascii="IRNazanin" w:hAnsi="IRNazanin" w:eastAsia="IRNazanin"/>
          <w:color w:val="111111"/>
          <w:sz w:val="28"/>
          <w:sz w:val="28"/>
          <w:szCs w:val="28"/>
          <w:rtl w:val="true"/>
          <w:lang w:bidi="fa-IR"/>
        </w:rPr>
        <w:t>کان أهل الرأي يفتون بضمان المصراة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ببيان أن المشتري يردها ويرد 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قيمة ما احتلبه من لبنها، بينما کان أهل الحديث يفتون بردها ومعها صاع من تمر، لحديث رواه أبوهريره في ذلك، فأهل الرأي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قاعدة ضمان المتلفات أن يرد المثل، إن كان مثلياً وقيمتها إن كان قيمياً، وهذا الخبر خلاف القاعدة، فيوجد شكاً في صحته إن كان بلغهم، ويحتمل أنه لم يبلغهم</w:t>
      </w:r>
      <w:r>
        <w:rPr>
          <w:rFonts w:eastAsia="IRNazanin" w:cs="IRNazanin"/>
          <w:color w:val="111111"/>
          <w:sz w:val="28"/>
          <w:szCs w:val="28"/>
          <w:rtl w:val="true"/>
          <w:lang w:bidi="fa-IR"/>
        </w:rPr>
        <w:t>.</w:t>
      </w:r>
      <w:r>
        <w:rPr>
          <w:rStyle w:val="FootnoteAnchor"/>
          <w:rtl w:val="true"/>
        </w:rPr>
        <w:footnoteReference w:id="96"/>
      </w:r>
    </w:p>
    <w:p>
      <w:pPr>
        <w:pStyle w:val="Heading6"/>
        <w:numPr>
          <w:ilvl w:val="5"/>
          <w:numId w:val="1"/>
        </w:numPr>
        <w:rPr/>
      </w:pPr>
      <w:bookmarkStart w:id="190" w:name="__RefHeading___Toc2473880_653776707"/>
      <w:bookmarkStart w:id="191" w:name="_Toc64"/>
      <w:bookmarkEnd w:id="190"/>
      <w:r>
        <w:rPr>
          <w:rtl w:val="true"/>
        </w:rPr>
        <w:t>خاتمة المطاف</w:t>
      </w:r>
      <w:r>
        <w:rPr>
          <w:rtl w:val="true"/>
        </w:rPr>
        <w:t>:</w:t>
      </w:r>
      <w:bookmarkEnd w:id="19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ظهرت مدرسة الحديث ومدرسة الرأي في عهد صغار الصحابة، ومن تلقى عنهم من التابعين في عهد معاوية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أوائل القرن الهجري الثاني، عندما بدأ الضعف في الدولة الأموية، وهاتان المدرستان وإن كان بينهما أمور خلافية كثيرة في عملية الإستنباط وأصولها، على الرغم من توافقهما على الأخذ بالكتاب والسنة، بل حتى العمل بالرأي، وقد ظهر التنافس والجدل بينهما، إلا أنه لم تكن </w:t>
      </w:r>
      <w:bookmarkStart w:id="192" w:name="pg8675_122871"/>
    </w:p>
    <w:p>
      <w:pPr>
        <w:pStyle w:val="BookText"/>
        <w:rPr/>
      </w:pPr>
      <w:bookmarkEnd w:id="192"/>
      <w:r>
        <w:rPr>
          <w:rFonts w:ascii="IRNazanin" w:hAnsi="IRNazanin" w:eastAsia="IRNazanin"/>
          <w:color w:val="111111"/>
          <w:sz w:val="28"/>
          <w:sz w:val="28"/>
          <w:szCs w:val="28"/>
          <w:rtl w:val="true"/>
          <w:lang w:bidi="fa-IR"/>
        </w:rPr>
        <w:t>للمجتهدين من هاتین المدرستين قواعد معلومة واضحة؛ لأن الفقه كان إلى ذلك الوقت لم يأخذ الدرجة اللائقة به من التدوين والترتيب والتوسعة، إلى أن جاء دور الفقهاء في الزمان المتأخر على ذلك الزمان، حيث ظهرت المدارس الإجتهادية فينطاق المدرستين</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تاريخ التشريع الإسلامي، ص</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محمد سلام مدكور، مناهج‌الإجتهاد في‌الإسلام،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Heading5"/>
        <w:numPr>
          <w:ilvl w:val="4"/>
          <w:numId w:val="1"/>
        </w:numPr>
        <w:rPr/>
      </w:pPr>
      <w:bookmarkStart w:id="193" w:name="__RefHeading___Toc2473882_653776707"/>
      <w:bookmarkStart w:id="194" w:name="_Toc65"/>
      <w:bookmarkEnd w:id="193"/>
      <w:r>
        <w:rPr>
          <w:rtl w:val="true"/>
        </w:rPr>
        <w:t>موقف الإمامیه من المدرستين المتقدمين</w:t>
      </w:r>
      <w:r>
        <w:rPr>
          <w:rtl w:val="true"/>
        </w:rPr>
        <w:t>:</w:t>
      </w:r>
      <w:bookmarkEnd w:id="194"/>
    </w:p>
    <w:p>
      <w:pPr>
        <w:pStyle w:val="BookText"/>
        <w:rPr/>
      </w:pPr>
      <w:r>
        <w:rPr>
          <w:rFonts w:ascii="IRNazanin" w:hAnsi="IRNazanin" w:eastAsia="IRNazanin"/>
          <w:color w:val="111111"/>
          <w:sz w:val="28"/>
          <w:sz w:val="28"/>
          <w:szCs w:val="28"/>
          <w:rtl w:val="true"/>
          <w:lang w:bidi="fa-IR"/>
        </w:rPr>
        <w:t xml:space="preserve">لابدّ أن يشار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سيأتي تفصيله لاحقاً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هوبيان موضع الخاصة واتباع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مقابل مدرسة أهل الرأي وأهل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أنكر الإمامیة في ظل التمسك بتعاليم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الإجتهاد بالرأي أشد الإنكار،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دين الله لا يصاب بالعقول، وأن السنة لا تقاس، وأن السنة إذا قيست محق الدين، كما قال ذلك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موضحاً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ترى أن المرأه تقضي صومها ولاتقضي صلاتها، فی جواب من عمل بالقیاس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دان الله بالرأي لم يزل دهره في ارتماس، وعن عيسى بن عبدالله القرشي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أبوحنيفة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حنيفة بلغني أنك تقيس؟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تقس فإن أول من قاس ابليس</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هذا من جانب</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جانب آخر، فلم يوافق الخاصة ما عليه أهل الحديث من إنحصار السنة بالأخبار المروية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بإعتبار قول الصحابي أوعمله، وإن كان عن </w:t>
      </w:r>
    </w:p>
    <w:p>
      <w:pPr>
        <w:pStyle w:val="BookText"/>
        <w:rPr/>
      </w:pPr>
      <w:r>
        <w:rPr>
          <w:rFonts w:ascii="IRNazanin" w:hAnsi="IRNazanin" w:eastAsia="IRNazanin"/>
          <w:color w:val="111111"/>
          <w:sz w:val="28"/>
          <w:sz w:val="28"/>
          <w:szCs w:val="28"/>
          <w:rtl w:val="true"/>
          <w:lang w:bidi="fa-IR"/>
        </w:rPr>
        <w:t xml:space="preserve">إجتهاد برأيه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أنكر الخاصة، موافقتهم للعمل بالرأي في موارد خاصة كفقدان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قلة الأحاديث والبُعد عن عصر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والصحابة وكثرة الوقائع الجديدة والمنع عن كتابه الحديث وكثرة الوضاعين، إلى غير ذلك من العوامل المختلفة التي الجأت أهلالحديث إلى الاستعانة بمصادر غير معتبرة في عملية الإستنباط، كل هذا مما لا يوافق عليه فقهاء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فهم يرون أنّ القرآن والسنة هما مصدر التشريع وهما كافيان لإکتشاف احکام الحوادث الواقعة؛ لأن السنة عندهم استمرت في عهد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شئ يقوله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هومأخوذ من كتاب الله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روي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كل ما يعلم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يعلّم الله رسوله شيئاً، الاّ وقد علّمه رسول‌الله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صحفاً كثيرة من علوم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توارث الائمة من ولده تلك الصحف، كما ورد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فضيل عندنا كتاب طوله سبعون ذراعاً، ما على الأرض شئ يحتاج إليه إلا وهوفيه حتى أرش الخدش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بعض الأخبار إنه كان لدى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كتابأن من أبيهم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الجامعة فيه أحكام الحلال والحرام، وآخر يسمونه بالجفر، فيه أنباء الحوادث الكائنة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ثالث من أمهم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أنباء عن الحوادث الكائنة</w:t>
      </w:r>
      <w:r>
        <w:rPr>
          <w:rFonts w:eastAsia="IRNazanin" w:cs="IRNazanin"/>
          <w:color w:val="111111"/>
          <w:sz w:val="28"/>
          <w:szCs w:val="28"/>
          <w:rtl w:val="true"/>
          <w:lang w:bidi="fa-IR"/>
        </w:rPr>
        <w:t>.</w:t>
      </w:r>
      <w:r>
        <w:rPr>
          <w:rStyle w:val="FootnoteAnchor"/>
          <w:rtl w:val="true"/>
        </w:rPr>
        <w:footnoteReference w:id="99"/>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فمع وجود مثل هذه المصادر المتخذة من المبدأ الإلهي وعلوم الرسول، لم يكن الامامیة بحاجة إلى مثل القياس والعمل بالرأي إطلاقاً، ولم يواجهوا المشكلة التي واجهها فقهاء أهل الحديث، من قلة الأحاديث ونقصان المصادر وله الحمد</w:t>
      </w:r>
      <w:r>
        <w:rPr>
          <w:rFonts w:eastAsia="IRNazanin" w:cs="IRNazanin"/>
          <w:color w:val="111111"/>
          <w:sz w:val="28"/>
          <w:szCs w:val="28"/>
          <w:rtl w:val="true"/>
          <w:lang w:bidi="fa-IR"/>
        </w:rPr>
        <w:t xml:space="preserve">. </w:t>
      </w:r>
      <w:bookmarkStart w:id="195" w:name="pg8675_122876"/>
    </w:p>
    <w:p>
      <w:pPr>
        <w:pStyle w:val="Heading4"/>
        <w:numPr>
          <w:ilvl w:val="3"/>
          <w:numId w:val="1"/>
        </w:numPr>
        <w:rPr/>
      </w:pPr>
      <w:bookmarkStart w:id="196" w:name="__RefHeading___Toc2473884_653776707"/>
      <w:bookmarkStart w:id="197" w:name="_Toc66"/>
      <w:bookmarkEnd w:id="195"/>
      <w:bookmarkEnd w:id="196"/>
      <w:r>
        <w:rPr>
          <w:rtl w:val="true"/>
        </w:rPr>
        <w:t>المبحث الثالث ظهورالمدارس‌الفقهية</w:t>
      </w:r>
      <w:bookmarkEnd w:id="197"/>
    </w:p>
    <w:p>
      <w:pPr>
        <w:pStyle w:val="Heading5"/>
        <w:numPr>
          <w:ilvl w:val="4"/>
          <w:numId w:val="1"/>
        </w:numPr>
        <w:rPr/>
      </w:pPr>
      <w:bookmarkStart w:id="198" w:name="__RefHeading___Toc2473886_653776707"/>
      <w:bookmarkStart w:id="199" w:name="_Toc67"/>
      <w:bookmarkEnd w:id="198"/>
      <w:r>
        <w:rPr>
          <w:rtl w:val="true"/>
        </w:rPr>
        <w:t>في ظل مدرسه‌الحديث ومدرسة الرأي</w:t>
      </w:r>
      <w:bookmarkEnd w:id="19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تكلمنا في المبحثين السابقين من هذا الفصل، عن ظهور مدرستين في فقه العامة،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الحديث ومدرسة الرأي، وابتداء ذلك كان في عصر الصحابة والتابعين، إلى أواخر عصر الأمويين؛ أي أوائل القرن الهجري الثاني ثم جاء العصر العباسي سنة </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فظهرت فيه طوائف من الفقهاء في ظل كل من مدرسة الرأي ومدرسة الحديث، وقام فيهم أعلام بارزون، لكل منهم خواص ومميزات، ولكل منهم قواعده واسسه التي بنى عليها فتاويه، واقام عليها مدرسته فظهرت مدارس فقهية متعددة، منها ما اشتهر ومنها ما اندثر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بين ما اشتهر منها مدرسة أبي حنيفة، ومدرسة مالك بن انس، ومدرسة ابن ادريس الشافعي، ومدرسة أحمد بن حنبل، وهناك مدارس فقهية أخري؛ ولكنها اندثرت، من بينها مدرسة الأوزاعي، ومدرسة سفیان الثوري ومدرسة الظاهري</w:t>
      </w:r>
      <w:r>
        <w:rPr>
          <w:rFonts w:eastAsia="IRNazanin" w:cs="IRNazanin"/>
          <w:color w:val="111111"/>
          <w:sz w:val="28"/>
          <w:szCs w:val="28"/>
          <w:rtl w:val="true"/>
          <w:lang w:bidi="fa-IR"/>
        </w:rPr>
        <w:t>.</w:t>
      </w:r>
      <w:r>
        <w:rPr>
          <w:rStyle w:val="FootnoteAnchor"/>
          <w:rtl w:val="true"/>
        </w:rPr>
        <w:footnoteReference w:id="100"/>
      </w:r>
      <w:r>
        <w:rPr>
          <w:rFonts w:ascii="Amiri" w:hAnsi="Amiri" w:eastAsia="Amiri" w:cs="Amiri"/>
          <w:color w:val="111111"/>
          <w:sz w:val="28"/>
          <w:sz w:val="28"/>
          <w:szCs w:val="28"/>
          <w:rtl w:val="true"/>
          <w:lang w:bidi="ar-SA"/>
        </w:rPr>
        <w:t>وسيتم البحث عن أهم الأمور المرتبطه بهذه المدارس أوبعضها</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 w:name="pg8675_122882"/>
      <w:bookmarkStart w:id="201" w:name="pg8675_122882"/>
      <w:bookmarkEnd w:id="201"/>
    </w:p>
    <w:p>
      <w:pPr>
        <w:pStyle w:val="Heading3"/>
        <w:numPr>
          <w:ilvl w:val="2"/>
          <w:numId w:val="1"/>
        </w:numPr>
        <w:rPr/>
      </w:pPr>
      <w:bookmarkStart w:id="202" w:name="pg8675_122882"/>
      <w:bookmarkStart w:id="203" w:name="__RefHeading___Toc2473888_653776707"/>
      <w:bookmarkStart w:id="204" w:name="_Toc68"/>
      <w:bookmarkEnd w:id="202"/>
      <w:bookmarkEnd w:id="203"/>
      <w:r>
        <w:rPr>
          <w:rtl w:val="true"/>
        </w:rPr>
        <w:t>الفصل الثالث مدرسة أبي حنيفة ومنهجه في الإجتهاد</w:t>
      </w:r>
      <w:bookmarkEnd w:id="20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5" w:name="__RefHeading___Toc2473890_653776707"/>
      <w:bookmarkStart w:id="206" w:name="_Toc69"/>
      <w:bookmarkEnd w:id="205"/>
      <w:r>
        <w:rPr>
          <w:rtl w:val="true"/>
        </w:rPr>
        <w:t>اشارة</w:t>
      </w:r>
      <w:bookmarkEnd w:id="20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7" w:name="pg8675_122888"/>
      <w:bookmarkStart w:id="208" w:name="pg8675_122888"/>
      <w:bookmarkEnd w:id="208"/>
    </w:p>
    <w:p>
      <w:pPr>
        <w:pStyle w:val="Heading4"/>
        <w:numPr>
          <w:ilvl w:val="3"/>
          <w:numId w:val="1"/>
        </w:numPr>
        <w:rPr/>
      </w:pPr>
      <w:bookmarkStart w:id="209" w:name="pg8675_122888"/>
      <w:bookmarkStart w:id="210" w:name="__RefHeading___Toc2473892_653776707"/>
      <w:bookmarkStart w:id="211" w:name="_Toc70"/>
      <w:bookmarkEnd w:id="209"/>
      <w:bookmarkEnd w:id="210"/>
      <w:r>
        <w:rPr>
          <w:rtl w:val="true"/>
        </w:rPr>
        <w:t>محاور البحث</w:t>
      </w:r>
      <w:r>
        <w:rPr>
          <w:rtl w:val="true"/>
        </w:rPr>
        <w:t>:</w:t>
      </w:r>
      <w:bookmarkEnd w:id="211"/>
    </w:p>
    <w:p>
      <w:pPr>
        <w:pStyle w:val="Heading5"/>
        <w:numPr>
          <w:ilvl w:val="4"/>
          <w:numId w:val="1"/>
        </w:numPr>
        <w:rPr/>
      </w:pPr>
      <w:bookmarkStart w:id="212" w:name="__RefHeading___Toc2473894_653776707"/>
      <w:bookmarkStart w:id="213" w:name="_Toc71"/>
      <w:bookmarkEnd w:id="212"/>
      <w:r>
        <w:rPr>
          <w:rtl w:val="true"/>
        </w:rPr>
        <w:t>اشارة</w:t>
      </w:r>
      <w:bookmarkEnd w:id="2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 المذهب الحنفی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نشوء الدعوة للمذهب الحنفی ومحلّها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الأسس الرئيسيّة للمذهب الحنفي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نماذج من الفتاوی المذهب الحنفی</w:t>
      </w:r>
      <w:r>
        <w:rPr>
          <w:rFonts w:eastAsia="IRNazanin" w:cs="IRNazanin"/>
          <w:color w:val="111111"/>
          <w:sz w:val="28"/>
          <w:szCs w:val="28"/>
          <w:rtl w:val="true"/>
          <w:lang w:bidi="fa-IR"/>
        </w:rPr>
        <w:t>.</w:t>
      </w:r>
    </w:p>
    <w:p>
      <w:pPr>
        <w:pStyle w:val="Heading5"/>
        <w:numPr>
          <w:ilvl w:val="4"/>
          <w:numId w:val="1"/>
        </w:numPr>
        <w:rPr/>
      </w:pPr>
      <w:bookmarkStart w:id="214" w:name="__RefHeading___Toc2473896_653776707"/>
      <w:bookmarkStart w:id="215" w:name="_Toc72"/>
      <w:bookmarkEnd w:id="214"/>
      <w:r>
        <w:rPr/>
        <w:t>1</w:t>
      </w:r>
      <w:r>
        <w:rPr>
          <w:rtl w:val="true"/>
        </w:rPr>
        <w:t xml:space="preserve">) </w:t>
      </w:r>
      <w:r>
        <w:rPr>
          <w:rtl w:val="true"/>
        </w:rPr>
        <w:t>مؤسس المذهب الحنفی</w:t>
      </w:r>
      <w:bookmarkEnd w:id="21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أبا حنيفة هوإمام مدرسة الرأي والمعمار والمؤسس لها، وهوالنعمان بن ثابت بن زُوطَي من القومیة الفارسیة،</w:t>
      </w:r>
      <w:r>
        <w:rPr>
          <w:rStyle w:val="FootnoteAnchor"/>
          <w:rtl w:val="true"/>
        </w:rPr>
        <w:footnoteReference w:id="101"/>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بالكوفة، وهويعد من تابعي التابعين، وقد تلقى الفقه عن حماد بن أبي سليمان، من اعمدة أهل الرأي، وقد كان خزازاً بالكوفة، يبيع ثياب الخز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 أبوحنيفة تحول الحکم من بني أمية إلى بني العباس، وكانت الكوفة مركز هذا الانتقال، وبها تمت بيعة أبي العباس السفاح، ولم يذكر لأبي حنيفة في تلك الحركة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نقل أنّ يزيد بن هبيرة، وإلى العراق من قبل مروان عرض عليه ولاية القضاء فأبى، فضربه من أجل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حصلت في عهد اقامته في الكوفة ثورتان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ثورة زيد بن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وثورة </w:t>
      </w:r>
      <w:bookmarkStart w:id="216" w:name="pg8675_122891"/>
    </w:p>
    <w:p>
      <w:pPr>
        <w:pStyle w:val="BookText"/>
        <w:rPr/>
      </w:pPr>
      <w:bookmarkEnd w:id="216"/>
      <w:r>
        <w:rPr>
          <w:rFonts w:ascii="Amiri" w:hAnsi="Amiri" w:eastAsia="Amiri" w:cs="Amiri"/>
          <w:color w:val="111111"/>
          <w:sz w:val="28"/>
          <w:sz w:val="28"/>
          <w:szCs w:val="28"/>
          <w:rtl w:val="true"/>
          <w:lang w:bidi="ar-SA"/>
        </w:rPr>
        <w:t xml:space="preserve">عبدالله بن معاوية بن عبدالله بن جعفر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صدرت من أبي حنيفةكلمة تدل على امتداح زيد</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وبعد موت استاذه حماد انتهت إليه زعامة مدرسة الرأي، التی برزت من يومها كمدرسة خاصة في الفقه، عرفت بالمدرسة الحنفية، فلما نمت وترعرعت مدرسته، واستوت على سوقها، ارتقت إلى حد المذهب، فعرف بالمذهب الحنفي</w:t>
      </w:r>
      <w:r>
        <w:rPr>
          <w:rFonts w:eastAsia="IRNazanin" w:cs="IRNazanin"/>
          <w:color w:val="111111"/>
          <w:sz w:val="28"/>
          <w:szCs w:val="28"/>
          <w:rtl w:val="true"/>
          <w:lang w:bidi="fa-IR"/>
        </w:rPr>
        <w:t>.</w:t>
      </w:r>
    </w:p>
    <w:p>
      <w:pPr>
        <w:pStyle w:val="Heading5"/>
        <w:numPr>
          <w:ilvl w:val="4"/>
          <w:numId w:val="1"/>
        </w:numPr>
        <w:rPr/>
      </w:pPr>
      <w:bookmarkStart w:id="217" w:name="__RefHeading___Toc2473898_653776707"/>
      <w:bookmarkStart w:id="218" w:name="_Toc73"/>
      <w:bookmarkEnd w:id="217"/>
      <w:r>
        <w:rPr/>
        <w:t>2</w:t>
      </w:r>
      <w:r>
        <w:rPr>
          <w:rtl w:val="true"/>
        </w:rPr>
        <w:t xml:space="preserve">) </w:t>
      </w:r>
      <w:r>
        <w:rPr>
          <w:rtl w:val="true"/>
        </w:rPr>
        <w:t>نشوء الدعوة للمذهب الحنفی ومحلها</w:t>
      </w:r>
      <w:bookmarkEnd w:id="218"/>
    </w:p>
    <w:p>
      <w:pPr>
        <w:pStyle w:val="BookText"/>
        <w:rPr/>
      </w:pPr>
      <w:r>
        <w:rPr>
          <w:rFonts w:ascii="Amiri" w:hAnsi="Amiri" w:eastAsia="Amiri" w:cs="Amiri"/>
          <w:color w:val="111111"/>
          <w:sz w:val="28"/>
          <w:sz w:val="28"/>
          <w:szCs w:val="28"/>
          <w:rtl w:val="true"/>
          <w:lang w:bidi="ar-SA"/>
        </w:rPr>
        <w:t>ذكر أن سبب إنتشار المذهب الحنفي ونموه يرجع إلى أمور رئيسية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تلاميذ أبي حنيفة وعنايتهم بنشر آرائه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بعد تلاميذه طائفة عنيت باستنباط علل الأحكام، وتطبيقها على ما يستجد من الوقائع، وأنهم بعد أن استنبطوا علل الأحكام جمعوا المسائل المتجانسة في قواعد عامة، فاجتمع في المذهب التفريع</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وهوالعمدة، أنه كان مذهب الدولة العباسية، حتى أن الرشيد ولى أبا يوسف، وهومن تلاميذ أبی حنیفة، منصب القضاء في بغداد، وكان لا يعين القاضي في الأقاليم إلا إذا کان علی مذهب أبي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نشأ مذهبه أولاً في العراق، ثم ذاع وانتشر خارجه، في كلّ بلد كان للدولة العباسية فيه نفوذ وسلطان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مذهب أبي حنيفة تقلده أهل العراق ومسلموالهند والصين وما وراء النهر وبلاد </w:t>
      </w:r>
    </w:p>
    <w:p>
      <w:pPr>
        <w:pStyle w:val="BookText"/>
        <w:rPr/>
      </w:pPr>
      <w:r>
        <w:rPr>
          <w:rFonts w:ascii="Amiri" w:hAnsi="Amiri" w:eastAsia="Amiri" w:cs="Amiri"/>
          <w:color w:val="111111"/>
          <w:sz w:val="28"/>
          <w:sz w:val="28"/>
          <w:szCs w:val="28"/>
          <w:rtl w:val="true"/>
          <w:lang w:bidi="ar-SA"/>
        </w:rPr>
        <w:t>العجم؛ لأن تلاميذه كانوا بطانة خلفاء بني العباس، فكثرت مخالطتهم لهم، خصوصاً عندما اسندت الخلافة إلى هارون الرشيد، فقد ولى أبا يوسف صاحب أبي حنيفةالقضاء، فلم يقلد قاضياً ببلاد العراق وخراسان والشام ومصر إلا من أشار به القاضي، وهولم يختر للقضاء إلا حنفياً، فلهذا اشتهر مذهب أبي حنيفة في هذه الأقطار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الحافظ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مذهبان انتشرا بالرياسة والسلطان، مذهب أبي حنيفة، فإنه لما ولي أبويوسف القضاء، كان القضاة من قبله من أقصى المشرق إلى عمق أفريقيا، فكان لا يولي إلا أصحابه والمنتسبين إلى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مذهب مالك</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ومن ثم، فقد انتشر مذهبه في العراق وفارس وباكستان والهند والصين واليابأن وتركمانستان والشام ومصر والمغرب والأندلس وأوروبا كلها، من شمالها إلى جنوبها، وفي تركيا والبانيا ويوغوسلافيا ورومانيا، حتى بلغت نسبة عدد التابعين للمذهب الحنفي شطر المسلمين، واخذت به دول الخلافة والحكومات، فاصبح مذهب الدولة العباسية، من أيام هارون وكان مذهب السلاجقة والغزنوية، ثم الدولة العثمانية</w:t>
      </w:r>
      <w:r>
        <w:rPr>
          <w:rFonts w:eastAsia="Amiri" w:cs="Amiri" w:ascii="Amiri" w:hAnsi="Amiri"/>
          <w:color w:val="111111"/>
          <w:sz w:val="28"/>
          <w:szCs w:val="28"/>
          <w:rtl w:val="true"/>
          <w:lang w:bidi="ar-SA"/>
        </w:rPr>
        <w:t>.</w:t>
      </w:r>
      <w:r>
        <w:rPr>
          <w:rStyle w:val="FootnoteAnchor"/>
          <w:rtl w:val="true"/>
        </w:rPr>
        <w:footnoteReference w:id="10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يضاف إلى هذه الأمور الثلاثة الموجبة لنموالمدرسة الحنفية أمرآخر، وهومرونته وسهولته علی الناس وحل مشاكلهم ورفع الموانع من طريقهم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والسبب في ذلك هوما مرّت الإشارة إليه من اعتماد الأحناف على الرأي والقياس، واللجوء إلى البحث عن علل الأحكام والإعتقاد بأنها معقولة المعاني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هذا </w:t>
      </w:r>
      <w:bookmarkStart w:id="219" w:name="pg8675_122897"/>
    </w:p>
    <w:p>
      <w:pPr>
        <w:pStyle w:val="BookText"/>
        <w:rPr/>
      </w:pPr>
      <w:bookmarkEnd w:id="219"/>
      <w:r>
        <w:rPr>
          <w:rFonts w:ascii="IRNazanin" w:hAnsi="IRNazanin" w:eastAsia="IRNazanin"/>
          <w:color w:val="111111"/>
          <w:sz w:val="28"/>
          <w:sz w:val="28"/>
          <w:szCs w:val="28"/>
          <w:rtl w:val="true"/>
          <w:lang w:bidi="fa-IR"/>
        </w:rPr>
        <w:t>هو السبب الرئيس في تبنیة الدول آراء أبي حنيفة ومساهمة تلك الحكومات في نشرها وترغيب الناس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الإعتماد على الرأي والتفكير الشخصي لاستنباط الأحكام من الأدوات الصارمة لحل المشاكل السياسية ورفع الموانع من طريقها</w:t>
      </w:r>
      <w:r>
        <w:rPr>
          <w:rFonts w:eastAsia="IRNazanin" w:cs="IRNazanin"/>
          <w:color w:val="111111"/>
          <w:sz w:val="28"/>
          <w:szCs w:val="28"/>
          <w:rtl w:val="true"/>
          <w:lang w:bidi="fa-IR"/>
        </w:rPr>
        <w:t>.</w:t>
      </w:r>
    </w:p>
    <w:p>
      <w:pPr>
        <w:pStyle w:val="Heading5"/>
        <w:numPr>
          <w:ilvl w:val="4"/>
          <w:numId w:val="1"/>
        </w:numPr>
        <w:rPr/>
      </w:pPr>
      <w:bookmarkStart w:id="220" w:name="__RefHeading___Toc2473900_653776707"/>
      <w:bookmarkStart w:id="221" w:name="_Toc74"/>
      <w:bookmarkEnd w:id="220"/>
      <w:r>
        <w:rPr/>
        <w:t>3</w:t>
      </w:r>
      <w:r>
        <w:rPr>
          <w:rtl w:val="true"/>
        </w:rPr>
        <w:t xml:space="preserve">) </w:t>
      </w:r>
      <w:r>
        <w:rPr>
          <w:rtl w:val="true"/>
        </w:rPr>
        <w:t>الأسس الرئيسيّة للمذهب الحنفي</w:t>
      </w:r>
      <w:bookmarkEnd w:id="221"/>
    </w:p>
    <w:p>
      <w:pPr>
        <w:pStyle w:val="Heading6"/>
        <w:numPr>
          <w:ilvl w:val="5"/>
          <w:numId w:val="1"/>
        </w:numPr>
        <w:rPr/>
      </w:pPr>
      <w:bookmarkStart w:id="222" w:name="__RefHeading___Toc2473902_653776707"/>
      <w:bookmarkStart w:id="223" w:name="_Toc75"/>
      <w:bookmarkEnd w:id="222"/>
      <w:r>
        <w:rPr>
          <w:rtl w:val="true"/>
        </w:rPr>
        <w:t>اشارة</w:t>
      </w:r>
      <w:bookmarkEnd w:id="223"/>
    </w:p>
    <w:p>
      <w:pPr>
        <w:pStyle w:val="BookText"/>
        <w:rPr/>
      </w:pPr>
      <w:r>
        <w:rPr>
          <w:rFonts w:ascii="IRNazanin" w:hAnsi="IRNazanin" w:eastAsia="IRNazanin"/>
          <w:color w:val="111111"/>
          <w:sz w:val="28"/>
          <w:sz w:val="28"/>
          <w:szCs w:val="28"/>
          <w:rtl w:val="true"/>
          <w:lang w:bidi="fa-IR"/>
        </w:rPr>
        <w:t>نقل عن أبي حنيفة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آخذ بكتاب الله فإن لم أجد فبسنة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لم أجد في كتاب الله تعالى ولا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بقول أصحابه؛ آخذ بقول من شئت منهم وأدع من شئت منهم، لا أخرج من قولهم إلى قول غيرهم، فأما إذا انتهى الأمر إلى إبراهيم النخعي والشعبي وابن سيرين والحسن وسعيد بن المسيب، فقوم اجتهدوا فأجتهد كما اجتهدوا</w:t>
      </w:r>
      <w:r>
        <w:rPr>
          <w:rFonts w:eastAsia="IRNazanin" w:cs="IRNazanin"/>
          <w:color w:val="111111"/>
          <w:sz w:val="28"/>
          <w:szCs w:val="28"/>
          <w:rtl w:val="true"/>
          <w:lang w:bidi="fa-IR"/>
        </w:rPr>
        <w:t>.</w:t>
      </w:r>
      <w:r>
        <w:rPr>
          <w:rStyle w:val="FootnoteAnchor"/>
          <w:rtl w:val="true"/>
        </w:rPr>
        <w:footnoteReference w:id="105"/>
      </w:r>
      <w:r>
        <w:rPr>
          <w:rFonts w:ascii="Amiri" w:hAnsi="Amiri" w:eastAsia="Amiri" w:cs="Amiri"/>
          <w:color w:val="111111"/>
          <w:sz w:val="28"/>
          <w:sz w:val="28"/>
          <w:szCs w:val="28"/>
          <w:rtl w:val="true"/>
          <w:lang w:bidi="ar-SA"/>
        </w:rPr>
        <w:t>وقد رسم أبوحنيفة أصول مدرسته على أمور سبعة</w:t>
      </w:r>
      <w:r>
        <w:rPr>
          <w:rFonts w:eastAsia="Amiri" w:cs="Amiri" w:ascii="Amiri" w:hAnsi="Amiri"/>
          <w:color w:val="111111"/>
          <w:sz w:val="28"/>
          <w:szCs w:val="28"/>
          <w:rtl w:val="true"/>
          <w:lang w:bidi="ar-SA"/>
        </w:rPr>
        <w:t>:</w:t>
      </w:r>
    </w:p>
    <w:p>
      <w:pPr>
        <w:pStyle w:val="Heading6"/>
        <w:numPr>
          <w:ilvl w:val="5"/>
          <w:numId w:val="1"/>
        </w:numPr>
        <w:rPr/>
      </w:pPr>
      <w:bookmarkStart w:id="224" w:name="__RefHeading___Toc2473904_653776707"/>
      <w:bookmarkStart w:id="225" w:name="_Toc76"/>
      <w:bookmarkEnd w:id="224"/>
      <w:r>
        <w:rPr>
          <w:rtl w:val="true"/>
        </w:rPr>
        <w:t>الأول</w:t>
      </w:r>
      <w:r>
        <w:rPr>
          <w:rtl w:val="true"/>
        </w:rPr>
        <w:t xml:space="preserve">: </w:t>
      </w:r>
      <w:r>
        <w:rPr>
          <w:rtl w:val="true"/>
        </w:rPr>
        <w:t>كتاب الله عزوجل</w:t>
      </w:r>
      <w:r>
        <w:rPr>
          <w:rtl w:val="true"/>
        </w:rPr>
        <w:t>:</w:t>
      </w:r>
      <w:bookmarkEnd w:id="22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خلاف في أن القرآن الكريم هوالمصدر الأول لأستنباط الأحكام؛ والنقل يختلف عن أبي حنيفة في أن القرآن هواللفظ والمعنى، أوهوالمعنى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نقل عنه القول بأن القرآن اسم للمعنى خاصة، ولذلك تجوز عنده القراءة بالفارسية في الصلاة، وإن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رجوعه عن ذلك إلى القول المعروف</w:t>
      </w:r>
      <w:r>
        <w:rPr>
          <w:rFonts w:eastAsia="Amiri" w:cs="Amiri" w:ascii="Amiri" w:hAnsi="Amiri"/>
          <w:color w:val="111111"/>
          <w:sz w:val="28"/>
          <w:szCs w:val="28"/>
          <w:rtl w:val="true"/>
          <w:lang w:bidi="ar-SA"/>
        </w:rPr>
        <w:t>.</w:t>
      </w:r>
      <w:r>
        <w:rPr>
          <w:rStyle w:val="FootnoteAnchor"/>
          <w:rtl w:val="true"/>
        </w:rPr>
        <w:footnoteReference w:id="106"/>
      </w:r>
      <w:bookmarkStart w:id="226" w:name="pg8675_122900"/>
    </w:p>
    <w:p>
      <w:pPr>
        <w:pStyle w:val="BookText"/>
        <w:rPr/>
      </w:pPr>
      <w:bookmarkEnd w:id="226"/>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يخفى ما في القول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القرآن اسم للمعانى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مخالفة للضروريات،كتحدي القرآن بألفاظه وإعتباره معجزة، حتى من ناحية لفظ وأنه بألفاظه ومعانيه أُنزل على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هوالفارق بين الكتاب والسنة، فإن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ينطق عن الهوى إن هوإلا وحي يوحى، ومع ذلك قوله وكلامه لا يعدّان من القرآن</w:t>
      </w:r>
      <w:r>
        <w:rPr>
          <w:rFonts w:eastAsia="IRNazanin" w:cs="IRNazanin"/>
          <w:color w:val="111111"/>
          <w:sz w:val="28"/>
          <w:szCs w:val="28"/>
          <w:rtl w:val="true"/>
          <w:lang w:bidi="fa-IR"/>
        </w:rPr>
        <w:t>.</w:t>
      </w:r>
    </w:p>
    <w:p>
      <w:pPr>
        <w:pStyle w:val="Heading6"/>
        <w:numPr>
          <w:ilvl w:val="5"/>
          <w:numId w:val="1"/>
        </w:numPr>
        <w:rPr/>
      </w:pPr>
      <w:bookmarkStart w:id="227" w:name="__RefHeading___Toc2473906_653776707"/>
      <w:bookmarkStart w:id="228" w:name="_Toc77"/>
      <w:bookmarkEnd w:id="227"/>
      <w:r>
        <w:rPr>
          <w:rtl w:val="true"/>
        </w:rPr>
        <w:t>الثاني</w:t>
      </w:r>
      <w:r>
        <w:rPr>
          <w:rtl w:val="true"/>
        </w:rPr>
        <w:t xml:space="preserve">: </w:t>
      </w:r>
      <w:r>
        <w:rPr>
          <w:rtl w:val="true"/>
        </w:rPr>
        <w:t>السنة النبوية</w:t>
      </w:r>
      <w:r>
        <w:rPr>
          <w:rtl w:val="true"/>
        </w:rPr>
        <w:t>:</w:t>
      </w:r>
      <w:bookmarkEnd w:id="22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لاخلاف أيضاً في أن السنة النبوية هي المصدر الثاني للتشريع، وهي بمنزلة البيان للقرآن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تشدد الاحناف في قبول السنة والتحري عنها، فلم يقبلوا إلا الحديث المتواتر أوالحديث المشهور الذي اتفق فقهاء الأمصار على العمل به، أورواه صحابي واحد أمام جمع منهم؛ ولذلك يجوز عندهم المسح على الخفين الثابت بالخبر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خبر الآحاد فإنه ظني الثبوت ولذلک تشددوا في الراوي لتوثق من صحة الحديث، فاشترطوا فيه العدالة والضبط، وتشددوا في تفسير معنى الضبط، إذ التزموا ضبط المتن وضبط معناه فقهاً وشريعة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فلذلك إذا كان راوي الخبر من المعروفین بالفقه كالخلفاء الأربعة أخذ به وقدم على القياس، وإن كان راويه أمثال أبي هريرة ممن عرفوا بالعدالة والحفظ، وإن لم يعرفوا بالفقه، عمل به إن وافق القياس</w:t>
      </w:r>
      <w:r>
        <w:rPr>
          <w:rFonts w:eastAsia="IRNazanin" w:cs="IRNazanin"/>
          <w:color w:val="111111"/>
          <w:sz w:val="28"/>
          <w:szCs w:val="28"/>
          <w:rtl w:val="true"/>
          <w:lang w:bidi="fa-IR"/>
        </w:rPr>
        <w:t>.</w:t>
      </w:r>
      <w:r>
        <w:rPr>
          <w:rStyle w:val="FootnoteAnchor"/>
          <w:rtl w:val="true"/>
        </w:rPr>
        <w:footnoteReference w:id="107"/>
      </w:r>
      <w:bookmarkStart w:id="229" w:name="pg8675_122903"/>
    </w:p>
    <w:p>
      <w:pPr>
        <w:pStyle w:val="BookText"/>
        <w:rPr/>
      </w:pPr>
      <w:bookmarkEnd w:id="229"/>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التشدد في قبول الحديث وإعتبار عدالة الراوي، أووثاقته علی الأقل، وإعتبار الضبط فيه أمر يمكن أن ينظر إليه بعين الاعتبار والقبول، ما دام موافق لأدلة حجية خبر الواحد التي منها سيرة العقلاء لقبول الخبر، وأما إعتبار ضبط المعاني فقهاً، إضافة إلى ضبط اللفظ، فأمر لا يساعد عليه الاعتبار العقلائي، ويؤید ذلك ما في الخبر من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حامل فقه إلى من هوافقه منه</w:t>
      </w:r>
      <w:r>
        <w:rPr>
          <w:rFonts w:eastAsia="IRNazanin" w:cs="IRNazanin"/>
          <w:color w:val="111111"/>
          <w:sz w:val="28"/>
          <w:szCs w:val="28"/>
          <w:rtl w:val="true"/>
          <w:lang w:bidi="fa-IR"/>
        </w:rPr>
        <w:t>.</w:t>
      </w:r>
    </w:p>
    <w:p>
      <w:pPr>
        <w:pStyle w:val="Heading6"/>
        <w:numPr>
          <w:ilvl w:val="5"/>
          <w:numId w:val="1"/>
        </w:numPr>
        <w:rPr/>
      </w:pPr>
      <w:bookmarkStart w:id="230" w:name="__RefHeading___Toc2473908_653776707"/>
      <w:bookmarkStart w:id="231" w:name="_Toc78"/>
      <w:bookmarkEnd w:id="230"/>
      <w:r>
        <w:rPr>
          <w:rtl w:val="true"/>
        </w:rPr>
        <w:t>الثالث</w:t>
      </w:r>
      <w:r>
        <w:rPr>
          <w:rtl w:val="true"/>
        </w:rPr>
        <w:t xml:space="preserve">: </w:t>
      </w:r>
      <w:r>
        <w:rPr>
          <w:rtl w:val="true"/>
        </w:rPr>
        <w:t>قول الصحابي</w:t>
      </w:r>
      <w:r>
        <w:rPr>
          <w:rtl w:val="true"/>
        </w:rPr>
        <w:t>:</w:t>
      </w:r>
      <w:bookmarkEnd w:id="231"/>
    </w:p>
    <w:p>
      <w:pPr>
        <w:pStyle w:val="BookText"/>
        <w:rPr/>
      </w:pPr>
      <w:r>
        <w:rPr>
          <w:rFonts w:ascii="IRNazanin" w:hAnsi="IRNazanin" w:eastAsia="IRNazanin"/>
          <w:color w:val="111111"/>
          <w:sz w:val="28"/>
          <w:sz w:val="28"/>
          <w:szCs w:val="28"/>
          <w:rtl w:val="true"/>
          <w:lang w:bidi="fa-IR"/>
        </w:rPr>
        <w:t xml:space="preserve">يعتبر قول الصحابي عند الحنفية من المصادر، فإذا عرضت لهم مسألة ليس فيهاحكم ظاهر من كتاب الله أوسنة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الصحيحة عرضوها على أقوال الصحابة وأفعالهم، فإن كانوا أجمعوا فيها على رأي، أخذوا به وإلا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ويكشف النص المنقول عن أبي حنيفة الذي مرّ ذكره، أنه يأخذ بقول من شاء من الصحابة، ويدع من شاء؛ ولكنه لا يخرج في نفس الوقت من قول الصحابي إلى غيره، وليست أقوال التابعين بهذه المنزلة؛ لأنه یعتقد في أقوال الصحابة إنها كانت بالتلقي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تكن بالإجتهاد المجرد</w:t>
      </w:r>
      <w:r>
        <w:rPr>
          <w:rFonts w:eastAsia="IRNazanin" w:cs="IRNazanin"/>
          <w:color w:val="111111"/>
          <w:sz w:val="28"/>
          <w:szCs w:val="28"/>
          <w:rtl w:val="true"/>
          <w:lang w:bidi="fa-IR"/>
        </w:rPr>
        <w:t>.</w:t>
      </w:r>
      <w:r>
        <w:rPr>
          <w:rStyle w:val="FootnoteAnchor"/>
          <w:rtl w:val="true"/>
        </w:rPr>
        <w:footnoteReference w:id="108"/>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المنهج المنقول عن أبي حنيفة من ايكال الأمر في الأخذ بقول الصحابي وتركه إلى اختياره، أمر مبهم جدّاً، يثير أسئلة كثيرة مهمة، تصوراً وتصديقاً، </w:t>
      </w:r>
      <w:bookmarkStart w:id="232" w:name="pg8675_122906"/>
    </w:p>
    <w:p>
      <w:pPr>
        <w:pStyle w:val="BookText"/>
        <w:rPr/>
      </w:pPr>
      <w:bookmarkEnd w:id="232"/>
      <w:r>
        <w:rPr>
          <w:rFonts w:ascii="Amiri" w:hAnsi="Amiri" w:eastAsia="Amiri" w:cs="Amiri"/>
          <w:color w:val="111111"/>
          <w:sz w:val="28"/>
          <w:sz w:val="28"/>
          <w:szCs w:val="28"/>
          <w:rtl w:val="true"/>
          <w:lang w:bidi="ar-SA"/>
        </w:rPr>
        <w:t>معنىً ومدركاً، سعةً وضيقاً؟ والبحث عنها، موكول إلى محله</w:t>
      </w:r>
      <w:r>
        <w:rPr>
          <w:rFonts w:eastAsia="Amiri" w:cs="Amiri" w:ascii="Amiri" w:hAnsi="Amiri"/>
          <w:color w:val="111111"/>
          <w:sz w:val="28"/>
          <w:szCs w:val="28"/>
          <w:rtl w:val="true"/>
          <w:lang w:bidi="ar-SA"/>
        </w:rPr>
        <w:t>.</w:t>
      </w:r>
    </w:p>
    <w:p>
      <w:pPr>
        <w:pStyle w:val="Heading6"/>
        <w:numPr>
          <w:ilvl w:val="5"/>
          <w:numId w:val="1"/>
        </w:numPr>
        <w:rPr/>
      </w:pPr>
      <w:bookmarkStart w:id="233" w:name="__RefHeading___Toc2473910_653776707"/>
      <w:bookmarkStart w:id="234" w:name="_Toc79"/>
      <w:bookmarkEnd w:id="233"/>
      <w:r>
        <w:rPr>
          <w:rtl w:val="true"/>
        </w:rPr>
        <w:t>الرابع</w:t>
      </w:r>
      <w:r>
        <w:rPr>
          <w:rtl w:val="true"/>
        </w:rPr>
        <w:t xml:space="preserve">: </w:t>
      </w:r>
      <w:r>
        <w:rPr>
          <w:rtl w:val="true"/>
        </w:rPr>
        <w:t>القياس</w:t>
      </w:r>
      <w:r>
        <w:rPr>
          <w:rtl w:val="true"/>
        </w:rPr>
        <w:t>:</w:t>
      </w:r>
      <w:bookmarkEnd w:id="234"/>
    </w:p>
    <w:p>
      <w:pPr>
        <w:pStyle w:val="Heading6"/>
        <w:numPr>
          <w:ilvl w:val="5"/>
          <w:numId w:val="1"/>
        </w:numPr>
        <w:rPr/>
      </w:pPr>
      <w:bookmarkStart w:id="235" w:name="__RefHeading___Toc2473912_653776707"/>
      <w:bookmarkStart w:id="236" w:name="_Toc80"/>
      <w:bookmarkEnd w:id="235"/>
      <w:r>
        <w:rPr>
          <w:rtl w:val="true"/>
        </w:rPr>
        <w:t>اشارة</w:t>
      </w:r>
      <w:bookmarkEnd w:id="236"/>
    </w:p>
    <w:p>
      <w:pPr>
        <w:pStyle w:val="BookText"/>
        <w:rPr/>
      </w:pPr>
      <w:r>
        <w:rPr>
          <w:rFonts w:ascii="Amiri" w:hAnsi="Amiri" w:eastAsia="Amiri" w:cs="Amiri"/>
          <w:color w:val="111111"/>
          <w:sz w:val="28"/>
          <w:sz w:val="28"/>
          <w:szCs w:val="28"/>
          <w:rtl w:val="true"/>
          <w:lang w:bidi="ar-SA"/>
        </w:rPr>
        <w:t>تأخذ مدرسة أبي حنفية بالقياس عند عدم النص من الكتاب والسنة وفقدان قول الصحابي أوفعله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والقياس في اللغة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التسوية بين الشيئين، حسية كانت التسوية أم 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عرفه الأصوليون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 أمر غير منصوص على حكمه، بأمر أخر منصوص على حكمه، لعلة جامعة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فهم في الحقيقة يساوون واقعة لم يرد فيها حكم منصوص عليه بأخرى ورد فيها نص، لإشتراک الواقعتين في علة الحكم</w:t>
      </w:r>
      <w:r>
        <w:rPr>
          <w:rFonts w:eastAsia="IRNazanin" w:cs="IRNazanin"/>
          <w:color w:val="111111"/>
          <w:sz w:val="28"/>
          <w:szCs w:val="28"/>
          <w:rtl w:val="true"/>
          <w:lang w:bidi="fa-IR"/>
        </w:rPr>
        <w:t>.</w:t>
      </w:r>
    </w:p>
    <w:p>
      <w:pPr>
        <w:pStyle w:val="Heading6"/>
        <w:numPr>
          <w:ilvl w:val="5"/>
          <w:numId w:val="1"/>
        </w:numPr>
        <w:rPr/>
      </w:pPr>
      <w:bookmarkStart w:id="237" w:name="__RefHeading___Toc2473914_653776707"/>
      <w:bookmarkStart w:id="238" w:name="_Toc81"/>
      <w:bookmarkEnd w:id="237"/>
      <w:r>
        <w:rPr>
          <w:rtl w:val="true"/>
        </w:rPr>
        <w:t>أركان القياس</w:t>
      </w:r>
      <w:r>
        <w:rPr>
          <w:rtl w:val="true"/>
        </w:rPr>
        <w:t>:</w:t>
      </w:r>
      <w:bookmarkEnd w:id="2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أوالمقيس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 أوالمقيس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أوالاعتبار الشرعي الذي جعله الشرع على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w:t>
      </w:r>
      <w:r>
        <w:rPr>
          <w:rFonts w:eastAsia="Amiri" w:cs="Amiri" w:ascii="Amiri" w:hAnsi="Amiri"/>
          <w:color w:val="111111"/>
          <w:sz w:val="28"/>
          <w:szCs w:val="28"/>
          <w:rtl w:val="true"/>
          <w:lang w:bidi="ar-SA"/>
        </w:rPr>
        <w:t>.</w:t>
      </w:r>
    </w:p>
    <w:p>
      <w:pPr>
        <w:pStyle w:val="Heading6"/>
        <w:numPr>
          <w:ilvl w:val="5"/>
          <w:numId w:val="1"/>
        </w:numPr>
        <w:rPr/>
      </w:pPr>
      <w:bookmarkStart w:id="239" w:name="__RefHeading___Toc2473916_653776707"/>
      <w:bookmarkStart w:id="240" w:name="_Toc82"/>
      <w:bookmarkEnd w:id="239"/>
      <w:r>
        <w:rPr>
          <w:rtl w:val="true"/>
        </w:rPr>
        <w:t>حجية القياس</w:t>
      </w:r>
      <w:r>
        <w:rPr>
          <w:rtl w:val="true"/>
        </w:rPr>
        <w:t>:</w:t>
      </w:r>
      <w:bookmarkEnd w:id="24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حول حجية القياس متشعب جداً، فهناك من لم يعتبره؛ بل يقول باستحالة التعبد به عقلاً، كما نسب ذلك إلى بعض المعتزلة والنظام والظاهرية؛ وهناك من ذهب إلى أنه لا حكم للعقل فيه، ولكن الشرع حظره؛ وهناك من ذهب إلى وجوب التعبد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يقول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العمل بالقياس طريق للتنازع بين الأمة نتيجة التناقض في الأحكام تبعاً لتفاوت الافهام، نجد أن الاحناف يتوسعون في الأخذ به، </w:t>
      </w:r>
      <w:bookmarkStart w:id="241" w:name="pg8675_122908"/>
    </w:p>
    <w:p>
      <w:pPr>
        <w:pStyle w:val="BookText"/>
        <w:rPr/>
      </w:pPr>
      <w:bookmarkEnd w:id="241"/>
      <w:r>
        <w:rPr>
          <w:rFonts w:ascii="Amiri" w:hAnsi="Amiri" w:eastAsia="Amiri" w:cs="Amiri"/>
          <w:color w:val="111111"/>
          <w:sz w:val="28"/>
          <w:sz w:val="28"/>
          <w:szCs w:val="28"/>
          <w:rtl w:val="true"/>
          <w:lang w:bidi="ar-SA"/>
        </w:rPr>
        <w:t>ويقدمونه على أخبار الآحاد في بعض الصور، حتى أفرط بعضهم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الشبه في الأوصاف دون اتفاق العلة، كاف للقياس</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والذي يسهل الخطب، ما تواتر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حرمة الأخذ بالقياس والردع عنه، وهذا وافٍ بعدم إعتباره وعدم حجيته، فإنه مع ثبوت هذا التواتر، فالكلام والنقض والابرام إنما يدور حول إعتباره من مصاديق الإجتهاد في مقابل النص الصحيح المتواتر</w:t>
      </w:r>
      <w:r>
        <w:rPr>
          <w:rFonts w:eastAsia="IRNazanin" w:cs="IRNazanin"/>
          <w:color w:val="111111"/>
          <w:sz w:val="28"/>
          <w:szCs w:val="28"/>
          <w:rtl w:val="true"/>
          <w:lang w:bidi="fa-IR"/>
        </w:rPr>
        <w:t>.</w:t>
      </w:r>
    </w:p>
    <w:p>
      <w:pPr>
        <w:pStyle w:val="Heading6"/>
        <w:numPr>
          <w:ilvl w:val="5"/>
          <w:numId w:val="1"/>
        </w:numPr>
        <w:rPr/>
      </w:pPr>
      <w:bookmarkStart w:id="242" w:name="__RefHeading___Toc2473918_653776707"/>
      <w:bookmarkStart w:id="243" w:name="_Toc83"/>
      <w:bookmarkEnd w:id="242"/>
      <w:r>
        <w:rPr>
          <w:rtl w:val="true"/>
        </w:rPr>
        <w:t>الخامس</w:t>
      </w:r>
      <w:r>
        <w:rPr>
          <w:rtl w:val="true"/>
        </w:rPr>
        <w:t xml:space="preserve">: </w:t>
      </w:r>
      <w:r>
        <w:rPr>
          <w:rtl w:val="true"/>
        </w:rPr>
        <w:t>الاستحسان</w:t>
      </w:r>
      <w:r>
        <w:rPr>
          <w:rtl w:val="true"/>
        </w:rPr>
        <w:t>:</w:t>
      </w:r>
      <w:bookmarkEnd w:id="243"/>
    </w:p>
    <w:p>
      <w:pPr>
        <w:pStyle w:val="Heading6"/>
        <w:numPr>
          <w:ilvl w:val="5"/>
          <w:numId w:val="1"/>
        </w:numPr>
        <w:rPr/>
      </w:pPr>
      <w:bookmarkStart w:id="244" w:name="__RefHeading___Toc2473920_653776707"/>
      <w:bookmarkStart w:id="245" w:name="_Toc84"/>
      <w:bookmarkEnd w:id="244"/>
      <w:r>
        <w:rPr>
          <w:rtl w:val="true"/>
        </w:rPr>
        <w:t>اشارة</w:t>
      </w:r>
      <w:bookmarkEnd w:id="245"/>
    </w:p>
    <w:p>
      <w:pPr>
        <w:pStyle w:val="BookText"/>
        <w:rPr/>
      </w:pPr>
      <w:r>
        <w:rPr>
          <w:rFonts w:ascii="Amiri" w:hAnsi="Amiri" w:eastAsia="Amiri" w:cs="Amiri"/>
          <w:color w:val="111111"/>
          <w:sz w:val="28"/>
          <w:sz w:val="28"/>
          <w:szCs w:val="28"/>
          <w:rtl w:val="true"/>
          <w:lang w:bidi="ar-SA"/>
        </w:rPr>
        <w:t>الاستحسان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هوعد الشئ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إختلف الأصوليون في تعريفه الإصطلاحي إلى عدة تعاريف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عرفه الكرخي وهومن علماء الأحناف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الاستحسان هوالعدول في مسألة عن مثل ما حكم به في نظائرها إلى خلافه، لوجه أقوى</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ويعرفه السرخسي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قياس خفي قوي اثره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وعرفه الشاطبي من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بأقوى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وعرفه الطوفي من الحنابلة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العدول بحكم المسألة عن نظائرها لدليل خاص شرعي</w:t>
      </w:r>
      <w:r>
        <w:rPr>
          <w:rFonts w:eastAsia="Amiri" w:cs="Amiri" w:ascii="Amiri" w:hAnsi="Amiri"/>
          <w:color w:val="111111"/>
          <w:sz w:val="28"/>
          <w:szCs w:val="28"/>
          <w:rtl w:val="true"/>
          <w:lang w:bidi="ar-SA"/>
        </w:rPr>
        <w:t>».</w:t>
      </w:r>
      <w:r>
        <w:rPr>
          <w:rStyle w:val="FootnoteAnchor"/>
          <w:rtl w:val="true"/>
        </w:rPr>
        <w:footnoteReference w:id="110"/>
      </w:r>
      <w:bookmarkStart w:id="246" w:name="pg8675_122911"/>
    </w:p>
    <w:p>
      <w:pPr>
        <w:pStyle w:val="Heading6"/>
        <w:numPr>
          <w:ilvl w:val="5"/>
          <w:numId w:val="1"/>
        </w:numPr>
        <w:rPr/>
      </w:pPr>
      <w:bookmarkStart w:id="247" w:name="__RefHeading___Toc2473922_653776707"/>
      <w:bookmarkStart w:id="248" w:name="_Toc85"/>
      <w:bookmarkEnd w:id="246"/>
      <w:bookmarkEnd w:id="247"/>
      <w:r>
        <w:rPr>
          <w:rtl w:val="true"/>
        </w:rPr>
        <w:t>حجية الاستحسان</w:t>
      </w:r>
      <w:r>
        <w:rPr>
          <w:rtl w:val="true"/>
        </w:rPr>
        <w:t>:</w:t>
      </w:r>
      <w:bookmarkEnd w:id="248"/>
    </w:p>
    <w:p>
      <w:pPr>
        <w:pStyle w:val="BookText"/>
        <w:rPr/>
      </w:pPr>
      <w:r>
        <w:rPr>
          <w:rFonts w:ascii="Amiri" w:hAnsi="Amiri" w:eastAsia="Amiri" w:cs="Amiri"/>
          <w:color w:val="111111"/>
          <w:sz w:val="28"/>
          <w:sz w:val="28"/>
          <w:szCs w:val="28"/>
          <w:rtl w:val="true"/>
          <w:lang w:bidi="ar-SA"/>
        </w:rPr>
        <w:t>اختلفوا في حجية الاستحسان على قولين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الحجية، وهورأي الشافعي، حتى نقل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استحسن فقد شرع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الحجية والاعتبار، وهوقول الحنفية والمالكية والحنبلية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برع أبوحنيفة واتباعه في الاستحسان وتوسعوا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والذي يفيده الاعتبار والتأمل، هوأن المبطلين للاستحسان بنوا حكمهم، على أساس أن الاستحسان، هوما يتعقله المجتهد من غير دليل، والقائلون بالاستحسان يعتبرون عدولاً من حكم إلى حكم؛ ولذلک لابد من أن يكون مستندا إلى دليل، وهذا الدليل يسمى بسند الاستحسان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فإن سند الاستحسان على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يكون قياسا خفيا، كالقول بطهارة سؤر سباع الطير استحسانا مع أن القياس الظاهر يقتضي نجاستها، قياسا على سؤرسباع البهائم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يكون النص، ومن ذلك عقد السلم فالقياس لايقتضيه؛ لأن النص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تبع ماليس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اجازوه استحسانا لترخيص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يكون الاجماع، مثل اجازتهم عقد الاستصناع مع أن محل العقد، وهوعمل الصانع، منعدم وقت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أويكون العرف، مثل التعاقد على الاستحمام في الحمام العام مع جهالة مقدار الماء المستهلك ومقدار المكث فيه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واخیراً قد يكون الضرورة والحاجة، كقول الحنفية بطهارة سؤر سباع الطير رغم أكلها النجاسات استحسانا لتعذر منعها</w:t>
      </w:r>
      <w:r>
        <w:rPr>
          <w:rFonts w:eastAsia="IRNazanin" w:cs="IRNazanin"/>
          <w:color w:val="111111"/>
          <w:sz w:val="28"/>
          <w:szCs w:val="28"/>
          <w:rtl w:val="true"/>
          <w:lang w:bidi="fa-IR"/>
        </w:rPr>
        <w:t>.</w:t>
      </w:r>
      <w:r>
        <w:rPr>
          <w:rStyle w:val="FootnoteAnchor"/>
          <w:rtl w:val="true"/>
        </w:rPr>
        <w:footnoteReference w:id="111"/>
      </w:r>
      <w:bookmarkStart w:id="249" w:name="pg8675_122914"/>
    </w:p>
    <w:p>
      <w:pPr>
        <w:pStyle w:val="BookText"/>
        <w:rPr/>
      </w:pPr>
      <w:bookmarkEnd w:id="249"/>
      <w:r>
        <w:rPr>
          <w:rFonts w:ascii="IRNazanin" w:hAnsi="IRNazanin" w:eastAsia="IRNazanin"/>
          <w:color w:val="111111"/>
          <w:sz w:val="28"/>
          <w:sz w:val="28"/>
          <w:szCs w:val="28"/>
          <w:rtl w:val="true"/>
          <w:lang w:bidi="fa-IR"/>
        </w:rPr>
        <w:t xml:space="preserve">فعلى هذا يمكن أن نستنتج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وكما قال السيد محمدتقي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المراد بالاستحسان هوخصوص الأخذ بأقوى الدليلين فهوحسن ولا مانع من الأخذ به، إلا أنّ عدّ ذلک أصلا في مقابل الكتاب والسنة، ودليل العقل لا وجه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ما يقع في الوهم من استقباح الشئ واستحسانه من غير حجة دلت عليه، فهومحظور والقول به غير سائغ</w:t>
      </w:r>
      <w:r>
        <w:rPr>
          <w:rFonts w:eastAsia="IRNazanin" w:cs="IRNazanin"/>
          <w:color w:val="111111"/>
          <w:sz w:val="28"/>
          <w:szCs w:val="28"/>
          <w:rtl w:val="true"/>
          <w:lang w:bidi="fa-IR"/>
        </w:rPr>
        <w:t>.</w:t>
      </w:r>
      <w:r>
        <w:rPr>
          <w:rStyle w:val="FootnoteAnchor"/>
          <w:rtl w:val="true"/>
        </w:rPr>
        <w:footnoteReference w:id="112"/>
      </w:r>
      <w:r>
        <w:rPr>
          <w:rFonts w:ascii="Amiri" w:hAnsi="Amiri" w:eastAsia="Amiri" w:cs="Amiri"/>
          <w:color w:val="111111"/>
          <w:sz w:val="28"/>
          <w:sz w:val="28"/>
          <w:szCs w:val="28"/>
          <w:rtl w:val="true"/>
          <w:lang w:bidi="ar-SA"/>
        </w:rPr>
        <w:t>كما إذا كان سنده القياس غير المعتبر شرعاً</w:t>
      </w:r>
      <w:r>
        <w:rPr>
          <w:rFonts w:eastAsia="Amiri" w:cs="Amiri" w:ascii="Amiri" w:hAnsi="Amiri"/>
          <w:color w:val="111111"/>
          <w:sz w:val="28"/>
          <w:szCs w:val="28"/>
          <w:rtl w:val="true"/>
          <w:lang w:bidi="ar-SA"/>
        </w:rPr>
        <w:t>.</w:t>
      </w:r>
    </w:p>
    <w:p>
      <w:pPr>
        <w:pStyle w:val="Heading6"/>
        <w:numPr>
          <w:ilvl w:val="5"/>
          <w:numId w:val="1"/>
        </w:numPr>
        <w:rPr/>
      </w:pPr>
      <w:bookmarkStart w:id="250" w:name="__RefHeading___Toc2473924_653776707"/>
      <w:bookmarkStart w:id="251" w:name="_Toc86"/>
      <w:bookmarkEnd w:id="250"/>
      <w:r>
        <w:rPr>
          <w:rtl w:val="true"/>
        </w:rPr>
        <w:t>السادس</w:t>
      </w:r>
      <w:r>
        <w:rPr>
          <w:rtl w:val="true"/>
        </w:rPr>
        <w:t xml:space="preserve">: </w:t>
      </w:r>
      <w:r>
        <w:rPr>
          <w:rtl w:val="true"/>
        </w:rPr>
        <w:t>الاجماع</w:t>
      </w:r>
      <w:r>
        <w:rPr>
          <w:rtl w:val="true"/>
        </w:rPr>
        <w:t>:</w:t>
      </w:r>
      <w:bookmarkEnd w:id="251"/>
    </w:p>
    <w:p>
      <w:pPr>
        <w:pStyle w:val="BookText"/>
        <w:rPr/>
      </w:pPr>
      <w:r>
        <w:rPr>
          <w:rFonts w:ascii="Amiri" w:hAnsi="Amiri" w:eastAsia="Amiri" w:cs="Amiri"/>
          <w:color w:val="111111"/>
          <w:sz w:val="28"/>
          <w:sz w:val="28"/>
          <w:szCs w:val="28"/>
          <w:rtl w:val="true"/>
          <w:lang w:bidi="ar-SA"/>
        </w:rPr>
        <w:t>الاجماع في اللغه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مشترك بين العزم والتصميم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وهوفي اصطلاح الأصوليين موضع خلاف، وإن اتفقوا على دلالته على الاتفاق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وموقع الخلاف منه هوحول من ينعقد بهم الاجماع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مطلق الأمة،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المجتهدين منها في عصر من العصور، وفي رأي مالك هواتفاق أهل المدينة،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هواتفاق أهل الحرمين، أوأهل المصرين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الكوفه والبصره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ضيّق إلى اتفاق الشيخين أوالخلفاء الأربعة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أنكر بعض فقهاء السنة حجية الاجماع؛ لأنهم رأوا أن الاجماع لا يمكن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روي عن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يدعي الرجل فيه الاجماع هوالكذب، ومن أدعى الاجماع فهوكذاب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وموقف المدرسة الحنفية من الاجماع هوالاعتبار والعمل به</w:t>
      </w:r>
      <w:r>
        <w:rPr>
          <w:rFonts w:eastAsia="Amiri" w:cs="Amiri" w:ascii="Amiri" w:hAnsi="Amiri"/>
          <w:color w:val="111111"/>
          <w:sz w:val="28"/>
          <w:szCs w:val="28"/>
          <w:rtl w:val="true"/>
          <w:lang w:bidi="ar-SA"/>
        </w:rPr>
        <w:t xml:space="preserve">. </w:t>
      </w:r>
      <w:bookmarkStart w:id="252" w:name="pg8675_122917"/>
    </w:p>
    <w:p>
      <w:pPr>
        <w:pStyle w:val="Heading6"/>
        <w:numPr>
          <w:ilvl w:val="5"/>
          <w:numId w:val="1"/>
        </w:numPr>
        <w:rPr/>
      </w:pPr>
      <w:bookmarkStart w:id="253" w:name="__RefHeading___Toc2473926_653776707"/>
      <w:bookmarkStart w:id="254" w:name="_Toc87"/>
      <w:bookmarkEnd w:id="252"/>
      <w:bookmarkEnd w:id="253"/>
      <w:r>
        <w:rPr>
          <w:rtl w:val="true"/>
        </w:rPr>
        <w:t>السابع</w:t>
      </w:r>
      <w:r>
        <w:rPr>
          <w:rtl w:val="true"/>
        </w:rPr>
        <w:t xml:space="preserve">: </w:t>
      </w:r>
      <w:r>
        <w:rPr>
          <w:rtl w:val="true"/>
        </w:rPr>
        <w:t>العرف</w:t>
      </w:r>
      <w:r>
        <w:rPr>
          <w:rtl w:val="true"/>
        </w:rPr>
        <w:t>:</w:t>
      </w:r>
      <w:bookmarkEnd w:id="254"/>
    </w:p>
    <w:p>
      <w:pPr>
        <w:pStyle w:val="Heading6"/>
        <w:numPr>
          <w:ilvl w:val="5"/>
          <w:numId w:val="1"/>
        </w:numPr>
        <w:rPr/>
      </w:pPr>
      <w:bookmarkStart w:id="255" w:name="__RefHeading___Toc2473928_653776707"/>
      <w:bookmarkStart w:id="256" w:name="_Toc88"/>
      <w:bookmarkEnd w:id="255"/>
      <w:r>
        <w:rPr>
          <w:rtl w:val="true"/>
        </w:rPr>
        <w:t>اشارة</w:t>
      </w:r>
      <w:bookmarkEnd w:id="256"/>
    </w:p>
    <w:p>
      <w:pPr>
        <w:pStyle w:val="BookText"/>
        <w:rPr/>
      </w:pPr>
      <w:r>
        <w:rPr>
          <w:rFonts w:ascii="Amiri" w:hAnsi="Amiri" w:eastAsia="Amiri" w:cs="Amiri"/>
          <w:color w:val="111111"/>
          <w:sz w:val="28"/>
          <w:sz w:val="28"/>
          <w:szCs w:val="28"/>
          <w:rtl w:val="true"/>
          <w:lang w:bidi="ar-SA"/>
        </w:rPr>
        <w:t>عرف الجرجاني العرف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العرف ما استقرت النفوس عليه، بشهاده العقول وتلقته الطبايع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عليه الغزالي 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أوما يعتاده الناس ذووالطباع السليمة من أهل إلا قطار الإسلامية بشرط ألا يخالف نصا شرعيا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الغزالي تکون العادة مرادفة للعرف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 في تعريفه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العرف ما تعارفه الناس وساروا عليه، من قول أوفعل أوترك، ويسمى العادة</w:t>
      </w:r>
      <w:r>
        <w:rPr>
          <w:rFonts w:eastAsia="Amiri" w:cs="Amiri" w:ascii="Amiri" w:hAnsi="Amiri"/>
          <w:color w:val="111111"/>
          <w:sz w:val="28"/>
          <w:szCs w:val="28"/>
          <w:rtl w:val="true"/>
          <w:lang w:bidi="ar-SA"/>
        </w:rPr>
        <w:t>».</w:t>
      </w:r>
      <w:r>
        <w:rPr>
          <w:rStyle w:val="FootnoteAnchor"/>
          <w:rtl w:val="true"/>
        </w:rPr>
        <w:footnoteReference w:id="113"/>
      </w:r>
    </w:p>
    <w:p>
      <w:pPr>
        <w:pStyle w:val="Heading6"/>
        <w:numPr>
          <w:ilvl w:val="5"/>
          <w:numId w:val="1"/>
        </w:numPr>
        <w:rPr/>
      </w:pPr>
      <w:bookmarkStart w:id="257" w:name="__RefHeading___Toc2473930_653776707"/>
      <w:bookmarkStart w:id="258" w:name="_Toc89"/>
      <w:bookmarkEnd w:id="257"/>
      <w:r>
        <w:rPr>
          <w:rtl w:val="true"/>
        </w:rPr>
        <w:t>أقسام العرف</w:t>
      </w:r>
      <w:r>
        <w:rPr>
          <w:rtl w:val="true"/>
        </w:rPr>
        <w:t>:</w:t>
      </w:r>
      <w:bookmarkEnd w:id="25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ينقسم العرف إلى العام والخاص، وإلى العملي والقولي، وإلى العرف الموجود فيعهد الشارع والعرف الطارئ، فلوورد النص مقرراً للعرف السابق، ثم تغير هذالعرف، فإن المعتبر عند أبي يوسف فقيه الحنفية هوالعرف الطارئ، لكن أبا حنيفة لا يعتبر بهذا العرف الطارئ؛ لوجود نص معارض، له مثلاً نص الشارع على أن البر والتمر والملح من المكيلات، فإذا تغير العرف وأصبحت من الموزونات فهل يصح التعامل فيها بالوزن مع التفاضل؟ يقول أبويوسف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ويقول أبوحنيفة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والفضل ربا</w:t>
      </w:r>
      <w:r>
        <w:rPr>
          <w:rFonts w:eastAsia="Amiri" w:cs="Amiri" w:ascii="Amiri" w:hAnsi="Amiri"/>
          <w:color w:val="111111"/>
          <w:sz w:val="28"/>
          <w:szCs w:val="28"/>
          <w:rtl w:val="true"/>
          <w:lang w:bidi="ar-SA"/>
        </w:rPr>
        <w:t>.</w:t>
      </w:r>
      <w:r>
        <w:rPr>
          <w:rStyle w:val="FootnoteAnchor"/>
          <w:rtl w:val="true"/>
        </w:rPr>
        <w:footnoteReference w:id="114"/>
      </w:r>
      <w:bookmarkStart w:id="259" w:name="pg8675_122920"/>
    </w:p>
    <w:p>
      <w:pPr>
        <w:pStyle w:val="BookText"/>
        <w:rPr/>
      </w:pPr>
      <w:bookmarkEnd w:id="259"/>
      <w:r>
        <w:rPr>
          <w:rFonts w:ascii="Amiri" w:hAnsi="Amiri" w:eastAsia="Amiri" w:cs="Amiri"/>
          <w:color w:val="111111"/>
          <w:sz w:val="28"/>
          <w:sz w:val="28"/>
          <w:szCs w:val="28"/>
          <w:rtl w:val="true"/>
          <w:lang w:bidi="ar-SA"/>
        </w:rPr>
        <w:t>نعم عند الخاصه، الربا الحرام لايختص بالمكيل، بل يوجد في الموزون أيضاً، بل عند بعضهم يوجد في المعدود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وينقسم العرف أيضاً إلى الصحيح والفاسد، والفاسد، هوالذي يخالف الشرع</w:t>
      </w:r>
      <w:r>
        <w:rPr>
          <w:rFonts w:eastAsia="Amiri" w:cs="Amiri" w:ascii="Amiri" w:hAnsi="Amiri"/>
          <w:color w:val="111111"/>
          <w:sz w:val="28"/>
          <w:szCs w:val="28"/>
          <w:rtl w:val="true"/>
          <w:lang w:bidi="ar-SA"/>
        </w:rPr>
        <w:t>.</w:t>
      </w:r>
    </w:p>
    <w:p>
      <w:pPr>
        <w:pStyle w:val="Heading6"/>
        <w:numPr>
          <w:ilvl w:val="5"/>
          <w:numId w:val="1"/>
        </w:numPr>
        <w:rPr/>
      </w:pPr>
      <w:bookmarkStart w:id="260" w:name="__RefHeading___Toc2473932_653776707"/>
      <w:bookmarkStart w:id="261" w:name="_Toc90"/>
      <w:bookmarkEnd w:id="260"/>
      <w:r>
        <w:rPr>
          <w:rtl w:val="true"/>
        </w:rPr>
        <w:t>إعتبار العرف</w:t>
      </w:r>
      <w:r>
        <w:rPr>
          <w:rtl w:val="true"/>
        </w:rPr>
        <w:t>:</w:t>
      </w:r>
      <w:bookmarkEnd w:id="261"/>
    </w:p>
    <w:p>
      <w:pPr>
        <w:pStyle w:val="BookText"/>
        <w:rPr/>
      </w:pPr>
      <w:r>
        <w:rPr>
          <w:rFonts w:ascii="Amiri" w:hAnsi="Amiri" w:eastAsia="Amiri" w:cs="Amiri"/>
          <w:color w:val="111111"/>
          <w:sz w:val="28"/>
          <w:sz w:val="28"/>
          <w:szCs w:val="28"/>
          <w:rtl w:val="true"/>
          <w:lang w:bidi="ar-SA"/>
        </w:rPr>
        <w:t>لقد توسعت المدرسة الحنفية في مجال الأخذ بالعرف، وذلك أن أبا حنيفة كان ذا خبرة بالتجارة ومعاملات الناس، فعلم عادات الناس وخبر أعرافهم؛ ولذلك عمل بالعرف في كثير من المسائل الفقهية</w:t>
      </w:r>
      <w:r>
        <w:rPr>
          <w:rFonts w:eastAsia="Amiri" w:cs="Amiri" w:ascii="Amiri" w:hAnsi="Amiri"/>
          <w:color w:val="111111"/>
          <w:sz w:val="28"/>
          <w:szCs w:val="28"/>
          <w:rtl w:val="true"/>
          <w:lang w:bidi="ar-SA"/>
        </w:rPr>
        <w:t>.</w:t>
      </w:r>
      <w:r>
        <w:rPr>
          <w:rStyle w:val="FootnoteAnchor"/>
          <w:rtl w:val="true"/>
        </w:rPr>
        <w:footnoteReference w:id="115"/>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ولايخفى أن مجالات العرف مختلفة، فما يرتبط بتشخيص معنى المفاهيم كمعنى الصعيد والفقير لا اشكال في إعتباره، وهكذا فيما يرتبط باستكشاف مراد المتكلم والظهور العرفي للكلام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سائر المجالات الأخرى فلابد لاستكشاف الحكم الشرعي من العرف أن يحرز كونه في مرآى ومسمع من الشارع وأن لايردع عنه، وهذا ما يسمى بالسيرة العقلائية، وكذلك الحال فيما لوسلك المتشرعة المعاصرون للشارعسلوكا معينا بما هم متشرعه، لا بما هم عقلاء، فبالإمكان في هذا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بإعتبارها، على أساس أن المتشرعة حينما يسلكون سلوكا، بوصفهم متشرعة، يجب أن يكونوا متلقين ذلك من الشارع وهذا ما يسمى بسيرة المتشرعة</w:t>
      </w:r>
      <w:r>
        <w:rPr>
          <w:rFonts w:eastAsia="Amiri" w:cs="Amiri" w:ascii="Amiri" w:hAnsi="Amiri"/>
          <w:color w:val="111111"/>
          <w:sz w:val="28"/>
          <w:szCs w:val="28"/>
          <w:rtl w:val="true"/>
          <w:lang w:bidi="ar-SA"/>
        </w:rPr>
        <w:t>.</w:t>
      </w:r>
      <w:r>
        <w:rPr>
          <w:rStyle w:val="FootnoteAnchor"/>
          <w:rtl w:val="true"/>
        </w:rPr>
        <w:footnoteReference w:id="116"/>
      </w:r>
      <w:bookmarkStart w:id="262" w:name="pg8675_122925"/>
    </w:p>
    <w:p>
      <w:pPr>
        <w:pStyle w:val="Heading6"/>
        <w:numPr>
          <w:ilvl w:val="5"/>
          <w:numId w:val="1"/>
        </w:numPr>
        <w:rPr/>
      </w:pPr>
      <w:bookmarkStart w:id="263" w:name="__RefHeading___Toc2473934_653776707"/>
      <w:bookmarkStart w:id="264" w:name="_Toc91"/>
      <w:bookmarkEnd w:id="262"/>
      <w:bookmarkEnd w:id="263"/>
      <w:r>
        <w:rPr>
          <w:rtl w:val="true"/>
        </w:rPr>
        <w:t>أقسام الحكم التكليفي عند الحنفية</w:t>
      </w:r>
      <w:r>
        <w:rPr>
          <w:rtl w:val="true"/>
        </w:rPr>
        <w:t>:</w:t>
      </w:r>
      <w:bookmarkEnd w:id="264"/>
    </w:p>
    <w:p>
      <w:pPr>
        <w:pStyle w:val="BookText"/>
        <w:rPr/>
      </w:pPr>
      <w:r>
        <w:rPr>
          <w:rFonts w:ascii="IRNazanin" w:hAnsi="IRNazanin" w:eastAsia="IRNazanin"/>
          <w:color w:val="111111"/>
          <w:sz w:val="28"/>
          <w:sz w:val="28"/>
          <w:szCs w:val="28"/>
          <w:rtl w:val="true"/>
          <w:lang w:bidi="fa-IR"/>
        </w:rPr>
        <w:t>ینقسم الحكم التكليفي عند سائر المدارس الفقهية ينقسم إلى خمسة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والندب والاباحه والكراهة والحرمة؛ ولكن عند المدرسة الحنفية ينقسم إلى سبعة أقسام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وهوالطلب الإلزامي الذي قام عليه دليل قطعي، كفرضية قراءة القرآن في الصلاة، الثابت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فَاقْرَءُوا ما تَيَسَّرَ مِنَ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الواجب والسنة المؤکدة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وهوالطلب الالزامي الذي قام عليه دليل ظني فيه شبهة، ويسمى فرضا عمليا، بمعنى أنه يعامل معه معاملة الفرائض، من حيث العمل، ولكن لا يجب اعتقاد أنه فرض ولا يكفر منكر فرضيته، وتاركه لا يعاقب بالنار بل يحرم من شفاعة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وإذا قال الحنفية السنة المؤکدة، فإنما يريدون بها الواجب الذي ذكرنا</w:t>
      </w:r>
      <w:r>
        <w:rPr>
          <w:rFonts w:eastAsia="IRNazanin" w:cs="IRNazanin"/>
          <w:color w:val="111111"/>
          <w:sz w:val="28"/>
          <w:szCs w:val="28"/>
          <w:rtl w:val="true"/>
          <w:lang w:bidi="fa-IR"/>
        </w:rPr>
        <w:t>.</w:t>
      </w:r>
      <w:r>
        <w:rPr>
          <w:rStyle w:val="FootnoteAnchor"/>
        </w:rPr>
        <w:footnoteReference w:id="117"/>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المندوب والسنة غير المؤکدة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وهوالطلب غير الجازم الذي يثاب على فعله، ولايعاقب على تركه ويسمى بالمستحب أيضاً كصلاة أربع ركعات قبل فريضة العصر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وهوما يجوز فعله وتركه، من دون ترجيح لاحدهما على الآخر، ففي </w:t>
      </w:r>
      <w:bookmarkStart w:id="265" w:name="pg8675_122928"/>
    </w:p>
    <w:p>
      <w:pPr>
        <w:pStyle w:val="BookText"/>
        <w:rPr/>
      </w:pPr>
      <w:bookmarkEnd w:id="265"/>
      <w:r>
        <w:rPr>
          <w:rFonts w:ascii="Amiri" w:hAnsi="Amiri" w:eastAsia="Amiri" w:cs="Amiri"/>
          <w:color w:val="111111"/>
          <w:sz w:val="28"/>
          <w:sz w:val="28"/>
          <w:szCs w:val="28"/>
          <w:rtl w:val="true"/>
          <w:lang w:bidi="ar-SA"/>
        </w:rPr>
        <w:t>الإباحة قد وافق الحنفية الجميع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المكروه التنزيهي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طلب تركه من غير تشديد، فهوإلى الحلال اقرب، فلا يعاقب على فعله، ويثاب على تركه ثواباً يسيراً وذلك كالمضمضة باليد اليسرى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المكروه التحريمي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طلب تركه مع التشديد فهوإلى الحرام أقرب، كالبيع وقت النداء لصلاة الجمعة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طلب تركه على سبيل الجزم ولم يرخص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مفهوم الحرمة وافق الحنفية سائر الفقهاء</w:t>
      </w:r>
      <w:r>
        <w:rPr>
          <w:rFonts w:eastAsia="Amiri" w:cs="Amiri" w:ascii="Amiri" w:hAnsi="Amiri"/>
          <w:color w:val="111111"/>
          <w:sz w:val="28"/>
          <w:szCs w:val="28"/>
          <w:rtl w:val="true"/>
          <w:lang w:bidi="ar-SA"/>
        </w:rPr>
        <w:t>.</w:t>
      </w:r>
      <w:r>
        <w:rPr>
          <w:rStyle w:val="FootnoteAnchor"/>
          <w:rtl w:val="true"/>
        </w:rPr>
        <w:footnoteReference w:id="118"/>
      </w:r>
    </w:p>
    <w:p>
      <w:pPr>
        <w:pStyle w:val="Heading5"/>
        <w:numPr>
          <w:ilvl w:val="4"/>
          <w:numId w:val="1"/>
        </w:numPr>
        <w:rPr/>
      </w:pPr>
      <w:bookmarkStart w:id="266" w:name="__RefHeading___Toc2473936_653776707"/>
      <w:bookmarkStart w:id="267" w:name="_Toc92"/>
      <w:bookmarkEnd w:id="266"/>
      <w:r>
        <w:rPr/>
        <w:t>4</w:t>
      </w:r>
      <w:r>
        <w:rPr>
          <w:rtl w:val="true"/>
        </w:rPr>
        <w:t xml:space="preserve">) </w:t>
      </w:r>
      <w:r>
        <w:rPr>
          <w:rtl w:val="true"/>
        </w:rPr>
        <w:t>نماذج من فتاوي المذهب الحنفي</w:t>
      </w:r>
      <w:bookmarkEnd w:id="267"/>
    </w:p>
    <w:p>
      <w:pPr>
        <w:pStyle w:val="Heading6"/>
        <w:numPr>
          <w:ilvl w:val="5"/>
          <w:numId w:val="1"/>
        </w:numPr>
        <w:rPr/>
      </w:pPr>
      <w:bookmarkStart w:id="268" w:name="__RefHeading___Toc2473938_653776707"/>
      <w:bookmarkStart w:id="269" w:name="_Toc93"/>
      <w:bookmarkEnd w:id="268"/>
      <w:r>
        <w:rPr/>
        <w:t>1</w:t>
      </w:r>
      <w:r>
        <w:rPr>
          <w:rtl w:val="true"/>
        </w:rPr>
        <w:t xml:space="preserve">) </w:t>
      </w:r>
      <w:r>
        <w:rPr>
          <w:rtl w:val="true"/>
        </w:rPr>
        <w:t>تكبيرة الاحرام</w:t>
      </w:r>
      <w:r>
        <w:rPr>
          <w:rtl w:val="true"/>
        </w:rPr>
        <w:t>:</w:t>
      </w:r>
      <w:bookmarkEnd w:id="26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يشترط افتتاح الصلاة بالتکبیر، فالافتتاح بها واجب لا يترتب على تركها بطلان الصلاة، أما الصيغة التي تتوقف عليها صحة الصلاة فهي الصيغة التي تدل علىتعظيم الله، كأن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أوالحمد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أواستغفر الله لا تصح صلاته</w:t>
      </w:r>
      <w:r>
        <w:rPr>
          <w:rFonts w:eastAsia="IRNazanin" w:cs="IRNazanin"/>
          <w:color w:val="111111"/>
          <w:sz w:val="28"/>
          <w:szCs w:val="28"/>
          <w:rtl w:val="true"/>
          <w:lang w:bidi="fa-IR"/>
        </w:rPr>
        <w:t>.</w:t>
      </w:r>
      <w:r>
        <w:rPr>
          <w:rStyle w:val="FootnoteAnchor"/>
          <w:rtl w:val="true"/>
        </w:rPr>
        <w:footnoteReference w:id="119"/>
      </w:r>
      <w:bookmarkStart w:id="270" w:name="pg8675_122930"/>
    </w:p>
    <w:p>
      <w:pPr>
        <w:pStyle w:val="Heading6"/>
        <w:numPr>
          <w:ilvl w:val="5"/>
          <w:numId w:val="1"/>
        </w:numPr>
        <w:rPr/>
      </w:pPr>
      <w:bookmarkStart w:id="271" w:name="__RefHeading___Toc2473940_653776707"/>
      <w:bookmarkStart w:id="272" w:name="_Toc94"/>
      <w:bookmarkEnd w:id="270"/>
      <w:bookmarkEnd w:id="271"/>
      <w:r>
        <w:rPr/>
        <w:t>2</w:t>
      </w:r>
      <w:r>
        <w:rPr>
          <w:rtl w:val="true"/>
        </w:rPr>
        <w:t xml:space="preserve">) </w:t>
      </w:r>
      <w:r>
        <w:rPr>
          <w:rtl w:val="true"/>
        </w:rPr>
        <w:t>القراءة</w:t>
      </w:r>
      <w:r>
        <w:rPr>
          <w:rtl w:val="true"/>
        </w:rPr>
        <w:t>:</w:t>
      </w:r>
      <w:bookmarkEnd w:id="272"/>
    </w:p>
    <w:p>
      <w:pPr>
        <w:pStyle w:val="BookText"/>
        <w:rPr/>
      </w:pPr>
      <w:r>
        <w:rPr>
          <w:rFonts w:ascii="Amiri" w:hAnsi="Amiri" w:eastAsia="Amiri" w:cs="Amiri"/>
          <w:color w:val="111111"/>
          <w:sz w:val="28"/>
          <w:sz w:val="28"/>
          <w:szCs w:val="28"/>
          <w:rtl w:val="true"/>
          <w:lang w:bidi="ar-SA"/>
        </w:rPr>
        <w:t>المفروض مطلق القراءة لا قراءة الفاتحة بخصوصها، والقراءة فرض في الركعتين من الصلاة المفروضة وقدرها ثلاث آيات قصار أوآية طويلة تعدلها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عجز عن العربية يقرأ بغيرها من اللغات الأخرى</w:t>
      </w:r>
      <w:r>
        <w:rPr>
          <w:rFonts w:eastAsia="Amiri" w:cs="Amiri" w:ascii="Amiri" w:hAnsi="Amiri"/>
          <w:color w:val="111111"/>
          <w:sz w:val="28"/>
          <w:szCs w:val="28"/>
          <w:rtl w:val="true"/>
          <w:lang w:bidi="ar-SA"/>
        </w:rPr>
        <w:t>.</w:t>
      </w:r>
      <w:r>
        <w:rPr>
          <w:rStyle w:val="FootnoteAnchor"/>
          <w:rtl w:val="true"/>
        </w:rPr>
        <w:footnoteReference w:id="120"/>
      </w:r>
    </w:p>
    <w:p>
      <w:pPr>
        <w:pStyle w:val="Heading6"/>
        <w:numPr>
          <w:ilvl w:val="5"/>
          <w:numId w:val="1"/>
        </w:numPr>
        <w:rPr/>
      </w:pPr>
      <w:bookmarkStart w:id="273" w:name="__RefHeading___Toc2473942_653776707"/>
      <w:bookmarkStart w:id="274" w:name="_Toc95"/>
      <w:bookmarkEnd w:id="273"/>
      <w:r>
        <w:rPr/>
        <w:t>3</w:t>
      </w:r>
      <w:r>
        <w:rPr>
          <w:rtl w:val="true"/>
        </w:rPr>
        <w:t xml:space="preserve">) </w:t>
      </w:r>
      <w:r>
        <w:rPr>
          <w:rtl w:val="true"/>
        </w:rPr>
        <w:t>بعض الواجبات الأخرى للصلاة</w:t>
      </w:r>
      <w:r>
        <w:rPr>
          <w:rtl w:val="true"/>
        </w:rPr>
        <w:t>:</w:t>
      </w:r>
      <w:bookmarkEnd w:id="274"/>
    </w:p>
    <w:p>
      <w:pPr>
        <w:pStyle w:val="BookText"/>
        <w:rPr/>
      </w:pPr>
      <w:r>
        <w:rPr>
          <w:rFonts w:ascii="Amiri" w:hAnsi="Amiri" w:eastAsia="Amiri" w:cs="Amiri"/>
          <w:color w:val="111111"/>
          <w:sz w:val="28"/>
          <w:sz w:val="28"/>
          <w:szCs w:val="28"/>
          <w:rtl w:val="true"/>
          <w:lang w:bidi="ar-SA"/>
        </w:rPr>
        <w:t>الرفع من الركوع والإعتدال والطمأنينة والجلوس بين السجدتين من واجبات الصلاة لا من فرائضها، وأيضاً التشهد الأخير واجب لا فرض، والخروج من الصلاة بلفظ السلام ليس فرضا، بل هوواجب، وأن الخروج من الصلاة يكون بأيّ عمل مناف لها، حتى ولوبنقض الوضوء</w:t>
      </w:r>
      <w:r>
        <w:rPr>
          <w:rFonts w:eastAsia="Amiri" w:cs="Amiri" w:ascii="Amiri" w:hAnsi="Amiri"/>
          <w:color w:val="111111"/>
          <w:sz w:val="28"/>
          <w:szCs w:val="28"/>
          <w:rtl w:val="true"/>
          <w:lang w:bidi="ar-SA"/>
        </w:rPr>
        <w:t>.</w:t>
      </w:r>
      <w:r>
        <w:rPr>
          <w:rStyle w:val="FootnoteAnchor"/>
          <w:rtl w:val="true"/>
        </w:rPr>
        <w:footnoteReference w:id="121"/>
      </w:r>
    </w:p>
    <w:p>
      <w:pPr>
        <w:pStyle w:val="Heading6"/>
        <w:numPr>
          <w:ilvl w:val="5"/>
          <w:numId w:val="1"/>
        </w:numPr>
        <w:rPr/>
      </w:pPr>
      <w:bookmarkStart w:id="275" w:name="__RefHeading___Toc2473944_653776707"/>
      <w:bookmarkStart w:id="276" w:name="_Toc96"/>
      <w:bookmarkEnd w:id="275"/>
      <w:r>
        <w:rPr/>
        <w:t>4</w:t>
      </w:r>
      <w:r>
        <w:rPr>
          <w:rtl w:val="true"/>
        </w:rPr>
        <w:t xml:space="preserve">) </w:t>
      </w:r>
      <w:r>
        <w:rPr>
          <w:rtl w:val="true"/>
        </w:rPr>
        <w:t>الترتيب</w:t>
      </w:r>
      <w:r>
        <w:rPr>
          <w:rtl w:val="true"/>
        </w:rPr>
        <w:t>:</w:t>
      </w:r>
      <w:bookmarkEnd w:id="27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ترتيب الأركان بحيث ينوي المصلي القيام قبل الركوع وقبل السجود ليس بفرض للصلاة؛ بل هوشرط لصحةها، فإذا ركع قبل القيام ثم سجد وقام، فإن ركوعه هذا لايعتبر، فإذا الغى الركوع الأول ثم ركع وسجد فإن الركعة تعتبر له وعليه أن يسجد للسهوإن وقع منه ذلك سهواً، فإن فعله عمداً بطلت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ركع دون أن يقوم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قام ولم يقرأ ثم ركع، فإن صلاته تكون صحيحة</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فذلكة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نماذج من فتاوى المدرسة الحنفية فی مجال الصلاة التي يعلم من خلالها منهج هذه المدرسة في الإجتهاد وكيفية الإستنباط واختلافها الجوهري عن سائر المدارس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سرد المورخون قضايا عجيبة، بما يرتبط بفتاوى الأحناف وآثارها الإجتماعية والسياسية والدينية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ابن خلكان في ترجمة السلطان محمود بن سبكتكين، وما عمل من جمع فقهاء الحنفية والشافعية والطلب منهم على أن يصلوا بين يديه على المذهبين، فلما صلى القفال المروزي على ما يجوز أبوحنيفة من لبس جلد كلب مدبوغ ولطخ ربعه بالنجاسة، والوضؤبنبيذ التمر، والاكتفاء بما يعتبره من فرائض الصلاة التي مر ذكر بعضها، فقال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لولم تكن هذه صلاة أبي حنيفة لقتلتك، لأن مثل هذه الصلاة لا يجوزها ذودين ثم أعرض عن المذهب الحنفي وتمسك بالمذهب الشافعي</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وليس هذا المنهج مختصاً بالصلاة، بل هوجارٍ وسارٍ في مختلف أبواب الفقه من العبادات والمعاملات والسياسات، اضف إلى ذلك ما تناولته هذه المدرسة من الحيل الشرعية، خصوصاً في مسائل المعاملات</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ان مجموعة تعاليم هذا المذهب أوجب أن ينقسم الناس إلى مؤدينومعارضين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 عن أبي حنيفة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هذا رأي، وهوأكثر ما قدرنا عليه، فمن </w:t>
      </w:r>
    </w:p>
    <w:p>
      <w:pPr>
        <w:pStyle w:val="BookText"/>
        <w:rPr/>
      </w:pPr>
      <w:r>
        <w:rPr>
          <w:rFonts w:ascii="Amiri" w:hAnsi="Amiri" w:eastAsia="Amiri" w:cs="Amiri"/>
          <w:color w:val="111111"/>
          <w:sz w:val="28"/>
          <w:sz w:val="28"/>
          <w:szCs w:val="28"/>
          <w:rtl w:val="true"/>
          <w:lang w:bidi="ar-SA"/>
        </w:rPr>
        <w:t>جاء بخير منه قبلناه</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هذا وقد عقد ابن أبي شيبة باباً لمخالفات أبي حنيفة للأحاديث المروية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الرد على أبي حنيفة وذكر فيه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مورداً</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وروى الخطيب في تاريخ بغداد عن وكيع بن الجراح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أبا حنيفة خالف مئتي حديث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يوسف بن اسباط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أبوحنيفة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مئة حديث أوأكثر</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هذا وقد ذكرمؤیدوه ان لتعاليم أبي حنيفة تأثيراً واسعاً في الفقه، اذ شاع في فقه الحنفية التماس العلل والاوصاف المناسبة للاحكام، وبهذا امكن الربط بين مسائل الشريعة بعضها ببعض، هذا من جانب؛ وامكن التقريب بين الفقه والحياة من جانب آخر</w:t>
      </w:r>
      <w:r>
        <w:rPr>
          <w:rFonts w:eastAsia="IRNazanin" w:cs="IRNazanin"/>
          <w:color w:val="111111"/>
          <w:sz w:val="28"/>
          <w:szCs w:val="28"/>
          <w:rtl w:val="true"/>
          <w:lang w:bidi="fa-IR"/>
        </w:rPr>
        <w:t>.</w:t>
      </w:r>
      <w:r>
        <w:rPr>
          <w:rStyle w:val="FootnoteAnchor"/>
          <w:rtl w:val="true"/>
        </w:rPr>
        <w:footnoteReference w:id="12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كل حال، فالبحث عن كلام مؤیّديه ومعارضيه وصحة مدّعاهم موكول إلى </w:t>
      </w:r>
    </w:p>
    <w:p>
      <w:pPr>
        <w:pStyle w:val="BookText"/>
        <w:rPr/>
      </w:pPr>
      <w:r>
        <w:rPr>
          <w:rFonts w:ascii="Amiri" w:hAnsi="Amiri" w:eastAsia="Amiri" w:cs="Amiri"/>
          <w:color w:val="111111"/>
          <w:sz w:val="28"/>
          <w:sz w:val="28"/>
          <w:szCs w:val="28"/>
          <w:rtl w:val="true"/>
          <w:lang w:bidi="ar-SA"/>
        </w:rPr>
        <w:t>مجال آخر؛ وما لاشك فيه ولا شبهة تعتريه هوالتأثير النافذ للمدرسة الحنفية في تاريخ الإسلام، ومصير الامة الإسلامية في مختلف مجالاتها وبالأخص ما يرتبط بالسياسة وجهاز الدولة عموماً والخلافة العباسية خصوصاً والركون الذي كان لعلماء الحنفية اليهم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توفي أبوحنيفة سنة خمسين ومئة وله من العمر سبعون سنة، وقد أوصى أن يدفن بأرض الخيزران وجاء المنصور فصلّى على قبره</w:t>
      </w:r>
      <w:r>
        <w:rPr>
          <w:rFonts w:eastAsia="Amiri" w:cs="Amiri" w:ascii="Amiri" w:hAnsi="Amiri"/>
          <w:color w:val="111111"/>
          <w:sz w:val="28"/>
          <w:szCs w:val="28"/>
          <w:rtl w:val="true"/>
          <w:lang w:bidi="ar-SA"/>
        </w:rPr>
        <w:t>.</w:t>
      </w:r>
      <w:r>
        <w:rPr>
          <w:rStyle w:val="FootnoteAnchor"/>
          <w:rtl w:val="true"/>
        </w:rPr>
        <w:footnoteReference w:id="128"/>
      </w:r>
      <w:bookmarkStart w:id="277" w:name="pg8675_122943"/>
    </w:p>
    <w:p>
      <w:pPr>
        <w:pStyle w:val="Heading3"/>
        <w:numPr>
          <w:ilvl w:val="2"/>
          <w:numId w:val="1"/>
        </w:numPr>
        <w:rPr/>
      </w:pPr>
      <w:bookmarkStart w:id="278" w:name="__RefHeading___Toc2473946_653776707"/>
      <w:bookmarkStart w:id="279" w:name="_Toc97"/>
      <w:bookmarkEnd w:id="277"/>
      <w:bookmarkEnd w:id="278"/>
      <w:r>
        <w:rPr>
          <w:rtl w:val="true"/>
        </w:rPr>
        <w:t>الفصل الرابع مدرسة مالك ومنهجه في الإجتهاد</w:t>
      </w:r>
      <w:bookmarkEnd w:id="279"/>
    </w:p>
    <w:p>
      <w:pPr>
        <w:pStyle w:val="Heading4"/>
        <w:numPr>
          <w:ilvl w:val="3"/>
          <w:numId w:val="1"/>
        </w:numPr>
        <w:rPr/>
      </w:pPr>
      <w:bookmarkStart w:id="280" w:name="__RefHeading___Toc2473948_653776707"/>
      <w:bookmarkStart w:id="281" w:name="_Toc98"/>
      <w:bookmarkEnd w:id="280"/>
      <w:r>
        <w:rPr>
          <w:rtl w:val="true"/>
        </w:rPr>
        <w:t>محاور البحث</w:t>
      </w:r>
      <w:bookmarkEnd w:id="2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مؤسس المذهب المالكي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نشوء الدعوة للمذهب المالكي ومحلّها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الأسس الرئيسيّة للمذهب المالكي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المنهج الكلامي والفقهي للمذهب المالكي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نماذج الفتاوی المذهب المالكي</w:t>
      </w:r>
      <w:r>
        <w:rPr>
          <w:rFonts w:eastAsia="IRNazanin" w:cs="IRNazanin"/>
          <w:color w:val="111111"/>
          <w:sz w:val="28"/>
          <w:szCs w:val="28"/>
          <w:rtl w:val="true"/>
          <w:lang w:bidi="fa-IR"/>
        </w:rPr>
        <w:t>.</w:t>
      </w:r>
    </w:p>
    <w:p>
      <w:pPr>
        <w:pStyle w:val="Heading4"/>
        <w:numPr>
          <w:ilvl w:val="3"/>
          <w:numId w:val="1"/>
        </w:numPr>
        <w:rPr/>
      </w:pPr>
      <w:bookmarkStart w:id="282" w:name="__RefHeading___Toc2473950_653776707"/>
      <w:bookmarkStart w:id="283" w:name="_Toc99"/>
      <w:bookmarkEnd w:id="282"/>
      <w:r>
        <w:rPr/>
        <w:t>1</w:t>
      </w:r>
      <w:r>
        <w:rPr>
          <w:rtl w:val="true"/>
        </w:rPr>
        <w:t xml:space="preserve">) </w:t>
      </w:r>
      <w:r>
        <w:rPr>
          <w:rtl w:val="true"/>
        </w:rPr>
        <w:t>مؤسس المذهب المالكي</w:t>
      </w:r>
      <w:r>
        <w:rPr>
          <w:rtl w:val="true"/>
        </w:rPr>
        <w:t>:</w:t>
      </w:r>
      <w:bookmarkEnd w:id="283"/>
    </w:p>
    <w:p>
      <w:pPr>
        <w:pStyle w:val="Heading5"/>
        <w:numPr>
          <w:ilvl w:val="4"/>
          <w:numId w:val="1"/>
        </w:numPr>
        <w:rPr/>
      </w:pPr>
      <w:bookmarkStart w:id="284" w:name="__RefHeading___Toc2473952_653776707"/>
      <w:bookmarkStart w:id="285" w:name="_Toc100"/>
      <w:bookmarkEnd w:id="284"/>
      <w:r>
        <w:rPr>
          <w:rtl w:val="true"/>
        </w:rPr>
        <w:t>اشارة</w:t>
      </w:r>
      <w:bookmarkEnd w:id="28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مالك بن أنس بن مالك بن أبى عامر، ينتهي نسبه إلى ذي أصبح من اليمن، قَدم أحد أجداده إلى المدينة وسكنها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أبوعامر عُدّ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ولد مالك بالمدينة سنة </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أيّام خلافة سليمان بن عبدالملك وعاش فیها طول حياته، فلم يخرج منها إلاّ حاجّا، ومات سنة </w:t>
      </w:r>
      <w:r>
        <w:rPr>
          <w:rFonts w:eastAsia="IRNazanin" w:cs="IRNazanin"/>
          <w:color w:val="111111"/>
          <w:sz w:val="28"/>
          <w:szCs w:val="28"/>
          <w:rtl w:val="true"/>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خلافة الهارون ودفن في البقيع</w:t>
      </w:r>
      <w:r>
        <w:rPr>
          <w:rFonts w:eastAsia="IRNazanin" w:cs="IRNazanin"/>
          <w:color w:val="111111"/>
          <w:sz w:val="28"/>
          <w:szCs w:val="28"/>
          <w:rtl w:val="true"/>
          <w:lang w:bidi="fa-IR"/>
        </w:rPr>
        <w:t xml:space="preserve">. </w:t>
      </w:r>
      <w:bookmarkStart w:id="286" w:name="pg8675_122945"/>
    </w:p>
    <w:p>
      <w:pPr>
        <w:pStyle w:val="BookText"/>
        <w:rPr/>
      </w:pPr>
      <w:bookmarkEnd w:id="286"/>
      <w:r>
        <w:rPr>
          <w:rFonts w:ascii="IRNazanin" w:hAnsi="IRNazanin" w:eastAsia="IRNazanin"/>
          <w:color w:val="111111"/>
          <w:sz w:val="28"/>
          <w:sz w:val="28"/>
          <w:szCs w:val="28"/>
          <w:rtl w:val="true"/>
          <w:lang w:bidi="fa-IR"/>
        </w:rPr>
        <w:t xml:space="preserve">تلقى العلم علي محمد بن المنكدر، وإلامام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قيل أن شيخه فيالفقه ربيعة بن عبدالرحمن، المعروف بربيعة الرأي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حفظ مالك القرآن في صدر حياته ثم حفظ الحديث كما برع في الفقه واشتغل بتدريس الحديث والفقه وإختار مجلس درسه حيث كان يجلس عمر بن الخطاب</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ورغم أنّ مالك كان متجنبا للسياسة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الأمويين اعتبروا فقهه الفقه الرسمي لخلافتهم وقد ساعد هذا التوجه في انتشار فقهه في بلاد الأندلس التي كانت تدار من قبل الأمويين، وقد إختلف مالك مع العباسيين، حتى وصل الأمر بوالي المدينة جعفر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أحفاد ابن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ضربه بالسياط؛ لأنّه كان يعتقد بأنّ بيعه بنى العباس كانت بيعة إكراه، وبيعة الإكراه هي من قبيل طلاق المكره الّذي لايكون معتبرا</w:t>
      </w:r>
      <w:r>
        <w:rPr>
          <w:rFonts w:eastAsia="Amiri" w:cs="Amiri" w:ascii="Amiri" w:hAnsi="Amiri"/>
          <w:color w:val="111111"/>
          <w:sz w:val="28"/>
          <w:szCs w:val="28"/>
          <w:rtl w:val="true"/>
          <w:lang w:bidi="ar-SA"/>
        </w:rPr>
        <w:t>.</w:t>
      </w:r>
      <w:r>
        <w:rPr>
          <w:rStyle w:val="FootnoteAnchor"/>
          <w:rtl w:val="true"/>
        </w:rPr>
        <w:footnoteReference w:id="130"/>
      </w:r>
    </w:p>
    <w:p>
      <w:pPr>
        <w:pStyle w:val="Heading5"/>
        <w:numPr>
          <w:ilvl w:val="4"/>
          <w:numId w:val="1"/>
        </w:numPr>
        <w:rPr/>
      </w:pPr>
      <w:bookmarkStart w:id="287" w:name="__RefHeading___Toc2473954_653776707"/>
      <w:bookmarkStart w:id="288" w:name="_Toc101"/>
      <w:bookmarkEnd w:id="287"/>
      <w:r>
        <w:rPr>
          <w:rtl w:val="true"/>
        </w:rPr>
        <w:t>تصانيف مالك</w:t>
      </w:r>
      <w:r>
        <w:rPr>
          <w:rtl w:val="true"/>
        </w:rPr>
        <w:t>:</w:t>
      </w:r>
      <w:bookmarkEnd w:id="2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أوّل من كتب من العامة الحديث على أساس الأبواب الفقهية، فكان نتاجه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نقل حديثه عن تسع مائة راوى، ثلاث مائة منهم من التابعين وست مائة منهم من تابعي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روي عن مالك الف وثلاث مائة راو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مزج مالك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الصحابة وفتاوى التابعين مضافاً لما نقله من روايات</w:t>
      </w:r>
      <w:r>
        <w:rPr>
          <w:rFonts w:eastAsia="Amiri" w:cs="Amiri" w:ascii="Amiri" w:hAnsi="Amiri"/>
          <w:color w:val="111111"/>
          <w:sz w:val="28"/>
          <w:szCs w:val="28"/>
          <w:rtl w:val="true"/>
          <w:lang w:bidi="ar-SA"/>
        </w:rPr>
        <w:t>.</w:t>
      </w:r>
      <w:bookmarkStart w:id="289" w:name="pg8675_122949"/>
    </w:p>
    <w:p>
      <w:pPr>
        <w:pStyle w:val="BookText"/>
        <w:rPr/>
      </w:pPr>
      <w:bookmarkEnd w:id="28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غريب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رسالته إلى هارون الرشيد المشهورة في الآداب والوعظ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رسالته إلى ابن وهب في القدر والرّد على القدريّة</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وطبقا لما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مالك لم يكن قد ألّف كتابا فقهيّا لكن أهم كتاب فقهي، أُعتبر من إصدار مدرسة مالك الفقهيّة هوكتاب المدوّنة والّتی قالوا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 المدوّنه أصل المذهب المالكي، وهئ أساس المذهب وعمدته والمشهور أنّ مالكا لم يدوّنها بل هوالّذي رواها وتلقّاها عنه تلميذه سحنون بن سعيد</w:t>
      </w:r>
      <w:r>
        <w:rPr>
          <w:rFonts w:eastAsia="IRNazanin" w:cs="IRNazanin"/>
          <w:color w:val="111111"/>
          <w:sz w:val="28"/>
          <w:szCs w:val="28"/>
          <w:rtl w:val="true"/>
          <w:lang w:bidi="fa-IR"/>
        </w:rPr>
        <w:t>».</w:t>
      </w:r>
      <w:r>
        <w:rPr>
          <w:rStyle w:val="FootnoteAnchor"/>
          <w:rtl w:val="true"/>
        </w:rPr>
        <w:footnoteReference w:id="132"/>
      </w:r>
    </w:p>
    <w:p>
      <w:pPr>
        <w:pStyle w:val="Heading4"/>
        <w:numPr>
          <w:ilvl w:val="3"/>
          <w:numId w:val="1"/>
        </w:numPr>
        <w:rPr/>
      </w:pPr>
      <w:bookmarkStart w:id="290" w:name="__RefHeading___Toc2473956_653776707"/>
      <w:bookmarkStart w:id="291" w:name="_Toc102"/>
      <w:bookmarkEnd w:id="290"/>
      <w:r>
        <w:rPr/>
        <w:t>2</w:t>
      </w:r>
      <w:r>
        <w:rPr>
          <w:rtl w:val="true"/>
        </w:rPr>
        <w:t xml:space="preserve">) </w:t>
      </w:r>
      <w:r>
        <w:rPr>
          <w:rtl w:val="true"/>
        </w:rPr>
        <w:t>نشوء الدعوة للمذهب المالكي ومحلّها</w:t>
      </w:r>
      <w:r>
        <w:rPr>
          <w:rtl w:val="true"/>
        </w:rPr>
        <w:t>:</w:t>
      </w:r>
      <w:bookmarkEnd w:id="291"/>
    </w:p>
    <w:p>
      <w:pPr>
        <w:pStyle w:val="Heading5"/>
        <w:numPr>
          <w:ilvl w:val="4"/>
          <w:numId w:val="1"/>
        </w:numPr>
        <w:rPr/>
      </w:pPr>
      <w:bookmarkStart w:id="292" w:name="__RefHeading___Toc2473958_653776707"/>
      <w:bookmarkStart w:id="293" w:name="_Toc103"/>
      <w:bookmarkEnd w:id="292"/>
      <w:r>
        <w:rPr>
          <w:rtl w:val="true"/>
        </w:rPr>
        <w:t>اشارة</w:t>
      </w:r>
      <w:bookmarkEnd w:id="293"/>
    </w:p>
    <w:p>
      <w:pPr>
        <w:pStyle w:val="BookText"/>
        <w:rPr/>
      </w:pPr>
      <w:r>
        <w:rPr>
          <w:rFonts w:ascii="IRNazanin" w:hAnsi="IRNazanin" w:eastAsia="IRNazanin"/>
          <w:color w:val="111111"/>
          <w:sz w:val="28"/>
          <w:sz w:val="28"/>
          <w:szCs w:val="28"/>
          <w:rtl w:val="true"/>
          <w:lang w:bidi="fa-IR"/>
        </w:rPr>
        <w:t>ذكرنا في بداية الفصل الثاني أنّ المدينة كانت تمثل المنطلق الّذي نشأ فيه مذهب أهل الحديث، وكان اشخاص من قبيل سعيد بن مسيّب وابن شهاب هما روّاد هذه المدرسة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ويعدّ مالك الإمتداد لهذه الحركة الفكرية بعد هذين الشخصين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رغم أنّه مالك كان راسخا في معتقده الداعي إلى مدرسة الرأي، وكان یستخدم ذلک المنهج فی الفتوی</w:t>
      </w:r>
      <w:r>
        <w:rPr>
          <w:rFonts w:eastAsia="IRNazanin" w:cs="IRNazanin"/>
          <w:color w:val="111111"/>
          <w:sz w:val="28"/>
          <w:szCs w:val="28"/>
          <w:rtl w:val="true"/>
          <w:lang w:bidi="fa-IR"/>
        </w:rPr>
        <w:t>.</w:t>
      </w:r>
      <w:r>
        <w:rPr>
          <w:rStyle w:val="FootnoteAnchor"/>
          <w:rtl w:val="true"/>
        </w:rPr>
        <w:footnoteReference w:id="133"/>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تتلمذ طلاب كثر علی مالك الّذي كان قد اختار المدينة محلاًّ لتدريسه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w:t>
      </w:r>
      <w:bookmarkStart w:id="294" w:name="pg8675_122952"/>
    </w:p>
    <w:p>
      <w:pPr>
        <w:pStyle w:val="BookText"/>
        <w:rPr/>
      </w:pPr>
      <w:bookmarkEnd w:id="294"/>
      <w:r>
        <w:rPr>
          <w:rFonts w:ascii="IRNazanin" w:hAnsi="IRNazanin" w:eastAsia="IRNazanin"/>
          <w:color w:val="111111"/>
          <w:sz w:val="28"/>
          <w:sz w:val="28"/>
          <w:szCs w:val="28"/>
          <w:rtl w:val="true"/>
          <w:lang w:bidi="fa-IR"/>
        </w:rPr>
        <w:t>أشهر تلامذته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أبوعبدالرحمن بن القاسم بن خالد بن جُناده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وهب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أشهب بن عبدالعزيز بن داود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عبدالله بن عبدالحكم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أصبغ بن الفرج بن سعيد</w:t>
      </w:r>
      <w:r>
        <w:rPr>
          <w:rFonts w:eastAsia="Amiri" w:cs="Amiri" w:ascii="Amiri" w:hAnsi="Amiri"/>
          <w:color w:val="111111"/>
          <w:sz w:val="28"/>
          <w:szCs w:val="28"/>
          <w:rtl w:val="true"/>
          <w:lang w:bidi="ar-SA"/>
        </w:rPr>
        <w:t>.</w:t>
      </w:r>
    </w:p>
    <w:p>
      <w:pPr>
        <w:pStyle w:val="Heading5"/>
        <w:numPr>
          <w:ilvl w:val="4"/>
          <w:numId w:val="1"/>
        </w:numPr>
        <w:rPr/>
      </w:pPr>
      <w:bookmarkStart w:id="295" w:name="__RefHeading___Toc2473960_653776707"/>
      <w:bookmarkStart w:id="296" w:name="_Toc104"/>
      <w:bookmarkEnd w:id="295"/>
      <w:r>
        <w:rPr>
          <w:rtl w:val="true"/>
        </w:rPr>
        <w:t>أهمّ مصادر الفقه المالكي</w:t>
      </w:r>
      <w:r>
        <w:rPr>
          <w:rtl w:val="true"/>
        </w:rPr>
        <w:t>:</w:t>
      </w:r>
      <w:bookmarkEnd w:id="2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المدوّنة التي مرّ الحديث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الواضحة لابن حبيب، وهي من أجلّ الكتب الفقهيّة في المذهب المالكي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المختصر في الفقه المالكي، للشيخ خليل بن اسحاق الجندي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الزرقاني على مختصر الخليل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في فقه أهل المدينه ليوسف بن عبدالله النمري القرطبي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متن الرسالة لعبدالله بن أبي زيد القيرواني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بداية المجتهد ونهاية المقتصد لمحمد بن أحمد بن رشد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القوانين الفقهية لمحمّد بن أحمد بن عبدالله بن جُزي</w:t>
      </w:r>
      <w:r>
        <w:rPr>
          <w:rFonts w:eastAsia="Amiri" w:cs="Amiri" w:ascii="Amiri" w:hAnsi="Amiri"/>
          <w:color w:val="111111"/>
          <w:sz w:val="28"/>
          <w:szCs w:val="28"/>
          <w:rtl w:val="true"/>
          <w:lang w:bidi="ar-SA"/>
        </w:rPr>
        <w:t>.</w:t>
      </w:r>
    </w:p>
    <w:p>
      <w:pPr>
        <w:pStyle w:val="Heading5"/>
        <w:numPr>
          <w:ilvl w:val="4"/>
          <w:numId w:val="1"/>
        </w:numPr>
        <w:rPr/>
      </w:pPr>
      <w:bookmarkStart w:id="297" w:name="__RefHeading___Toc2473962_653776707"/>
      <w:bookmarkStart w:id="298" w:name="_Toc105"/>
      <w:bookmarkEnd w:id="297"/>
      <w:r>
        <w:rPr>
          <w:rtl w:val="true"/>
        </w:rPr>
        <w:t>مکان انتشار فيه المذهب المالكي</w:t>
      </w:r>
      <w:r>
        <w:rPr>
          <w:rtl w:val="true"/>
        </w:rPr>
        <w:t>:</w:t>
      </w:r>
      <w:bookmarkEnd w:id="29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انتشر الفقه المالكي في المدينة المنورة، إنتقل إلى شتى بلاد الحجاز، هذا </w:t>
      </w:r>
    </w:p>
    <w:p>
      <w:pPr>
        <w:pStyle w:val="BookText"/>
        <w:rPr/>
      </w:pPr>
      <w:r>
        <w:rPr>
          <w:rFonts w:ascii="Amiri" w:hAnsi="Amiri" w:eastAsia="Amiri" w:cs="Amiri"/>
          <w:color w:val="111111"/>
          <w:sz w:val="28"/>
          <w:sz w:val="28"/>
          <w:szCs w:val="28"/>
          <w:rtl w:val="true"/>
          <w:lang w:bidi="ar-SA"/>
        </w:rPr>
        <w:t>رغم أن انتشاره كان يترافق مع مدّ وجزر؛ لكنّه كان وفي فترات لاحقة قد استسع بشكلأكبر</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قال ابن خلدون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اختصّ بمذهب مالك أهل المغرب وأفريقيا؛ وذلك لأن رحلتهم كانت إلى الحجاز غالباسف فأخذوا العلم عن أهل المدينةسسف واقتصروا على شيخها مالك بن أنس دون غيره؛ لأن البداوة كانت غالبة عليهم ولم‌يكونوا يعانون الحضارة، كأهل العراق وفارس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أميل إلى أهل الحجاز لمناسبة البداوة التي كانت لهم</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ولقد انتشر المذهب المالكي في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وبعد مجيء الشافعي إلى مصر، أصبح المذهبان في حالة تنافس، فانتقل المذهب المالكي إلى تونس واستمر إلى وقتنا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انتشر المذهب المالكي في الأندلس بشكل كبير، حتى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الأندلس كانت للمذهب المالكي السيادة المطلقة، دفع ذلك ابن حزم الظاهري 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مذهبان انتشرا في بدأ أمرهما بالرياسة والسلطان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الحنفي بالشرق والمالكي بالأندلس وكان للمذهب المالكي في المغرب مثل ذلك</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والمذهب المالكي يلي المذهبين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الحنفي والشافعي من حيث انتشارهما؛ إذ توغّل المذهب الحنفي والشافعي في كثير من البلدان، حتّى أنهما زلزلا الأرض من </w:t>
      </w:r>
      <w:bookmarkStart w:id="299" w:name="pg8675_122959"/>
    </w:p>
    <w:p>
      <w:pPr>
        <w:pStyle w:val="BookText"/>
        <w:rPr/>
      </w:pPr>
      <w:bookmarkEnd w:id="299"/>
      <w:r>
        <w:rPr>
          <w:rFonts w:ascii="Amiri" w:hAnsi="Amiri" w:eastAsia="Amiri" w:cs="Amiri"/>
          <w:color w:val="111111"/>
          <w:sz w:val="28"/>
          <w:sz w:val="28"/>
          <w:szCs w:val="28"/>
          <w:rtl w:val="true"/>
          <w:lang w:bidi="ar-SA"/>
        </w:rPr>
        <w:t>تحت أقدام المذهب المالكي في كثير من الاحيان</w:t>
      </w:r>
      <w:r>
        <w:rPr>
          <w:rFonts w:eastAsia="Amiri" w:cs="Amiri" w:ascii="Amiri" w:hAnsi="Amiri"/>
          <w:color w:val="111111"/>
          <w:sz w:val="28"/>
          <w:szCs w:val="28"/>
          <w:rtl w:val="true"/>
          <w:lang w:bidi="ar-SA"/>
        </w:rPr>
        <w:t>».</w:t>
      </w:r>
      <w:r>
        <w:rPr>
          <w:rStyle w:val="FootnoteAnchor"/>
          <w:rtl w:val="true"/>
        </w:rPr>
        <w:footnoteReference w:id="136"/>
      </w:r>
    </w:p>
    <w:p>
      <w:pPr>
        <w:pStyle w:val="Heading4"/>
        <w:numPr>
          <w:ilvl w:val="3"/>
          <w:numId w:val="1"/>
        </w:numPr>
        <w:rPr/>
      </w:pPr>
      <w:bookmarkStart w:id="300" w:name="__RefHeading___Toc2473964_653776707"/>
      <w:bookmarkStart w:id="301" w:name="_Toc106"/>
      <w:bookmarkEnd w:id="300"/>
      <w:r>
        <w:rPr/>
        <w:t>3</w:t>
      </w:r>
      <w:r>
        <w:rPr>
          <w:rtl w:val="true"/>
        </w:rPr>
        <w:t xml:space="preserve">) </w:t>
      </w:r>
      <w:r>
        <w:rPr>
          <w:rtl w:val="true"/>
        </w:rPr>
        <w:t>الأصول الرئيسيّة للمذهب المالكي</w:t>
      </w:r>
      <w:r>
        <w:rPr>
          <w:rtl w:val="true"/>
        </w:rPr>
        <w:t>:</w:t>
      </w:r>
      <w:bookmarkEnd w:id="301"/>
    </w:p>
    <w:p>
      <w:pPr>
        <w:pStyle w:val="Heading5"/>
        <w:numPr>
          <w:ilvl w:val="4"/>
          <w:numId w:val="1"/>
        </w:numPr>
        <w:rPr/>
      </w:pPr>
      <w:bookmarkStart w:id="302" w:name="__RefHeading___Toc2473966_653776707"/>
      <w:bookmarkStart w:id="303" w:name="_Toc107"/>
      <w:bookmarkEnd w:id="302"/>
      <w:r>
        <w:rPr>
          <w:rtl w:val="true"/>
        </w:rPr>
        <w:t>اشارة</w:t>
      </w:r>
      <w:bookmarkEnd w:id="303"/>
    </w:p>
    <w:p>
      <w:pPr>
        <w:pStyle w:val="BookText"/>
        <w:rPr/>
      </w:pPr>
      <w:r>
        <w:rPr>
          <w:rFonts w:ascii="Amiri" w:hAnsi="Amiri" w:eastAsia="Amiri" w:cs="Amiri"/>
          <w:color w:val="111111"/>
          <w:sz w:val="28"/>
          <w:sz w:val="28"/>
          <w:szCs w:val="28"/>
          <w:rtl w:val="true"/>
          <w:lang w:bidi="ar-SA"/>
        </w:rPr>
        <w:t>رغم أنّ مالك بن أنس لم يتمكن من تدوين وتنظيم أصول مذهبه، لكن تلامذته واتباعه الذين جاؤوا من بعده من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عياض، وابن رشد، وابن حمدون، والقرافي، هم من دوّن الأصول الرئيسية لمذهبه وطرحوه بشكله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وتنقسم أصول المذهب المالكي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الّتي يشترك بها مع سائر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وتشتمل على أحد عشر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التي يختصّ بها المذهب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وتشتمل هذه المجموعة على خمسة أصول وستلاحظون في ما يأتى توضيح هاتين المجموعتين</w:t>
      </w:r>
      <w:r>
        <w:rPr>
          <w:rFonts w:eastAsia="Amiri" w:cs="Amiri" w:ascii="Amiri" w:hAnsi="Amiri"/>
          <w:color w:val="111111"/>
          <w:sz w:val="28"/>
          <w:szCs w:val="28"/>
          <w:rtl w:val="true"/>
          <w:lang w:bidi="ar-SA"/>
        </w:rPr>
        <w:t>.</w:t>
      </w:r>
      <w:r>
        <w:rPr>
          <w:rStyle w:val="FootnoteAnchor"/>
          <w:rtl w:val="true"/>
        </w:rPr>
        <w:footnoteReference w:id="137"/>
      </w:r>
    </w:p>
    <w:p>
      <w:pPr>
        <w:pStyle w:val="Heading5"/>
        <w:numPr>
          <w:ilvl w:val="4"/>
          <w:numId w:val="1"/>
        </w:numPr>
        <w:rPr/>
      </w:pPr>
      <w:bookmarkStart w:id="304" w:name="__RefHeading___Toc2473968_653776707"/>
      <w:bookmarkStart w:id="305" w:name="_Toc108"/>
      <w:bookmarkEnd w:id="304"/>
      <w:r>
        <w:rPr>
          <w:rtl w:val="true"/>
        </w:rPr>
        <w:t>أ</w:t>
      </w:r>
      <w:r>
        <w:rPr>
          <w:rtl w:val="true"/>
        </w:rPr>
        <w:t xml:space="preserve">) </w:t>
      </w:r>
      <w:r>
        <w:rPr>
          <w:rtl w:val="true"/>
        </w:rPr>
        <w:t>الأصول المشتركة مع سائر المذاهب</w:t>
      </w:r>
      <w:r>
        <w:rPr>
          <w:rtl w:val="true"/>
        </w:rPr>
        <w:t>:</w:t>
      </w:r>
      <w:bookmarkEnd w:id="305"/>
    </w:p>
    <w:p>
      <w:pPr>
        <w:pStyle w:val="Heading6"/>
        <w:numPr>
          <w:ilvl w:val="5"/>
          <w:numId w:val="1"/>
        </w:numPr>
        <w:rPr/>
      </w:pPr>
      <w:bookmarkStart w:id="306" w:name="__RefHeading___Toc2473970_653776707"/>
      <w:bookmarkStart w:id="307" w:name="_Toc109"/>
      <w:bookmarkEnd w:id="306"/>
      <w:r>
        <w:rPr/>
        <w:t>1</w:t>
      </w:r>
      <w:r>
        <w:rPr>
          <w:rtl w:val="true"/>
        </w:rPr>
        <w:t xml:space="preserve">) </w:t>
      </w:r>
      <w:r>
        <w:rPr>
          <w:rtl w:val="true"/>
        </w:rPr>
        <w:t>الكتاب العزيز</w:t>
      </w:r>
      <w:r>
        <w:rPr>
          <w:rtl w:val="true"/>
        </w:rPr>
        <w:t>:</w:t>
      </w:r>
      <w:bookmarkEnd w:id="307"/>
    </w:p>
    <w:p>
      <w:pPr>
        <w:pStyle w:val="BookText"/>
        <w:rPr/>
      </w:pPr>
      <w:r>
        <w:rPr>
          <w:rFonts w:ascii="Amiri" w:hAnsi="Amiri" w:eastAsia="Amiri" w:cs="Amiri"/>
          <w:color w:val="111111"/>
          <w:sz w:val="28"/>
          <w:sz w:val="28"/>
          <w:szCs w:val="28"/>
          <w:rtl w:val="true"/>
          <w:lang w:bidi="ar-SA"/>
        </w:rPr>
        <w:t>كان مالك يأخذ بنصّ القرآن وظاهره والمقصود أنّه كان يأخذ بنصه الصريح الّذي لايقبل تأويلاً، ويأخذ بظاهره المتردّد بين احتمالين فأكثر، فيأخذ بالأرجح والأظهر ولايؤوّل النص مادام لايوجد دليل في الشريعة على وجوب التأويل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يأخذ كذلك بمفهوم الموافقة، وهوفحوى الكلام أوفحوى الخطاب، كما في </w:t>
      </w:r>
      <w:bookmarkStart w:id="308" w:name="pg8675_122961"/>
    </w:p>
    <w:p>
      <w:pPr>
        <w:pStyle w:val="BookText"/>
        <w:rPr/>
      </w:pPr>
      <w:bookmarkEnd w:id="308"/>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تَقُلْ لَّهُمَآ أُفٍّ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فهويأخذ بالإيماء أوالتنبيه على العلّة وهوأن يقترن الحكم بوصف لولم يكن هذا الوصف للتعليل لكان الاقتران بعيدا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إِذانُودِيَ لِلصَّلاةِ مِنْ يَوْمِ الْجُمُعَةِ فَاسْعَوْا إِلى ذِكْرِ الله وذَرُوا الْبَيْعَ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عما يمنع من الواجب، وهوفعل الجمعه فيكون ذلك ايماءً إلى أن العلة في تحريم البيع هوالتشاغل عن الجمعه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يأخذ بمفهوم المخالفة وهواثبات نقيض حكم المنطوق به، للمسكوت عنه،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لاتَقْرَبُوا الصَّلاةَ وأَنْتُمْ سُكارى حَتَّى تَعْلَمُوا ما تَقُولُونَ ولا جُنُبا إِلاَّ عابِرى سَبيلٍ حَتَّى تَغْتَسِلُوا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اغتسلتم فلكم أن تقربوا الصلاة</w:t>
      </w:r>
      <w:r>
        <w:rPr>
          <w:rFonts w:eastAsia="Amiri" w:cs="Amiri" w:ascii="Amiri" w:hAnsi="Amiri"/>
          <w:color w:val="111111"/>
          <w:sz w:val="28"/>
          <w:szCs w:val="28"/>
          <w:rtl w:val="true"/>
          <w:lang w:bidi="ar-SA"/>
        </w:rPr>
        <w:t>.</w:t>
      </w:r>
      <w:r>
        <w:rPr>
          <w:rStyle w:val="FootnoteAnchor"/>
          <w:rtl w:val="true"/>
        </w:rPr>
        <w:footnoteReference w:id="138"/>
      </w:r>
    </w:p>
    <w:p>
      <w:pPr>
        <w:pStyle w:val="Heading6"/>
        <w:numPr>
          <w:ilvl w:val="5"/>
          <w:numId w:val="1"/>
        </w:numPr>
        <w:rPr/>
      </w:pPr>
      <w:bookmarkStart w:id="309" w:name="__RefHeading___Toc2473972_653776707"/>
      <w:bookmarkStart w:id="310" w:name="_Toc110"/>
      <w:bookmarkEnd w:id="309"/>
      <w:r>
        <w:rPr/>
        <w:t>2</w:t>
      </w:r>
      <w:r>
        <w:rPr>
          <w:rtl w:val="true"/>
        </w:rPr>
        <w:t xml:space="preserve">) </w:t>
      </w:r>
      <w:r>
        <w:rPr>
          <w:rtl w:val="true"/>
        </w:rPr>
        <w:t>السنّة</w:t>
      </w:r>
      <w:r>
        <w:rPr>
          <w:rtl w:val="true"/>
        </w:rPr>
        <w:t>:</w:t>
      </w:r>
      <w:bookmarkEnd w:id="31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كتاب الله، یأتی دور السنّة والمالكية يأخذون بالحديث المتواتر؛ على خلاف الحنفيه، ويأخذون، ايضا، بخبر الواحد لكن يقدّمون عليه عمل أهل المدينة، ويردّون بعضه في بعض الاحيان، مثل ردّ حديث خيار المجلس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البيعان بالخيار ما لم يتفرّقا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ويقدّمون خبر الواحد الثقه على القياس، بشرط أن يكون موافقا لعمل أهل المدينة</w:t>
      </w:r>
      <w:r>
        <w:rPr>
          <w:rFonts w:eastAsia="IRNazanin" w:cs="IRNazanin"/>
          <w:color w:val="111111"/>
          <w:sz w:val="28"/>
          <w:szCs w:val="28"/>
          <w:rtl w:val="true"/>
          <w:lang w:bidi="fa-IR"/>
        </w:rPr>
        <w:t>.</w:t>
      </w:r>
      <w:r>
        <w:rPr>
          <w:rStyle w:val="FootnoteAnchor"/>
          <w:rtl w:val="true"/>
        </w:rPr>
        <w:footnoteReference w:id="139"/>
      </w:r>
      <w:bookmarkStart w:id="311" w:name="pg8675_122964"/>
    </w:p>
    <w:p>
      <w:pPr>
        <w:pStyle w:val="Heading6"/>
        <w:numPr>
          <w:ilvl w:val="5"/>
          <w:numId w:val="1"/>
        </w:numPr>
        <w:rPr/>
      </w:pPr>
      <w:bookmarkStart w:id="312" w:name="__RefHeading___Toc2473974_653776707"/>
      <w:bookmarkStart w:id="313" w:name="_Toc111"/>
      <w:bookmarkEnd w:id="311"/>
      <w:bookmarkEnd w:id="312"/>
      <w:r>
        <w:rPr/>
        <w:t>3</w:t>
      </w:r>
      <w:r>
        <w:rPr>
          <w:rtl w:val="true"/>
        </w:rPr>
        <w:t xml:space="preserve">) </w:t>
      </w:r>
      <w:r>
        <w:rPr>
          <w:rtl w:val="true"/>
        </w:rPr>
        <w:t>الإجماع</w:t>
      </w:r>
      <w:r>
        <w:rPr>
          <w:rtl w:val="true"/>
        </w:rPr>
        <w:t>:</w:t>
      </w:r>
      <w:bookmarkEnd w:id="313"/>
    </w:p>
    <w:p>
      <w:pPr>
        <w:pStyle w:val="BookText"/>
        <w:rPr/>
      </w:pPr>
      <w:r>
        <w:rPr>
          <w:rFonts w:ascii="Amiri" w:hAnsi="Amiri" w:eastAsia="Amiri" w:cs="Amiri"/>
          <w:color w:val="111111"/>
          <w:sz w:val="28"/>
          <w:sz w:val="28"/>
          <w:szCs w:val="28"/>
          <w:rtl w:val="true"/>
          <w:lang w:bidi="ar-SA"/>
        </w:rPr>
        <w:t>يرى مالك أنّ الاجماع يتحقق بإجماع أهل المدينة، وبالتالي فإنّه يتحقق بإتفاق جميع المجتهدين في الأمّة بعد الرسول، ويقدّمه على أخبار الآحاد، كما مرّ فيالسنّة</w:t>
      </w:r>
      <w:r>
        <w:rPr>
          <w:rFonts w:eastAsia="Amiri" w:cs="Amiri" w:ascii="Amiri" w:hAnsi="Amiri"/>
          <w:color w:val="111111"/>
          <w:sz w:val="28"/>
          <w:szCs w:val="28"/>
          <w:rtl w:val="true"/>
          <w:lang w:bidi="ar-SA"/>
        </w:rPr>
        <w:t>.</w:t>
      </w:r>
      <w:r>
        <w:rPr>
          <w:rStyle w:val="FootnoteAnchor"/>
          <w:rtl w:val="true"/>
        </w:rPr>
        <w:footnoteReference w:id="140"/>
      </w:r>
    </w:p>
    <w:p>
      <w:pPr>
        <w:pStyle w:val="Heading6"/>
        <w:numPr>
          <w:ilvl w:val="5"/>
          <w:numId w:val="1"/>
        </w:numPr>
        <w:rPr/>
      </w:pPr>
      <w:bookmarkStart w:id="314" w:name="__RefHeading___Toc2473976_653776707"/>
      <w:bookmarkStart w:id="315" w:name="_Toc112"/>
      <w:bookmarkEnd w:id="314"/>
      <w:r>
        <w:rPr/>
        <w:t>4</w:t>
      </w:r>
      <w:r>
        <w:rPr>
          <w:rtl w:val="true"/>
        </w:rPr>
        <w:t xml:space="preserve">) </w:t>
      </w:r>
      <w:r>
        <w:rPr>
          <w:rtl w:val="true"/>
        </w:rPr>
        <w:t>قول الصحابي</w:t>
      </w:r>
      <w:r>
        <w:rPr>
          <w:rtl w:val="true"/>
        </w:rPr>
        <w:t>:</w:t>
      </w:r>
      <w:bookmarkEnd w:id="315"/>
    </w:p>
    <w:p>
      <w:pPr>
        <w:pStyle w:val="BookText"/>
        <w:rPr/>
      </w:pPr>
      <w:r>
        <w:rPr>
          <w:rFonts w:ascii="IRNazanin" w:hAnsi="IRNazanin" w:eastAsia="IRNazanin"/>
          <w:color w:val="111111"/>
          <w:sz w:val="28"/>
          <w:sz w:val="28"/>
          <w:szCs w:val="28"/>
          <w:rtl w:val="true"/>
          <w:lang w:bidi="fa-IR"/>
        </w:rPr>
        <w:t xml:space="preserve">المراد بالصحابي هنا، من لقى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وبقى معه مدّة، يصحّ معها إطلاق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عرفا، بلا تحديد لهذه المدّة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عوّل المالكية على إعتبار قول الصحابي أكثر من غيرهم، يليهم في ذلك الحنابلة</w:t>
      </w:r>
      <w:r>
        <w:rPr>
          <w:rFonts w:eastAsia="Amiri" w:cs="Amiri" w:ascii="Amiri" w:hAnsi="Amiri"/>
          <w:color w:val="111111"/>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وقد ورد ما يدلّ على أنّ مالكا ترك روایة الآحاد أخذا بقول الصحابي، فقد ردّ حديث سعد بن أبي وقاص الخاص بالتمتع بالعمرة إلى الحج، أخذا بقول عمر، إذ قد نهى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ودليل مالك على إعتبار قول الصحابي هوأنّ الصحابي قد يكون سمع ذلك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أومن صحابي آخر أويكون فهمه من آية قرانية فهما خفي علينا أويكون ذلك قد اتفق عليه مَلَأهم ولم‌ينقل إلينا إلاّ قول المفتي وحده</w:t>
      </w:r>
      <w:r>
        <w:rPr>
          <w:rFonts w:eastAsia="IRNazanin" w:cs="IRNazanin"/>
          <w:color w:val="111111"/>
          <w:sz w:val="28"/>
          <w:szCs w:val="28"/>
          <w:rtl w:val="true"/>
          <w:lang w:bidi="fa-IR"/>
        </w:rPr>
        <w:t>.</w:t>
      </w:r>
      <w:r>
        <w:rPr>
          <w:rStyle w:val="FootnoteAnchor"/>
          <w:rtl w:val="true"/>
        </w:rPr>
        <w:footnoteReference w:id="142"/>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استند قول الصحابي إلى رواية معتبرة، فيمكن تقديم قوله على خبر </w:t>
      </w:r>
      <w:bookmarkStart w:id="316" w:name="pg8675_122967"/>
    </w:p>
    <w:p>
      <w:pPr>
        <w:pStyle w:val="BookText"/>
        <w:rPr/>
      </w:pPr>
      <w:bookmarkEnd w:id="316"/>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إن كان القول إجتهادا شخصيا من قبله، فما هوالمعيار، الّذي قدّم من خلاله على خبر الثقه، إنّ هذا في الحقيقة يمثل مصداقا واضحا للإجتهاد مقابل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تقديم مالك الإجماع أوعمل أهل المدينه على الخبر يكون صوابا بشرط كشفهما عن رأي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فما الدليل على قبولهما وإعتبارهما؟</w:t>
      </w:r>
    </w:p>
    <w:p>
      <w:pPr>
        <w:pStyle w:val="Heading6"/>
        <w:numPr>
          <w:ilvl w:val="5"/>
          <w:numId w:val="1"/>
        </w:numPr>
        <w:rPr/>
      </w:pPr>
      <w:bookmarkStart w:id="317" w:name="__RefHeading___Toc2473978_653776707"/>
      <w:bookmarkStart w:id="318" w:name="_Toc113"/>
      <w:bookmarkEnd w:id="317"/>
      <w:r>
        <w:rPr/>
        <w:t>5</w:t>
      </w:r>
      <w:r>
        <w:rPr>
          <w:rtl w:val="true"/>
        </w:rPr>
        <w:t xml:space="preserve">) </w:t>
      </w:r>
      <w:r>
        <w:rPr>
          <w:rtl w:val="true"/>
        </w:rPr>
        <w:t>القياس</w:t>
      </w:r>
      <w:r>
        <w:rPr>
          <w:rtl w:val="true"/>
        </w:rPr>
        <w:t>:</w:t>
      </w:r>
      <w:bookmarkEnd w:id="318"/>
    </w:p>
    <w:p>
      <w:pPr>
        <w:pStyle w:val="BookText"/>
        <w:rPr/>
      </w:pPr>
      <w:r>
        <w:rPr>
          <w:rFonts w:ascii="Amiri" w:hAnsi="Amiri" w:eastAsia="Amiri" w:cs="Amiri"/>
          <w:color w:val="111111"/>
          <w:sz w:val="28"/>
          <w:sz w:val="28"/>
          <w:szCs w:val="28"/>
          <w:rtl w:val="true"/>
          <w:lang w:bidi="ar-SA"/>
        </w:rPr>
        <w:t>مع فقد الأصول الأربعة السابقة، فإنّ مالك يأخذ بالقياس ويجتهد بالرأي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أمثلة الأخذ بالقياس حكمه بوجوب القضاء والكفّاره فيمن أخّر قضاء رمضان حتّى دخل رمضان آخر، قياسا على من أفطر متعمدا؛ لأن كليهما مستهين بحرمة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حكم بوجوب حدّ الشرب بالرائحه قياسا على ثبوته بالشهادة</w:t>
      </w:r>
      <w:r>
        <w:rPr>
          <w:rFonts w:eastAsia="Amiri" w:cs="Amiri" w:ascii="Amiri" w:hAnsi="Amiri"/>
          <w:color w:val="111111"/>
          <w:sz w:val="28"/>
          <w:szCs w:val="28"/>
          <w:rtl w:val="true"/>
          <w:lang w:bidi="ar-SA"/>
        </w:rPr>
        <w:t>.</w:t>
      </w:r>
      <w:r>
        <w:rPr>
          <w:rStyle w:val="FootnoteAnchor"/>
          <w:rtl w:val="true"/>
        </w:rPr>
        <w:footnoteReference w:id="143"/>
      </w:r>
    </w:p>
    <w:p>
      <w:pPr>
        <w:pStyle w:val="Heading6"/>
        <w:numPr>
          <w:ilvl w:val="5"/>
          <w:numId w:val="1"/>
        </w:numPr>
        <w:rPr/>
      </w:pPr>
      <w:bookmarkStart w:id="319" w:name="__RefHeading___Toc2473980_653776707"/>
      <w:bookmarkStart w:id="320" w:name="_Toc114"/>
      <w:bookmarkEnd w:id="319"/>
      <w:r>
        <w:rPr/>
        <w:t>6</w:t>
      </w:r>
      <w:r>
        <w:rPr>
          <w:rtl w:val="true"/>
        </w:rPr>
        <w:t xml:space="preserve">) </w:t>
      </w:r>
      <w:r>
        <w:rPr>
          <w:rtl w:val="true"/>
        </w:rPr>
        <w:t>الإستصحاب</w:t>
      </w:r>
      <w:r>
        <w:rPr>
          <w:rtl w:val="true"/>
        </w:rPr>
        <w:t>:</w:t>
      </w:r>
      <w:bookmarkEnd w:id="32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الأصوليين من العامة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هوالظن ببقاء الحكم في الحال أوالاستقبال، بناءً على ثبوته في الماضي وعدم قيام الدليل على تغييره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والمالكية أخذوا بهذا الدليل وتوسّعوا فيه</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xml:space="preserve">وأمّا عند الخاصه فالاستصحاب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ابقاء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وهوحجة وإن لم يحصل الظن بالبقاء</w:t>
      </w:r>
      <w:r>
        <w:rPr>
          <w:rFonts w:eastAsia="Amiri" w:cs="Amiri" w:ascii="Amiri" w:hAnsi="Amiri"/>
          <w:color w:val="111111"/>
          <w:sz w:val="28"/>
          <w:szCs w:val="28"/>
          <w:rtl w:val="true"/>
          <w:lang w:bidi="ar-SA"/>
        </w:rPr>
        <w:t xml:space="preserve">. </w:t>
      </w:r>
      <w:bookmarkStart w:id="321" w:name="pg8675_122970"/>
    </w:p>
    <w:p>
      <w:pPr>
        <w:pStyle w:val="Heading6"/>
        <w:numPr>
          <w:ilvl w:val="5"/>
          <w:numId w:val="1"/>
        </w:numPr>
        <w:rPr/>
      </w:pPr>
      <w:bookmarkStart w:id="322" w:name="__RefHeading___Toc2473982_653776707"/>
      <w:bookmarkStart w:id="323" w:name="_Toc115"/>
      <w:bookmarkEnd w:id="321"/>
      <w:bookmarkEnd w:id="322"/>
      <w:r>
        <w:rPr/>
        <w:t>7</w:t>
      </w:r>
      <w:r>
        <w:rPr>
          <w:rtl w:val="true"/>
        </w:rPr>
        <w:t xml:space="preserve">) </w:t>
      </w:r>
      <w:r>
        <w:rPr>
          <w:rtl w:val="true"/>
        </w:rPr>
        <w:t>الإستقراء</w:t>
      </w:r>
      <w:r>
        <w:rPr>
          <w:rtl w:val="true"/>
        </w:rPr>
        <w:t>:</w:t>
      </w:r>
      <w:bookmarkEnd w:id="323"/>
    </w:p>
    <w:p>
      <w:pPr>
        <w:pStyle w:val="BookText"/>
        <w:rPr/>
      </w:pPr>
      <w:r>
        <w:rPr>
          <w:rFonts w:ascii="Amiri" w:hAnsi="Amiri" w:eastAsia="Amiri" w:cs="Amiri"/>
          <w:color w:val="111111"/>
          <w:sz w:val="28"/>
          <w:sz w:val="28"/>
          <w:szCs w:val="28"/>
          <w:rtl w:val="true"/>
          <w:lang w:bidi="ar-SA"/>
        </w:rPr>
        <w:t xml:space="preserve">عُرّف الإستقراء؛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تتبع الحكم في جزئياته، على حالة يغلب على الظن أنه في صورة النزاع على تلك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وهوحجة عند المالكية</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وأمّا عند الخاصه، فإنه بنفسه ليس بحجة؛ لأنه يفيد الظن، والظن لايغني من الحق شيئا، نعم لوكان في البين قرينة أودليل يستكشف منه الحكم الكلي فلا إشكال فيه</w:t>
      </w:r>
      <w:r>
        <w:rPr>
          <w:rFonts w:eastAsia="Amiri" w:cs="Amiri" w:ascii="Amiri" w:hAnsi="Amiri"/>
          <w:color w:val="111111"/>
          <w:sz w:val="28"/>
          <w:szCs w:val="28"/>
          <w:rtl w:val="true"/>
          <w:lang w:bidi="ar-SA"/>
        </w:rPr>
        <w:t>.</w:t>
      </w:r>
    </w:p>
    <w:p>
      <w:pPr>
        <w:pStyle w:val="Heading6"/>
        <w:numPr>
          <w:ilvl w:val="5"/>
          <w:numId w:val="1"/>
        </w:numPr>
        <w:rPr/>
      </w:pPr>
      <w:bookmarkStart w:id="324" w:name="__RefHeading___Toc2473984_653776707"/>
      <w:bookmarkStart w:id="325" w:name="_Toc116"/>
      <w:bookmarkEnd w:id="324"/>
      <w:r>
        <w:rPr/>
        <w:t>8</w:t>
      </w:r>
      <w:r>
        <w:rPr>
          <w:rtl w:val="true"/>
        </w:rPr>
        <w:t xml:space="preserve">) </w:t>
      </w:r>
      <w:r>
        <w:rPr>
          <w:rtl w:val="true"/>
        </w:rPr>
        <w:t>الاستدلال</w:t>
      </w:r>
      <w:r>
        <w:rPr>
          <w:rtl w:val="true"/>
        </w:rPr>
        <w:t>:</w:t>
      </w:r>
      <w:bookmarkEnd w:id="32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 الاستدلال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محاولة الدليل المفضي إلى الحكم الشرعي، من جهة القواعد لا من جهة الأدلة المنصوصة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وعرّفه الشوكاني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الّذي ليس نصاً ولاً اجمالاً ولا قياسا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قسّمه الآمدي إلى أقسام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السبب فثبت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 المانع وفات الشرط فانتفى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استدلال من حيث أن الدليل ما يلزم من ثبوته لزوم المطلوب،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الحكم لانتفاء مداركه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يستدعى دليلاً ولا دليل فلا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جعله بعض الأصوليين شاملاً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وبالجمله فالأصوليون يختلفون في تحديد معنى الاستدلال</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وذكر له قاعدتين، ترجع الأولى إلى القياس الاستثنائي المنطقي، والثانية إلى أنّ الأصل في المنافع الإذن، وفي المضار المنع، ثمّ اعتبر الاستدلال بهذا المعنى دليلاً وأصلاً من أصول المالكية</w:t>
      </w:r>
      <w:r>
        <w:rPr>
          <w:rFonts w:eastAsia="Amiri" w:cs="Amiri" w:ascii="Amiri" w:hAnsi="Amiri"/>
          <w:color w:val="111111"/>
          <w:sz w:val="28"/>
          <w:szCs w:val="28"/>
          <w:rtl w:val="true"/>
          <w:lang w:bidi="ar-SA"/>
        </w:rPr>
        <w:t>.</w:t>
      </w:r>
      <w:r>
        <w:rPr>
          <w:rStyle w:val="FootnoteAnchor"/>
          <w:rtl w:val="true"/>
        </w:rPr>
        <w:footnoteReference w:id="147"/>
      </w:r>
      <w:bookmarkStart w:id="326" w:name="pg8675_122973"/>
    </w:p>
    <w:p>
      <w:pPr>
        <w:pStyle w:val="Heading6"/>
        <w:numPr>
          <w:ilvl w:val="5"/>
          <w:numId w:val="1"/>
        </w:numPr>
        <w:rPr/>
      </w:pPr>
      <w:bookmarkStart w:id="327" w:name="__RefHeading___Toc2473986_653776707"/>
      <w:bookmarkStart w:id="328" w:name="_Toc117"/>
      <w:bookmarkEnd w:id="326"/>
      <w:bookmarkEnd w:id="327"/>
      <w:r>
        <w:rPr/>
        <w:t>9</w:t>
      </w:r>
      <w:r>
        <w:rPr>
          <w:rtl w:val="true"/>
        </w:rPr>
        <w:t xml:space="preserve">) </w:t>
      </w:r>
      <w:r>
        <w:rPr>
          <w:rtl w:val="true"/>
        </w:rPr>
        <w:t>الاستحسان</w:t>
      </w:r>
      <w:r>
        <w:rPr>
          <w:rtl w:val="true"/>
        </w:rPr>
        <w:t>:</w:t>
      </w:r>
      <w:bookmarkEnd w:id="328"/>
    </w:p>
    <w:p>
      <w:pPr>
        <w:pStyle w:val="BookText"/>
        <w:rPr/>
      </w:pPr>
      <w:r>
        <w:rPr>
          <w:rFonts w:ascii="Amiri" w:hAnsi="Amiri" w:eastAsia="Amiri" w:cs="Amiri"/>
          <w:color w:val="111111"/>
          <w:sz w:val="28"/>
          <w:sz w:val="28"/>
          <w:szCs w:val="28"/>
          <w:rtl w:val="true"/>
          <w:lang w:bidi="ar-SA"/>
        </w:rPr>
        <w:t>الاستحسان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العدول في مسألة عن مثل ما حكم به في نظائرها إلى خلافه، لوجه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تحدّثنا عن هذا الأصل عند الكلام على المذهب الحنفي،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ومالك يرجح جانب المصلحة على جانب القياس، ويسمّيه استحسانا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الاستحسان تسعة أعشار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والاستحسان عند المالكية بحسب سنده على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سنده العرف،ومنه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سنده المصلحة،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سنده رفع الحرج وايثار التوسعة،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سنده مراعاة الخلاف</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ومن أمثلة الإستحسان في فقه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فيمن توضّأ من الماء اليسير المتنجس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يعيد الصلاة ما دام في الوقت، أما إذا مضى‌الوقت فلا تلزمه الإعادة استحسانا لاقياسا إذ القياس يقتضي الإعادة مطلقا،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استيجار الأجير بطعامه، وإن كان لاينضبط مقدار أكله، ليسار أمره وعدم المشاحّة فيه عادة</w:t>
      </w:r>
      <w:r>
        <w:rPr>
          <w:rFonts w:eastAsia="Amiri" w:cs="Amiri" w:ascii="Amiri" w:hAnsi="Amiri"/>
          <w:color w:val="111111"/>
          <w:sz w:val="28"/>
          <w:szCs w:val="28"/>
          <w:rtl w:val="true"/>
          <w:lang w:bidi="ar-SA"/>
        </w:rPr>
        <w:t>.</w:t>
      </w:r>
      <w:r>
        <w:rPr>
          <w:rStyle w:val="FootnoteAnchor"/>
          <w:rtl w:val="true"/>
        </w:rPr>
        <w:footnoteReference w:id="149"/>
      </w:r>
    </w:p>
    <w:p>
      <w:pPr>
        <w:pStyle w:val="Heading6"/>
        <w:numPr>
          <w:ilvl w:val="5"/>
          <w:numId w:val="1"/>
        </w:numPr>
        <w:rPr/>
      </w:pPr>
      <w:bookmarkStart w:id="329" w:name="__RefHeading___Toc2473988_653776707"/>
      <w:bookmarkStart w:id="330" w:name="_Toc118"/>
      <w:bookmarkEnd w:id="329"/>
      <w:r>
        <w:rPr/>
        <w:t>10</w:t>
      </w:r>
      <w:r>
        <w:rPr>
          <w:rtl w:val="true"/>
        </w:rPr>
        <w:t xml:space="preserve">) </w:t>
      </w:r>
      <w:r>
        <w:rPr>
          <w:rtl w:val="true"/>
        </w:rPr>
        <w:t>شرع من قبلنا شرع لنا</w:t>
      </w:r>
      <w:r>
        <w:rPr>
          <w:rtl w:val="true"/>
        </w:rPr>
        <w:t>:</w:t>
      </w:r>
      <w:bookmarkEnd w:id="33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أخذ علماء المالكية بهذا الأصل،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 من قبلنا شرع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بشرط أن يكون ممّا أخبر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يثبت نسخه ولاتخصيصه</w:t>
      </w:r>
      <w:r>
        <w:rPr>
          <w:rFonts w:eastAsia="IRNazanin" w:cs="IRNazanin"/>
          <w:color w:val="111111"/>
          <w:sz w:val="28"/>
          <w:szCs w:val="28"/>
          <w:rtl w:val="true"/>
          <w:lang w:bidi="fa-IR"/>
        </w:rPr>
        <w:t>.</w:t>
      </w:r>
      <w:r>
        <w:rPr>
          <w:rStyle w:val="FootnoteAnchor"/>
          <w:rtl w:val="true"/>
        </w:rPr>
        <w:footnoteReference w:id="150"/>
      </w:r>
      <w:bookmarkStart w:id="331" w:name="pg8675_122976"/>
    </w:p>
    <w:p>
      <w:pPr>
        <w:pStyle w:val="Heading6"/>
        <w:numPr>
          <w:ilvl w:val="5"/>
          <w:numId w:val="1"/>
        </w:numPr>
        <w:rPr/>
      </w:pPr>
      <w:bookmarkStart w:id="332" w:name="__RefHeading___Toc2473990_653776707"/>
      <w:bookmarkStart w:id="333" w:name="_Toc119"/>
      <w:bookmarkEnd w:id="331"/>
      <w:bookmarkEnd w:id="332"/>
      <w:r>
        <w:rPr/>
        <w:t>11</w:t>
      </w:r>
      <w:r>
        <w:rPr>
          <w:rtl w:val="true"/>
        </w:rPr>
        <w:t xml:space="preserve">) </w:t>
      </w:r>
      <w:r>
        <w:rPr>
          <w:rtl w:val="true"/>
        </w:rPr>
        <w:t>البراءة الأصلية</w:t>
      </w:r>
      <w:r>
        <w:rPr>
          <w:rtl w:val="true"/>
        </w:rPr>
        <w:t>:</w:t>
      </w:r>
      <w:bookmarkEnd w:id="333"/>
    </w:p>
    <w:p>
      <w:pPr>
        <w:pStyle w:val="BookText"/>
        <w:rPr/>
      </w:pPr>
      <w:r>
        <w:rPr>
          <w:rFonts w:ascii="Amiri" w:hAnsi="Amiri" w:eastAsia="Amiri" w:cs="Amiri"/>
          <w:color w:val="111111"/>
          <w:sz w:val="28"/>
          <w:sz w:val="28"/>
          <w:szCs w:val="28"/>
          <w:rtl w:val="true"/>
          <w:lang w:bidi="ar-SA"/>
        </w:rPr>
        <w:t xml:space="preserve">وهوعند العامة من أنواع الإستصحاب، وقد عرّفت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 حكم العقل في عدم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والمالكيّة يأخذون بهذا الأصل ويعتبرونه حجة</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إلى هنا، إتضح أنّ الأصول التی تبنتها المالكية في مبانيها الإجتهادية هی احد عشر، وقد عدّت معتبرة عند بقية مذاهب العامة، وهي من الأصول المشتركة بينالمذاهب</w:t>
      </w:r>
      <w:r>
        <w:rPr>
          <w:rFonts w:eastAsia="IRNazanin" w:cs="IRNazanin"/>
          <w:color w:val="111111"/>
          <w:sz w:val="28"/>
          <w:szCs w:val="28"/>
          <w:rtl w:val="true"/>
          <w:lang w:bidi="fa-IR"/>
        </w:rPr>
        <w:t>.</w:t>
      </w:r>
    </w:p>
    <w:p>
      <w:pPr>
        <w:pStyle w:val="Heading5"/>
        <w:numPr>
          <w:ilvl w:val="4"/>
          <w:numId w:val="1"/>
        </w:numPr>
        <w:rPr/>
      </w:pPr>
      <w:bookmarkStart w:id="334" w:name="__RefHeading___Toc2473992_653776707"/>
      <w:bookmarkStart w:id="335" w:name="_Toc120"/>
      <w:bookmarkEnd w:id="334"/>
      <w:r>
        <w:rPr>
          <w:rtl w:val="true"/>
        </w:rPr>
        <w:t>ب</w:t>
      </w:r>
      <w:r>
        <w:rPr>
          <w:rtl w:val="true"/>
        </w:rPr>
        <w:t xml:space="preserve">) </w:t>
      </w:r>
      <w:r>
        <w:rPr>
          <w:rtl w:val="true"/>
        </w:rPr>
        <w:t>الأصول الخاصة بالمذهب المالكي</w:t>
      </w:r>
      <w:r>
        <w:rPr>
          <w:rtl w:val="true"/>
        </w:rPr>
        <w:t>:</w:t>
      </w:r>
      <w:bookmarkEnd w:id="335"/>
    </w:p>
    <w:p>
      <w:pPr>
        <w:pStyle w:val="BookText"/>
        <w:rPr/>
      </w:pP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یمکن أن تقسم الأصول والمباني المذهب المالكي إلى مجموعتين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 هما مشتركة، والأخرى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ينبغى الإلتفات إليه هنا، وقبل بيان الأصول الخاصّة، هوأنّ المقصود من الأصول الخاصّة ليس‌كونها تستخدم بشكل كامل ومنحصر كمبنى عند المذهب المالكي فقط، بحيث ينتفي استخدامها في بقيّة المذاهب، بل المقصود اختصاصها بالمالكية في شكل أوتطبيق هذه الأصول، لا في أصل القاعدة</w:t>
      </w:r>
      <w:r>
        <w:rPr>
          <w:rFonts w:eastAsia="IRNazanin" w:cs="IRNazanin"/>
          <w:color w:val="111111"/>
          <w:sz w:val="28"/>
          <w:szCs w:val="28"/>
          <w:rtl w:val="true"/>
          <w:lang w:bidi="fa-IR"/>
        </w:rPr>
        <w:t>.</w:t>
      </w:r>
      <w:r>
        <w:rPr>
          <w:rStyle w:val="FootnoteAnchor"/>
          <w:rtl w:val="true"/>
        </w:rPr>
        <w:footnoteReference w:id="152"/>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وبملاحظة ما ذكر من إشارة، سنشير إلى الأصول الخاصة بالمذهب المالكي</w:t>
      </w:r>
      <w:r>
        <w:rPr>
          <w:rFonts w:eastAsia="Amiri" w:cs="Amiri" w:ascii="Amiri" w:hAnsi="Amiri"/>
          <w:color w:val="111111"/>
          <w:sz w:val="28"/>
          <w:szCs w:val="28"/>
          <w:rtl w:val="true"/>
          <w:lang w:bidi="ar-SA"/>
        </w:rPr>
        <w:t xml:space="preserve">. </w:t>
      </w:r>
      <w:bookmarkStart w:id="336" w:name="pg8675_122979"/>
    </w:p>
    <w:p>
      <w:pPr>
        <w:pStyle w:val="Heading5"/>
        <w:numPr>
          <w:ilvl w:val="4"/>
          <w:numId w:val="1"/>
        </w:numPr>
        <w:rPr/>
      </w:pPr>
      <w:bookmarkStart w:id="337" w:name="__RefHeading___Toc2473994_653776707"/>
      <w:bookmarkStart w:id="338" w:name="_Toc121"/>
      <w:bookmarkEnd w:id="336"/>
      <w:bookmarkEnd w:id="337"/>
      <w:r>
        <w:rPr/>
        <w:t>1</w:t>
      </w:r>
      <w:r>
        <w:rPr>
          <w:rtl w:val="true"/>
        </w:rPr>
        <w:t xml:space="preserve">) </w:t>
      </w:r>
      <w:r>
        <w:rPr>
          <w:rtl w:val="true"/>
        </w:rPr>
        <w:t>عمل أهل المدينة</w:t>
      </w:r>
      <w:r>
        <w:rPr>
          <w:rtl w:val="true"/>
        </w:rPr>
        <w:t>:</w:t>
      </w:r>
      <w:bookmarkEnd w:id="338"/>
    </w:p>
    <w:p>
      <w:pPr>
        <w:pStyle w:val="BookText"/>
        <w:rPr/>
      </w:pPr>
      <w:r>
        <w:rPr>
          <w:rFonts w:ascii="Amiri" w:hAnsi="Amiri" w:eastAsia="Amiri" w:cs="Amiri"/>
          <w:color w:val="111111"/>
          <w:sz w:val="28"/>
          <w:sz w:val="28"/>
          <w:szCs w:val="28"/>
          <w:rtl w:val="true"/>
          <w:lang w:bidi="ar-SA"/>
        </w:rPr>
        <w:t>المراد بعمل أهل المدينة، هواتخاذ عمل أهل المدينة حجة يحتج بها، وكان مالك يقدم عمل أهل المدينة على‌حديث الآحاد، وقد كان يلوم كل فقيه لايأخذ بعمل أهل المدينة، ومن ذلك رسالته إلى الليث بن سعد فقيه مصر الّذي قال الشافعي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 أفقه من مالك إلا أنّ أصحابه لم يقوموا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فتواه في بعض المسائل تخالف‌ما عليه عمل أهل المدينة، فكتب إليه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أنك تفتي الناس بأشياء مخالفة لما عليه جماعة الناس عندنا وببلدنا الّذي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الناس تبع لأهلالمدينة التي إليها كانت الهجرة، وبها نزل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 الله بين أظهرهم</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وعمل أهل المدينة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أساسه النقل والحكاية، وهذا لاخلاف فيه بين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 أساسه الإجتهاد والإستدلال، وهذا إن كان قبل مقتل عثمان بن عفان، فحكمه حكم الأول وإن كان بعده ففيه خلاف بين المالكيّة، والراحج أنّ مالكا كان يأخذ بعمل أهل المدينة على عمومه</w:t>
      </w:r>
      <w:r>
        <w:rPr>
          <w:rFonts w:eastAsia="Amiri" w:cs="Amiri" w:ascii="Amiri" w:hAnsi="Amiri"/>
          <w:color w:val="111111"/>
          <w:sz w:val="28"/>
          <w:szCs w:val="28"/>
          <w:rtl w:val="true"/>
          <w:lang w:bidi="ar-SA"/>
        </w:rPr>
        <w:t>.</w:t>
      </w:r>
      <w:r>
        <w:rPr>
          <w:rStyle w:val="FootnoteAnchor"/>
          <w:rtl w:val="true"/>
        </w:rPr>
        <w:footnoteReference w:id="154"/>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مالك كان يعمل بما عليه إجماع أهل المدينة ويعتبره إجماعا ملزما، أمّا إذا إختلف أهل المدينة فإنه لايخرج عن جملة آرائهم وإنّما يرجح رأيا على آخر، </w:t>
      </w:r>
      <w:bookmarkStart w:id="339" w:name="pg8675_122982"/>
    </w:p>
    <w:p>
      <w:pPr>
        <w:pStyle w:val="BookText"/>
        <w:rPr/>
      </w:pPr>
      <w:bookmarkEnd w:id="339"/>
      <w:r>
        <w:rPr>
          <w:rFonts w:ascii="Amiri" w:hAnsi="Amiri" w:eastAsia="Amiri" w:cs="Amiri"/>
          <w:color w:val="111111"/>
          <w:sz w:val="28"/>
          <w:sz w:val="28"/>
          <w:szCs w:val="28"/>
          <w:rtl w:val="true"/>
          <w:lang w:bidi="ar-SA"/>
        </w:rPr>
        <w:t>لموافقته لتخريج من الكتاب أوالسنّة أولكثرة القائلين به أولموافقته لقياس قوي، ويعبّر عن ترجيحاته هذه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أحسن ما سمعت، أوأحبّ ما سمعت إليّ</w:t>
      </w:r>
      <w:r>
        <w:rPr>
          <w:rFonts w:eastAsia="Amiri" w:cs="Amiri" w:ascii="Amiri" w:hAnsi="Amiri"/>
          <w:color w:val="111111"/>
          <w:sz w:val="28"/>
          <w:szCs w:val="28"/>
          <w:rtl w:val="true"/>
          <w:lang w:bidi="ar-SA"/>
        </w:rPr>
        <w:t>.</w:t>
      </w:r>
      <w:r>
        <w:rPr>
          <w:rStyle w:val="FootnoteAnchor"/>
          <w:rtl w:val="true"/>
        </w:rPr>
        <w:footnoteReference w:id="155"/>
      </w:r>
    </w:p>
    <w:p>
      <w:pPr>
        <w:pStyle w:val="Heading5"/>
        <w:numPr>
          <w:ilvl w:val="4"/>
          <w:numId w:val="1"/>
        </w:numPr>
        <w:rPr/>
      </w:pPr>
      <w:bookmarkStart w:id="340" w:name="__RefHeading___Toc2473996_653776707"/>
      <w:bookmarkStart w:id="341" w:name="_Toc122"/>
      <w:bookmarkEnd w:id="340"/>
      <w:r>
        <w:rPr/>
        <w:t>2</w:t>
      </w:r>
      <w:r>
        <w:rPr>
          <w:rtl w:val="true"/>
        </w:rPr>
        <w:t xml:space="preserve">) </w:t>
      </w:r>
      <w:r>
        <w:rPr>
          <w:rtl w:val="true"/>
        </w:rPr>
        <w:t>المصالح المرسلة</w:t>
      </w:r>
      <w:r>
        <w:rPr>
          <w:rtl w:val="true"/>
        </w:rPr>
        <w:t>:</w:t>
      </w:r>
      <w:bookmarkEnd w:id="341"/>
    </w:p>
    <w:p>
      <w:pPr>
        <w:pStyle w:val="BookText"/>
        <w:rPr/>
      </w:pPr>
      <w:r>
        <w:rPr>
          <w:rFonts w:ascii="Amiri" w:hAnsi="Amiri" w:eastAsia="Amiri" w:cs="Amiri"/>
          <w:color w:val="111111"/>
          <w:sz w:val="28"/>
          <w:sz w:val="28"/>
          <w:szCs w:val="28"/>
          <w:rtl w:val="true"/>
          <w:lang w:bidi="ar-SA"/>
        </w:rPr>
        <w:t>المصلحة عند جمهور الأصوليين من العامّة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الثمرة المرتبة على الأحكام التي شرعها الله لعباده وبتعبيرآخر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عمّا قصده الشارع الحكيم لعباده من تشريع الأحكام، من حفظ دينهم ونقوسهم وعقولهم ونسلهم وأموالهم حفظا تاما</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المصلحة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 المؤدّي إلى مقصود الشارع عبادة وعادة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بالعبادة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يقصده‌الشارع لحقه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يقصده الشارع لنفع العباد وانتظام معاشهم وأحوالهم</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أمّا المراد من الإرسال عندالعامّة فقد وقع موقع الخلاف لديهم فالذي يبدوا من اقوال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معناه عدم الإعتماد على أيّ نص شرعي، وإنّما يترك للعقل حقّ اكتشافها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يذهب البعض الأخر إلى أنّ معناها عدم الإعتماد على‌نصّ خاص، وإنّما تدخل ضمن ما ورد في الشريعة من نصوص عامة</w:t>
      </w:r>
      <w:r>
        <w:rPr>
          <w:rFonts w:eastAsia="Amiri" w:cs="Amiri" w:ascii="Amiri" w:hAnsi="Amiri"/>
          <w:color w:val="111111"/>
          <w:sz w:val="28"/>
          <w:szCs w:val="28"/>
          <w:rtl w:val="true"/>
          <w:lang w:bidi="ar-SA"/>
        </w:rPr>
        <w:t>».</w:t>
      </w:r>
      <w:r>
        <w:rPr>
          <w:rStyle w:val="FootnoteAnchor"/>
          <w:rtl w:val="true"/>
        </w:rPr>
        <w:footnoteReference w:id="15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المصلحة المرسلة أوالإستصلاح، عندهم مصلحة ترجع إلى حفظ مقصود شرعي يعلم كونه مقصودا بالكتاب والسنة أوالإجماع، إلاّ أنّها لايشهد لها </w:t>
      </w:r>
    </w:p>
    <w:p>
      <w:pPr>
        <w:pStyle w:val="BookText"/>
        <w:rPr/>
      </w:pPr>
      <w:r>
        <w:rPr>
          <w:rFonts w:ascii="Amiri" w:hAnsi="Amiri" w:eastAsia="Amiri" w:cs="Amiri"/>
          <w:color w:val="111111"/>
          <w:sz w:val="28"/>
          <w:sz w:val="28"/>
          <w:szCs w:val="28"/>
          <w:rtl w:val="true"/>
          <w:lang w:bidi="ar-SA"/>
        </w:rPr>
        <w:t>أصل معين بالإعتبار، وإنّما يعلم كونها مقصودة لا بدليل واحد، بل بمجموع الأدله وقرائن الأحوال وتفريق الإمارات</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ثم أنّه وإن اشتهر أن مالك هوالّذي إنفرد وحده بالأخذ بالمصالح المرسلة دون سائر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 من‌خصائص مذهبه، إلا أننا نجد قولاً آخر يفيد نفي أخذه بها هووأصحابه، فما عن الشوكاني في إرشاد الفحول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أنكر جماعة من المالكيّة ما نسب إلى مالك من القول بالمصلحة المرسلة منهم القرطبى وإمام الحرمين الجويني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هذه الأقوال النافية لاتثبت أمام شيوع الأقوال القائلة بالأخذ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 بعض العلماء من العامّة جمع بين هذين القولين المتعارضين ووفّق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وكيفيّة هذا التوفيق هوأن يحمل مورد النفي على المصالح الغريبة التي لاتدخل تحت جنس شهدت له النصوص بالإعتبار، ومورد الإثبات المصالح الملائمة لتصرفات الشارع ومقاصده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إثبات إعتبار المصالح المرسله عند المالكيّة، يشترط للعمل بها شروط أهمّها شرطان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ملائمتها لمقاصد الشارع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معقولة في ذاتها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المصلحة المرسلة بذلك المعنى وإعتبار هذه الشروط من الأصول </w:t>
      </w:r>
    </w:p>
    <w:p>
      <w:pPr>
        <w:pStyle w:val="BookText"/>
        <w:rPr/>
      </w:pPr>
      <w:r>
        <w:rPr>
          <w:rFonts w:ascii="Amiri" w:hAnsi="Amiri" w:eastAsia="Amiri" w:cs="Amiri"/>
          <w:color w:val="111111"/>
          <w:sz w:val="28"/>
          <w:sz w:val="28"/>
          <w:szCs w:val="28"/>
          <w:rtl w:val="true"/>
          <w:lang w:bidi="ar-SA"/>
        </w:rPr>
        <w:t>القطعيّة عند المالكيّة، حتى قدّمها المالكية على خبر الآحاد</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والّذي يجب أن ننبّه عليه هوأنّ أكثر ما يبنى مالك رأيه عليه، هوالمصلحة المرسلة في المعاملات خاصّة، دون العبادات</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ومن أمثلة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للاستنطاق بالتهمة بالسرقه، فقد قال مالك بجوازه أخذا بالمصلحة، 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المفقود زوجها إذا إندرس خبر موته وحياته، وقد انتظرت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تنكح بعد أربع سنين من انقطاع الخبر أخذا بمصلحةالزوجة</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ومنها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الإحتكار في كل مايحتاج إليه مراعاة للمصلحة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العبادات فقد التزم مالك بالوقوف والتسليم على ما هي عليه، وعدم الإلتفات إلى المعاني فلم يلتفت في إزالة الأخباث ورفع الأحداث إلى مطلق النظافة؛ ولذا لم يقم غير الماء مقامه في ذلك، وامتنع من إقامة غير التكبيروالتسليم والقراءة العربية مقامها في التحريم والتحليل والإجزاء والمنع من إخراج القيم في الزكاة</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وكل هذا بخلاف ما ذهب إليه الأحناف</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الختام لابدّ أن نذكر إيجازا موقع الخاصة بالنسبة إلى المصالح المرسلة، </w:t>
      </w:r>
      <w:bookmarkStart w:id="342" w:name="pg8675_122991"/>
    </w:p>
    <w:p>
      <w:pPr>
        <w:pStyle w:val="BookText"/>
        <w:rPr/>
      </w:pPr>
      <w:bookmarkEnd w:id="342"/>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المصالح المرسلة عند الإمامية، إن كان إدراكها بالعقل، فإن كان ذلك الإدراك كاملاً أى إدراكا للمصلحة بجميع ما يتعلق بها في عوالم تأثيرها في مقام جعل الحكم لها من قبل الشارع، فهي حجّة يقول المحقق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المصالح إمّا معتبرة في الشرع وبالحكم القطعي من العقل من جهة إدراك مصلحة خالية من المفسدة، كحفظ الدين والنفس والعقل والمال والنسل</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فهذه لا إشكال في إعتبارها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ادراكه لها كاملاً بأن كان قد أدرك مصلحة واحتمل وجود مزاحم لها أواحتمل أنّها فاقدة لبعض شرائط الجعل فإنّ القول بحجيّتها، يحتاج إلى دليل والشك في الحجيّة كافٍ بعدمها، وبهذا يتّضح أنّ الإمامية لايقولون بالمصالحالمرسلة إلاّ ما رجع منها، إلى العقل على سبيل الجزم أومايرجع إلى الأصول والقواعد العامة؟</w:t>
      </w:r>
      <w:r>
        <w:rPr>
          <w:rFonts w:eastAsia="Amiri" w:cs="Amiri" w:ascii="Amiri" w:hAnsi="Amiri"/>
          <w:color w:val="111111"/>
          <w:sz w:val="28"/>
          <w:szCs w:val="28"/>
          <w:rtl w:val="true"/>
          <w:lang w:bidi="ar-SA"/>
        </w:rPr>
        <w:t>.</w:t>
      </w:r>
      <w:r>
        <w:rPr>
          <w:rStyle w:val="FootnoteAnchor"/>
          <w:rtl w:val="true"/>
        </w:rPr>
        <w:footnoteReference w:id="165"/>
      </w:r>
    </w:p>
    <w:p>
      <w:pPr>
        <w:pStyle w:val="Heading5"/>
        <w:numPr>
          <w:ilvl w:val="4"/>
          <w:numId w:val="1"/>
        </w:numPr>
        <w:rPr/>
      </w:pPr>
      <w:bookmarkStart w:id="343" w:name="__RefHeading___Toc2473998_653776707"/>
      <w:bookmarkStart w:id="344" w:name="_Toc123"/>
      <w:bookmarkEnd w:id="343"/>
      <w:r>
        <w:rPr/>
        <w:t>3</w:t>
      </w:r>
      <w:r>
        <w:rPr>
          <w:rtl w:val="true"/>
        </w:rPr>
        <w:t xml:space="preserve">) </w:t>
      </w:r>
      <w:r>
        <w:rPr>
          <w:rtl w:val="true"/>
        </w:rPr>
        <w:t>سدّ الذرائع</w:t>
      </w:r>
      <w:r>
        <w:rPr>
          <w:rtl w:val="true"/>
        </w:rPr>
        <w:t>:</w:t>
      </w:r>
      <w:bookmarkEnd w:id="344"/>
    </w:p>
    <w:p>
      <w:pPr>
        <w:pStyle w:val="BookText"/>
        <w:rPr/>
      </w:pPr>
      <w:r>
        <w:rPr>
          <w:rFonts w:ascii="Amiri" w:hAnsi="Amiri" w:eastAsia="Amiri" w:cs="Amiri"/>
          <w:color w:val="111111"/>
          <w:sz w:val="28"/>
          <w:sz w:val="28"/>
          <w:szCs w:val="28"/>
          <w:rtl w:val="true"/>
          <w:lang w:bidi="ar-SA"/>
        </w:rPr>
        <w:t>الذريعة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الوسيلة التي يتوصّل بها إلى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عند العلماء مايتوصل به إلى شيء ممنوع مشتمل على مفسده</w:t>
      </w:r>
      <w:r>
        <w:rPr>
          <w:rFonts w:eastAsia="Amiri" w:cs="Amiri" w:ascii="Amiri" w:hAnsi="Amiri"/>
          <w:color w:val="111111"/>
          <w:sz w:val="28"/>
          <w:szCs w:val="28"/>
          <w:rtl w:val="true"/>
          <w:lang w:bidi="ar-SA"/>
        </w:rPr>
        <w:t>.</w:t>
      </w:r>
      <w:r>
        <w:rPr>
          <w:rStyle w:val="FootnoteAnchor"/>
          <w:rtl w:val="true"/>
        </w:rPr>
        <w:footnoteReference w:id="166"/>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الذريعه عبارة عن أمر غير ممنوع لنفسه، يخاف من ارتكابه الوقوع في الممنوع، فالمراد من سدّ الذرائع وفتحها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يؤدّي إلى حرام، يكون حراما وما يؤدّي إلى حلال، يكون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والذريعة ملاحظ فيها معنى أنها وسيله مفضية إلى </w:t>
      </w:r>
    </w:p>
    <w:p>
      <w:pPr>
        <w:pStyle w:val="BookText"/>
        <w:rPr/>
      </w:pPr>
      <w:r>
        <w:rPr>
          <w:rFonts w:ascii="Amiri" w:hAnsi="Amiri" w:eastAsia="Amiri" w:cs="Amiri"/>
          <w:color w:val="111111"/>
          <w:sz w:val="28"/>
          <w:sz w:val="28"/>
          <w:szCs w:val="28"/>
          <w:rtl w:val="true"/>
          <w:lang w:bidi="ar-SA"/>
        </w:rPr>
        <w:t>المقصود بالحكم، ولا يلزم أن يكون وجود هذه المفسدة متوفقا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يَضْرِبْنَ بِأَرْجُلِهِنَّ لِيُعْلَمَ ما يُخْفينَ مِنْ زينَتِهِنَّ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ولاتَسُبُّوا الَّذينَ يَدْعُونَ مِنْ دُونِ الله فَيَسُبُّوا الله عَدْوا بِغَيْرِ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قسم ما يؤدّي إلى حرام ومفسدة إلى أربعة أقسام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يكون أداؤه إلى مفسدة مقطوعا به، كحفر بئر خلف باب الدار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يغلب على الظن أداؤه مفسدة غالبا؛ كبيع العنب لمن تكون صناعته اداءه للخمر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يكون أداؤه إلى المفسدة نادرا، كحفر بئر في موضع لايؤذي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أداؤه إلى المفسدة كثيرا، ولكن ليس بغالبٍ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كالبيع بالأجل الّذي قد يؤدّي إلى الرّبا، ويتخذه بعض الناس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فالقسم الأوّل والثاني محرمان بلا ريب عند مالك والثالث ليس بحرام عنده</w:t>
      </w:r>
      <w:r>
        <w:rPr>
          <w:rStyle w:val="FootnoteAnchor"/>
          <w:rtl w:val="true"/>
        </w:rPr>
        <w:footnoteReference w:id="167"/>
      </w:r>
      <w:r>
        <w:rPr>
          <w:rFonts w:ascii="Amiri" w:hAnsi="Amiri" w:eastAsia="Amiri" w:cs="Amiri"/>
          <w:color w:val="111111"/>
          <w:sz w:val="28"/>
          <w:sz w:val="28"/>
          <w:szCs w:val="28"/>
          <w:rtl w:val="true"/>
          <w:lang w:bidi="ar-SA"/>
        </w:rPr>
        <w:t>وأمّا 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نصّ مالك على منعه للتهمة وسدّا لباب الذريعة، فقد يكون المقصود الوصول إلى الرّبا</w:t>
      </w:r>
      <w:r>
        <w:rPr>
          <w:rFonts w:eastAsia="Amiri" w:cs="Amiri" w:ascii="Amiri" w:hAnsi="Amiri"/>
          <w:color w:val="111111"/>
          <w:sz w:val="28"/>
          <w:szCs w:val="28"/>
          <w:rtl w:val="true"/>
          <w:lang w:bidi="ar-SA"/>
        </w:rPr>
        <w:t>.</w:t>
      </w:r>
      <w:r>
        <w:rPr>
          <w:rStyle w:val="FootnoteAnchor"/>
          <w:rtl w:val="true"/>
        </w:rPr>
        <w:footnoteReference w:id="168"/>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مالك يرى فتح الذرائع إذا كانت تفضى إلى مقصد، هوقربة وخير، </w:t>
      </w:r>
      <w:bookmarkStart w:id="345" w:name="pg8675_122998"/>
    </w:p>
    <w:p>
      <w:pPr>
        <w:pStyle w:val="BookText"/>
        <w:rPr/>
      </w:pPr>
      <w:bookmarkEnd w:id="345"/>
      <w:r>
        <w:rPr>
          <w:rFonts w:ascii="Amiri" w:hAnsi="Amiri" w:eastAsia="Amiri" w:cs="Amiri"/>
          <w:color w:val="111111"/>
          <w:sz w:val="28"/>
          <w:sz w:val="28"/>
          <w:szCs w:val="28"/>
          <w:rtl w:val="true"/>
          <w:lang w:bidi="ar-SA"/>
        </w:rPr>
        <w:t>فتأخذ الوسيلة حكم المقصود</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ثم إنّ الّذي يقتضيه التحقيق في كلمات الأصوليين من الشيعة والسنة؛ أنّهم قائلون بفتح الذرائع وسدّها في الجملة؟ وإن لم‌يتفقوا في حدود ما يأخذون منها وما يتركون، ومع ذلك، هل أنّ سدّ الذرائع وفتحها يعدّ من الأصول؟ في مقابل سائر الأصول؟ أوأنّها لاتعدوكونها من صغريات السنّة أوالعقل؟ محل تأمل، والتحقيق يقتضي الثاني كما عليه اتفاق الإمامية</w:t>
      </w:r>
      <w:r>
        <w:rPr>
          <w:rFonts w:eastAsia="Amiri" w:cs="Amiri" w:ascii="Amiri" w:hAnsi="Amiri"/>
          <w:color w:val="111111"/>
          <w:sz w:val="28"/>
          <w:szCs w:val="28"/>
          <w:rtl w:val="true"/>
          <w:lang w:bidi="ar-SA"/>
        </w:rPr>
        <w:t>.</w:t>
      </w:r>
      <w:r>
        <w:rPr>
          <w:rStyle w:val="FootnoteAnchor"/>
          <w:rtl w:val="true"/>
        </w:rPr>
        <w:footnoteReference w:id="170"/>
      </w:r>
    </w:p>
    <w:p>
      <w:pPr>
        <w:pStyle w:val="Heading5"/>
        <w:numPr>
          <w:ilvl w:val="4"/>
          <w:numId w:val="1"/>
        </w:numPr>
        <w:rPr/>
      </w:pPr>
      <w:bookmarkStart w:id="346" w:name="__RefHeading___Toc2474000_653776707"/>
      <w:bookmarkStart w:id="347" w:name="_Toc124"/>
      <w:bookmarkEnd w:id="346"/>
      <w:r>
        <w:rPr/>
        <w:t>4</w:t>
      </w:r>
      <w:r>
        <w:rPr>
          <w:rtl w:val="true"/>
        </w:rPr>
        <w:t xml:space="preserve">) </w:t>
      </w:r>
      <w:r>
        <w:rPr>
          <w:rtl w:val="true"/>
        </w:rPr>
        <w:t>مراعاة الخلاف</w:t>
      </w:r>
      <w:r>
        <w:rPr>
          <w:rtl w:val="true"/>
        </w:rPr>
        <w:t>:</w:t>
      </w:r>
      <w:bookmarkEnd w:id="347"/>
    </w:p>
    <w:p>
      <w:pPr>
        <w:pStyle w:val="BookText"/>
        <w:rPr/>
      </w:pPr>
      <w:r>
        <w:rPr>
          <w:rFonts w:ascii="Amiri" w:hAnsi="Amiri" w:eastAsia="Amiri" w:cs="Amiri"/>
          <w:color w:val="111111"/>
          <w:sz w:val="28"/>
          <w:sz w:val="28"/>
          <w:szCs w:val="28"/>
          <w:rtl w:val="true"/>
          <w:lang w:bidi="ar-SA"/>
        </w:rPr>
        <w:t xml:space="preserve">إنّ الّذي يقرأ كتب الفقه المالكي يجد بعض المسائل لها حكمان متنافيان، لتوارددليلين متعارضين عليه، فاعتبروا كلا الحكمين، معللين ذلك بما سمّوه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مراعاة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وإختلف العلماء في الأخذ بهذا الأصل، ونسبته إلى المالكيّة ظاهرة جلية، وجمهور الذين ذكروا أصول مالك عدوّا في ضمنها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مراعاة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المالكية لم ينفردوا بهذا الأصل، فقبلهم الشافعيّة والحنفيّة أيضا؛ ولكنهم توسّعوا فيه أكثر من غيرهم، حتى عدّ أصلاً من أصول مذهبهم</w:t>
      </w:r>
      <w:r>
        <w:rPr>
          <w:rFonts w:eastAsia="Amiri" w:cs="Amiri" w:ascii="Amiri" w:hAnsi="Amiri"/>
          <w:color w:val="111111"/>
          <w:sz w:val="28"/>
          <w:szCs w:val="28"/>
          <w:rtl w:val="true"/>
          <w:lang w:bidi="ar-SA"/>
        </w:rPr>
        <w:t>.</w:t>
      </w:r>
      <w:r>
        <w:rPr>
          <w:rStyle w:val="FootnoteAnchor"/>
          <w:rtl w:val="true"/>
        </w:rPr>
        <w:footnoteReference w:id="171"/>
      </w:r>
    </w:p>
    <w:p>
      <w:pPr>
        <w:pStyle w:val="Heading5"/>
        <w:numPr>
          <w:ilvl w:val="4"/>
          <w:numId w:val="1"/>
        </w:numPr>
        <w:rPr/>
      </w:pPr>
      <w:bookmarkStart w:id="348" w:name="__RefHeading___Toc2474002_653776707"/>
      <w:bookmarkStart w:id="349" w:name="_Toc125"/>
      <w:bookmarkEnd w:id="348"/>
      <w:r>
        <w:rPr/>
        <w:t>5</w:t>
      </w:r>
      <w:r>
        <w:rPr>
          <w:rtl w:val="true"/>
        </w:rPr>
        <w:t xml:space="preserve">) </w:t>
      </w:r>
      <w:r>
        <w:rPr>
          <w:rtl w:val="true"/>
        </w:rPr>
        <w:t>مراعاة العرف</w:t>
      </w:r>
      <w:r>
        <w:rPr>
          <w:rtl w:val="true"/>
        </w:rPr>
        <w:t>:</w:t>
      </w:r>
      <w:bookmarkEnd w:id="34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مبدأ الأخذ بالعرف متفق عليه بين الفقهاء وأن المالكيّة لم ينفردوا بإعتبار هذا </w:t>
      </w:r>
    </w:p>
    <w:p>
      <w:pPr>
        <w:pStyle w:val="BookText"/>
        <w:rPr/>
      </w:pPr>
      <w:r>
        <w:rPr>
          <w:rFonts w:ascii="IRNazanin" w:hAnsi="IRNazanin" w:eastAsia="IRNazanin"/>
          <w:color w:val="111111"/>
          <w:sz w:val="28"/>
          <w:sz w:val="28"/>
          <w:szCs w:val="28"/>
          <w:rtl w:val="true"/>
          <w:lang w:bidi="fa-IR"/>
        </w:rPr>
        <w:t xml:space="preserve">الأصل وکذلک الحنفيّة والشافعيّة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يأخذون به، ولعلّ ما دفع إلى القول بإنفرادهم به، هوتوسعهم فيه أكثر من غيرهم، تبعا لتوسعهم في مراعاة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المصلحة المرسلة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بإعتبار أنّ العرف عندهم يعتبر ضربا من ضروب المصلحة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مراعاة العرف عندهم مقيّدة بشروط، أهمها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العرف المراد تحكميها قائما عند إنشأها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العرف مطّردا أوغالبا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يعارض العرف تصريحا يفيد عكس مضمونه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يخالف العرف نصّا من نصوص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فلوجرى عرف الناس على عمل حرام، كإختلاط الرجال بالنساء وتبرجهنّ، لا اعتبار له</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فمالك يأخذ عند انعدام النص بالعرف، ويخصّص به العامويقيّد به المطلق ويترك من أجله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 ما هومحمول على‌العرف والعادة، إذا تغيّرت العادة، تغيّر الحكم عند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عن مالك فيما إذا تنازع الزوجان في قبض‌الصداق بعد الدخول، أنّ القول قول الزوج، مع أنّ الأصل عدم القبض؛ لأنّ هذه كانت عادتهم بالمدينة ولما كان اليوم‌عادتهم، على خلاف ذلك فالقول قول المرأة، مع يمينها لاختلاف العادة</w:t>
      </w:r>
      <w:r>
        <w:rPr>
          <w:rFonts w:eastAsia="Amiri" w:cs="Amiri" w:ascii="Amiri" w:hAnsi="Amiri"/>
          <w:color w:val="111111"/>
          <w:sz w:val="28"/>
          <w:szCs w:val="28"/>
          <w:rtl w:val="true"/>
          <w:lang w:bidi="ar-SA"/>
        </w:rPr>
        <w:t>.</w:t>
      </w:r>
      <w:r>
        <w:rPr>
          <w:rStyle w:val="FootnoteAnchor"/>
          <w:rtl w:val="true"/>
        </w:rPr>
        <w:footnoteReference w:id="173"/>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إستنادا للمباني التي ذهب إليها الفقهاء من أتباع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العرف يكون معتبرا في تشخيص الموضوعات العرفيّة، وكذا تشخيص معاني الألفاظ </w:t>
      </w:r>
      <w:bookmarkStart w:id="350" w:name="pg8675_123004"/>
    </w:p>
    <w:p>
      <w:pPr>
        <w:pStyle w:val="BookText"/>
        <w:rPr/>
      </w:pPr>
      <w:bookmarkEnd w:id="350"/>
      <w:r>
        <w:rPr>
          <w:rFonts w:ascii="Amiri" w:hAnsi="Amiri" w:eastAsia="Amiri" w:cs="Amiri"/>
          <w:color w:val="111111"/>
          <w:sz w:val="28"/>
          <w:sz w:val="28"/>
          <w:szCs w:val="28"/>
          <w:rtl w:val="true"/>
          <w:lang w:bidi="ar-SA"/>
        </w:rPr>
        <w:t>وتشخيص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غير هذه الموارد الثلاثة فإنّ العرف والعادة لوكانا سيرة عقلائية جارية في عصر المعصوم ولم ينه عنها كانت معتبرة، وإلاّ فلا</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2474004_653776707"/>
      <w:bookmarkStart w:id="352" w:name="_Toc126"/>
      <w:bookmarkEnd w:id="351"/>
      <w:r>
        <w:rPr/>
        <w:t>4</w:t>
      </w:r>
      <w:r>
        <w:rPr>
          <w:rtl w:val="true"/>
        </w:rPr>
        <w:t xml:space="preserve">) </w:t>
      </w:r>
      <w:r>
        <w:rPr>
          <w:rtl w:val="true"/>
        </w:rPr>
        <w:t>المنهج الكلامي والفقهي للمذهب المالکی</w:t>
      </w:r>
      <w:r>
        <w:rPr>
          <w:rtl w:val="true"/>
        </w:rPr>
        <w:t>:</w:t>
      </w:r>
      <w:bookmarkEnd w:id="352"/>
    </w:p>
    <w:p>
      <w:pPr>
        <w:pStyle w:val="Heading5"/>
        <w:numPr>
          <w:ilvl w:val="4"/>
          <w:numId w:val="1"/>
        </w:numPr>
        <w:rPr/>
      </w:pPr>
      <w:bookmarkStart w:id="353" w:name="__RefHeading___Toc2474006_653776707"/>
      <w:bookmarkStart w:id="354" w:name="_Toc127"/>
      <w:bookmarkEnd w:id="353"/>
      <w:r>
        <w:rPr>
          <w:rtl w:val="true"/>
        </w:rPr>
        <w:t>الف</w:t>
      </w:r>
      <w:r>
        <w:rPr>
          <w:rtl w:val="true"/>
        </w:rPr>
        <w:t xml:space="preserve">) </w:t>
      </w:r>
      <w:r>
        <w:rPr>
          <w:rtl w:val="true"/>
        </w:rPr>
        <w:t>المنهج الكلامي لمالك</w:t>
      </w:r>
      <w:r>
        <w:rPr>
          <w:rtl w:val="true"/>
        </w:rPr>
        <w:t>:</w:t>
      </w:r>
      <w:bookmarkEnd w:id="354"/>
    </w:p>
    <w:p>
      <w:pPr>
        <w:pStyle w:val="BookText"/>
        <w:rPr/>
      </w:pPr>
      <w:r>
        <w:rPr>
          <w:rFonts w:ascii="Amiri" w:hAnsi="Amiri" w:eastAsia="Amiri" w:cs="Amiri"/>
          <w:color w:val="111111"/>
          <w:sz w:val="28"/>
          <w:sz w:val="28"/>
          <w:szCs w:val="28"/>
          <w:rtl w:val="true"/>
          <w:lang w:bidi="ar-SA"/>
        </w:rPr>
        <w:t>إنّ مالكا كما مرّ كان يعتمد عند إستنباط الأحكام على ما عليه عمل أهل المدينة ولايحبّ الكلام فيما ليس ورائه عمل ممّا أثاره المعتزلة والجبريّة وغيرهم من الأمورالغيبيّة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الشواهد الدّالة على أنّه يكره الخوض في الغيبيات، ما يروى أنّ رجُلاً سأل مالكا عن معنى الإستواء في قوله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الإستواء معلوم والكيف منه غير معقول، والسؤال عن هذا بدعة والإيمان به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لايحبّ المجادلة؛ لأنّها تؤدّي غالبا إلى التعصب، ويروى أن الرشيد طلب إليه مرّة أن يناظر أبايوسف الفقيه الحنفي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ليس كالتحريش بالبهائم والديكة</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مع ذلك كلّه بالنسبة إلى أمور العقائد وما يرتبط بالكلام، كان‌مالك سلفيا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فقهاء السّلف يكره التأويل ويطلب إمرار النصوص كما جائت ويكره الجدل في الدين، ولوكان هذا للبحث؛ إمعانا في التنزيه، ويرفض الردّ العقلي على البدع،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هوردّ بدعة ببدعة</w:t>
      </w:r>
      <w:r>
        <w:rPr>
          <w:rFonts w:eastAsia="Amiri" w:cs="Amiri" w:ascii="Amiri" w:hAnsi="Amiri"/>
          <w:color w:val="111111"/>
          <w:sz w:val="28"/>
          <w:szCs w:val="28"/>
          <w:rtl w:val="true"/>
          <w:lang w:bidi="ar-SA"/>
        </w:rPr>
        <w:t xml:space="preserve">. </w:t>
      </w:r>
      <w:bookmarkStart w:id="355" w:name="pg8675_123007"/>
    </w:p>
    <w:p>
      <w:pPr>
        <w:pStyle w:val="BookText"/>
        <w:rPr/>
      </w:pPr>
      <w:bookmarkEnd w:id="355"/>
      <w:r>
        <w:rPr>
          <w:rFonts w:ascii="Amiri" w:hAnsi="Amiri" w:eastAsia="Amiri" w:cs="Amiri"/>
          <w:color w:val="111111"/>
          <w:sz w:val="28"/>
          <w:sz w:val="28"/>
          <w:szCs w:val="28"/>
          <w:rtl w:val="true"/>
          <w:lang w:bidi="ar-SA"/>
        </w:rPr>
        <w:t>وعن أشهب تلميذ مالك أنّه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يفيد قوله الله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ناضِرَةٌ 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ينظرون إلى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أشهب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ناظرة بمعنى منتظرة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بل ينظرون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أَرِني أَنْظُرْ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فترى موسى سأل ربّه محالاً؟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الدنيا؛ لأنّها دار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المثال ترى أنّه فهم النص، كما هوبظاهره، دون تأويل فيه</w:t>
      </w:r>
      <w:r>
        <w:rPr>
          <w:rFonts w:eastAsia="Amiri" w:cs="Amiri" w:ascii="Amiri" w:hAnsi="Amiri"/>
          <w:color w:val="111111"/>
          <w:sz w:val="28"/>
          <w:szCs w:val="28"/>
          <w:rtl w:val="true"/>
          <w:lang w:bidi="ar-SA"/>
        </w:rPr>
        <w:t>.</w:t>
      </w:r>
      <w:r>
        <w:rPr>
          <w:rStyle w:val="FootnoteAnchor"/>
          <w:rtl w:val="true"/>
        </w:rPr>
        <w:footnoteReference w:id="175"/>
      </w:r>
    </w:p>
    <w:p>
      <w:pPr>
        <w:pStyle w:val="Heading5"/>
        <w:numPr>
          <w:ilvl w:val="4"/>
          <w:numId w:val="1"/>
        </w:numPr>
        <w:rPr/>
      </w:pPr>
      <w:bookmarkStart w:id="356" w:name="__RefHeading___Toc2474008_653776707"/>
      <w:bookmarkStart w:id="357" w:name="_Toc128"/>
      <w:bookmarkEnd w:id="356"/>
      <w:r>
        <w:rPr>
          <w:rtl w:val="true"/>
        </w:rPr>
        <w:t>ب</w:t>
      </w:r>
      <w:r>
        <w:rPr>
          <w:rtl w:val="true"/>
        </w:rPr>
        <w:t xml:space="preserve">) </w:t>
      </w:r>
      <w:r>
        <w:rPr>
          <w:rtl w:val="true"/>
        </w:rPr>
        <w:t>المنهج الفقهي لمالك</w:t>
      </w:r>
      <w:r>
        <w:rPr>
          <w:rtl w:val="true"/>
        </w:rPr>
        <w:t>:</w:t>
      </w:r>
      <w:bookmarkEnd w:id="357"/>
    </w:p>
    <w:p>
      <w:pPr>
        <w:pStyle w:val="Heading5"/>
        <w:numPr>
          <w:ilvl w:val="4"/>
          <w:numId w:val="1"/>
        </w:numPr>
        <w:rPr/>
      </w:pPr>
      <w:bookmarkStart w:id="358" w:name="__RefHeading___Toc2474010_653776707"/>
      <w:bookmarkStart w:id="359" w:name="_Toc129"/>
      <w:bookmarkEnd w:id="358"/>
      <w:r>
        <w:rPr/>
        <w:t>1</w:t>
      </w:r>
      <w:r>
        <w:rPr>
          <w:rtl w:val="true"/>
        </w:rPr>
        <w:t xml:space="preserve">) </w:t>
      </w:r>
      <w:r>
        <w:rPr>
          <w:rtl w:val="true"/>
        </w:rPr>
        <w:t>منهج مالك في الحديث</w:t>
      </w:r>
      <w:r>
        <w:rPr>
          <w:rtl w:val="true"/>
        </w:rPr>
        <w:t>:</w:t>
      </w:r>
      <w:bookmarkEnd w:id="359"/>
    </w:p>
    <w:p>
      <w:pPr>
        <w:pStyle w:val="BookText"/>
        <w:rPr/>
      </w:pPr>
      <w:r>
        <w:rPr>
          <w:rFonts w:ascii="Amiri" w:hAnsi="Amiri" w:eastAsia="Amiri" w:cs="Amiri"/>
          <w:color w:val="111111"/>
          <w:sz w:val="28"/>
          <w:sz w:val="28"/>
          <w:szCs w:val="28"/>
          <w:rtl w:val="true"/>
          <w:lang w:bidi="ar-SA"/>
        </w:rPr>
        <w:t>لقد أهتم مالك برجال الرواية وبنصّها، فلم يقبل أيّ رواية، ولوكان الراوي ثقة وأمينا، لأنّه كان يعتقد بأنّ الراوي إضافة لاتصافه بالضبط والعدالة، لابدّ وأن يكون يتمتّع بوزن علمي وأن يحترز عن الروايات الغريبة، وأن ينتقد الروايات، شأنه شأن منامتهن الصيرفة</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وكمثال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بالنسبة إلى ما رواه أبوهريرة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ولغ الكلب في إناء أحدكم فليغسله سبعا إحدا هنّ بالتّراب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يؤكل صيده ويُكره لعابه؟ لا ادري ما حقيقة هذا الخبر؟</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ردّ حديث أبي هريرة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أكل الصائم ناسيا، أوشرب ناسيا فإنّما هورزق ساقه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لعدم‌اتفاقه مع القاعدة العامة، من أنّ الشيء يفوت بفوات </w:t>
      </w:r>
      <w:bookmarkStart w:id="360" w:name="pg8675_123010"/>
    </w:p>
    <w:p>
      <w:pPr>
        <w:pStyle w:val="BookText"/>
        <w:rPr/>
      </w:pPr>
      <w:bookmarkEnd w:id="360"/>
      <w:r>
        <w:rPr>
          <w:rFonts w:ascii="Amiri" w:hAnsi="Amiri" w:eastAsia="Amiri" w:cs="Amiri"/>
          <w:color w:val="111111"/>
          <w:sz w:val="28"/>
          <w:sz w:val="28"/>
          <w:szCs w:val="28"/>
          <w:rtl w:val="true"/>
          <w:lang w:bidi="ar-SA"/>
        </w:rPr>
        <w:t>ركنه، وركن الصوم الإمساك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ردّ ما روي عن عائشة عن‌النبي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مات وعليه صيام صام عنه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لمعارضته لقول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ولاَتَزِرُ وَازِرَةٌ وِزْرَ أُخْرَى</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يرفض المالک إذا الرواية إذا كانت مخالفة لظاهرالقرآن في بعض الموارد، كما هوالأمر بالنسبة لرواية ولوغ الكلب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لكنه عند وجود مؤيّدات، كما في مثال عمل أهل المدينة أووجود الإجماع أوالقياس، فإنّه يعمل بتلك الروايات وإن كانت تخالف ظاهر القرآن؛ لذلك هويقبل حديث النهي عن الجمع بين المرأة وعمّتها وخالتها؛ لانّه مدعوم من الإجماع، رغم أنّه يخالف عموم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واحلّ لكم ما وراء ذلكم</w:t>
      </w:r>
      <w:r>
        <w:rPr>
          <w:rFonts w:eastAsia="Amiri" w:cs="Amiri" w:ascii="Amiri" w:hAnsi="Amiri"/>
          <w:color w:val="111111"/>
          <w:sz w:val="28"/>
          <w:szCs w:val="28"/>
          <w:rtl w:val="true"/>
          <w:lang w:bidi="ar-SA"/>
        </w:rPr>
        <w:t>{.</w:t>
      </w:r>
      <w:r>
        <w:rPr>
          <w:rStyle w:val="FootnoteAnchor"/>
          <w:rtl w:val="true"/>
        </w:rPr>
        <w:footnoteReference w:id="178"/>
      </w:r>
    </w:p>
    <w:p>
      <w:pPr>
        <w:pStyle w:val="Heading5"/>
        <w:numPr>
          <w:ilvl w:val="4"/>
          <w:numId w:val="1"/>
        </w:numPr>
        <w:rPr/>
      </w:pPr>
      <w:bookmarkStart w:id="361" w:name="__RefHeading___Toc2474012_653776707"/>
      <w:bookmarkStart w:id="362" w:name="_Toc130"/>
      <w:bookmarkEnd w:id="361"/>
      <w:r>
        <w:rPr/>
        <w:t>2</w:t>
      </w:r>
      <w:r>
        <w:rPr>
          <w:rtl w:val="true"/>
        </w:rPr>
        <w:t xml:space="preserve">) </w:t>
      </w:r>
      <w:r>
        <w:rPr>
          <w:rtl w:val="true"/>
        </w:rPr>
        <w:t>منهج مالك في المخصص للعمومات</w:t>
      </w:r>
      <w:r>
        <w:rPr>
          <w:rtl w:val="true"/>
        </w:rPr>
        <w:t>:</w:t>
      </w:r>
      <w:bookmarkEnd w:id="362"/>
    </w:p>
    <w:p>
      <w:pPr>
        <w:pStyle w:val="BookText"/>
        <w:rPr/>
      </w:pPr>
      <w:r>
        <w:rPr>
          <w:rFonts w:ascii="Amiri" w:hAnsi="Amiri" w:eastAsia="Amiri" w:cs="Amiri"/>
          <w:color w:val="111111"/>
          <w:sz w:val="28"/>
          <w:sz w:val="28"/>
          <w:szCs w:val="28"/>
          <w:rtl w:val="true"/>
          <w:lang w:bidi="ar-SA"/>
        </w:rPr>
        <w:t>مخصصات العموم عند مالك خمسة عشر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العقل والاجماع والكتاب بالكتاب، والقياس الجلي والخفي، لوكان العام قرآنا أوسنّة متواترة، والسنّة المتواترة بمثلها، والكتاب بالسنّة المتواترة والكتاب بخبر الآحاد والعادات والشرط والاستثناء والصّفة والغاية والاستفهام والحس</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وإن كان العقل والحس مجرّد قرائن، كما ان الاستثناء والشرط والصفة والغاية، ما هي الاّ قيود لا قيم الكلام الاّبه،ا وان كان تقييد العام بها ليس موضع خلاف</w:t>
      </w:r>
      <w:r>
        <w:rPr>
          <w:rFonts w:eastAsia="Amiri" w:cs="Amiri" w:ascii="Amiri" w:hAnsi="Amiri"/>
          <w:color w:val="111111"/>
          <w:sz w:val="28"/>
          <w:szCs w:val="28"/>
          <w:rtl w:val="true"/>
          <w:lang w:bidi="ar-SA"/>
        </w:rPr>
        <w:t xml:space="preserve">. </w:t>
      </w:r>
      <w:bookmarkStart w:id="363" w:name="pg8675_123013"/>
    </w:p>
    <w:p>
      <w:pPr>
        <w:pStyle w:val="Heading5"/>
        <w:numPr>
          <w:ilvl w:val="4"/>
          <w:numId w:val="1"/>
        </w:numPr>
        <w:rPr/>
      </w:pPr>
      <w:bookmarkStart w:id="364" w:name="__RefHeading___Toc2474014_653776707"/>
      <w:bookmarkStart w:id="365" w:name="_Toc131"/>
      <w:bookmarkEnd w:id="363"/>
      <w:bookmarkEnd w:id="364"/>
      <w:r>
        <w:rPr/>
        <w:t>3</w:t>
      </w:r>
      <w:r>
        <w:rPr>
          <w:rtl w:val="true"/>
        </w:rPr>
        <w:t xml:space="preserve">) </w:t>
      </w:r>
      <w:r>
        <w:rPr>
          <w:rtl w:val="true"/>
        </w:rPr>
        <w:t>رأي مالك في الفتاوى الفقهيّة للفقهاء</w:t>
      </w:r>
      <w:r>
        <w:rPr>
          <w:rtl w:val="true"/>
        </w:rPr>
        <w:t>:</w:t>
      </w:r>
      <w:bookmarkEnd w:id="365"/>
    </w:p>
    <w:p>
      <w:pPr>
        <w:pStyle w:val="BookText"/>
        <w:rPr/>
      </w:pPr>
      <w:r>
        <w:rPr>
          <w:rFonts w:ascii="IRNazanin" w:hAnsi="IRNazanin" w:eastAsia="IRNazanin"/>
          <w:color w:val="111111"/>
          <w:sz w:val="28"/>
          <w:sz w:val="28"/>
          <w:szCs w:val="28"/>
          <w:rtl w:val="true"/>
          <w:lang w:bidi="fa-IR"/>
        </w:rPr>
        <w:t>کان مالك ينهى عن التعصّب له وکان يقول إذا استنبط حكما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انظروا فيه فإنّه دين وما من أحدا إلاّ وهومأخوذ من كلامه ومردود عليه، إلاّ صاحب هذه الروضة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أشار إلى قبر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بشر أخطى‌ء وأُصيب، فانظروا في رأيي، كل ما وافق الكتاب والسنّة فخذوا به وما لم يوافق الكتاب والسنّة فاتركوه</w:t>
      </w:r>
      <w:r>
        <w:rPr>
          <w:rFonts w:eastAsia="IRNazanin" w:cs="IRNazanin"/>
          <w:color w:val="111111"/>
          <w:sz w:val="28"/>
          <w:szCs w:val="28"/>
          <w:rtl w:val="true"/>
          <w:lang w:bidi="fa-IR"/>
        </w:rPr>
        <w:t>.</w:t>
      </w:r>
      <w:r>
        <w:rPr>
          <w:rStyle w:val="FootnoteAnchor"/>
          <w:rtl w:val="true"/>
        </w:rPr>
        <w:footnoteReference w:id="180"/>
      </w:r>
    </w:p>
    <w:p>
      <w:pPr>
        <w:pStyle w:val="Heading5"/>
        <w:numPr>
          <w:ilvl w:val="4"/>
          <w:numId w:val="1"/>
        </w:numPr>
        <w:rPr/>
      </w:pPr>
      <w:bookmarkStart w:id="366" w:name="__RefHeading___Toc2474016_653776707"/>
      <w:bookmarkStart w:id="367" w:name="_Toc132"/>
      <w:bookmarkEnd w:id="366"/>
      <w:r>
        <w:rPr/>
        <w:t>4</w:t>
      </w:r>
      <w:r>
        <w:rPr>
          <w:rtl w:val="true"/>
        </w:rPr>
        <w:t xml:space="preserve">) </w:t>
      </w:r>
      <w:r>
        <w:rPr>
          <w:rtl w:val="true"/>
        </w:rPr>
        <w:t>منهج مالك في الإجتهاد بالرأى والمصلحة</w:t>
      </w:r>
      <w:r>
        <w:rPr>
          <w:rtl w:val="true"/>
        </w:rPr>
        <w:t>:</w:t>
      </w:r>
      <w:bookmarkEnd w:id="367"/>
    </w:p>
    <w:p>
      <w:pPr>
        <w:pStyle w:val="BookText"/>
        <w:rPr/>
      </w:pPr>
      <w:r>
        <w:rPr>
          <w:rFonts w:ascii="Amiri" w:hAnsi="Amiri" w:eastAsia="Amiri" w:cs="Amiri"/>
          <w:color w:val="111111"/>
          <w:sz w:val="28"/>
          <w:sz w:val="28"/>
          <w:szCs w:val="28"/>
          <w:rtl w:val="true"/>
          <w:lang w:bidi="ar-SA"/>
        </w:rPr>
        <w:t>برزت نظريتان متعارضتان، بالنسبة لمكانة مدرسة أهل الرأي في الفقه المالكي، ففي حين نقل عن ابن قتيبة وابن‌رشد أنّ مالكا من فقهاء أهل الرأي والقياس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آخرون أنّ مالكا كان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تكلمت بالرأي الاّ في ثلاث مسائل، بل كان يتمنى في مرض الموت أنه لم‌يفتي بالرأي</w:t>
      </w:r>
      <w:r>
        <w:rPr>
          <w:rFonts w:eastAsia="Amiri" w:cs="Amiri" w:ascii="Amiri" w:hAnsi="Amiri"/>
          <w:color w:val="111111"/>
          <w:sz w:val="28"/>
          <w:szCs w:val="28"/>
          <w:rtl w:val="true"/>
          <w:lang w:bidi="ar-SA"/>
        </w:rPr>
        <w:t>.</w:t>
      </w:r>
      <w:r>
        <w:rPr>
          <w:rStyle w:val="FootnoteAnchor"/>
          <w:rtl w:val="true"/>
        </w:rPr>
        <w:footnoteReference w:id="181"/>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حاول بعض المحققين الجمع بين هذين الرأيين،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الذمّ هوفيمايخصّ العمل بالرأى والفكر الشخصي في العقائد والمسائل الكلامية؛</w:t>
      </w:r>
      <w:r>
        <w:rPr>
          <w:rStyle w:val="FootnoteAnchor"/>
          <w:rtl w:val="true"/>
        </w:rPr>
        <w:footnoteReference w:id="182"/>
      </w:r>
      <w:r>
        <w:rPr>
          <w:rFonts w:ascii="Amiri" w:hAnsi="Amiri" w:eastAsia="Amiri" w:cs="Amiri"/>
          <w:color w:val="111111"/>
          <w:sz w:val="28"/>
          <w:sz w:val="28"/>
          <w:szCs w:val="28"/>
          <w:rtl w:val="true"/>
          <w:lang w:bidi="ar-SA"/>
        </w:rPr>
        <w:t>لكنه في المسائل الفقهية يعتقد بالإجتهاد في الرأي ولاينكر مدرسة أهل الرأي، إلا أنّه لايستند إلى القياس والرأي بالمستوى الّذي يذهب إليه أبوحنيفة من كثرة استخدامه، فهويتمسك بالمصالح المرسلة أكثر من كل شيء، إذا ما فقد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يعتقد المحققون في المذهب المالكي</w:t>
      </w:r>
      <w:r>
        <w:rPr>
          <w:rFonts w:eastAsia="Amiri" w:cs="Amiri" w:ascii="Amiri" w:hAnsi="Amiri"/>
          <w:color w:val="111111"/>
          <w:sz w:val="28"/>
          <w:szCs w:val="28"/>
          <w:rtl w:val="true"/>
          <w:lang w:bidi="ar-SA"/>
        </w:rPr>
        <w:t xml:space="preserve">: </w:t>
      </w:r>
      <w:bookmarkStart w:id="368" w:name="pg8675_123016"/>
    </w:p>
    <w:p>
      <w:pPr>
        <w:pStyle w:val="BookText"/>
        <w:rPr/>
      </w:pPr>
      <w:bookmarkEnd w:id="368"/>
      <w:r>
        <w:rPr>
          <w:rFonts w:ascii="Amiri" w:hAnsi="Amiri" w:eastAsia="Amiri" w:cs="Amiri"/>
          <w:color w:val="111111"/>
          <w:sz w:val="28"/>
          <w:sz w:val="28"/>
          <w:szCs w:val="28"/>
          <w:rtl w:val="true"/>
          <w:lang w:bidi="ar-SA"/>
        </w:rPr>
        <w:t>أن مالك فقيه رأى، كما هوفقيه أثر، وإنّ المصلحة عنده مقياس ضابط والمصلحة عند مالك، فهي عنده الأساس والمقياس الضابط عند إنعدام النص</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بعض المالكية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المصالح المرسلة تخصص عمومات الكتاب ومن ذلك قول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إلزام‌المرأة الشريفة بالارضاع إذا قبل الطفل الرضاع من غيرها، وذلك محافظة على جمالها</w:t>
      </w:r>
      <w:r>
        <w:rPr>
          <w:rFonts w:eastAsia="Amiri" w:cs="Amiri" w:ascii="Amiri" w:hAnsi="Amiri"/>
          <w:color w:val="111111"/>
          <w:sz w:val="28"/>
          <w:szCs w:val="28"/>
          <w:rtl w:val="true"/>
          <w:lang w:bidi="ar-SA"/>
        </w:rPr>
        <w:t>».</w:t>
      </w:r>
      <w:r>
        <w:rPr>
          <w:rStyle w:val="FootnoteAnchor"/>
          <w:rtl w:val="true"/>
        </w:rPr>
        <w:footnoteReference w:id="184"/>
      </w:r>
    </w:p>
    <w:p>
      <w:pPr>
        <w:pStyle w:val="Heading5"/>
        <w:numPr>
          <w:ilvl w:val="4"/>
          <w:numId w:val="1"/>
        </w:numPr>
        <w:rPr/>
      </w:pPr>
      <w:bookmarkStart w:id="369" w:name="__RefHeading___Toc2474018_653776707"/>
      <w:bookmarkStart w:id="370" w:name="_Toc133"/>
      <w:bookmarkEnd w:id="369"/>
      <w:r>
        <w:rPr/>
        <w:t>5</w:t>
      </w:r>
      <w:r>
        <w:rPr>
          <w:rtl w:val="true"/>
        </w:rPr>
        <w:t xml:space="preserve">) </w:t>
      </w:r>
      <w:r>
        <w:rPr>
          <w:rtl w:val="true"/>
        </w:rPr>
        <w:t>نماذج من فتاوی المذهب المالکی</w:t>
      </w:r>
      <w:bookmarkEnd w:id="3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أقلّ مدّة للاعتكاف هي يوم وليلة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لايناب في الحج عن الآخرين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الوداع مستحب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الطواف واجبة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العقد لازمة، إلاّ للأب، فلا يمكن الرجوع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يستحب حضور شاهدين في عقد النكاح لكن يجب حضور الشاهد للدخول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يحلّ لحم الطّائر الّذي له مخالب ويكره لحم الحيوانات المفترسة مثل الأسد والنمر والقطة، ويحرم أكل الحشرات إذا كانت مضرّة وإلاّ 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وتحلّ جميع الحيوانات البحرية والحيوان الموطوء</w:t>
      </w:r>
      <w:r>
        <w:rPr>
          <w:rFonts w:eastAsia="Amiri" w:cs="Amiri" w:ascii="Amiri" w:hAnsi="Amiri"/>
          <w:color w:val="111111"/>
          <w:sz w:val="28"/>
          <w:szCs w:val="28"/>
          <w:rtl w:val="true"/>
          <w:lang w:bidi="ar-SA"/>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1" w:name="pg8675_123022"/>
      <w:bookmarkStart w:id="372" w:name="pg8675_123022"/>
      <w:bookmarkEnd w:id="372"/>
    </w:p>
    <w:p>
      <w:pPr>
        <w:pStyle w:val="Heading3"/>
        <w:numPr>
          <w:ilvl w:val="2"/>
          <w:numId w:val="1"/>
        </w:numPr>
        <w:rPr/>
      </w:pPr>
      <w:bookmarkStart w:id="373" w:name="pg8675_123022"/>
      <w:bookmarkStart w:id="374" w:name="__RefHeading___Toc2474020_653776707"/>
      <w:bookmarkStart w:id="375" w:name="_Toc134"/>
      <w:bookmarkEnd w:id="373"/>
      <w:bookmarkEnd w:id="374"/>
      <w:r>
        <w:rPr>
          <w:rtl w:val="true"/>
        </w:rPr>
        <w:t>الفصل الخامس مدرسة الشافعي ومنهجه في الإجتهاد مجالات البحث في المذهب الشافعي</w:t>
      </w:r>
      <w:r>
        <w:rPr>
          <w:rtl w:val="true"/>
        </w:rPr>
        <w:t>:</w:t>
      </w:r>
      <w:bookmarkEnd w:id="375"/>
    </w:p>
    <w:p>
      <w:pPr>
        <w:pStyle w:val="Heading4"/>
        <w:numPr>
          <w:ilvl w:val="3"/>
          <w:numId w:val="1"/>
        </w:numPr>
        <w:rPr/>
      </w:pPr>
      <w:bookmarkStart w:id="376" w:name="__RefHeading___Toc2474022_653776707"/>
      <w:bookmarkStart w:id="377" w:name="_Toc135"/>
      <w:bookmarkEnd w:id="376"/>
      <w:r>
        <w:rPr>
          <w:rtl w:val="true"/>
        </w:rPr>
        <w:t>اشارة</w:t>
      </w:r>
      <w:bookmarkEnd w:id="3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مؤسس المذهب الشافعي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منطلق المذهب الشافعي وأماكن انتشاره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الأسس الرئيسيّة للمذهب الشافعي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إطلالة على المنهج الفقهي والكلامي للمذهب الشافعي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نماذج من الفتاوى التي إنفرد بها المذهب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وسنحاول توضيح المحاور أعلاه وبحثها فيما يلى</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2474024_653776707"/>
      <w:bookmarkStart w:id="379" w:name="_Toc136"/>
      <w:bookmarkEnd w:id="378"/>
      <w:r>
        <w:rPr/>
        <w:t>1</w:t>
      </w:r>
      <w:r>
        <w:rPr>
          <w:rtl w:val="true"/>
        </w:rPr>
        <w:t xml:space="preserve">) </w:t>
      </w:r>
      <w:r>
        <w:rPr>
          <w:rtl w:val="true"/>
        </w:rPr>
        <w:t>مؤسس المذهب الشافعي</w:t>
      </w:r>
      <w:r>
        <w:rPr>
          <w:rtl w:val="true"/>
        </w:rPr>
        <w:t>:</w:t>
      </w:r>
      <w:bookmarkEnd w:id="379"/>
    </w:p>
    <w:p>
      <w:pPr>
        <w:pStyle w:val="BookText"/>
        <w:rPr/>
      </w:pPr>
      <w:r>
        <w:rPr>
          <w:rFonts w:ascii="IRNazanin" w:hAnsi="IRNazanin" w:eastAsia="IRNazanin"/>
          <w:color w:val="111111"/>
          <w:sz w:val="28"/>
          <w:sz w:val="28"/>
          <w:szCs w:val="28"/>
          <w:rtl w:val="true"/>
          <w:lang w:bidi="fa-IR"/>
        </w:rPr>
        <w:t>محمد بن ادريس الشافعي هومؤسس المذهب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ينتهى نسبه إلى عبد مناف بن قصيّ بن كلاب؛ ولذلك‌يعدّونه من هذا الجانب قرشيا يتحدّ في هذا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 نسبه، كما يلي</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ادريس بن‌العباس بن عثمان بن شافع بن‌السائب بن عبيد بن عبد يزيد </w:t>
      </w:r>
    </w:p>
    <w:p>
      <w:pPr>
        <w:pStyle w:val="BookText"/>
        <w:rPr/>
      </w:pPr>
      <w:r>
        <w:rPr>
          <w:rFonts w:ascii="IRNazanin" w:hAnsi="IRNazanin" w:eastAsia="IRNazanin"/>
          <w:color w:val="111111"/>
          <w:sz w:val="28"/>
          <w:sz w:val="28"/>
          <w:szCs w:val="28"/>
          <w:rtl w:val="true"/>
          <w:lang w:bidi="fa-IR"/>
        </w:rPr>
        <w:t>بن هاشم بن‌المطلب بن عبد مناف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فاستنادا لما ذكر، فإن إطلاق اسم الشافعي عليه، إنما هونسبة لجدّه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سائب بن عبيد أبوشافع‌من أسرى المشركين في حرب بدر، فيما يعدّ عثمان بن شافع من التابعين</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ولد الشافعي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نفس العام الّذي توفي فيه أبوحنيفة وكانت ولادته في مدينة غزّة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ولد الشافعي يتيما، فتعهدته أمه في غزّه فلمّا بلغ الثانية أخذته إلى مكة موطن أجدادة فتعلّم هناك الشعر والأدب والرماية وحفظ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وحضر درس سفيان بن عيينة ومسلم بن خالد الزنجي في الفقه والحديث، ليمنحه مسلم بن‌خالد إجازة الإفتاء في الحرم المكي، وهوفي عنفوان شبابه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حفظ الشافعي موطّأ مالك بن أنس وهوفي مكة، ثم سافر إلى المدينة المنورة وحضر درس مالك مدّة تسع‌سنوات، بحيث صار يعدّ من أصحاب مالك، وبعد وفاة مالك في سنة </w:t>
      </w:r>
      <w:r>
        <w:rPr>
          <w:rFonts w:eastAsia="IRNazanin" w:cs="IRNazanin"/>
          <w:color w:val="111111"/>
          <w:sz w:val="28"/>
          <w:szCs w:val="28"/>
          <w:rtl w:val="true"/>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انتقل إلى اليمن، وذلك للضيق الّذي كان يعاني منه، ثم نال مناصب حكومية، بعد أن أعانه على ذلك قاضى اليمن مصعب بن عبدالله القرشي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وقدقال بعض المورخين عن تلك الحقبة الزمنية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الخليفة في ذلك الوقت هارون الرشيد، وكان التنافس شديدا بين آل العباس وآل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الرشيد شديد الحذر والإحتراس والخوف من حركات العلويين ومن يعاونهم، ويأخذ على </w:t>
      </w:r>
    </w:p>
    <w:p>
      <w:pPr>
        <w:pStyle w:val="BookText"/>
        <w:rPr/>
      </w:pPr>
      <w:r>
        <w:rPr>
          <w:rFonts w:ascii="Amiri" w:hAnsi="Amiri" w:eastAsia="Amiri" w:cs="Amiri"/>
          <w:color w:val="111111"/>
          <w:sz w:val="28"/>
          <w:sz w:val="28"/>
          <w:szCs w:val="28"/>
          <w:rtl w:val="true"/>
          <w:lang w:bidi="ar-SA"/>
        </w:rPr>
        <w:t>ذلك بالظنّة والتهمة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وبما إنّ اليمن كانت تمثل مركز أمن من مراكز التشيّع، فقد تمّ اتّهام الشافعي بالتشيع من قبل قاضي صنعاء، فأقصى وأبعد مع مجموعة سنة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هارون الّذي كان في الرقّة من أرض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یومها اراضی سوریا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استطاع أن يدفع هذه التهمة عن نفسه، رغم أنّه كان محبّا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هذه العلاقة لم تصل إلى الحدّ الّذي يمكن إعتباره شيعيا</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وبعد أن رفع التهمة عنه، تعرف إلى الفقهاء الحنفيين في العراق ومنهم محمد بن‌الحسن الشيباني من أصحاب أبى حنيفة، وقد ساهم تعرّفه عليهم في الاطلاع على مدرسة أهل الرأى، إضافة إلى مدرسة أهل الحديث؛ ولذلك أسّس بعد تركه العراق وعودته اِلى مكّة مدرسة تمتزج فيها مدرستا الرأى والحديث</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عاد الشافعي مرة أخرى إلى العراق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 هارون وبدأ حكم الأمين ليبقى هناك سنتين طرح خلالهما مذهبه الّذي اشتهر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الشافعي القديم، ثم عاد إلى الحجاز بعد ان كان قد اشتهر في بغداد وارتضى بعض العلماء منهجه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 للمرة الثالثة إلى العراق، وأقام فيه عدّة أشهر، ثم اتجه من‌العراق إلى مصر، ونشر في الفسطاط آرائه الفقهيّة بين المصريين الذين كانوا من أتباع المذهب المالكي، وبذلك‌استطاع أن ينشر مذهبا </w:t>
      </w:r>
      <w:bookmarkStart w:id="380" w:name="pg8675_123031"/>
    </w:p>
    <w:p>
      <w:pPr>
        <w:pStyle w:val="BookText"/>
        <w:rPr/>
      </w:pPr>
      <w:bookmarkEnd w:id="380"/>
      <w:r>
        <w:rPr>
          <w:rFonts w:ascii="IRNazanin" w:hAnsi="IRNazanin" w:eastAsia="IRNazanin"/>
          <w:color w:val="111111"/>
          <w:sz w:val="28"/>
          <w:sz w:val="28"/>
          <w:szCs w:val="28"/>
          <w:rtl w:val="true"/>
          <w:lang w:bidi="fa-IR"/>
        </w:rPr>
        <w:t xml:space="preserve">جديدا، وبقى فی مصر إلى سنة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حیث توفي هناك</w:t>
      </w:r>
      <w:r>
        <w:rPr>
          <w:rFonts w:eastAsia="IRNazanin" w:cs="IRNazanin"/>
          <w:color w:val="111111"/>
          <w:sz w:val="28"/>
          <w:szCs w:val="28"/>
          <w:rtl w:val="true"/>
          <w:lang w:bidi="fa-IR"/>
        </w:rPr>
        <w:t>.</w:t>
      </w:r>
      <w:r>
        <w:rPr>
          <w:rStyle w:val="FootnoteAnchor"/>
          <w:rtl w:val="true"/>
        </w:rPr>
        <w:footnoteReference w:id="187"/>
      </w:r>
    </w:p>
    <w:p>
      <w:pPr>
        <w:pStyle w:val="Heading4"/>
        <w:numPr>
          <w:ilvl w:val="3"/>
          <w:numId w:val="1"/>
        </w:numPr>
        <w:rPr/>
      </w:pPr>
      <w:bookmarkStart w:id="381" w:name="__RefHeading___Toc2474026_653776707"/>
      <w:bookmarkStart w:id="382" w:name="_Toc137"/>
      <w:bookmarkEnd w:id="381"/>
      <w:r>
        <w:rPr/>
        <w:t>2</w:t>
      </w:r>
      <w:r>
        <w:rPr>
          <w:rtl w:val="true"/>
        </w:rPr>
        <w:t xml:space="preserve">) </w:t>
      </w:r>
      <w:r>
        <w:rPr>
          <w:rtl w:val="true"/>
        </w:rPr>
        <w:t>منطلق المذهب الشافعي وأماكن انتشاره</w:t>
      </w:r>
      <w:r>
        <w:rPr>
          <w:rtl w:val="true"/>
        </w:rPr>
        <w:t>:</w:t>
      </w:r>
      <w:bookmarkEnd w:id="382"/>
    </w:p>
    <w:p>
      <w:pPr>
        <w:pStyle w:val="BookText"/>
        <w:rPr/>
      </w:pPr>
      <w:r>
        <w:rPr>
          <w:rFonts w:ascii="Amiri" w:hAnsi="Amiri" w:eastAsia="Amiri" w:cs="Amiri"/>
          <w:color w:val="111111"/>
          <w:sz w:val="28"/>
          <w:sz w:val="28"/>
          <w:szCs w:val="28"/>
          <w:rtl w:val="true"/>
          <w:lang w:bidi="ar-SA"/>
        </w:rPr>
        <w:t>رغم أن الشافعي كان يعتبر نفسه تلميذا ومتبعا لمذهب مالك بن أنس، إلاّ أنّه وبعد الدخول إلى العراق في المرّة الثانية ترك منهجية استاذه، وبدأ بتأسيس مذهب جديد، يعدّ وسطا بين مدرسة أهل الرأي ومدرسة أهل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وكمثال لهذا التوجه نراه، مرة، يعارض أبا حنيفة الّذي يشترط شروطا عسيرة للعمل بالحديث ويقدم العمل بالقياس على الخبر الواحد، إلى درجة حكى هوعن نفسه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في بغداد يلقبونني بناصر السُنّة</w:t>
      </w:r>
      <w:r>
        <w:rPr>
          <w:rFonts w:eastAsia="Amiri" w:cs="Amiri" w:ascii="Amiri" w:hAnsi="Amiri"/>
          <w:color w:val="111111"/>
          <w:sz w:val="28"/>
          <w:szCs w:val="28"/>
          <w:rtl w:val="true"/>
          <w:lang w:bidi="ar-SA"/>
        </w:rPr>
        <w:t>».</w:t>
      </w:r>
      <w:r>
        <w:rPr>
          <w:rStyle w:val="FootnoteAnchor"/>
          <w:rtl w:val="true"/>
        </w:rPr>
        <w:footnoteReference w:id="188"/>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من جانب، ومن جانب آخر، فهويخالف مالك الّذي يترك الرواية الصحيحة لعمل أهل المدينة بما يخالفها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فالمنهجية التي انتهجها الشافعي، فی مقابل مسلك الحجازيين والعراقيين جعلت له اتباعا في العراق ومصر، فنشا وظهر من‌خلال منهجه، ومسلكه الفقهي فقهاء لامعون 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أصحابه العراقيين الذين يمكن الإشارة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خالد الكابلي وأحمدبن حنبل، والحسن بن محمّد الزعفراني والحسين بن علي الكرابيس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بين تلامذته المصريين، هناك فقهاء كبار من قبيل، يوسف بن يحيى البويطي المصري واسماعيل بن‌يحيى المزني الّذي قال الشافعي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المزني ناصر مذهبه، وهوالّذي ألّف الكتب التي عليها مدار مذهب الشافعي، وربيع بن سليمانالمرادي ومحمد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قد ثبّت في التاريخ</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لقد ترك الشافعي كتبا كثيرةً في الفقه والأصول والحديث، وقد كان لها التأثير الكبير في تكوين مذهبه، ومن أشهرهذه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أغلب المورخين من أهل العامّة أنّ الشافعي هوأوّل من دوّن الأصول؛ ولذلك أطلق على فقهه الفقه المنظم، والّذي نظّمه لأوّل مرّة خلال قواعد وأصول</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رغم أنّ محققي الإمامية يرفضون هذا الرأى ويرون أنّ هشام بن الحكم هوأوّل من كانت له تأليفات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وللرجل رسالتان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الألفاظ ومباحثها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وكيف تصحّ</w:t>
      </w:r>
      <w:r>
        <w:rPr>
          <w:rFonts w:eastAsia="Amiri" w:cs="Amiri" w:ascii="Amiri" w:hAnsi="Amiri"/>
          <w:color w:val="111111"/>
          <w:sz w:val="28"/>
          <w:szCs w:val="28"/>
          <w:rtl w:val="true"/>
          <w:lang w:bidi="ar-SA"/>
        </w:rPr>
        <w:t>».</w:t>
      </w:r>
      <w:r>
        <w:rPr>
          <w:rStyle w:val="FootnoteAnchor"/>
          <w:rtl w:val="true"/>
        </w:rPr>
        <w:footnoteReference w:id="191"/>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ومضافا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يعدّ أهم كتاب فقهى شافعى، فهناك مؤلفات أخرى للمذهب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إبراهيم بن محمد الشيرازي، ونصّ أبي شجاع،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الغاية والتقريب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أحمد بن حسين الإصفهاني،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الطالبين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الحاوي للفتاوى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عبدالرحمن بن أبي بكر السيوطي، وهومن أهم المؤلفات </w:t>
      </w:r>
      <w:bookmarkStart w:id="383" w:name="pg8675_123037"/>
    </w:p>
    <w:p>
      <w:pPr>
        <w:pStyle w:val="BookText"/>
        <w:rPr/>
      </w:pPr>
      <w:bookmarkEnd w:id="383"/>
      <w:r>
        <w:rPr>
          <w:rFonts w:ascii="Amiri" w:hAnsi="Amiri" w:eastAsia="Amiri" w:cs="Amiri"/>
          <w:color w:val="111111"/>
          <w:sz w:val="28"/>
          <w:sz w:val="28"/>
          <w:szCs w:val="28"/>
          <w:rtl w:val="true"/>
          <w:lang w:bidi="ar-SA"/>
        </w:rPr>
        <w:t>التي دوّنت فيالمذهب الشافعي</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والمزايا التي تمتع بها المذهب الشافعي هی السبب في غلبته على المذهب المالكي في مناطق عديدة كمصر وغيرها</w:t>
      </w:r>
      <w:r>
        <w:rPr>
          <w:rFonts w:eastAsia="IRNazanin" w:cs="IRNazanin"/>
          <w:color w:val="111111"/>
          <w:sz w:val="28"/>
          <w:szCs w:val="28"/>
          <w:rtl w:val="true"/>
          <w:lang w:bidi="fa-IR"/>
        </w:rPr>
        <w:t>.</w:t>
      </w:r>
    </w:p>
    <w:p>
      <w:pPr>
        <w:pStyle w:val="Heading4"/>
        <w:numPr>
          <w:ilvl w:val="3"/>
          <w:numId w:val="1"/>
        </w:numPr>
        <w:rPr/>
      </w:pPr>
      <w:bookmarkStart w:id="384" w:name="__RefHeading___Toc2474028_653776707"/>
      <w:bookmarkStart w:id="385" w:name="_Toc138"/>
      <w:bookmarkEnd w:id="384"/>
      <w:r>
        <w:rPr/>
        <w:t>3</w:t>
      </w:r>
      <w:r>
        <w:rPr>
          <w:rtl w:val="true"/>
        </w:rPr>
        <w:t xml:space="preserve">) </w:t>
      </w:r>
      <w:r>
        <w:rPr>
          <w:rtl w:val="true"/>
        </w:rPr>
        <w:t>الأسس الرئيسيّة في المذهب الشافعي</w:t>
      </w:r>
      <w:r>
        <w:rPr>
          <w:rtl w:val="true"/>
        </w:rPr>
        <w:t>:</w:t>
      </w:r>
      <w:bookmarkEnd w:id="385"/>
    </w:p>
    <w:p>
      <w:pPr>
        <w:pStyle w:val="Heading5"/>
        <w:numPr>
          <w:ilvl w:val="4"/>
          <w:numId w:val="1"/>
        </w:numPr>
        <w:rPr/>
      </w:pPr>
      <w:bookmarkStart w:id="386" w:name="__RefHeading___Toc2474030_653776707"/>
      <w:bookmarkStart w:id="387" w:name="_Toc139"/>
      <w:bookmarkEnd w:id="386"/>
      <w:r>
        <w:rPr>
          <w:rtl w:val="true"/>
        </w:rPr>
        <w:t>اشارة</w:t>
      </w:r>
      <w:bookmarkEnd w:id="387"/>
    </w:p>
    <w:p>
      <w:pPr>
        <w:pStyle w:val="BookText"/>
        <w:rPr/>
      </w:pPr>
      <w:r>
        <w:rPr>
          <w:rFonts w:ascii="IRNazanin" w:hAnsi="IRNazanin" w:eastAsia="IRNazanin"/>
          <w:color w:val="111111"/>
          <w:sz w:val="28"/>
          <w:sz w:val="28"/>
          <w:szCs w:val="28"/>
          <w:rtl w:val="true"/>
          <w:lang w:bidi="fa-IR"/>
        </w:rPr>
        <w:t>لقد ذکر من تتبّع المذهب الفقهي للشافعي ومنهجه الإجتهادي أن الأصول الأساسية للإستنباط في هذا المذهب بما يلي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يرى الشافعي كبقيّة الفقهاء أن القرآن هوفي قمّة المصادر الفقهيّة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الاحتجاج بظواهره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أقيم الدليل على إرادة خلاف الظاهر، ويقسّم الشافعي البيانات القرآنية إلى مالايحتاج إلى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ومایحتاج الی السنة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وتعدّ السنّة أهم مصدر للإستنباط بعد القرآن؛ حيث یرای بأمكانها بيان المجمل والعام والخاص للقرآن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ويدافع الشافعي بشدة عن نظرية العمل بخبر الواحد، ويعتقد بأنّ الراوى إذا كان ثقة وظابطا وكان سند الحديث متصلاً بالرسول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فينبغى العمل بتلك الرواية، وبذلك يشكل على أبى حنيفة الّذي يقدّم القياس على مثل هذه‌الرواية، لأن الرواية الصحيحة، ينبغي اتباعها، كما هوالحال بالنسبة للقرآن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فالشافعي يرفض الشروط التي أوردها العراقيون، حيث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الشهرة شرط الحجية، أوما إعتبره مالك من اشتراط عمل الأصحاب في صحتها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ويرى الشافعي أنّ هذه الشروط مرفوضة ويؤمن بأنّ السنّة الصحيحة هي في حكم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أن الشافعي لايعمل بالروايات المرسلة، إلاّ إذا كانت كمراسيل سعيد بن المسيّب</w:t>
      </w:r>
      <w:r>
        <w:rPr>
          <w:rFonts w:eastAsia="Amiri" w:cs="Amiri" w:ascii="Amiri" w:hAnsi="Amiri"/>
          <w:color w:val="111111"/>
          <w:sz w:val="28"/>
          <w:szCs w:val="28"/>
          <w:rtl w:val="true"/>
          <w:lang w:bidi="ar-SA"/>
        </w:rPr>
        <w:t>.</w:t>
      </w:r>
      <w:r>
        <w:rPr>
          <w:rStyle w:val="FootnoteAnchor"/>
        </w:rPr>
        <w:footnoteReference w:id="193"/>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الشافعي يرى بأنّ الاجماع من الأصول ومن مصادر الإستنباط؛ لكنّه يقدّم تفسيرا خاصّا عنه، فهويعتقد بأنّ العلم بالإتفاق مادامه غير ممكن إذا فصرِفُ عدم العلم بالخلاف إجماع وحجّة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فهويرفض ما كان يراه مالك من أن الإجماع لايتحقق إلاّ من قبل أهل المدينة</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النصّ والإجماع، فإنّ قول الصحابة مصدر للإستنباط ويتقدم على القياس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فهويعتقد على ماورد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كان الكتاب والسنة موجودين فالعذر عمّن سمعهما مقطوع إلاّ باتباعهما فإذا لم يكن ذلك، صرنا إلى أقاويل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أوواحدٍ منهم ثم كان قول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بكر أوعمر أوعثمان أذا صرنا فيه إلى التقليد أحبّ إلينا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ئخلاصة مسلك الشافعي في إعتبار قول الصحابي هوما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يأخذ بما أجمع </w:t>
      </w:r>
      <w:bookmarkStart w:id="388" w:name="pg8675_123043"/>
    </w:p>
    <w:p>
      <w:pPr>
        <w:pStyle w:val="BookText"/>
        <w:rPr/>
      </w:pPr>
      <w:bookmarkEnd w:id="388"/>
      <w:r>
        <w:rPr>
          <w:rFonts w:ascii="Amiri" w:hAnsi="Amiri" w:eastAsia="Amiri" w:cs="Amiri"/>
          <w:color w:val="111111"/>
          <w:sz w:val="28"/>
          <w:sz w:val="28"/>
          <w:szCs w:val="28"/>
          <w:rtl w:val="true"/>
          <w:lang w:bidi="ar-SA"/>
        </w:rPr>
        <w:t>عليه أصحابه، وبما يقوله واحدٌ منهم دون أن يكون لغيره موافقة فيه، أومخالفة، أمّا ما يختلفون، فيه فأنّه تميّز من أقوالهم بحيث لايخرج عنها وإنّ أساس الإختيار وجود دليل آخر يعضده</w:t>
      </w:r>
      <w:r>
        <w:rPr>
          <w:rFonts w:eastAsia="Amiri" w:cs="Amiri" w:ascii="Amiri" w:hAnsi="Amiri"/>
          <w:color w:val="111111"/>
          <w:sz w:val="28"/>
          <w:szCs w:val="28"/>
          <w:rtl w:val="true"/>
          <w:lang w:bidi="ar-SA"/>
        </w:rPr>
        <w:t>».</w:t>
      </w:r>
      <w:r>
        <w:rPr>
          <w:rStyle w:val="FootnoteAnchor"/>
        </w:rPr>
        <w:footnoteReference w:id="195"/>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الشافعي أوّل من تكلّم في القياس وضَبَطَ قواعده وبيّنها، وقد وقف الشافعي موقفا وسطا بين تشدّد مالك وتوسّع أبي حنيفة، واشترط في الأخذ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علّته منضبطة، ولايكون في المسألة حديث صحيح ولوكان‌من أخبار الاحاد</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ويعتبر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القياس إجتهاد بعينه</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بالتتبّع في فروع مذهب الشافعي يظهر أن الإستصحاب هوأيضا من مصادر الأحكام في مذهبه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الشافعي متأثر بصورة واضحة في عرف زمانه، ففي بعض الموارد يرجع عن العرف العراقي ويجعل العرف المصري أساسا لعمله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أنّ العرف يعدّ من المصادر والأصول المعتبرة في الإستنباط عند الشافعي</w:t>
      </w:r>
      <w:r>
        <w:rPr>
          <w:rFonts w:eastAsia="Amiri" w:cs="Amiri" w:ascii="Amiri" w:hAnsi="Amiri"/>
          <w:color w:val="111111"/>
          <w:sz w:val="28"/>
          <w:szCs w:val="28"/>
          <w:rtl w:val="true"/>
          <w:lang w:bidi="ar-SA"/>
        </w:rPr>
        <w:t>.</w:t>
      </w:r>
    </w:p>
    <w:p>
      <w:pPr>
        <w:pStyle w:val="Heading5"/>
        <w:numPr>
          <w:ilvl w:val="4"/>
          <w:numId w:val="1"/>
        </w:numPr>
        <w:rPr/>
      </w:pPr>
      <w:bookmarkStart w:id="389" w:name="__RefHeading___Toc2474032_653776707"/>
      <w:bookmarkStart w:id="390" w:name="_Toc140"/>
      <w:bookmarkEnd w:id="389"/>
      <w:r>
        <w:rPr>
          <w:rtl w:val="true"/>
        </w:rPr>
        <w:t>مذهب الشافعي والاستحسان</w:t>
      </w:r>
      <w:r>
        <w:rPr>
          <w:rtl w:val="true"/>
        </w:rPr>
        <w:t>:</w:t>
      </w:r>
      <w:bookmarkEnd w:id="39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 عن الشافعي أنّه لا يأخذ بالاستحسان، ويعتقد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استحسن فقد 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391" w:name="pg8675_123046"/>
    </w:p>
    <w:p>
      <w:pPr>
        <w:pStyle w:val="BookText"/>
        <w:rPr/>
      </w:pPr>
      <w:bookmarkEnd w:id="391"/>
      <w:r>
        <w:rPr>
          <w:rFonts w:ascii="Amiri" w:hAnsi="Amiri" w:eastAsia="Amiri" w:cs="Amiri"/>
          <w:color w:val="111111"/>
          <w:sz w:val="28"/>
          <w:sz w:val="28"/>
          <w:szCs w:val="28"/>
          <w:rtl w:val="true"/>
          <w:lang w:bidi="ar-SA"/>
        </w:rPr>
        <w:t xml:space="preserve">ويقول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من‌قال بالاستحسان فقد قال قولاً عظيما</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هذا رغم أنّ بعض المحققين يرى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الاستحسان الّذي حاربه الشافعي هوالقول بالهوى، خاصّة أنه قد عرّفه قديما بأنّه عبارة عن دليل ينقدح، في نفس المجتهد، لايقدر على إظهاره لعدم مساعدة العبارة عنه</w:t>
      </w:r>
      <w:r>
        <w:rPr>
          <w:rFonts w:eastAsia="Amiri" w:cs="Amiri" w:ascii="Amiri" w:hAnsi="Amiri"/>
          <w:color w:val="111111"/>
          <w:sz w:val="28"/>
          <w:szCs w:val="28"/>
          <w:rtl w:val="true"/>
          <w:lang w:bidi="ar-SA"/>
        </w:rPr>
        <w:t>».</w:t>
      </w:r>
      <w:r>
        <w:rPr>
          <w:rStyle w:val="FootnoteAnchor"/>
          <w:rtl w:val="true"/>
        </w:rPr>
        <w:footnoteReference w:id="199"/>
      </w:r>
    </w:p>
    <w:p>
      <w:pPr>
        <w:pStyle w:val="Heading5"/>
        <w:numPr>
          <w:ilvl w:val="4"/>
          <w:numId w:val="1"/>
        </w:numPr>
        <w:rPr/>
      </w:pPr>
      <w:bookmarkStart w:id="392" w:name="__RefHeading___Toc2474034_653776707"/>
      <w:bookmarkStart w:id="393" w:name="_Toc141"/>
      <w:bookmarkEnd w:id="392"/>
      <w:r>
        <w:rPr>
          <w:rtl w:val="true"/>
        </w:rPr>
        <w:t>مذهب الشافعي والمصالح المرسلة</w:t>
      </w:r>
      <w:r>
        <w:rPr>
          <w:rtl w:val="true"/>
        </w:rPr>
        <w:t>:</w:t>
      </w:r>
      <w:bookmarkEnd w:id="393"/>
    </w:p>
    <w:p>
      <w:pPr>
        <w:pStyle w:val="BookText"/>
        <w:rPr/>
      </w:pPr>
      <w:r>
        <w:rPr>
          <w:rFonts w:ascii="Amiri" w:hAnsi="Amiri" w:eastAsia="Amiri" w:cs="Amiri"/>
          <w:color w:val="111111"/>
          <w:sz w:val="28"/>
          <w:sz w:val="28"/>
          <w:szCs w:val="28"/>
          <w:rtl w:val="true"/>
          <w:lang w:bidi="ar-SA"/>
        </w:rPr>
        <w:t xml:space="preserve">لايرى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للمذهب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الإستصلاح والمصالح المرسلة، هذا رغم أنّه لايرفض هذا المبدأ بشكل كلّي، بل يعتبر المصالح المرسلة؟ مصدرا إذا كانت تشبه مصلحة معتبرة؟ بإجماع أونص</w:t>
      </w:r>
      <w:r>
        <w:rPr>
          <w:rFonts w:eastAsia="Amiri" w:cs="Amiri" w:ascii="Amiri" w:hAnsi="Amiri"/>
          <w:color w:val="111111"/>
          <w:sz w:val="28"/>
          <w:szCs w:val="28"/>
          <w:rtl w:val="true"/>
          <w:lang w:bidi="ar-SA"/>
        </w:rPr>
        <w:t>.</w:t>
      </w:r>
      <w:r>
        <w:rPr>
          <w:rStyle w:val="FootnoteAnchor"/>
          <w:rtl w:val="true"/>
        </w:rPr>
        <w:footnoteReference w:id="200"/>
      </w:r>
    </w:p>
    <w:p>
      <w:pPr>
        <w:pStyle w:val="Heading4"/>
        <w:numPr>
          <w:ilvl w:val="3"/>
          <w:numId w:val="1"/>
        </w:numPr>
        <w:rPr/>
      </w:pPr>
      <w:bookmarkStart w:id="394" w:name="__RefHeading___Toc2474036_653776707"/>
      <w:bookmarkStart w:id="395" w:name="_Toc142"/>
      <w:bookmarkEnd w:id="394"/>
      <w:r>
        <w:rPr/>
        <w:t>4</w:t>
      </w:r>
      <w:r>
        <w:rPr>
          <w:rtl w:val="true"/>
        </w:rPr>
        <w:t xml:space="preserve">) </w:t>
      </w:r>
      <w:r>
        <w:rPr>
          <w:rtl w:val="true"/>
        </w:rPr>
        <w:t>إطلالة على المنهج الفقهي والكلامي للمذهب الشافعي</w:t>
      </w:r>
      <w:bookmarkEnd w:id="395"/>
    </w:p>
    <w:p>
      <w:pPr>
        <w:pStyle w:val="Heading5"/>
        <w:numPr>
          <w:ilvl w:val="4"/>
          <w:numId w:val="1"/>
        </w:numPr>
        <w:rPr/>
      </w:pPr>
      <w:bookmarkStart w:id="396" w:name="__RefHeading___Toc2474038_653776707"/>
      <w:bookmarkStart w:id="397" w:name="_Toc143"/>
      <w:bookmarkEnd w:id="396"/>
      <w:r>
        <w:rPr>
          <w:rtl w:val="true"/>
        </w:rPr>
        <w:t>الف</w:t>
      </w:r>
      <w:r>
        <w:rPr>
          <w:rtl w:val="true"/>
        </w:rPr>
        <w:t xml:space="preserve">) </w:t>
      </w:r>
      <w:r>
        <w:rPr>
          <w:rtl w:val="true"/>
        </w:rPr>
        <w:t>المنهج الفقهي للمذهب الشافعي</w:t>
      </w:r>
      <w:r>
        <w:rPr>
          <w:rtl w:val="true"/>
        </w:rPr>
        <w:t>:</w:t>
      </w:r>
      <w:bookmarkEnd w:id="39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على ما مرّ، فإنّ منهجيّة الشافعي في الفقه تكمن في كونها تجعل الفروع والأحكام الفقهية في ضوابط مقننة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فهويحسب وسطيا في إنكاره للرأي أوالغلوفيه، فمنهجيته تؤمن بالأخذ بالحديث، وكان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صحّ الحديث فهومذهبي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يعتقد بالمبدأ التالي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رأيتم كلامي يخالف الحديث فاعملوا بالحديث واضربوا </w:t>
      </w:r>
      <w:bookmarkStart w:id="398" w:name="pg8675_123049"/>
    </w:p>
    <w:p>
      <w:pPr>
        <w:pStyle w:val="BookText"/>
        <w:rPr/>
      </w:pPr>
      <w:bookmarkEnd w:id="398"/>
      <w:r>
        <w:rPr>
          <w:rFonts w:ascii="IRNazanin" w:hAnsi="IRNazanin" w:eastAsia="IRNazanin"/>
          <w:color w:val="111111"/>
          <w:sz w:val="28"/>
          <w:sz w:val="28"/>
          <w:szCs w:val="28"/>
          <w:rtl w:val="true"/>
          <w:lang w:bidi="fa-IR"/>
        </w:rPr>
        <w:t>بكلامي الحائط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کان يرى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لاحجّة في قول أحد دون رسول الله وإن كثروا ولا في قياس ولا في شيء</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ومن المباني الرئيسية لفقهه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تنزل بأحد من أهل دين‌الله نازلة إلاّ وفي كتاب الله دليل عليها، وكلّ ما نزل بمسلم ففيه حكم لازم أوعلى الحقّ فيه دلالة موجودة وعليه، فإذا كان فيه بعينه حكم وجب اتباعه، وإذا لم يكن فيه بعينه طلبالدلالة على سبيل الحقّ فيه بالإجتهاد والإجتهاد القياس</w:t>
      </w:r>
      <w:r>
        <w:rPr>
          <w:rFonts w:eastAsia="Amiri" w:cs="Amiri" w:ascii="Amiri" w:hAnsi="Amiri"/>
          <w:color w:val="111111"/>
          <w:sz w:val="28"/>
          <w:szCs w:val="28"/>
          <w:rtl w:val="true"/>
          <w:lang w:bidi="ar-SA"/>
        </w:rPr>
        <w:t>».</w:t>
      </w:r>
      <w:r>
        <w:rPr>
          <w:rStyle w:val="FootnoteAnchor"/>
          <w:rtl w:val="true"/>
        </w:rPr>
        <w:footnoteReference w:id="202"/>
      </w:r>
    </w:p>
    <w:p>
      <w:pPr>
        <w:pStyle w:val="Heading5"/>
        <w:numPr>
          <w:ilvl w:val="4"/>
          <w:numId w:val="1"/>
        </w:numPr>
        <w:rPr/>
      </w:pPr>
      <w:bookmarkStart w:id="399" w:name="__RefHeading___Toc2474040_653776707"/>
      <w:bookmarkStart w:id="400" w:name="_Toc144"/>
      <w:bookmarkEnd w:id="399"/>
      <w:r>
        <w:rPr>
          <w:rtl w:val="true"/>
        </w:rPr>
        <w:t>ب</w:t>
      </w:r>
      <w:r>
        <w:rPr>
          <w:rtl w:val="true"/>
        </w:rPr>
        <w:t xml:space="preserve">) </w:t>
      </w:r>
      <w:r>
        <w:rPr>
          <w:rtl w:val="true"/>
        </w:rPr>
        <w:t>المنهج الكلامي للمذهب الشافعي</w:t>
      </w:r>
      <w:r>
        <w:rPr>
          <w:rtl w:val="true"/>
        </w:rPr>
        <w:t>:</w:t>
      </w:r>
      <w:bookmarkEnd w:id="400"/>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الجانب العقائدى والمباحث الكلاميّة كان يمنع أصحابه من الاشتغال في هذا العلم وكان يعتبره بلا نهاية ولاطائل فيه، وقد ذكروا في بعض العقائد التي قال بها الشافعي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للشافعى آراء في العقيده بعيدة عن الشذوذ والشطط، وتتفق مع رأى الجماعة في الجملة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إن‌كلام الله غير مخلوق، ويؤمن بالقضاء والقدر، خيره وشرّه،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لم يخلقوا أعمالهم، بل هي من خلق الله، ويعتقد برؤية الله يوم القيامة، ويرى أنّ الإيمان يزيد وينقص، لانّه تصديق وعمل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بالنسبة للإمامة، فأنه كان يرى‌ضرورتها وأنها في قريش، لما روي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أولى الناس بهذا الأمر ما كنتم مع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يرى في الفتنة التي أدّت إلى القتال بين على ومعاوية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معاويه وأصحابه هم الفئة الباغية، وكان يرتّب الراشدين على أساس </w:t>
      </w:r>
      <w:bookmarkStart w:id="401" w:name="pg8675_123052"/>
    </w:p>
    <w:p>
      <w:pPr>
        <w:pStyle w:val="BookText"/>
        <w:rPr/>
      </w:pPr>
      <w:bookmarkEnd w:id="401"/>
      <w:r>
        <w:rPr>
          <w:rFonts w:ascii="Amiri" w:hAnsi="Amiri" w:eastAsia="Amiri" w:cs="Amiri"/>
          <w:color w:val="111111"/>
          <w:sz w:val="28"/>
          <w:sz w:val="28"/>
          <w:szCs w:val="28"/>
          <w:rtl w:val="true"/>
          <w:lang w:bidi="ar-SA"/>
        </w:rPr>
        <w:t>زمن أزمانهم فأفضلهم عنده أبوبكر ثم عمر ثم عثمان ثم على، واتخذ في كتاب السير سنّة عليّ في معاملة البغاة حجة</w:t>
      </w:r>
      <w:r>
        <w:rPr>
          <w:rFonts w:eastAsia="Amiri" w:cs="Amiri" w:ascii="Amiri" w:hAnsi="Amiri"/>
          <w:color w:val="111111"/>
          <w:sz w:val="28"/>
          <w:szCs w:val="28"/>
          <w:rtl w:val="true"/>
          <w:lang w:bidi="ar-SA"/>
        </w:rPr>
        <w:t>».</w:t>
      </w:r>
      <w:r>
        <w:rPr>
          <w:rStyle w:val="FootnoteAnchor"/>
          <w:rtl w:val="true"/>
        </w:rPr>
        <w:footnoteReference w:id="203"/>
      </w:r>
    </w:p>
    <w:p>
      <w:pPr>
        <w:pStyle w:val="Heading4"/>
        <w:numPr>
          <w:ilvl w:val="3"/>
          <w:numId w:val="1"/>
        </w:numPr>
        <w:rPr/>
      </w:pPr>
      <w:bookmarkStart w:id="402" w:name="__RefHeading___Toc2474042_653776707"/>
      <w:bookmarkStart w:id="403" w:name="_Toc145"/>
      <w:bookmarkEnd w:id="402"/>
      <w:r>
        <w:rPr/>
        <w:t>5</w:t>
      </w:r>
      <w:r>
        <w:rPr>
          <w:rtl w:val="true"/>
        </w:rPr>
        <w:t xml:space="preserve">) </w:t>
      </w:r>
      <w:r>
        <w:rPr>
          <w:rtl w:val="true"/>
        </w:rPr>
        <w:t>نماذج من الفتاوى التي إنفرد بها المذهب الشافعي</w:t>
      </w:r>
      <w:bookmarkEnd w:id="4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نجاسة بول مأكول اللحم وخُرئه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نجس مطلقا سواء كان دم الشهيد أوبعض الحشرات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لمس جسد الأجنبى ومس العورة ينقض الوضوء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اليأس غير مطروح بالنسبة للمرأة، فقد تحيض المرأة حتى آخر أيّام حياتها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الغالب هوانقطاع دم الحيض في سنّ الواحد والستّين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يجوز للمجنب العبور من المسجد بینما يكره ذلك للحائض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البسملة آية من الفاتحة يجب قرائتها وينبغي أن تقرأ جهرا في الصلاة الجهريّة وعدم قرائتها یوجب بطلان الصلاة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أقلّ مدة للإعتكاف هي فترة أطول من أن يقول فيها المعتكف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ولايشترط في الاعتكاف الصيام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لاوجوب فوري للحج بل یجب بالتراخي</w:t>
      </w:r>
      <w:r>
        <w:rPr>
          <w:rFonts w:eastAsia="IRNazanin" w:cs="IRNazanin"/>
          <w:color w:val="111111"/>
          <w:sz w:val="28"/>
          <w:szCs w:val="28"/>
          <w:rtl w:val="true"/>
          <w:lang w:bidi="fa-IR"/>
        </w:rPr>
        <w:t>.</w:t>
      </w:r>
      <w:r>
        <w:rPr>
          <w:rStyle w:val="FootnoteAnchor"/>
          <w:rtl w:val="true"/>
        </w:rPr>
        <w:footnoteReference w:id="204"/>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4" w:name="pg8675_123057"/>
      <w:bookmarkStart w:id="405" w:name="pg8675_123057"/>
      <w:bookmarkEnd w:id="405"/>
    </w:p>
    <w:p>
      <w:pPr>
        <w:pStyle w:val="Heading3"/>
        <w:numPr>
          <w:ilvl w:val="2"/>
          <w:numId w:val="1"/>
        </w:numPr>
        <w:rPr/>
      </w:pPr>
      <w:bookmarkStart w:id="406" w:name="pg8675_123057"/>
      <w:bookmarkStart w:id="407" w:name="__RefHeading___Toc2474044_653776707"/>
      <w:bookmarkStart w:id="408" w:name="_Toc146"/>
      <w:bookmarkEnd w:id="406"/>
      <w:bookmarkEnd w:id="407"/>
      <w:r>
        <w:rPr>
          <w:rtl w:val="true"/>
        </w:rPr>
        <w:t>الفصل السادس مدرسة أحمد بن حنبل ومنهجه في الإجتهاد</w:t>
      </w:r>
      <w:bookmarkEnd w:id="408"/>
    </w:p>
    <w:p>
      <w:pPr>
        <w:pStyle w:val="Heading4"/>
        <w:numPr>
          <w:ilvl w:val="3"/>
          <w:numId w:val="1"/>
        </w:numPr>
        <w:rPr/>
      </w:pPr>
      <w:bookmarkStart w:id="409" w:name="__RefHeading___Toc2474046_653776707"/>
      <w:bookmarkStart w:id="410" w:name="_Toc147"/>
      <w:bookmarkEnd w:id="409"/>
      <w:r>
        <w:rPr>
          <w:rtl w:val="true"/>
        </w:rPr>
        <w:t>مجالات البحث في المذهب الحنبلی</w:t>
      </w:r>
      <w:bookmarkEnd w:id="410"/>
    </w:p>
    <w:p>
      <w:pPr>
        <w:pStyle w:val="Heading5"/>
        <w:numPr>
          <w:ilvl w:val="4"/>
          <w:numId w:val="1"/>
        </w:numPr>
        <w:rPr/>
      </w:pPr>
      <w:bookmarkStart w:id="411" w:name="__RefHeading___Toc2474048_653776707"/>
      <w:bookmarkStart w:id="412" w:name="_Toc148"/>
      <w:bookmarkEnd w:id="411"/>
      <w:r>
        <w:rPr>
          <w:rtl w:val="true"/>
        </w:rPr>
        <w:t>اشارة</w:t>
      </w:r>
      <w:bookmarkEnd w:id="4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مؤسس المذهب الحنبلي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منطلق انتشار المذهب الحنبلي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الأسس الرئيسة للمذهب الحنبلي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إطلالة على المنهج الفقهي والكلامي للمذهب الحنبلي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نماذج من الفتاوى الخاصة بالمذهب الحنبلي</w:t>
      </w:r>
    </w:p>
    <w:p>
      <w:pPr>
        <w:pStyle w:val="Heading5"/>
        <w:numPr>
          <w:ilvl w:val="4"/>
          <w:numId w:val="1"/>
        </w:numPr>
        <w:rPr/>
      </w:pPr>
      <w:bookmarkStart w:id="413" w:name="__RefHeading___Toc2474050_653776707"/>
      <w:bookmarkStart w:id="414" w:name="_Toc149"/>
      <w:bookmarkEnd w:id="413"/>
      <w:r>
        <w:rPr/>
        <w:t>1</w:t>
      </w:r>
      <w:r>
        <w:rPr>
          <w:rtl w:val="true"/>
        </w:rPr>
        <w:t xml:space="preserve">) </w:t>
      </w:r>
      <w:r>
        <w:rPr>
          <w:rtl w:val="true"/>
        </w:rPr>
        <w:t>مؤسس المذهب الحنبلي</w:t>
      </w:r>
      <w:r>
        <w:rPr>
          <w:rtl w:val="true"/>
        </w:rPr>
        <w:t>:</w:t>
      </w:r>
      <w:bookmarkEnd w:id="41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هوأحمد بن محمد بن حنبل بن هلال المروزي ثم البغدادي، عربي من جهة أبويه، حملت به أمّه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وولدت سنة مأة وأربع وستين ببغداد، ونشأ وأقام بها إلى أن توفّى ودخل مكه والمدينه والشام واليمن والكوفه والبصره والجزيرة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الذهبي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يعرف الفارسية أخذا من أسرته التي أقامت بخراسان فترة حيث </w:t>
      </w:r>
    </w:p>
    <w:p>
      <w:pPr>
        <w:pStyle w:val="BookText"/>
        <w:rPr/>
      </w:pPr>
      <w:r>
        <w:rPr>
          <w:rFonts w:ascii="Amiri" w:hAnsi="Amiri" w:eastAsia="Amiri" w:cs="Amiri"/>
          <w:color w:val="111111"/>
          <w:sz w:val="28"/>
          <w:sz w:val="28"/>
          <w:szCs w:val="28"/>
          <w:rtl w:val="true"/>
          <w:lang w:bidi="ar-SA"/>
        </w:rPr>
        <w:t>كانجده واليا على سرخس</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ثم أن أحمد بن حنبل بعد أن حفظ القرآن وتعلّم اللغة العربية إتّجه إلى دراسة الحديث، وكان اوّل من تلقّى عنه الحديث هوالقاضي أبويوسف الفقيه الحنفي، كما استبتع ذلك معرفته بفقه أهل الرأي، ثم رحل طلبا للحديث والأثر إلى بلاد كثيرة، كالكوفة والبصرة ومكة والمدينه والشام واليمن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 في ذلك مبلغ الامامة فكأن استأذه الشافعي يروي الحديث عنه ويقول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أعلم بالحديث منّا</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وكان شديد الكراهة لكتابة شيء غير الحديث، وكان يعتقد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يجب أن تنقل عنه فقط روايته لفقه الصحابة والتابعين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رغم هذا فقد أثرت فيه آراء الشافعي؛ لأنّه التقاه في بغداد، ودرس عنده لفترات طويلة، لكن غلب على فقهه الأثر حتى عرف بأنه فقيه أثرى، وإن كان بعض المورخين عدّه من المحدثين ولم يعدّه من الفقهاء، خصوصا وإنه لم يترك كتابا فقهيا، فقد ألّف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وهوكتاب حديثى، خصص فيه لكل صحابي سندا، وجمع فيه أكثر من أربعين ألف حديث</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ورغم هذا، فإن من اعتبره فقيها يرى بأنّه كان عارفا بفقه الحديث وفقه الرأي معا، رغم أنه كان قد أعرض عن فقه الرأي وانتهج فقه الحديث</w:t>
      </w:r>
      <w:r>
        <w:rPr>
          <w:rFonts w:eastAsia="Amiri" w:cs="Amiri" w:ascii="Amiri" w:hAnsi="Amiri"/>
          <w:color w:val="111111"/>
          <w:sz w:val="28"/>
          <w:szCs w:val="28"/>
          <w:rtl w:val="true"/>
          <w:lang w:bidi="ar-SA"/>
        </w:rPr>
        <w:t xml:space="preserve">. </w:t>
      </w:r>
      <w:bookmarkStart w:id="415" w:name="pg8675_123064"/>
    </w:p>
    <w:p>
      <w:pPr>
        <w:pStyle w:val="BookText"/>
        <w:rPr/>
      </w:pPr>
      <w:bookmarkEnd w:id="415"/>
      <w:r>
        <w:rPr>
          <w:rFonts w:ascii="Amiri" w:hAnsi="Amiri" w:eastAsia="Amiri" w:cs="Amiri"/>
          <w:color w:val="111111"/>
          <w:sz w:val="28"/>
          <w:sz w:val="28"/>
          <w:szCs w:val="28"/>
          <w:rtl w:val="true"/>
          <w:lang w:bidi="ar-SA"/>
        </w:rPr>
        <w:t>ولقد عاش أحمد بن حنبل حياة الفقر، وامتنع عن قبول منصب القضاء في جهازالحكم العباسي، ومن الخصائص الأخرى لأحمد بن حنبل، هواشتغاله بالإفتاء، من سنّ الأربعين؛ ولكنه كان ينهى عن التبعيّة والتقليد، وكان يطلب من‌الأفراد أن يأخذوا من المصادر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لاتقلدني ولامالكا ولا الشافعي ولا الثوري وخذ من حيث أخذوا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أنظر في أمر دينك، فإنّ التقليد لغير المعصوم مذموم وفيه عمى للبصيرة</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وكان أحمد بن حنبل فقيه أثرياً، حیث كان ينتهج منهجا فقهيا خاصا سنتناوله لاحقاً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توفي سنة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بغداد وشيّع تشييعا مهيبا ودفن هناك</w:t>
      </w:r>
      <w:r>
        <w:rPr>
          <w:rFonts w:eastAsia="IRNazanin" w:cs="IRNazanin"/>
          <w:color w:val="111111"/>
          <w:sz w:val="28"/>
          <w:szCs w:val="28"/>
          <w:rtl w:val="true"/>
          <w:lang w:bidi="fa-IR"/>
        </w:rPr>
        <w:t>.</w:t>
      </w:r>
      <w:r>
        <w:rPr>
          <w:rStyle w:val="FootnoteAnchor"/>
          <w:rtl w:val="true"/>
        </w:rPr>
        <w:footnoteReference w:id="208"/>
      </w:r>
    </w:p>
    <w:p>
      <w:pPr>
        <w:pStyle w:val="Heading5"/>
        <w:numPr>
          <w:ilvl w:val="4"/>
          <w:numId w:val="1"/>
        </w:numPr>
        <w:rPr/>
      </w:pPr>
      <w:bookmarkStart w:id="416" w:name="__RefHeading___Toc2474052_653776707"/>
      <w:bookmarkStart w:id="417" w:name="_Toc150"/>
      <w:bookmarkEnd w:id="416"/>
      <w:r>
        <w:rPr/>
        <w:t>2</w:t>
      </w:r>
      <w:r>
        <w:rPr>
          <w:rtl w:val="true"/>
        </w:rPr>
        <w:t xml:space="preserve">) </w:t>
      </w:r>
      <w:r>
        <w:rPr>
          <w:rtl w:val="true"/>
        </w:rPr>
        <w:t>منطلق انتشار المذهب الحنبلي ومکانه</w:t>
      </w:r>
      <w:r>
        <w:rPr>
          <w:rtl w:val="true"/>
        </w:rPr>
        <w:t>:</w:t>
      </w:r>
      <w:bookmarkEnd w:id="417"/>
    </w:p>
    <w:p>
      <w:pPr>
        <w:pStyle w:val="Heading6"/>
        <w:numPr>
          <w:ilvl w:val="5"/>
          <w:numId w:val="1"/>
        </w:numPr>
        <w:rPr/>
      </w:pPr>
      <w:bookmarkStart w:id="418" w:name="__RefHeading___Toc2474054_653776707"/>
      <w:bookmarkStart w:id="419" w:name="_Toc151"/>
      <w:bookmarkEnd w:id="418"/>
      <w:r>
        <w:rPr>
          <w:rtl w:val="true"/>
        </w:rPr>
        <w:t>اشارة</w:t>
      </w:r>
      <w:bookmarkEnd w:id="419"/>
    </w:p>
    <w:p>
      <w:pPr>
        <w:pStyle w:val="BookText"/>
        <w:rPr/>
      </w:pPr>
      <w:r>
        <w:rPr>
          <w:rFonts w:ascii="Amiri" w:hAnsi="Amiri" w:eastAsia="Amiri" w:cs="Amiri"/>
          <w:color w:val="111111"/>
          <w:sz w:val="28"/>
          <w:sz w:val="28"/>
          <w:szCs w:val="28"/>
          <w:rtl w:val="true"/>
          <w:lang w:bidi="ar-SA"/>
        </w:rPr>
        <w:t>كان أحمد بن حنبل يكثر من أسفاره لتدوين رواياته، وكان كثير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ورغم أنّه أخذ الفقه من أبى يوسف الحنفي والشافعي إلاّ أنّه كان قد مزج الفقه بالحديث والسنّة والرواية وبذلك أسس مذهبا منفصلاً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صنّف كتبا كثيرة،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الناسخ والمنسوخ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 والمؤخر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جوابات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الرسول</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لكنه، رغم ذلك، لم يؤلف كتابا في الفقه؛ لأنّه كان يكره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تكوّن الفقه الحنبلي استنادا للسنّة وأقوال الصحابة والتابعين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ينقل أقوالاً متعددة عن الصحابة، حينما تكون في المسألة آراء عديدة ولايتمكن هومن‌ترجيح أحدهما على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كان ينقل تلك الأقوال دون أن یجزم بالنسبة لواحدة لذلك كان يغطى على فقهه الاضطراب وتعدد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ولده 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مريديه هم الذین جمعوا فقهه مثل أحمد بن هاني أبابكر الأثرم وعبدالملك بن عبد الحميد بن مهران الميموني الّذي صحب أحمد أكثر من عشرين‌سنة وأحمد بن أبابكر المروزى، ثم جاء دور أبوبكر الخلال أخذ فقه أحمد من هؤلاء وجمعه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هؤلاء لما كان لمذهب أحمد وجود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ومن أهم أعلام المذهب الحنفي طبقا لما 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صالح بن أحمد بن حنبل والّذي كان قد تولّى القضاء في إصبهان ومات هناك</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المؤرخون فى ذلك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ولىّ صالح قضاء أصبهان ودخل إليها، بدأ بالمسجد الجامع، فدخل وصلّى فيه ركعتين واجتمع الناس والشيوخ عليه، وجلس وقرئ عهده الّذي كتب له الخليفة، فجعل يبكي بكاءً شديدا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تدرون </w:t>
      </w:r>
      <w:bookmarkStart w:id="420" w:name="pg8675_123070"/>
    </w:p>
    <w:p>
      <w:pPr>
        <w:pStyle w:val="BookText"/>
        <w:rPr/>
      </w:pPr>
      <w:bookmarkEnd w:id="420"/>
      <w:r>
        <w:rPr>
          <w:rFonts w:ascii="Amiri" w:hAnsi="Amiri" w:eastAsia="Amiri" w:cs="Amiri"/>
          <w:color w:val="111111"/>
          <w:sz w:val="28"/>
          <w:sz w:val="28"/>
          <w:szCs w:val="28"/>
          <w:rtl w:val="true"/>
          <w:lang w:bidi="ar-SA"/>
        </w:rPr>
        <w:t>ما أبكاني؟ ذكرت أبي أن يراني في مثل هذا الحال وكان عليه السواد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يبعث خلفي إذا جاءه رجل زاهد أورجل صالح متقشف؛ لأنظر إليه، يحبّ أن أكون مثلهم،ولكن الله يعلم ما دخلت في هذا الأمر إلاّ لدين غلبنى وكثرة عيالي</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أحمد بن حنبل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رواياته في الغالب عن أخيه عن والده،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سمعته مرّتين وثلاثا وأقله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محمّد بن الحجاج المرزوى، وكان هومن تولّى غسل أحمد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إبراهيم بن اسحاق بن إبراهيم الحربي المعروف بابن راهويه المرزوي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الحليم ابن تيميّة الحرّاني ثم الدمشقي الحنبلي وسنتناول الحديث عن مفصلاً</w:t>
      </w:r>
      <w:r>
        <w:rPr>
          <w:rFonts w:eastAsia="Amiri" w:cs="Amiri" w:ascii="Amiri" w:hAnsi="Amiri"/>
          <w:color w:val="111111"/>
          <w:sz w:val="28"/>
          <w:szCs w:val="28"/>
          <w:rtl w:val="true"/>
          <w:lang w:bidi="ar-SA"/>
        </w:rPr>
        <w:t>.</w:t>
      </w:r>
    </w:p>
    <w:p>
      <w:pPr>
        <w:pStyle w:val="Heading6"/>
        <w:numPr>
          <w:ilvl w:val="5"/>
          <w:numId w:val="1"/>
        </w:numPr>
        <w:rPr/>
      </w:pPr>
      <w:bookmarkStart w:id="421" w:name="__RefHeading___Toc2474056_653776707"/>
      <w:bookmarkStart w:id="422" w:name="_Toc152"/>
      <w:bookmarkEnd w:id="421"/>
      <w:r>
        <w:rPr>
          <w:rtl w:val="true"/>
        </w:rPr>
        <w:t>أهم المؤلّفات في الفقه الحنبلي</w:t>
      </w:r>
      <w:r>
        <w:rPr>
          <w:rtl w:val="true"/>
        </w:rPr>
        <w:t>:</w:t>
      </w:r>
      <w:bookmarkEnd w:id="422"/>
    </w:p>
    <w:p>
      <w:pPr>
        <w:pStyle w:val="BookText"/>
        <w:rPr/>
      </w:pPr>
      <w:r>
        <w:rPr>
          <w:rFonts w:ascii="IRNazanin" w:hAnsi="IRNazanin" w:eastAsia="IRNazanin"/>
          <w:color w:val="111111"/>
          <w:sz w:val="28"/>
          <w:sz w:val="28"/>
          <w:szCs w:val="28"/>
          <w:rtl w:val="true"/>
          <w:lang w:bidi="fa-IR"/>
        </w:rPr>
        <w:t xml:space="preserve">إن الركيزة الأولى للمذهب الحنبلي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جمع فيه حوالی الأربعين ألف رواية، اضافة إلى سائر التأليفات التي دوّنت في هذا المذهب وهي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الخرقى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 عمر بن حسين بن عبدالله، ويعدّ أوّل كتاب ألف بشكل مستقل في الفقه الحنبلي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الخرقي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 القاضي أبي يعلي محمد بن حسين بن فرّاء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رؤوس 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 عبدالخالق بن عيسى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 محمّد بن عبدالله السامري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إبن قدامة الّذي كان قد ألّف الفقه الحنبلي في أربعه‌طبقات</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فالفقه الحنبلي ورغم ما له من تمايز وشخصيّة مستقلة، وكونه يعدّ في عرض سائر مذاهب أهل السنّة، إلاّ أنّ البعض يرى أن عدّ أحمد بن حنبل الذي قائد هذا المذهب من رجال الحديث أولى من عدّه فقيهاً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عداد أحمد في رجال الحديث اثبت منه في عِداد الفقهاء</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مذهب أحمد بن حنبل</w:t>
      </w:r>
    </w:p>
    <w:p>
      <w:pPr>
        <w:pStyle w:val="BookText"/>
        <w:rPr/>
      </w:pPr>
      <w:r>
        <w:rPr>
          <w:rFonts w:ascii="Amiri" w:hAnsi="Amiri" w:eastAsia="Amiri" w:cs="Amiri"/>
          <w:color w:val="111111"/>
          <w:sz w:val="28"/>
          <w:sz w:val="28"/>
          <w:szCs w:val="28"/>
          <w:rtl w:val="true"/>
          <w:lang w:bidi="ar-SA"/>
        </w:rPr>
        <w:t>على الرغم من أن لهذا المذهب اتباعاً ودعاة لامِعِين؛ لكن الفقه الحنبلي لم يتسع بشكل ملحوظ، حيث لاتجد له إلاّ أتباع قليلين في العالم الإسلامي، هذا رغم الزيادة الملحوظة التي حصلت بعد سيطرة آل سعود على الجزيرة العربية، وقد أشار بعض المحققين إلى أسباب قلّه عدد أتباع هذا المذهب وهي كمايلي</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ظهور هذا المذهب كان بعد سيطرة المذاهب الثلاث الأخرى على العالم الإسلامي، فالعراق واطرافه، بل أكثر العالم الإسلامي، كان يتّبع المذهب الحنفي، وشمال غرب أفريقيا والأندلس کانا يتّبعان المذهب المالكي، وفي مصر كان هناك المذهبان الشافعي والمالكي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تكن أرض بكرٌ لتكون لأحمد بن حنبل </w:t>
      </w:r>
    </w:p>
    <w:p>
      <w:pPr>
        <w:pStyle w:val="BookText"/>
        <w:rPr/>
      </w:pPr>
      <w:r>
        <w:rPr>
          <w:rFonts w:ascii="IRNazanin" w:hAnsi="IRNazanin" w:eastAsia="IRNazanin"/>
          <w:color w:val="111111"/>
          <w:sz w:val="28"/>
          <w:sz w:val="28"/>
          <w:szCs w:val="28"/>
          <w:rtl w:val="true"/>
          <w:lang w:bidi="fa-IR"/>
        </w:rPr>
        <w:t>دون منازع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القضاة من أتباع هذا المذهب، وقد كان منصب القضاء أحدالعوامل الرئيسيّة لإنتشار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تشدُّد الحنابلة، فقد قيل عن هذا الأمر مايلي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تشدُّد الحنابلة وكثرة خلافهم مع غيرههم، لا بالحجة والبرهان، بل بالعمل، فكلّما قويت شوكتهم، إشتدّوا على‌الناس بإسم الأمر بالمعروف والنهي عن المنكر، ما نفّر الناس منهم، فابتعدوا عنهم وعن مذهبهم</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وقد كتب إلى أبي الوفاء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أصحاب الإمام أحمد على ما عرفت من الإنصاف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قوم خشن،تقلّصت أخلاقهم عن المخالطة، وغلظت طباعهم عن المداخلة، وغلب عليهم الجدّ، وقلّ عندهم الهزل، وغربت نفوسهم عن ذل المراءاة، وفزعوا عن الأراء إلى الروايات، وتمسّكوا بالظاهر، تحرّجا عن التأويل، وغلبت عليهم الأعمال الصالحة، فلم يدقّقوا في العلوم الغامضة، والله يعلم إنني لا اعتقد في الإسلام طائفة محقّة خاليةٌ من البدع، سوى من سلك هذا الطريق</w:t>
      </w:r>
      <w:r>
        <w:rPr>
          <w:rFonts w:eastAsia="Amiri" w:cs="Amiri" w:ascii="Amiri" w:hAnsi="Amiri"/>
          <w:color w:val="111111"/>
          <w:sz w:val="28"/>
          <w:szCs w:val="28"/>
          <w:rtl w:val="true"/>
          <w:lang w:bidi="ar-SA"/>
        </w:rPr>
        <w:t>.</w:t>
      </w:r>
      <w:r>
        <w:rPr>
          <w:rStyle w:val="FootnoteAnchor"/>
          <w:rtl w:val="true"/>
        </w:rPr>
        <w:footnoteReference w:id="215"/>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للأسباب الثلاثة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وأن نضيف عاملاً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المذهب الحنبلي عن الإجتهاد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إختصّ أحمد بمذهب ومقلّده قليل، لبعده عن الإجتهاد واصالته في معاضدة الرواية للإخبار بعضها ببعض وأكثرهم </w:t>
      </w:r>
      <w:bookmarkStart w:id="423" w:name="pg8675_123078"/>
    </w:p>
    <w:p>
      <w:pPr>
        <w:pStyle w:val="BookText"/>
        <w:rPr/>
      </w:pPr>
      <w:bookmarkEnd w:id="423"/>
      <w:r>
        <w:rPr>
          <w:rFonts w:ascii="Amiri" w:hAnsi="Amiri" w:eastAsia="Amiri" w:cs="Amiri"/>
          <w:color w:val="111111"/>
          <w:sz w:val="28"/>
          <w:sz w:val="28"/>
          <w:szCs w:val="28"/>
          <w:rtl w:val="true"/>
          <w:lang w:bidi="ar-SA"/>
        </w:rPr>
        <w:t>بالشام والعراق من بغداد ونواحيها، وهم أكثر الناس حفظا للسُنّة ورواية للحديث</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وقد ساهمت العوامل الأربعة المذکورة في عدم انتشار المذهب الحنبلي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الذیانتشر في العراق أوّلاً، حيث اتّبعه بعض أهل الحديث، ولم يخرج من العراق إلى القرن الرابع</w:t>
      </w:r>
      <w:r>
        <w:rPr>
          <w:rFonts w:eastAsia="IRNazanin" w:cs="IRNazanin"/>
          <w:color w:val="111111"/>
          <w:sz w:val="28"/>
          <w:szCs w:val="28"/>
          <w:rtl w:val="true"/>
          <w:lang w:bidi="fa-IR"/>
        </w:rPr>
        <w:t>.</w:t>
      </w:r>
    </w:p>
    <w:p>
      <w:pPr>
        <w:pStyle w:val="Heading5"/>
        <w:numPr>
          <w:ilvl w:val="4"/>
          <w:numId w:val="1"/>
        </w:numPr>
        <w:rPr/>
      </w:pPr>
      <w:bookmarkStart w:id="424" w:name="__RefHeading___Toc2474058_653776707"/>
      <w:bookmarkStart w:id="425" w:name="_Toc153"/>
      <w:bookmarkEnd w:id="424"/>
      <w:r>
        <w:rPr/>
        <w:t>3</w:t>
      </w:r>
      <w:r>
        <w:rPr>
          <w:rtl w:val="true"/>
        </w:rPr>
        <w:t xml:space="preserve">) </w:t>
      </w:r>
      <w:r>
        <w:rPr>
          <w:rtl w:val="true"/>
        </w:rPr>
        <w:t>الأسس الرئيسيّة للمذهب الحنبلي</w:t>
      </w:r>
      <w:r>
        <w:rPr>
          <w:rtl w:val="true"/>
        </w:rPr>
        <w:t>:</w:t>
      </w:r>
      <w:bookmarkEnd w:id="425"/>
    </w:p>
    <w:p>
      <w:pPr>
        <w:pStyle w:val="Heading6"/>
        <w:numPr>
          <w:ilvl w:val="5"/>
          <w:numId w:val="1"/>
        </w:numPr>
        <w:rPr/>
      </w:pPr>
      <w:bookmarkStart w:id="426" w:name="__RefHeading___Toc2474060_653776707"/>
      <w:bookmarkStart w:id="427" w:name="_Toc154"/>
      <w:bookmarkEnd w:id="426"/>
      <w:r>
        <w:rPr>
          <w:rtl w:val="true"/>
        </w:rPr>
        <w:t>اشارة</w:t>
      </w:r>
      <w:bookmarkEnd w:id="427"/>
    </w:p>
    <w:p>
      <w:pPr>
        <w:pStyle w:val="BookText"/>
        <w:rPr/>
      </w:pPr>
      <w:r>
        <w:rPr>
          <w:rFonts w:ascii="Amiri" w:hAnsi="Amiri" w:eastAsia="Amiri" w:cs="Amiri"/>
          <w:color w:val="111111"/>
          <w:sz w:val="28"/>
          <w:sz w:val="28"/>
          <w:szCs w:val="28"/>
          <w:rtl w:val="true"/>
          <w:lang w:bidi="ar-SA"/>
        </w:rPr>
        <w:t>ذكر ابن القيّم، أنّ أحمد بن حنبل اعتمد في مذهبه الفقهي على خمسة أصول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من الكتاب والسنّة الصحيحة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فمتى ظفر بنصّ في المسألة، أفتى بموجبه دون التفات إلى من خالفه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ولوكان كبار الصحابة، ولذا لم يلتفت إلى خلاف عمر في استدامة المحرم المتطيّب الّذي تطيّب به قبل إحرامه، لصحّة حديث عائشة في ذلك، وكذلك لم يلتفت إلى علي وعثمان وطلحة وأبي أيّوب وأبيّ بن كعب في ترك الغسل من الإكسال أي الجماع دون إنزال الرجل، لصحة حديث عائشة أنّها فعلته هي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فاغتسلا، ولم يلتفت إلى قول معاذ ومعاوية في توريث المسلم من الكافر لصحّة حديث المنع من التوارث بينهما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يكن يقدم على الحديث الصحيح عملاً ولا رأيا ولاقياسا ولا قول صاحبي، ولا عدم علمه بالمخالف الّذي سماه كثير من الناس إجماعا، وعلى هذا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السنة عند أحمد حاكمة على القرآن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طلب علم الكتاب يكون عن طريق السنّة فهى السبيل المستقيم لمعرفة الأحكام، وإنّ ما حرّم رسول الله مثل ما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 أحمد بكلّ ما جاءت به السنّة، حتى أخبار الأحاد فيما يتعلق بالأحكام العمليّة، بل وفيما يتعلق بالعقائد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ولايتشدّد ابن حنبل فيما يشترط لاعتبار خبر الواحد، تشدّد غيره، ولكنه يكتفي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الراوي غير معروف بالكذب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ويروى عنه أنّه قال لابنه عبدالله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لا أخالف ما ضعف من الحديث، إذا لم يكن في الباب شيء يدفعه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فإنّه كان يقدّم الحديث الضعيف على القياس، كما أنّ مسنده حوى الكثير من الأحاديث الضعيفه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الضعيف خير من الرأى، وليس المراد به المتروك، ولكنّ المراد به الحسن</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الصحابه عند عدم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وجد فتوى الصحابي، ولم يعلم لها مخالفا منهم لم يتجاوزها إلى رأي آخر، مع عدم إدعائه أنّ ذلك اجماعا، بل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شيئا يدفعه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الإختيار من فتاوى الصحابة إذا 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تعدّدت آراء الصحابة في الأمر الواحد، كان يلجأ إلى اختيار أقربها من الكتاب والسنّة وإذا لم يجد مرجّحا يرجّح أحد الآراء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ونقل أيضا ابن القيّم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اختلفت أقوال الصحابة، فإن خالفه مثله لم يكن قول أحدهما حجة على الآخر، وإن خالفه أعلم منه فعن أحمد روايتان والصحيح إنّ الشق الّذي فيه الخفاء أوبعضهم أرجح وأولى، فإن كان الأربعة في شقّ فلا شك أنّه الصواب، وإن كان أكثرهم فالصواب فيه أغلب وإن كانوا اثنين اثنين فشقّ أبي بكروعمر أقرب إلى الصواب فإن إختلف أبوبكر وعمر، فالصواب مع أبي بكر</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فالصحابي إذا أفتى فيجوز أن يكون سمعه من النبي أوسمعه ممن سمع منه أوفهم من كتاب الله أوأن يكون قولاًمتّفقا عليه بينهم، أى يكون مرجعه إلى كمال علمه باللغة ودلالة اللفظ على ما تفرّد به، كما يحتمل أن يكون ناتجا عن فهم خاطئ، ووقوع احتمال واحد من الوجوه الصحيحة التي ذكرنا أغلب على الظن من واقع احتمال خاطئ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أحمد أنّه قدّم قول التابعي على القياس إذا لم يكن هناك نصّ ولا أثر ولاحديث مرسل، إذ فتوى التابعي المعروف بالفضل تعتبر أثرا سلفيا فيقدّم على الرأي</w:t>
      </w:r>
      <w:r>
        <w:rPr>
          <w:rFonts w:eastAsia="Amiri" w:cs="Amiri" w:ascii="Amiri" w:hAnsi="Amiri"/>
          <w:color w:val="111111"/>
          <w:sz w:val="28"/>
          <w:szCs w:val="28"/>
          <w:rtl w:val="true"/>
          <w:lang w:bidi="ar-SA"/>
        </w:rPr>
        <w:t>.</w:t>
      </w:r>
      <w:r>
        <w:rPr>
          <w:rStyle w:val="FootnoteAnchor"/>
          <w:rtl w:val="true"/>
        </w:rPr>
        <w:footnoteReference w:id="219"/>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 بالحديث المرسل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وهوالّذي سقط من سنده الصحابي، ورفعه التابعي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وهونوع من أنواع الحديث الضعيف، وهوبذلك يقدمه على القياس وليس المراد بالضعيف عنده الباطل ولا المنكر ولا ما في روايته </w:t>
      </w:r>
      <w:bookmarkStart w:id="428" w:name="pg8675_123088"/>
    </w:p>
    <w:p>
      <w:pPr>
        <w:pStyle w:val="BookText"/>
        <w:rPr/>
      </w:pPr>
      <w:bookmarkEnd w:id="428"/>
      <w:r>
        <w:rPr>
          <w:rFonts w:ascii="Amiri" w:hAnsi="Amiri" w:eastAsia="Amiri" w:cs="Amiri"/>
          <w:color w:val="111111"/>
          <w:sz w:val="28"/>
          <w:sz w:val="28"/>
          <w:szCs w:val="28"/>
          <w:rtl w:val="true"/>
          <w:lang w:bidi="ar-SA"/>
        </w:rPr>
        <w:t>متهّم، بل الضعيف عنده قسم من أقسام الحسن</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يجد شيئا ممّا تقدم من الأصول الأربعة، لجأ إلى القياسللضرورة، وكذلك كان شيخه الشافعي</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القيّم هذه الأصول الخمسة من أصول فتاويه، وعليها مدارها، وكان شديد الكراهة والمنع للإفتاء بمسألة ليس فيها أثر عن السلف، وكان يسوّغ استفتاء فقهاء الحديث وأصحاب مالك، ويمنع استفتاء من يعرض عن الحديث</w:t>
      </w:r>
      <w:r>
        <w:rPr>
          <w:rFonts w:eastAsia="Amiri" w:cs="Amiri" w:ascii="Amiri" w:hAnsi="Amiri"/>
          <w:color w:val="111111"/>
          <w:sz w:val="28"/>
          <w:szCs w:val="28"/>
          <w:rtl w:val="true"/>
          <w:lang w:bidi="ar-SA"/>
        </w:rPr>
        <w:t>.</w:t>
      </w:r>
      <w:r>
        <w:rPr>
          <w:rStyle w:val="FootnoteAnchor"/>
          <w:rtl w:val="true"/>
        </w:rPr>
        <w:footnoteReference w:id="222"/>
      </w:r>
    </w:p>
    <w:p>
      <w:pPr>
        <w:pStyle w:val="Heading6"/>
        <w:numPr>
          <w:ilvl w:val="5"/>
          <w:numId w:val="1"/>
        </w:numPr>
        <w:rPr/>
      </w:pPr>
      <w:bookmarkStart w:id="429" w:name="__RefHeading___Toc2474062_653776707"/>
      <w:bookmarkStart w:id="430" w:name="_Toc155"/>
      <w:bookmarkEnd w:id="429"/>
      <w:r>
        <w:rPr>
          <w:rtl w:val="true"/>
        </w:rPr>
        <w:t>موقف أحمد من الأستصحاب</w:t>
      </w:r>
      <w:r>
        <w:rPr>
          <w:rtl w:val="true"/>
        </w:rPr>
        <w:t>:</w:t>
      </w:r>
      <w:bookmarkEnd w:id="43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أحمد إذا إفتقد النصّ والأثر والشبيه الّذي يقيس عليه، ينظر إلى الأصل في الأشياء ويستصحب هذا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فالاستصحاب يكون مصدرا لإستنباط الأحكام عند أحمد، كشيخه الشافعي، خلافا للحنفية الذين قصّروا حجيتّه على‌الدفع فقط، لا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فهوعنده حجة للدفع لا للاثبات فقد صرح بعضهم أنه حجة لدفع ما يخالف الأمر الثابت بالاستصحاب، وليس حجة على إثبات أمر لم يقم دليل على ثبوته</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 xml:space="preserve">فاستصحاب عدم حلّ أكل الصيد الّذي يقع في الماء قبل الإستيلاء عليه يصحّ، عند </w:t>
      </w:r>
      <w:bookmarkStart w:id="431" w:name="pg8675_123091"/>
    </w:p>
    <w:p>
      <w:pPr>
        <w:pStyle w:val="BookText"/>
        <w:rPr/>
      </w:pPr>
      <w:bookmarkEnd w:id="431"/>
      <w:r>
        <w:rPr>
          <w:rFonts w:ascii="Amiri" w:hAnsi="Amiri" w:eastAsia="Amiri" w:cs="Amiri"/>
          <w:color w:val="111111"/>
          <w:sz w:val="28"/>
          <w:sz w:val="28"/>
          <w:szCs w:val="28"/>
          <w:rtl w:val="true"/>
          <w:lang w:bidi="ar-SA"/>
        </w:rPr>
        <w:t>احمد،لأن الأصل في الذبائح التحريم</w:t>
      </w:r>
      <w:r>
        <w:rPr>
          <w:rFonts w:eastAsia="Amiri" w:cs="Amiri" w:ascii="Amiri" w:hAnsi="Amiri"/>
          <w:color w:val="111111"/>
          <w:sz w:val="28"/>
          <w:szCs w:val="28"/>
          <w:rtl w:val="true"/>
          <w:lang w:bidi="ar-SA"/>
        </w:rPr>
        <w:t>.</w:t>
      </w:r>
      <w:r>
        <w:rPr>
          <w:rStyle w:val="FootnoteAnchor"/>
          <w:rtl w:val="true"/>
        </w:rPr>
        <w:footnoteReference w:id="224"/>
      </w:r>
    </w:p>
    <w:p>
      <w:pPr>
        <w:pStyle w:val="Heading6"/>
        <w:numPr>
          <w:ilvl w:val="5"/>
          <w:numId w:val="1"/>
        </w:numPr>
        <w:rPr/>
      </w:pPr>
      <w:bookmarkStart w:id="432" w:name="__RefHeading___Toc2474064_653776707"/>
      <w:bookmarkStart w:id="433" w:name="_Toc156"/>
      <w:bookmarkEnd w:id="432"/>
      <w:r>
        <w:rPr>
          <w:rtl w:val="true"/>
        </w:rPr>
        <w:t>موقف أحمد من المصالح المرسله</w:t>
      </w:r>
      <w:r>
        <w:rPr>
          <w:rtl w:val="true"/>
        </w:rPr>
        <w:t>:</w:t>
      </w:r>
      <w:bookmarkEnd w:id="433"/>
    </w:p>
    <w:p>
      <w:pPr>
        <w:pStyle w:val="BookText"/>
        <w:rPr/>
      </w:pPr>
      <w:r>
        <w:rPr>
          <w:rFonts w:ascii="IRNazanin" w:hAnsi="IRNazanin" w:eastAsia="IRNazanin"/>
          <w:color w:val="111111"/>
          <w:sz w:val="28"/>
          <w:sz w:val="28"/>
          <w:szCs w:val="28"/>
          <w:rtl w:val="true"/>
          <w:lang w:bidi="fa-IR"/>
        </w:rPr>
        <w:t>إن فقه أحمد يتوسع في إعتبار المصلحة المرسلة مصدرا إذا كانت تتفق مع مقاصد التشريع ولاتتنافي مع أصل‌من أصوله، ومعقولة في ذاتها، وكان في الأخذ بها رفع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الفتاوى التي اعتمد أحمد فیها على المصلحة المرسلة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المخنّث ينفىلأنه لايقع منه الاّ الفساد والتعرض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أتت المرأة المرأة تعاقبان وتؤدبأن، وأنّه إذا خيف على النساء المساحقه حرم خلوة بعضهنّ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طعن على الصحابة وجب على‌السلطان عقوبته، وليس للسلطان أن يعفوعنه، بل يعاقبه ويستتيبه، فإن تاب وإلاّ أعاد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صحّح الطواف مع الحيض ولم يجعل الحيض مانعا من صحته، ورأى أنّ ما روي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 الحائض عن الطواف لم يكن حكما عاما في جميع الأحوال، وإنّما يكون عند القدرة وإمكان الاحتباس حتى تطهر وتطوف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أحمد أكثر أئمة المذاهب أخذا بالمصلحة المرسلة حتى فاق مالكا في ذلك، مع أنّ شيخه الشافعي كان لايتّجه إليها</w:t>
      </w:r>
      <w:r>
        <w:rPr>
          <w:rFonts w:eastAsia="Amiri" w:cs="Amiri" w:ascii="Amiri" w:hAnsi="Amiri"/>
          <w:color w:val="111111"/>
          <w:sz w:val="28"/>
          <w:szCs w:val="28"/>
          <w:rtl w:val="true"/>
          <w:lang w:bidi="ar-SA"/>
        </w:rPr>
        <w:t>.</w:t>
      </w:r>
      <w:r>
        <w:rPr>
          <w:rStyle w:val="FootnoteAnchor"/>
          <w:rtl w:val="true"/>
        </w:rPr>
        <w:footnoteReference w:id="225"/>
      </w:r>
    </w:p>
    <w:p>
      <w:pPr>
        <w:pStyle w:val="Heading6"/>
        <w:numPr>
          <w:ilvl w:val="5"/>
          <w:numId w:val="1"/>
        </w:numPr>
        <w:rPr/>
      </w:pPr>
      <w:bookmarkStart w:id="434" w:name="__RefHeading___Toc2474066_653776707"/>
      <w:bookmarkStart w:id="435" w:name="_Toc157"/>
      <w:bookmarkEnd w:id="434"/>
      <w:r>
        <w:rPr>
          <w:rtl w:val="true"/>
        </w:rPr>
        <w:t>موقف أحمد من سدّ الذرائع</w:t>
      </w:r>
      <w:r>
        <w:rPr>
          <w:rtl w:val="true"/>
        </w:rPr>
        <w:t>:</w:t>
      </w:r>
      <w:bookmarkEnd w:id="43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سدّ الذرائع المفضية إلى المفاسد معتبر عند أحمد؛ لذا نهى عن كل بيع أوإجارة </w:t>
      </w:r>
      <w:bookmarkStart w:id="436" w:name="pg8675_123093"/>
    </w:p>
    <w:p>
      <w:pPr>
        <w:pStyle w:val="BookText"/>
        <w:rPr/>
      </w:pPr>
      <w:bookmarkEnd w:id="436"/>
      <w:r>
        <w:rPr>
          <w:rFonts w:ascii="Amiri" w:hAnsi="Amiri" w:eastAsia="Amiri" w:cs="Amiri"/>
          <w:color w:val="111111"/>
          <w:sz w:val="28"/>
          <w:sz w:val="28"/>
          <w:szCs w:val="28"/>
          <w:rtl w:val="true"/>
          <w:lang w:bidi="ar-SA"/>
        </w:rPr>
        <w:t>أومعاوضة تعين على معصية الله، كبيع السلاح للكفار والبغاة وقطّاع الطريق، وبيع العنب لمن يتّخذه خمرا</w:t>
      </w:r>
      <w:r>
        <w:rPr>
          <w:rFonts w:eastAsia="Amiri" w:cs="Amiri" w:ascii="Amiri" w:hAnsi="Amiri"/>
          <w:color w:val="111111"/>
          <w:sz w:val="28"/>
          <w:szCs w:val="28"/>
          <w:rtl w:val="true"/>
          <w:lang w:bidi="ar-SA"/>
        </w:rPr>
        <w:t>.</w:t>
      </w:r>
      <w:r>
        <w:rPr>
          <w:rStyle w:val="FootnoteAnchor"/>
          <w:rtl w:val="true"/>
        </w:rPr>
        <w:footnoteReference w:id="226"/>
      </w:r>
    </w:p>
    <w:p>
      <w:pPr>
        <w:pStyle w:val="Heading6"/>
        <w:numPr>
          <w:ilvl w:val="5"/>
          <w:numId w:val="1"/>
        </w:numPr>
        <w:rPr/>
      </w:pPr>
      <w:bookmarkStart w:id="437" w:name="__RefHeading___Toc2474068_653776707"/>
      <w:bookmarkStart w:id="438" w:name="_Toc158"/>
      <w:bookmarkEnd w:id="437"/>
      <w:r>
        <w:rPr>
          <w:rtl w:val="true"/>
        </w:rPr>
        <w:t>موقف أحمد من الاجماع</w:t>
      </w:r>
      <w:r>
        <w:rPr>
          <w:rtl w:val="true"/>
        </w:rPr>
        <w:t>:</w:t>
      </w:r>
      <w:bookmarkEnd w:id="438"/>
    </w:p>
    <w:p>
      <w:pPr>
        <w:pStyle w:val="BookText"/>
        <w:rPr/>
      </w:pPr>
      <w:r>
        <w:rPr>
          <w:rFonts w:ascii="IRNazanin" w:hAnsi="IRNazanin" w:eastAsia="IRNazanin"/>
          <w:color w:val="111111"/>
          <w:sz w:val="28"/>
          <w:sz w:val="28"/>
          <w:szCs w:val="28"/>
          <w:rtl w:val="true"/>
          <w:lang w:bidi="fa-IR"/>
        </w:rPr>
        <w:t>کان أحمد بالنسبة إلى الإجماع كشيخه الشافعي يرى أنّه حجة إن أمكن وقوعه، إذ حقيقته إتّفاق جميع المجتهدين في الأمّة الإسلاميّة، في عصر ما، بعد عصر الرسول، على حكم شرعى، وهذا أمر وقوعه مستبعد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عبدالله بن أحمد بن حنبل عن أبيهأنه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ادّعى الإجماع فهوكاذب فليقل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لانعلم أنّ الناس اختلفوا</w:t>
      </w:r>
      <w:r>
        <w:rPr>
          <w:rFonts w:eastAsia="IRNazanin" w:cs="IRNazanin"/>
          <w:color w:val="111111"/>
          <w:sz w:val="28"/>
          <w:szCs w:val="28"/>
          <w:rtl w:val="true"/>
          <w:lang w:bidi="fa-IR"/>
        </w:rPr>
        <w:t>».</w:t>
      </w:r>
      <w:r>
        <w:rPr>
          <w:rStyle w:val="FootnoteAnchor"/>
          <w:rtl w:val="true"/>
        </w:rPr>
        <w:footnoteReference w:id="227"/>
      </w:r>
    </w:p>
    <w:p>
      <w:pPr>
        <w:pStyle w:val="Heading5"/>
        <w:numPr>
          <w:ilvl w:val="4"/>
          <w:numId w:val="1"/>
        </w:numPr>
        <w:rPr/>
      </w:pPr>
      <w:bookmarkStart w:id="439" w:name="__RefHeading___Toc2474070_653776707"/>
      <w:bookmarkStart w:id="440" w:name="_Toc159"/>
      <w:bookmarkEnd w:id="439"/>
      <w:r>
        <w:rPr/>
        <w:t>4</w:t>
      </w:r>
      <w:r>
        <w:rPr>
          <w:rtl w:val="true"/>
        </w:rPr>
        <w:t xml:space="preserve">) </w:t>
      </w:r>
      <w:r>
        <w:rPr>
          <w:rtl w:val="true"/>
        </w:rPr>
        <w:t>إطلالة على المنهج الكلامي والفقهي للمذهب الحنبلي</w:t>
      </w:r>
      <w:r>
        <w:rPr>
          <w:rtl w:val="true"/>
        </w:rPr>
        <w:t>:</w:t>
      </w:r>
      <w:bookmarkEnd w:id="440"/>
    </w:p>
    <w:p>
      <w:pPr>
        <w:pStyle w:val="Heading6"/>
        <w:numPr>
          <w:ilvl w:val="5"/>
          <w:numId w:val="1"/>
        </w:numPr>
        <w:rPr/>
      </w:pPr>
      <w:bookmarkStart w:id="441" w:name="__RefHeading___Toc2474072_653776707"/>
      <w:bookmarkStart w:id="442" w:name="_Toc160"/>
      <w:bookmarkEnd w:id="441"/>
      <w:r>
        <w:rPr>
          <w:rtl w:val="true"/>
        </w:rPr>
        <w:t>أ</w:t>
      </w:r>
      <w:r>
        <w:rPr>
          <w:rtl w:val="true"/>
        </w:rPr>
        <w:t xml:space="preserve">) </w:t>
      </w:r>
      <w:r>
        <w:rPr>
          <w:rtl w:val="true"/>
        </w:rPr>
        <w:t>المنهج الکلامی للمهذب الحنبلی</w:t>
      </w:r>
      <w:r>
        <w:rPr>
          <w:rtl w:val="true"/>
        </w:rPr>
        <w:t>:</w:t>
      </w:r>
      <w:bookmarkEnd w:id="442"/>
    </w:p>
    <w:p>
      <w:pPr>
        <w:pStyle w:val="Heading6"/>
        <w:numPr>
          <w:ilvl w:val="5"/>
          <w:numId w:val="1"/>
        </w:numPr>
        <w:rPr/>
      </w:pPr>
      <w:bookmarkStart w:id="443" w:name="__RefHeading___Toc2474074_653776707"/>
      <w:bookmarkStart w:id="444" w:name="_Toc161"/>
      <w:bookmarkEnd w:id="443"/>
      <w:r>
        <w:rPr/>
        <w:t>1</w:t>
      </w:r>
      <w:r>
        <w:rPr>
          <w:rtl w:val="true"/>
        </w:rPr>
        <w:t xml:space="preserve">- </w:t>
      </w:r>
      <w:r>
        <w:rPr>
          <w:rtl w:val="true"/>
        </w:rPr>
        <w:t>خلق القرآن ومحنة ابن حنبل</w:t>
      </w:r>
      <w:r>
        <w:rPr>
          <w:rtl w:val="true"/>
        </w:rPr>
        <w:t>:</w:t>
      </w:r>
      <w:bookmarkEnd w:id="44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عصر أحمد بن حنبل، اشتدّ الجدل حول خلق القرآن وقدمه، وذهب المأمون إلى القول بأنّ القرآن مخلوق وحادث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وأجبر العلماء على أن يظهروا رأيهم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الإطار تقبّل بعض العلماء القول بأنّ القرآن مخلوق، وذهبوا إلى ما ذهب إليه المأمون، لكن أحمد بن حنبل والّذي كان يؤمن بقدم القرآن رفض الإتباع فما كان من‌الخلافة إلاّ أن اذته وأودعته السجن أيّام المعتصم، لمدة تزيد عن السنتين، وقبل </w:t>
      </w:r>
      <w:bookmarkStart w:id="445" w:name="pg8675_123097"/>
    </w:p>
    <w:p>
      <w:pPr>
        <w:pStyle w:val="BookText"/>
        <w:rPr/>
      </w:pPr>
      <w:bookmarkEnd w:id="445"/>
      <w:r>
        <w:rPr>
          <w:rFonts w:ascii="Amiri" w:hAnsi="Amiri" w:eastAsia="Amiri" w:cs="Amiri"/>
          <w:color w:val="111111"/>
          <w:sz w:val="28"/>
          <w:sz w:val="28"/>
          <w:szCs w:val="28"/>
          <w:rtl w:val="true"/>
          <w:lang w:bidi="ar-SA"/>
        </w:rPr>
        <w:t>ذلك ضربته بالسياط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المعتصم أصدر الواثق حكما بمنع أحمدبن حنبل من أى لقاء، كما منعه من الإفتاء، لكن المتوكّل الّذي خلف‌الواثق رفع هذه المضايقات، ومنع الناس عن‌الخوض في مثل هكذا موضوعات، وانتهت محنة احمد فی خلق القرآن</w:t>
      </w:r>
      <w:r>
        <w:rPr>
          <w:rFonts w:eastAsia="IRNazanin" w:cs="IRNazanin"/>
          <w:color w:val="111111"/>
          <w:sz w:val="28"/>
          <w:szCs w:val="28"/>
          <w:rtl w:val="true"/>
          <w:lang w:bidi="fa-IR"/>
        </w:rPr>
        <w:t>.</w:t>
      </w:r>
      <w:r>
        <w:rPr>
          <w:rStyle w:val="FootnoteAnchor"/>
          <w:rtl w:val="true"/>
        </w:rPr>
        <w:footnoteReference w:id="228"/>
      </w:r>
    </w:p>
    <w:p>
      <w:pPr>
        <w:pStyle w:val="Heading6"/>
        <w:numPr>
          <w:ilvl w:val="5"/>
          <w:numId w:val="1"/>
        </w:numPr>
        <w:rPr/>
      </w:pPr>
      <w:bookmarkStart w:id="446" w:name="__RefHeading___Toc2474076_653776707"/>
      <w:bookmarkStart w:id="447" w:name="_Toc162"/>
      <w:bookmarkEnd w:id="446"/>
      <w:r>
        <w:rPr/>
        <w:t>2</w:t>
      </w:r>
      <w:r>
        <w:rPr>
          <w:rtl w:val="true"/>
        </w:rPr>
        <w:t xml:space="preserve">- </w:t>
      </w:r>
      <w:r>
        <w:rPr>
          <w:rtl w:val="true"/>
        </w:rPr>
        <w:t>القضاء والقدر والجبر</w:t>
      </w:r>
      <w:r>
        <w:rPr>
          <w:rtl w:val="true"/>
        </w:rPr>
        <w:t>:</w:t>
      </w:r>
      <w:bookmarkEnd w:id="447"/>
    </w:p>
    <w:p>
      <w:pPr>
        <w:pStyle w:val="BookText"/>
        <w:rPr/>
      </w:pPr>
      <w:r>
        <w:rPr>
          <w:rFonts w:ascii="Amiri" w:hAnsi="Amiri" w:eastAsia="Amiri" w:cs="Amiri"/>
          <w:color w:val="111111"/>
          <w:sz w:val="28"/>
          <w:sz w:val="28"/>
          <w:szCs w:val="28"/>
          <w:rtl w:val="true"/>
          <w:lang w:bidi="ar-SA"/>
        </w:rPr>
        <w:t>كما أنّ ابن حنبل سلفى في الفقه، فكذلك هوفي العقيدة يفكّر بذهنية سلفيّة، فهويعتقد أنّ كل شيء بقضاء الله وقدره، الخير والشر جميعا ويسلّم الأمور كلّها لله وأنّ الله يعلم بكل شيء ويقدر كلّ شيء وما يفعله الإنسان فبقدرة الله وإرادته</w:t>
      </w:r>
      <w:r>
        <w:rPr>
          <w:rFonts w:eastAsia="Amiri" w:cs="Amiri" w:ascii="Amiri" w:hAnsi="Amiri"/>
          <w:color w:val="111111"/>
          <w:sz w:val="28"/>
          <w:szCs w:val="28"/>
          <w:rtl w:val="true"/>
          <w:lang w:bidi="ar-SA"/>
        </w:rPr>
        <w:t>.</w:t>
      </w:r>
    </w:p>
    <w:p>
      <w:pPr>
        <w:pStyle w:val="Heading6"/>
        <w:numPr>
          <w:ilvl w:val="5"/>
          <w:numId w:val="1"/>
        </w:numPr>
        <w:rPr/>
      </w:pPr>
      <w:bookmarkStart w:id="448" w:name="__RefHeading___Toc2474078_653776707"/>
      <w:bookmarkStart w:id="449" w:name="_Toc163"/>
      <w:bookmarkEnd w:id="448"/>
      <w:r>
        <w:rPr/>
        <w:t>3</w:t>
      </w:r>
      <w:r>
        <w:rPr>
          <w:rtl w:val="true"/>
        </w:rPr>
        <w:t xml:space="preserve">- </w:t>
      </w:r>
      <w:r>
        <w:rPr>
          <w:rtl w:val="true"/>
        </w:rPr>
        <w:t>التوحيد</w:t>
      </w:r>
      <w:r>
        <w:rPr>
          <w:rtl w:val="true"/>
        </w:rPr>
        <w:t>:</w:t>
      </w:r>
      <w:bookmarkEnd w:id="449"/>
    </w:p>
    <w:p>
      <w:pPr>
        <w:pStyle w:val="BookText"/>
        <w:rPr/>
      </w:pPr>
      <w:r>
        <w:rPr>
          <w:rFonts w:ascii="IRNazanin" w:hAnsi="IRNazanin" w:eastAsia="IRNazanin"/>
          <w:color w:val="111111"/>
          <w:sz w:val="28"/>
          <w:sz w:val="28"/>
          <w:szCs w:val="28"/>
          <w:rtl w:val="true"/>
          <w:lang w:bidi="fa-IR"/>
        </w:rPr>
        <w:t>كان أحمد يؤمن برؤية الله يوم القيامة؛ ویری انه ثابت بالحديث الصحيح،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عندنا على ظاهره كما جاء عن‌النبي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والكلام فيه بدعة</w:t>
      </w:r>
      <w:r>
        <w:rPr>
          <w:rFonts w:eastAsia="IRNazanin" w:cs="IRNazanin"/>
          <w:color w:val="111111"/>
          <w:sz w:val="28"/>
          <w:szCs w:val="28"/>
          <w:rtl w:val="true"/>
          <w:lang w:bidi="fa-IR"/>
        </w:rPr>
        <w:t>.</w:t>
      </w:r>
      <w:r>
        <w:rPr>
          <w:rStyle w:val="FootnoteAnchor"/>
          <w:rtl w:val="true"/>
        </w:rPr>
        <w:footnoteReference w:id="229"/>
      </w:r>
    </w:p>
    <w:p>
      <w:pPr>
        <w:pStyle w:val="Heading6"/>
        <w:numPr>
          <w:ilvl w:val="5"/>
          <w:numId w:val="1"/>
        </w:numPr>
        <w:rPr/>
      </w:pPr>
      <w:bookmarkStart w:id="450" w:name="__RefHeading___Toc2474080_653776707"/>
      <w:bookmarkStart w:id="451" w:name="_Toc164"/>
      <w:bookmarkEnd w:id="450"/>
      <w:r>
        <w:rPr/>
        <w:t>4</w:t>
      </w:r>
      <w:r>
        <w:rPr>
          <w:rtl w:val="true"/>
        </w:rPr>
        <w:t xml:space="preserve">- </w:t>
      </w:r>
      <w:r>
        <w:rPr>
          <w:rtl w:val="true"/>
        </w:rPr>
        <w:t>الخلافة واختيار الإمام</w:t>
      </w:r>
      <w:r>
        <w:rPr>
          <w:rtl w:val="true"/>
        </w:rPr>
        <w:t>:</w:t>
      </w:r>
      <w:bookmarkEnd w:id="45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موضوع الخلافة، فقد نهج أحمد منهج مالك، فأثر طاعة الإمام، ولوظالما، على الخروج على الجماعة تجنّبا للفتن‌التي تثير القلاقل وتولد الحقد وروى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رجلاً يذكر أحدا من أصحاب رسول الله بسوء فاتهمه‌على الإسلام، ومن انتقص أحدا منهم أوأبغضه لحدث كان منه أوذكر مساويه كان مبتدعا والمبتدع </w:t>
      </w:r>
      <w:bookmarkStart w:id="452" w:name="pg8675_123100"/>
    </w:p>
    <w:p>
      <w:pPr>
        <w:pStyle w:val="BookText"/>
        <w:rPr/>
      </w:pPr>
      <w:bookmarkEnd w:id="452"/>
      <w:r>
        <w:rPr>
          <w:rFonts w:ascii="IRNazanin" w:hAnsi="IRNazanin" w:eastAsia="IRNazanin"/>
          <w:color w:val="111111"/>
          <w:sz w:val="28"/>
          <w:sz w:val="28"/>
          <w:szCs w:val="28"/>
          <w:rtl w:val="true"/>
          <w:lang w:bidi="fa-IR"/>
        </w:rPr>
        <w:t>عنده متهم في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الخلافة لم تزين عليّا، بل عليّ زيّنها ومع ذلك، من حيث الدرجة، يضعه بعد عثمان ولايسمح بالجدل فيما كان بين علي ومعاويه ويقول لمن يسأله عن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أمّة قد خلت لها ما كسبت ولكم ماكسبتم ولا تسألون عمّا كانون يعملون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يرى أنّ نظام اختيار الخليفة القائم لمن يخلفه هوالّذي يتفق مع السنة، فقد اختار الرسول خليفة بالاشاره حيث أناب عنه أبابكر في مرضه للإمامة وإختار أبوبكر عمر للخلافة وإختار عمر ستة وترك للأُمّة إختيار واحد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يؤثر عن أحمد أنّه عمد إلى تقديم النصح للحكام أووجّه إلى ذلك، وإنما الّذي عرف عنه أنّه كان يتجنب الحكام، وكان يركّز على إصلاح الرعيّة وتوجيه الأفراد إلى إحياء السنة والتمسّك بسيرة السلف الصالح ويرى ما يراه الحسن البصري من أنّإصلاح الرعية يؤدّي لامحالة إلى صلاح الراعي</w:t>
      </w:r>
      <w:r>
        <w:rPr>
          <w:rFonts w:eastAsia="Amiri" w:cs="Amiri" w:ascii="Amiri" w:hAnsi="Amiri"/>
          <w:color w:val="111111"/>
          <w:sz w:val="28"/>
          <w:szCs w:val="28"/>
          <w:rtl w:val="true"/>
          <w:lang w:bidi="ar-SA"/>
        </w:rPr>
        <w:t>.</w:t>
      </w:r>
      <w:r>
        <w:rPr>
          <w:rStyle w:val="FootnoteAnchor"/>
          <w:rtl w:val="true"/>
        </w:rPr>
        <w:footnoteReference w:id="230"/>
      </w:r>
    </w:p>
    <w:p>
      <w:pPr>
        <w:pStyle w:val="Heading6"/>
        <w:numPr>
          <w:ilvl w:val="5"/>
          <w:numId w:val="1"/>
        </w:numPr>
        <w:rPr/>
      </w:pPr>
      <w:bookmarkStart w:id="453" w:name="__RefHeading___Toc2474082_653776707"/>
      <w:bookmarkStart w:id="454" w:name="_Toc165"/>
      <w:bookmarkEnd w:id="453"/>
      <w:r>
        <w:rPr>
          <w:rtl w:val="true"/>
        </w:rPr>
        <w:t>ب</w:t>
      </w:r>
      <w:r>
        <w:rPr>
          <w:rtl w:val="true"/>
        </w:rPr>
        <w:t xml:space="preserve">) </w:t>
      </w:r>
      <w:r>
        <w:rPr>
          <w:rtl w:val="true"/>
        </w:rPr>
        <w:t>المنهج الفقهي للمذهب الحنبلی</w:t>
      </w:r>
      <w:r>
        <w:rPr>
          <w:rtl w:val="true"/>
        </w:rPr>
        <w:t>:</w:t>
      </w:r>
      <w:bookmarkEnd w:id="454"/>
    </w:p>
    <w:p>
      <w:pPr>
        <w:pStyle w:val="Heading6"/>
        <w:numPr>
          <w:ilvl w:val="5"/>
          <w:numId w:val="1"/>
        </w:numPr>
        <w:rPr/>
      </w:pPr>
      <w:bookmarkStart w:id="455" w:name="__RefHeading___Toc2474084_653776707"/>
      <w:bookmarkStart w:id="456" w:name="_Toc166"/>
      <w:bookmarkEnd w:id="455"/>
      <w:r>
        <w:rPr>
          <w:rtl w:val="true"/>
        </w:rPr>
        <w:t>اشارة</w:t>
      </w:r>
      <w:bookmarkEnd w:id="456"/>
    </w:p>
    <w:p>
      <w:pPr>
        <w:pStyle w:val="BookText"/>
        <w:rPr/>
      </w:pPr>
      <w:r>
        <w:rPr>
          <w:rFonts w:ascii="IRNazanin" w:hAnsi="IRNazanin" w:eastAsia="IRNazanin"/>
          <w:color w:val="111111"/>
          <w:sz w:val="28"/>
          <w:sz w:val="28"/>
          <w:szCs w:val="28"/>
          <w:rtl w:val="true"/>
          <w:lang w:bidi="fa-IR"/>
        </w:rPr>
        <w:t xml:space="preserve">ذكرنا سابقا أنّ فقه أحمد هوحديثي وأثرى ولايردّ في فقهه حديثا نُسب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عارضه أقوى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يجد عن الرسول ولا صحابته، إجتهد في تخريج المسألة على منهاج من سبقه وينهى عن الإجتهاد فيما لم‌يتكلم فيه السلف الصالح</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أنّه إذا وجد في المسألة أقوالاً مختلفة للصحابة ولم يتمكن من المفاضلة بينها أخذ بها مع إختلافها وروى الأقوال دون أن يجزم بواحد منها</w:t>
      </w:r>
      <w:r>
        <w:rPr>
          <w:rFonts w:eastAsia="Amiri" w:cs="Amiri" w:ascii="Amiri" w:hAnsi="Amiri"/>
          <w:color w:val="111111"/>
          <w:sz w:val="28"/>
          <w:szCs w:val="28"/>
          <w:rtl w:val="true"/>
          <w:lang w:bidi="ar-SA"/>
        </w:rPr>
        <w:t xml:space="preserve">. </w:t>
      </w:r>
      <w:bookmarkStart w:id="457" w:name="pg8675_123104"/>
    </w:p>
    <w:p>
      <w:pPr>
        <w:pStyle w:val="BookText"/>
        <w:rPr/>
      </w:pPr>
      <w:bookmarkEnd w:id="457"/>
      <w:r>
        <w:rPr>
          <w:rFonts w:ascii="Amiri" w:hAnsi="Amiri" w:eastAsia="Amiri" w:cs="Amiri"/>
          <w:color w:val="111111"/>
          <w:sz w:val="28"/>
          <w:sz w:val="28"/>
          <w:szCs w:val="28"/>
          <w:rtl w:val="true"/>
          <w:lang w:bidi="ar-SA"/>
        </w:rPr>
        <w:t xml:space="preserve">ويلاحظ في فقه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لايعتمد في العبادات إلاّ على النصوص، وكان يحتاط فيها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المعاملات فإنّ الأصل عنده فيها الإباحة، ما لم يقم الدليل على الحظر، فمذهبه أيسر المذاهب الفقهية بالنسبة للمعاملات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وعلى‌هذا يقول ابن القيّم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العبادات البطلان حتى يقوم دليل على الأمر، والأصل في العقود والمعاملات الصّحة حتى يقوم الدليل على البطلان والتحريم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شرط وعقد معاملة سكت عنها لايجوز القول بتحريمها، فإنّه سكت عنها رحمة منه من غير نسيان وإهمال</w:t>
      </w:r>
      <w:r>
        <w:rPr>
          <w:rFonts w:eastAsia="Amiri" w:cs="Amiri" w:ascii="Amiri" w:hAnsi="Amiri"/>
          <w:color w:val="111111"/>
          <w:sz w:val="28"/>
          <w:szCs w:val="28"/>
          <w:rtl w:val="true"/>
          <w:lang w:bidi="ar-SA"/>
        </w:rPr>
        <w:t>.</w:t>
      </w:r>
      <w:r>
        <w:rPr>
          <w:rStyle w:val="FootnoteAnchor"/>
          <w:rtl w:val="true"/>
        </w:rPr>
        <w:footnoteReference w:id="231"/>
      </w:r>
    </w:p>
    <w:p>
      <w:pPr>
        <w:pStyle w:val="Heading6"/>
        <w:numPr>
          <w:ilvl w:val="5"/>
          <w:numId w:val="1"/>
        </w:numPr>
        <w:rPr/>
      </w:pPr>
      <w:bookmarkStart w:id="458" w:name="__RefHeading___Toc2474086_653776707"/>
      <w:bookmarkStart w:id="459" w:name="_Toc167"/>
      <w:bookmarkEnd w:id="458"/>
      <w:r>
        <w:rPr/>
        <w:t>5</w:t>
      </w:r>
      <w:r>
        <w:rPr>
          <w:rtl w:val="true"/>
        </w:rPr>
        <w:t xml:space="preserve">) </w:t>
      </w:r>
      <w:r>
        <w:rPr>
          <w:rtl w:val="true"/>
        </w:rPr>
        <w:t>نماذج من الفتاوى التي إنفرد بها الفقه الحنبلي</w:t>
      </w:r>
      <w:r>
        <w:rPr>
          <w:rtl w:val="true"/>
        </w:rPr>
        <w:t>:</w:t>
      </w:r>
      <w:bookmarkEnd w:id="4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الماء بمقدار قلتين فحكمه حكم الماء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والقلّة في اللغة بمعنى الجرّة ومقدار الجرّة ذراع وربع الذراع طولاً وعرضا وإرتفاعا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الفتوى من الفتاوىالتي يشترك فيها المذهبان الحنبلي والشافعي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القى‌ء ينقض الوضوء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أكل لحم البعير ينقض الوضوء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الخمسين سنّ اليأس لجميع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أقل الطهر ثلاثة عشر يوما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تبطل الصلاة في مقبرة يتجاوز عدد القبور فيها عن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للخروج من الصلاة يجب أن يكرر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ورحمة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bookmarkStart w:id="460" w:name="pg8675_123107"/>
    </w:p>
    <w:p>
      <w:pPr>
        <w:pStyle w:val="Heading3"/>
        <w:numPr>
          <w:ilvl w:val="2"/>
          <w:numId w:val="1"/>
        </w:numPr>
        <w:rPr/>
      </w:pPr>
      <w:bookmarkStart w:id="461" w:name="__RefHeading___Toc2474088_653776707"/>
      <w:bookmarkStart w:id="462" w:name="_Toc168"/>
      <w:bookmarkEnd w:id="460"/>
      <w:bookmarkEnd w:id="461"/>
      <w:r>
        <w:rPr>
          <w:rtl w:val="true"/>
        </w:rPr>
        <w:t>الفصل السابع إستمرار مدرسة أحمد بن حنبل في القرون المتأخرة</w:t>
      </w:r>
      <w:bookmarkEnd w:id="462"/>
    </w:p>
    <w:p>
      <w:pPr>
        <w:pStyle w:val="Heading4"/>
        <w:numPr>
          <w:ilvl w:val="3"/>
          <w:numId w:val="1"/>
        </w:numPr>
        <w:rPr/>
      </w:pPr>
      <w:bookmarkStart w:id="463" w:name="__RefHeading___Toc2474090_653776707"/>
      <w:bookmarkStart w:id="464" w:name="_Toc169"/>
      <w:bookmarkEnd w:id="463"/>
      <w:r>
        <w:rPr>
          <w:rtl w:val="true"/>
        </w:rPr>
        <w:t>اشارة</w:t>
      </w:r>
      <w:bookmarkEnd w:id="464"/>
    </w:p>
    <w:p>
      <w:pPr>
        <w:pStyle w:val="BookText"/>
        <w:rPr/>
      </w:pPr>
      <w:r>
        <w:rPr>
          <w:rFonts w:ascii="Amiri" w:hAnsi="Amiri" w:eastAsia="Amiri" w:cs="Amiri"/>
          <w:color w:val="111111"/>
          <w:sz w:val="28"/>
          <w:sz w:val="28"/>
          <w:szCs w:val="28"/>
          <w:rtl w:val="true"/>
          <w:lang w:bidi="ar-SA"/>
        </w:rPr>
        <w:t>إطلالة على المذهب والمنهج الإجتهاديّ المتّبع لابن تيميّة وأتباعه</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2474092_653776707"/>
      <w:bookmarkStart w:id="466" w:name="_Toc170"/>
      <w:bookmarkEnd w:id="465"/>
      <w:r>
        <w:rPr/>
        <w:t>1</w:t>
      </w:r>
      <w:r>
        <w:rPr>
          <w:rtl w:val="true"/>
        </w:rPr>
        <w:t xml:space="preserve">) </w:t>
      </w:r>
      <w:r>
        <w:rPr>
          <w:rtl w:val="true"/>
        </w:rPr>
        <w:t>ابن تيمية</w:t>
      </w:r>
      <w:r>
        <w:rPr>
          <w:rtl w:val="true"/>
        </w:rPr>
        <w:t>:</w:t>
      </w:r>
      <w:bookmarkEnd w:id="466"/>
    </w:p>
    <w:p>
      <w:pPr>
        <w:pStyle w:val="BookText"/>
        <w:rPr/>
      </w:pPr>
      <w:r>
        <w:rPr>
          <w:rFonts w:ascii="IRNazanin" w:hAnsi="IRNazanin" w:eastAsia="IRNazanin"/>
          <w:color w:val="111111"/>
          <w:sz w:val="28"/>
          <w:sz w:val="28"/>
          <w:szCs w:val="28"/>
          <w:rtl w:val="true"/>
          <w:lang w:bidi="fa-IR"/>
        </w:rPr>
        <w:t xml:space="preserve">هوأحمد بن عبد الحليم تقىّ‌الدين ابن تيميّة الحرّاني الدمشقى الحنبليّ </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وبالرغم من أنّه تتلمذ على يد عددٍ من الأساتذة،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الدائم، والقاسم الأربلي، والمسلم بن علان، لم یکن من أهل البحث والتحقيق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أثارت فتاواه الشاذة والنادرة فقهاء عصره عليه، وفي العامين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أقيمت عليه دعاوى قضائيّة، ومن ثم حكم عليه بالسجن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ذلك أُبعد إلى الاسكندريّة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ثمّ إلى القاهرة، ليعودوا به مرّةً أُخرى إلى دمشق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232"/>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المأساة في حياة ابن تيمية تكمن فيما طرحه من أفكارٍ ونظريّاتٍ في أبواب </w:t>
      </w:r>
    </w:p>
    <w:p>
      <w:pPr>
        <w:pStyle w:val="BookText"/>
        <w:rPr/>
      </w:pPr>
      <w:r>
        <w:rPr>
          <w:rFonts w:ascii="IRNazanin" w:hAnsi="IRNazanin" w:eastAsia="IRNazanin"/>
          <w:color w:val="111111"/>
          <w:sz w:val="28"/>
          <w:sz w:val="28"/>
          <w:szCs w:val="28"/>
          <w:rtl w:val="true"/>
          <w:lang w:bidi="fa-IR"/>
        </w:rPr>
        <w:t>مختلفة في المعارف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الرجل لا يدع مجالاً إلاّ وطرقه، بما في ذلكالأبواب المتعلّقة بالصحابة والخلفاء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أنّه خطّأ عمر بن الخطاب في بعض الأمور، وقال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أخطأ في سبعة عشر شيئا، ثمّ خالف فيها نصّ الكتاب،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اعتداد المتوفّى عنها زوجها أطول الأجلين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ذكروا أنّه ذكر حديث النزول، أي نزول الله إلى السماء الدنيا، فنزل عن المنبر درجتين،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كنزولى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وحينما رفض الاستغاثة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rtl w:val="true"/>
          <w:lang w:bidi="fa-IR"/>
        </w:rPr>
        <w:t>(</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 عن دمشق، وحبس مرّات عديدة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ذكرت آراء مختلفة حول هذه الشخصية وافترق الناس فيه شيعا، نظرا لما طرحه من 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نسبه إلى التجسيم،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إنّ‌اليد والقدم والساق والوجه صفات حقيقيّة لله، وأنّه مستوعلى‌العرش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يلزم من ذلك‌التحيّز والإنقسام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لا أسلّم أنّ‌التحيّز والإنقسام من خواصّ‌الأجسام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فأُلْزِم بأنّه يقول بالتحيّز في ذات‌الله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ومنهم من ينسبه إلى الزندقة،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يُستغاث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في ذلك تنقيصا ومنعا من تعظيم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من ينسبه إلى النفاق، لقوله في عليٍّ ما تقدّم، وأيضا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مخذولاً حيث ما توجّه، وإنّه حاول الخلافة مرارا فلم ينلها، وإنّه قاتل للرياسة لا للديانة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يحبّ الرياسة، وإنّ عثمان كان يحبّ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أبوبكر أسلم شيخا لا يدري ما يقول، وعليٌّ أسلم صبيّا، والصبيّ لا يصحّ إسلامه 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p>
    <w:p>
      <w:pPr>
        <w:pStyle w:val="BookText"/>
        <w:rPr/>
      </w:pPr>
      <w:r>
        <w:rPr>
          <w:rFonts w:ascii="IRNazanin" w:hAnsi="IRNazanin" w:eastAsia="IRNazanin"/>
          <w:color w:val="111111"/>
          <w:sz w:val="28"/>
          <w:sz w:val="28"/>
          <w:szCs w:val="28"/>
          <w:rtl w:val="true"/>
          <w:lang w:bidi="fa-IR"/>
        </w:rPr>
        <w:t xml:space="preserve">شنّع في ذلك، فألزموه بالنفاق، لقول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يبغضك إلاّ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ونسبه قوم إلى أنّه يسعى في الإمامة الكبرى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إذا حُوقق وأُلْزِم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أُرِد هذا، إنّما أردتُ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فيذكر احتمالاً بعيدا</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وقد واجه علماءالسنّة هذه الأفكار وهذا المنهج الكلامىّ لابن تيميّة بطريقتين أساسيّتين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عقائده وآرائه، من خلال تدوين المؤلّفات والكتب، من قبيل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 في زيارة قبر خير الأنام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 الدين السبكي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المضيئة في الردّ على 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 الدين السبكي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المقالة المرضيّة في الردّ على 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 الدين أبي عبدالله الإخنائي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المهتدى ورجم المقتدى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بن المعلم القرشي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شبه من شبه وتمرّد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 الدين الحصني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المختارة في الردّ على منكر الزيارة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تاج‌الدين عمر المالكي الفاكهاني</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إصدار العلماء من أهل السنّة للفتاوى في مواجهة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 يُظهرها ابن تيميّة، فقد كتب البدر ابن جماعة قاضى قضات مصر مثلاً على ظاهر فتوى ابن </w:t>
      </w:r>
      <w:bookmarkStart w:id="467" w:name="pg8675_123116"/>
    </w:p>
    <w:p>
      <w:pPr>
        <w:pStyle w:val="BookText"/>
        <w:rPr/>
      </w:pPr>
      <w:bookmarkEnd w:id="467"/>
      <w:r>
        <w:rPr>
          <w:rFonts w:ascii="IRNazanin" w:hAnsi="IRNazanin" w:eastAsia="IRNazanin"/>
          <w:color w:val="111111"/>
          <w:sz w:val="28"/>
          <w:sz w:val="28"/>
          <w:szCs w:val="28"/>
          <w:rtl w:val="true"/>
          <w:lang w:bidi="fa-IR"/>
        </w:rPr>
        <w:t xml:space="preserve">تيميّة من تحريم زيارة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زيارة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فضيلةٌ وسنّةٌ مُجمعٌ عليها، فمن يحرّم زيارة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ابن تيمية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ينبغى أن يُزجر عن مثل هذه الفتاوى الباطلة عند الأئمّة والعلماء، ويُمنع من هذه الفتاوى الغريبة، ويُحبس إذا لم يمتنع من ذلك،ويشهر أمره ليحفظ الناس من الاقتداء به</w:t>
      </w:r>
      <w:r>
        <w:rPr>
          <w:rFonts w:eastAsia="IRNazanin" w:cs="IRNazanin"/>
          <w:color w:val="111111"/>
          <w:sz w:val="28"/>
          <w:szCs w:val="28"/>
          <w:rtl w:val="true"/>
          <w:lang w:bidi="fa-IR"/>
        </w:rPr>
        <w:t>».</w:t>
      </w:r>
      <w:r>
        <w:rPr>
          <w:rStyle w:val="FootnoteAnchor"/>
          <w:rtl w:val="true"/>
        </w:rPr>
        <w:footnoteReference w:id="234"/>
      </w:r>
      <w:r>
        <w:rPr>
          <w:rFonts w:ascii="Amiri" w:hAnsi="Amiri" w:eastAsia="Amiri" w:cs="Amiri"/>
          <w:color w:val="111111"/>
          <w:sz w:val="28"/>
          <w:sz w:val="28"/>
          <w:szCs w:val="28"/>
          <w:rtl w:val="true"/>
          <w:lang w:bidi="ar-SA"/>
        </w:rPr>
        <w:t xml:space="preserve">وفي الختام تجدر الإشارة إلى أن عقائد ابن تيميّة غير مرتبطة بما ذهب إليه ابن حنبل فإنّ أحمد ابن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 من ذكر منهجه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شديد التعلق بالشيعة والصحابة، ولا سيما الخلفاء الراشدين منهم، وهذا بخلاف ابن تيميه الّذي يطعن فيهم</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2474094_653776707"/>
      <w:bookmarkStart w:id="469" w:name="_Toc171"/>
      <w:bookmarkEnd w:id="468"/>
      <w:r>
        <w:rPr/>
        <w:t>2</w:t>
      </w:r>
      <w:r>
        <w:rPr>
          <w:rtl w:val="true"/>
        </w:rPr>
        <w:t xml:space="preserve">) </w:t>
      </w:r>
      <w:r>
        <w:rPr>
          <w:rtl w:val="true"/>
        </w:rPr>
        <w:t>ابن قيم الجوزيّة الحنبلي</w:t>
      </w:r>
      <w:r>
        <w:rPr>
          <w:rtl w:val="true"/>
        </w:rPr>
        <w:t>:</w:t>
      </w:r>
      <w:bookmarkEnd w:id="46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هومحمّد بن أبي بكر شمس الدين ابن قيم الجوزيّة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أتباع ابن تيمية ومريديه، قيل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غلب عليه حبّ ابن تيمية، حتى كان لا يخرج عن شيءٍ من أقواله، بل يقتصر عليه في جميع ذلك، وهوالّذي هذّب كتبه ونشر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حظّ عند الأمراء المصريّين، واعتُقل مع ابن تيمية بالقلعة، بعد أن أُهين وطيف به على جمل مضروبا بالدرّة، فلمّا مات ابن تيمية أُفرج عنه، وامتُحن مرّةً أُخرى بسبب فتاوى ابن تيمية، وكان ينال من علماء عصره وينالون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حُبس مرّةً لإنكاره شدّ الرحل لزيارة قبر الخليل</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bookmarkStart w:id="470" w:name="pg8675_123119"/>
    </w:p>
    <w:p>
      <w:pPr>
        <w:pStyle w:val="Heading4"/>
        <w:numPr>
          <w:ilvl w:val="3"/>
          <w:numId w:val="1"/>
        </w:numPr>
        <w:rPr/>
      </w:pPr>
      <w:bookmarkStart w:id="471" w:name="__RefHeading___Toc2474096_653776707"/>
      <w:bookmarkStart w:id="472" w:name="_Toc172"/>
      <w:bookmarkEnd w:id="470"/>
      <w:bookmarkEnd w:id="471"/>
      <w:r>
        <w:rPr/>
        <w:t>3</w:t>
      </w:r>
      <w:r>
        <w:rPr>
          <w:rtl w:val="true"/>
        </w:rPr>
        <w:t xml:space="preserve">) </w:t>
      </w:r>
      <w:r>
        <w:rPr>
          <w:rtl w:val="true"/>
        </w:rPr>
        <w:t>محمّد بن عبد الوهّاب النجدي</w:t>
      </w:r>
      <w:r>
        <w:rPr>
          <w:rtl w:val="true"/>
        </w:rPr>
        <w:t>:</w:t>
      </w:r>
      <w:bookmarkEnd w:id="472"/>
    </w:p>
    <w:p>
      <w:pPr>
        <w:pStyle w:val="Heading5"/>
        <w:numPr>
          <w:ilvl w:val="4"/>
          <w:numId w:val="1"/>
        </w:numPr>
        <w:rPr/>
      </w:pPr>
      <w:bookmarkStart w:id="473" w:name="__RefHeading___Toc2474098_653776707"/>
      <w:bookmarkStart w:id="474" w:name="_Toc173"/>
      <w:bookmarkEnd w:id="473"/>
      <w:r>
        <w:rPr>
          <w:rtl w:val="true"/>
        </w:rPr>
        <w:t>اشارة</w:t>
      </w:r>
      <w:bookmarkEnd w:id="474"/>
    </w:p>
    <w:p>
      <w:pPr>
        <w:pStyle w:val="BookText"/>
        <w:rPr/>
      </w:pPr>
      <w:r>
        <w:rPr>
          <w:rFonts w:ascii="Amiri" w:hAnsi="Amiri" w:eastAsia="Amiri" w:cs="Amiri"/>
          <w:color w:val="111111"/>
          <w:sz w:val="28"/>
          <w:sz w:val="28"/>
          <w:szCs w:val="28"/>
          <w:rtl w:val="true"/>
          <w:lang w:bidi="ar-SA"/>
        </w:rPr>
        <w:t>كان للمساعي والجهود التي قام بها ابن تيمية وتلميذه ابن قيم الجوزيّة أثر كبير في إعادة إحياء المذهب الحنبلي وتجديده وبثّ الروح فيه وانتشاره من جديد، إلى أن جاء محمد بن عبد الوهاب الّذي تبنّى أفكار ابن تيميّة والفقه الحنبلي، حتى استطاعلاحقا أن يكرّس المذهب الحنبليّ بعنوان أنّه المذهب الرسمىّ للدولة التي أقامها آل سعود في الحجاز</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محمد بن عبد الوهاب </w:t>
      </w: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w:t>
      </w:r>
      <w:r>
        <w:rPr>
          <w:rFonts w:eastAsia="IRNazanin" w:cs="IRNazanin"/>
          <w:color w:val="111111"/>
          <w:sz w:val="28"/>
          <w:szCs w:val="28"/>
          <w:lang w:bidi="fa-IR"/>
        </w:rPr>
        <w:t>1207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بلدة العيينة من مدن بلاد نجد وأرض الحجاز، كان والده أحد القضاة الحنابلة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عنه ومنذ صغر سنّه الشغف بمطالعة كتب ابن تيمية وابن القيم، وتأثّر بأفكارهما وآرائهما منذ سنىّ الشباب الأُولى، ومنذ ذلك الوقت وهوينكر على مسلمي أهل نجد عقائدهم وأفعالهم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سافر إلى مكّة، ثمّ إلى المدينة المنوّرة، وأظهر الإنكار على الناس لاستغاثتهم وتوسّلهم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رحل إلى نجد، ثمّ أتى البصرة يريد الشام، فلمّا ورد البصرة أحسّ المسلمون بذلك فأخرجوه منها، فخرج هاربا، وكاد يهلك من الحرّ والعطش أثناء سيره بين البصرة والزبير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انتقل من محلة الزبير إلى مدينة الأحساء، ومن ثمّ إلى بلدة حريملة التابعة لنجد، وذلك عام </w:t>
      </w:r>
      <w:r>
        <w:rPr>
          <w:rFonts w:eastAsia="IRNazanin" w:cs="IRNazanin"/>
          <w:color w:val="111111"/>
          <w:sz w:val="28"/>
          <w:szCs w:val="28"/>
          <w:rtl w:val="true"/>
          <w:lang w:bidi="fa-IR"/>
        </w:rPr>
        <w:t>(</w:t>
      </w:r>
      <w:r>
        <w:rPr>
          <w:rFonts w:eastAsia="IRNazanin" w:cs="IRNazanin"/>
          <w:color w:val="111111"/>
          <w:sz w:val="28"/>
          <w:szCs w:val="28"/>
          <w:lang w:bidi="fa-IR"/>
        </w:rPr>
        <w:t>1139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أبوه قد انتقل من العيينة إلى تلك البلدة، فلازمه وقرأ عليه، وأظهر الإنكار على مسلمي نجد في عقائدهم، فنهاه أبوه فلم ينتهِ، حتى وقع بينهما نزاع و وقع بينه وبين المسلمين في </w:t>
      </w:r>
    </w:p>
    <w:p>
      <w:pPr>
        <w:pStyle w:val="BookText"/>
        <w:rPr/>
      </w:pPr>
      <w:r>
        <w:rPr>
          <w:rFonts w:ascii="Amiri" w:hAnsi="Amiri" w:eastAsia="Amiri" w:cs="Amiri"/>
          <w:color w:val="111111"/>
          <w:sz w:val="28"/>
          <w:sz w:val="28"/>
          <w:szCs w:val="28"/>
          <w:rtl w:val="true"/>
          <w:lang w:bidi="ar-SA"/>
        </w:rPr>
        <w:t xml:space="preserve">حريملة جدال كثير، فأقام على ذلك حتى توفّى أبوه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فاجترأ على إظهار عقائده والإنكار على المسلمين فيما أطبقوا عليه، وتبعه حثالة من الناس، إلى أن غصّ أهل البلد من مقالاته وهمّوا بقتله، فانتقل من حريملة إلى العيينة، ورئيسها يومئذٍ عثمان بن أحمد بن معمر، فأطمعه ابن عبد الوهاب في ملك نجد، فاستقبله عثمان بالترحاب والتكريم وقرّبه وساعده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عظم أمره بلغ خبره سليمانبن محمد بن عزيز الحميدي صاحب الأحساء وأميرها، الّذي أرسل إلى عثمان كتابا يأمره فيه بقتل ابن عبد الوهّاب ويهدّده على المخالفة، فلم تسعه مخالفته، فأرسل إليه وأمره بالخروج عن مملكته، فخرج عن العينيّة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خروجه منها وصل إلى الدرعية، من البلدات الشهيرة بنجد، ولمّا وردها استقبله محمد بن سعود، جدّ السعوديّين، وتمّ الإتفاق بين الأمير والشيخ على غرار ما كان بينه وبين أمير عيينة</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ومنذ ذلك الوقت، جعل ابن سعود يجهّز الجيوش لنصرته، ويؤلّب العساكر لترويج طريقته، حتى استقام أمره في الدرعية، فكتب إلى رؤساء بلاد نجد وقبائلها وقضاتها يطلب منهم الطاعة والانقياد، فأجابه قوم وردّه آخرون، فجهّز الجيش من أهل الدرعية، وقاتلهم، وقاتل جميع من خالفه من المسلمين، مغيرا على قبائلهم، منتهبا لأموالهم، متّهما إيّاهم بالكفر لمخالفته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الغنائم توزَّع على وفق ما يراه الشيخ مناسبا، وكان كلّ من يقبل التوحيد بالمعني الّذي يدعوإليه ابن عبد الوهاب يحفظ بذلك دمه وماله، وكلّ من لا يقبله يُهدر دمه ويُباح ماله، ويتمّ التعامل معه تماما كما لوأنّه كان كافرا حربيّا</w:t>
      </w:r>
      <w:r>
        <w:rPr>
          <w:rFonts w:eastAsia="Amiri" w:cs="Amiri" w:ascii="Amiri" w:hAnsi="Amiri"/>
          <w:color w:val="111111"/>
          <w:sz w:val="28"/>
          <w:szCs w:val="28"/>
          <w:rtl w:val="true"/>
          <w:lang w:bidi="ar-SA"/>
        </w:rPr>
        <w:t xml:space="preserve">. </w:t>
      </w:r>
      <w:bookmarkStart w:id="475" w:name="pg8675_123125"/>
    </w:p>
    <w:p>
      <w:pPr>
        <w:pStyle w:val="BookText"/>
        <w:rPr/>
      </w:pPr>
      <w:bookmarkEnd w:id="475"/>
      <w:r>
        <w:rPr>
          <w:rFonts w:ascii="Amiri" w:hAnsi="Amiri" w:eastAsia="Amiri" w:cs="Amiri"/>
          <w:color w:val="111111"/>
          <w:sz w:val="28"/>
          <w:sz w:val="28"/>
          <w:szCs w:val="28"/>
          <w:rtl w:val="true"/>
          <w:lang w:bidi="ar-SA"/>
        </w:rPr>
        <w:t>وهكذا امتدّت غزوات الوهابيّين وحروبهم منطلقةً من المباني الفكريّة لمذهب شيخهم في داخل نجدٍ وخارجها، من الحجاز إلى اليمن وسوريا والعراق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وبالرغم من وفاة محمد بن عبد الوهاب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الوهابيّين استمرّوا على العمل بطريقته الدمويّة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العام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جهّز عبد العزيز بن محمّد بن سعود جيشا جرّارا منأعراب نجد، بإمارة ابنه سعود، دخل به العراق وحاصر كربلاء، وأعمل في أهلها السيف، فقتلوا كلّ من وجدوهم، وارتفع عدد الضحايا، ثمّ قاموا بهدم قبر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ونهبوا جميع ما في خزانة المشهد الشريف من النفائس الثمينة</w:t>
      </w:r>
      <w:r>
        <w:rPr>
          <w:rFonts w:eastAsia="IRNazanin" w:cs="IRNazanin"/>
          <w:color w:val="111111"/>
          <w:sz w:val="28"/>
          <w:szCs w:val="28"/>
          <w:rtl w:val="true"/>
          <w:lang w:bidi="fa-IR"/>
        </w:rPr>
        <w:t>.</w:t>
      </w:r>
      <w:r>
        <w:rPr>
          <w:rStyle w:val="FootnoteAnchor"/>
          <w:rtl w:val="true"/>
        </w:rPr>
        <w:footnoteReference w:id="238"/>
      </w:r>
    </w:p>
    <w:p>
      <w:pPr>
        <w:pStyle w:val="Heading5"/>
        <w:numPr>
          <w:ilvl w:val="4"/>
          <w:numId w:val="1"/>
        </w:numPr>
        <w:rPr/>
      </w:pPr>
      <w:bookmarkStart w:id="476" w:name="__RefHeading___Toc2474100_653776707"/>
      <w:bookmarkStart w:id="477" w:name="_Toc174"/>
      <w:bookmarkEnd w:id="476"/>
      <w:r>
        <w:rPr>
          <w:rtl w:val="true"/>
        </w:rPr>
        <w:t>بعض الأصول الأساسيّة للفكر الوهابیّ</w:t>
      </w:r>
      <w:r>
        <w:rPr>
          <w:rtl w:val="true"/>
        </w:rPr>
        <w:t>:</w:t>
      </w:r>
      <w:bookmarkEnd w:id="4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الأصل الأساس في الفكر الوهابىّ،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هوالإيمان بقراءةٍ خاصّةٍ لهم في مجال التوحيد، فقد تمسّك هؤلاء بظواهر الآيات والروايات فأثبتوا لله تعالى أعضاء وجوارح، ومن جملة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تتحدّث عن أنّ الله تعالى ينزل إلى السماء الدنيا في كلّ ليلة،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تائب فأتوب عليه؟ هل من مستغفر فأغفر له؟ فقد حملوها على ظاهرها فاعتقدوا أنّ الله تعالى يترك عرشه فعلاً وينزل إلى السماء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رَبُّكَ وَالْمَلَكُ صَفّا صَفّا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استفادوا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المجى‌ء إليه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w:t>
      </w:r>
    </w:p>
    <w:p>
      <w:pPr>
        <w:pStyle w:val="BookText"/>
        <w:rPr/>
      </w:pPr>
      <w:r>
        <w:rPr>
          <w:rFonts w:ascii="Amiri" w:hAnsi="Amiri" w:eastAsia="Amiri" w:cs="Amiri"/>
          <w:color w:val="111111"/>
          <w:sz w:val="28"/>
          <w:sz w:val="28"/>
          <w:szCs w:val="28"/>
          <w:rtl w:val="true"/>
          <w:lang w:bidi="ar-SA"/>
        </w:rPr>
        <w:t>أَقْرَبُ إِلَيْهِ مِنْ حَبْلِ الْوَرِيدِ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استفادوا منها أنّ الله تعالى قريب من الإنسان بالقرب المكاني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صنّف الوهابيّون وتبعا لابن تيمية أيضا الروايات الواردة في زيارة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خانة الروايات الموضوعة والمختلقة، واعتقدوا بأنّ كلّ من يُثبت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وفاته حياةً، كتلك التي كانت له أثناء حياته فقد ارتكب خطأً فاحشا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وقد تصدّى جمع كبير من علماء أهل السنّة للردّ على عقائد محمّد بن عبد الوهّاب منذ أن أعلنها أمام الملأ، ومن بين هؤلاء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عبد الوهّاب، وأخوه سليمان بن عبد الوهّاب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الإلهيّة في الردّ على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وتجدر الإشارة هنا إلى أنّ محمّد بن عبدالوهّاب لم يكن مبتكرا ومؤسّسا لمذهبٍ جديد، وإنّما كان يروّج لنفس الأفكار التي طرحها قبله كلّ من ابن تيمية وتلميذه ابن القيّم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فقد تصدّى علماء الشيعة وفقهائهم للردّ على أفكار ابن وهاب والإجابة عن معتقداته، وأوّل من تصدّى لذلك منهم هوالشيخ جعفر كاشف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منهج الرشاد</w:t>
      </w:r>
      <w:r>
        <w:rPr>
          <w:rFonts w:eastAsia="Amiri" w:cs="Amiri" w:ascii="Amiri" w:hAnsi="Amiri"/>
          <w:color w:val="111111"/>
          <w:sz w:val="28"/>
          <w:szCs w:val="28"/>
          <w:rtl w:val="true"/>
          <w:lang w:bidi="ar-SA"/>
        </w:rPr>
        <w:t xml:space="preserve">». </w:t>
      </w:r>
      <w:bookmarkStart w:id="478" w:name="pg8675_123132"/>
    </w:p>
    <w:p>
      <w:pPr>
        <w:pStyle w:val="Heading3"/>
        <w:numPr>
          <w:ilvl w:val="2"/>
          <w:numId w:val="1"/>
        </w:numPr>
        <w:rPr/>
      </w:pPr>
      <w:bookmarkStart w:id="479" w:name="__RefHeading___Toc2474102_653776707"/>
      <w:bookmarkStart w:id="480" w:name="_Toc175"/>
      <w:bookmarkEnd w:id="478"/>
      <w:bookmarkEnd w:id="479"/>
      <w:r>
        <w:rPr>
          <w:rtl w:val="true"/>
        </w:rPr>
        <w:t>الفصل الثامن مدرسة الظاهري ومنهجه في الإجتهاد</w:t>
      </w:r>
      <w:bookmarkEnd w:id="480"/>
    </w:p>
    <w:p>
      <w:pPr>
        <w:pStyle w:val="Heading4"/>
        <w:numPr>
          <w:ilvl w:val="3"/>
          <w:numId w:val="1"/>
        </w:numPr>
        <w:rPr/>
      </w:pPr>
      <w:bookmarkStart w:id="481" w:name="__RefHeading___Toc2474104_653776707"/>
      <w:bookmarkStart w:id="482" w:name="_Toc176"/>
      <w:bookmarkEnd w:id="481"/>
      <w:r>
        <w:rPr>
          <w:rtl w:val="true"/>
        </w:rPr>
        <w:t>مجالات البحث في المذهب الظاهری</w:t>
      </w:r>
      <w:r>
        <w:rPr>
          <w:rtl w:val="true"/>
        </w:rPr>
        <w:t>:</w:t>
      </w:r>
      <w:bookmarkEnd w:id="482"/>
    </w:p>
    <w:p>
      <w:pPr>
        <w:pStyle w:val="Heading5"/>
        <w:numPr>
          <w:ilvl w:val="4"/>
          <w:numId w:val="1"/>
        </w:numPr>
        <w:rPr/>
      </w:pPr>
      <w:bookmarkStart w:id="483" w:name="__RefHeading___Toc2474106_653776707"/>
      <w:bookmarkStart w:id="484" w:name="_Toc177"/>
      <w:bookmarkEnd w:id="483"/>
      <w:r>
        <w:rPr>
          <w:rtl w:val="true"/>
        </w:rPr>
        <w:t>اشارة</w:t>
      </w:r>
      <w:bookmarkEnd w:id="4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 المذهب الظاهری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منطلق انتشار المذهب الظاهری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الأسس الرئيسيّة للمذهب الظاهری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إطلالة على بعض آراء المذهب الظاهری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نماذج من الفتاوى الخاصّة بالمذهب الظاهری</w:t>
      </w:r>
      <w:r>
        <w:rPr>
          <w:rFonts w:eastAsia="IRNazanin" w:cs="IRNazanin"/>
          <w:color w:val="111111"/>
          <w:sz w:val="28"/>
          <w:szCs w:val="28"/>
          <w:rtl w:val="true"/>
          <w:lang w:bidi="fa-IR"/>
        </w:rPr>
        <w:t>.</w:t>
      </w:r>
    </w:p>
    <w:p>
      <w:pPr>
        <w:pStyle w:val="Heading5"/>
        <w:numPr>
          <w:ilvl w:val="4"/>
          <w:numId w:val="1"/>
        </w:numPr>
        <w:rPr/>
      </w:pPr>
      <w:bookmarkStart w:id="485" w:name="__RefHeading___Toc2474108_653776707"/>
      <w:bookmarkStart w:id="486" w:name="_Toc178"/>
      <w:bookmarkEnd w:id="485"/>
      <w:r>
        <w:rPr/>
        <w:t>1</w:t>
      </w:r>
      <w:r>
        <w:rPr>
          <w:rtl w:val="true"/>
        </w:rPr>
        <w:t xml:space="preserve">) </w:t>
      </w:r>
      <w:r>
        <w:rPr>
          <w:rtl w:val="true"/>
        </w:rPr>
        <w:t>مؤسّس المذهب‌الظاهري</w:t>
      </w:r>
      <w:r>
        <w:rPr>
          <w:rtl w:val="true"/>
        </w:rPr>
        <w:t>:</w:t>
      </w:r>
      <w:bookmarkEnd w:id="486"/>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يُنسب المذهب الظاهري إلى داود بن علي الاصفهاني المشهور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الظاهري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نشأ ببغداد</w:t>
      </w:r>
      <w:r>
        <w:rPr>
          <w:rStyle w:val="FootnoteAnchor"/>
          <w:rtl w:val="true"/>
        </w:rPr>
        <w:footnoteReference w:id="239"/>
      </w:r>
      <w:r>
        <w:rPr>
          <w:rFonts w:ascii="Amiri" w:hAnsi="Amiri" w:eastAsia="Amiri" w:cs="Amiri"/>
          <w:color w:val="111111"/>
          <w:sz w:val="28"/>
          <w:sz w:val="28"/>
          <w:szCs w:val="28"/>
          <w:rtl w:val="true"/>
          <w:lang w:bidi="ar-SA"/>
        </w:rPr>
        <w:t>وتعلّم فيها، رحل إلى نيسابور ثمّ عاد إلى بغداد واشتغل بالفقه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داود الظاهري متعصّبا للمذهب الشافعي، فتلقّى فقهه </w:t>
      </w:r>
      <w:bookmarkStart w:id="487" w:name="pg8675_123135"/>
    </w:p>
    <w:p>
      <w:pPr>
        <w:pStyle w:val="BookText"/>
        <w:rPr/>
      </w:pPr>
      <w:bookmarkEnd w:id="487"/>
      <w:r>
        <w:rPr>
          <w:rFonts w:ascii="IRNazanin" w:hAnsi="IRNazanin" w:eastAsia="IRNazanin"/>
          <w:color w:val="111111"/>
          <w:sz w:val="28"/>
          <w:sz w:val="28"/>
          <w:szCs w:val="28"/>
          <w:rtl w:val="true"/>
          <w:lang w:bidi="fa-IR"/>
        </w:rPr>
        <w:t>منه، غير أنّه كان لا يرى القياس مصدرا للتشريع مطلقا، ویعتقد أنّ عمومات الكتاب والسنّةتفي بكلّ أحكام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تبطل القياس وقد أخذ به الشافعي؟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أدلّة الشافعي في إبطال الاستحسان فوجدتها تبطل القياس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وبذلك برز المذهب الظاهرى الّذي يقول بظاهر الشريعة، وبأخذ الأحكام من ظواهر النصوص من غير تعليلٍ لها، فسمّي داود هذا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أوّل من أظهر القول بظاهريّة الشريعة ولزوم الاعتماد على ما هوالظاهر من النصّ، من دون تأويلٍ فيه، ولا بحثٍ عن التعليل</w:t>
      </w:r>
      <w:r>
        <w:rPr>
          <w:rFonts w:eastAsia="Amiri" w:cs="Amiri" w:ascii="Amiri" w:hAnsi="Amiri"/>
          <w:color w:val="111111"/>
          <w:sz w:val="28"/>
          <w:szCs w:val="28"/>
          <w:rtl w:val="true"/>
          <w:lang w:bidi="ar-SA"/>
        </w:rPr>
        <w:t>.</w:t>
      </w:r>
      <w:r>
        <w:rPr>
          <w:rStyle w:val="FootnoteAnchor"/>
          <w:rtl w:val="true"/>
        </w:rPr>
        <w:footnoteReference w:id="240"/>
      </w:r>
    </w:p>
    <w:p>
      <w:pPr>
        <w:pStyle w:val="Heading5"/>
        <w:numPr>
          <w:ilvl w:val="4"/>
          <w:numId w:val="1"/>
        </w:numPr>
        <w:rPr/>
      </w:pPr>
      <w:bookmarkStart w:id="488" w:name="__RefHeading___Toc2474110_653776707"/>
      <w:bookmarkStart w:id="489" w:name="_Toc179"/>
      <w:bookmarkEnd w:id="488"/>
      <w:r>
        <w:rPr/>
        <w:t>2</w:t>
      </w:r>
      <w:r>
        <w:rPr>
          <w:rtl w:val="true"/>
        </w:rPr>
        <w:t xml:space="preserve">) </w:t>
      </w:r>
      <w:r>
        <w:rPr>
          <w:rtl w:val="true"/>
        </w:rPr>
        <w:t>منطلق انتشار المذهب الظاهری</w:t>
      </w:r>
      <w:r>
        <w:rPr>
          <w:rtl w:val="true"/>
        </w:rPr>
        <w:t>:</w:t>
      </w:r>
      <w:bookmarkEnd w:id="489"/>
    </w:p>
    <w:p>
      <w:pPr>
        <w:pStyle w:val="Heading6"/>
        <w:numPr>
          <w:ilvl w:val="5"/>
          <w:numId w:val="1"/>
        </w:numPr>
        <w:rPr/>
      </w:pPr>
      <w:bookmarkStart w:id="490" w:name="__RefHeading___Toc2474112_653776707"/>
      <w:bookmarkStart w:id="491" w:name="_Toc180"/>
      <w:bookmarkEnd w:id="490"/>
      <w:r>
        <w:rPr>
          <w:rtl w:val="true"/>
        </w:rPr>
        <w:t>اشارة</w:t>
      </w:r>
      <w:bookmarkEnd w:id="491"/>
    </w:p>
    <w:p>
      <w:pPr>
        <w:pStyle w:val="BookText"/>
        <w:rPr/>
      </w:pPr>
      <w:r>
        <w:rPr>
          <w:rFonts w:ascii="Amiri" w:hAnsi="Amiri" w:eastAsia="Amiri" w:cs="Amiri"/>
          <w:color w:val="111111"/>
          <w:sz w:val="28"/>
          <w:sz w:val="28"/>
          <w:szCs w:val="28"/>
          <w:rtl w:val="true"/>
          <w:lang w:bidi="ar-SA"/>
        </w:rPr>
        <w:t>وقد انتشر المذهب الظاهري بالرغم من معارضة الكثيرين له، وكان لانتشاره عاملان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داود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تلامذة داود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أخصّ تلامذته ابنه أبوبكر محمّد بن داود، الّذي قام بنشر مؤلّفات أبيه ودعا الناس إليها</w:t>
      </w:r>
      <w:r>
        <w:rPr>
          <w:rFonts w:eastAsia="Amiri" w:cs="Amiri" w:ascii="Amiri" w:hAnsi="Amiri"/>
          <w:color w:val="111111"/>
          <w:sz w:val="28"/>
          <w:szCs w:val="28"/>
          <w:rtl w:val="true"/>
          <w:lang w:bidi="ar-SA"/>
        </w:rPr>
        <w:t>.</w:t>
      </w:r>
      <w:r>
        <w:rPr>
          <w:rStyle w:val="FootnoteAnchor"/>
          <w:rtl w:val="true"/>
        </w:rPr>
        <w:footnoteReference w:id="241"/>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التقاسيم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الظاهري بعد مذهب الشافعيّ وأبي حنيفة ومالك، كان رابع مذهب في القرن الرابع في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ففى الشرق كان أكثر </w:t>
      </w:r>
      <w:bookmarkStart w:id="492" w:name="pg8675_123138"/>
    </w:p>
    <w:p>
      <w:pPr>
        <w:pStyle w:val="BookText"/>
        <w:rPr/>
      </w:pPr>
      <w:bookmarkEnd w:id="492"/>
      <w:r>
        <w:rPr>
          <w:rFonts w:ascii="Amiri" w:hAnsi="Amiri" w:eastAsia="Amiri" w:cs="Amiri"/>
          <w:color w:val="111111"/>
          <w:sz w:val="28"/>
          <w:sz w:val="28"/>
          <w:szCs w:val="28"/>
          <w:rtl w:val="true"/>
          <w:lang w:bidi="ar-SA"/>
        </w:rPr>
        <w:t>انتشارا واتّباعا من مذهب حنبل في 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القاضي أبايعلي في القرن الخامس زحزح المذهب الظاهري عن هذه المكانة وأحلّ محلّه مذهب أحمد بنحنبل</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هذا في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انتقل المذهب الظاهرى إلى الأندلس عن طريق علمائها، وكان من بين هؤلاء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حزم، والقاضي خطيب الأندلس منذر بن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الإنتشار الحقيقي للمذهب الظاهري تحقق على يد ابن حزم</w:t>
      </w:r>
      <w:r>
        <w:rPr>
          <w:rFonts w:eastAsia="Amiri" w:cs="Amiri" w:ascii="Amiri" w:hAnsi="Amiri"/>
          <w:color w:val="111111"/>
          <w:sz w:val="28"/>
          <w:szCs w:val="28"/>
          <w:rtl w:val="true"/>
          <w:lang w:bidi="ar-SA"/>
        </w:rPr>
        <w:t>.</w:t>
      </w:r>
    </w:p>
    <w:p>
      <w:pPr>
        <w:pStyle w:val="Heading6"/>
        <w:numPr>
          <w:ilvl w:val="5"/>
          <w:numId w:val="1"/>
        </w:numPr>
        <w:rPr/>
      </w:pPr>
      <w:bookmarkStart w:id="493" w:name="__RefHeading___Toc2474114_653776707"/>
      <w:bookmarkStart w:id="494" w:name="_Toc181"/>
      <w:bookmarkEnd w:id="493"/>
      <w:r>
        <w:rPr>
          <w:rtl w:val="true"/>
        </w:rPr>
        <w:t>ابن حزم الظاهري</w:t>
      </w:r>
      <w:r>
        <w:rPr>
          <w:rtl w:val="true"/>
        </w:rPr>
        <w:t>:</w:t>
      </w:r>
      <w:bookmarkEnd w:id="494"/>
    </w:p>
    <w:p>
      <w:pPr>
        <w:pStyle w:val="BookText"/>
        <w:rPr/>
      </w:pPr>
      <w:r>
        <w:rPr>
          <w:rFonts w:ascii="IRNazanin" w:hAnsi="IRNazanin" w:eastAsia="IRNazanin"/>
          <w:color w:val="111111"/>
          <w:sz w:val="28"/>
          <w:sz w:val="28"/>
          <w:szCs w:val="28"/>
          <w:rtl w:val="true"/>
          <w:lang w:bidi="fa-IR"/>
        </w:rPr>
        <w:t xml:space="preserve">هوعلي بن أحمد بن سعيد بن حزم الظاهري، عالم الأندلس في عصره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يستنبط الأحكام من الكتاب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مؤلّفات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الأنساب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الناسخ والمنسوخ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وجدير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حزم وإن كان قد آثر المذهب الظاهري على سائر المذاهب إلاّ أنّه مع هذا، لا يُعدّ مجرّد تابع ومقلّد لداود الظاهري، فقد خالفه في مسألة خلق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اشتهر ابن حزم بميله إلى الأمويّين وحماسته لهم، ومناصبته العداء للعلويّين وبني هاشم</w:t>
      </w:r>
      <w:r>
        <w:rPr>
          <w:rFonts w:eastAsia="Amiri" w:cs="Amiri" w:ascii="Amiri" w:hAnsi="Amiri"/>
          <w:color w:val="111111"/>
          <w:sz w:val="28"/>
          <w:szCs w:val="28"/>
          <w:rtl w:val="true"/>
          <w:lang w:bidi="ar-SA"/>
        </w:rPr>
        <w:t>.</w:t>
      </w:r>
      <w:r>
        <w:rPr>
          <w:rStyle w:val="FootnoteAnchor"/>
          <w:rtl w:val="true"/>
        </w:rPr>
        <w:footnoteReference w:id="243"/>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أبرز المؤلّفات الفقهيّة لدى أتباع المذهب الظاهريّ، </w:t>
      </w:r>
      <w:bookmarkStart w:id="495" w:name="pg8675_123141"/>
    </w:p>
    <w:p>
      <w:pPr>
        <w:pStyle w:val="BookText"/>
        <w:rPr/>
      </w:pPr>
      <w:bookmarkEnd w:id="495"/>
      <w:r>
        <w:rPr>
          <w:rFonts w:ascii="Amiri" w:hAnsi="Amiri" w:eastAsia="Amiri" w:cs="Amiri"/>
          <w:color w:val="111111"/>
          <w:sz w:val="28"/>
          <w:sz w:val="28"/>
          <w:szCs w:val="28"/>
          <w:rtl w:val="true"/>
          <w:lang w:bidi="ar-SA"/>
        </w:rPr>
        <w:t>وهوأكثر المصادر تداولاً بين فقهاء هذا المذهب، وهويمثّل، في حقيقة أمره، موسوعة فقهيّة مقارنة، فقد عرض ابن حزم فيه المسائل الفقهيّة بأدلّتها من الكتاب والسنّةوالإجماع؛ ولكنّه أنكر القياس، فلم يأخذ به في كتابه هذا، ومضافا إلى ذلك، فقد عرض فيه ما أُثِر من أقوال الصحابة والتابعين، وما عُلِم من مذاهب الفقهاء، كما أنّه استعرض في بدايته مسائل التوحيد وأصول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أعلام المذهب الظاهرى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محي‌الدین بن عربى الحاتمي الطائي الأندلسي،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ولد في مرسية بالأندلس </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وتوفّي في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نحومن أربعمائة كتاب ورسالة، أنكر عليه أهل المصر وعمل بعضهم على إراقة دمه</w:t>
      </w:r>
      <w:r>
        <w:rPr>
          <w:rFonts w:eastAsia="IRNazanin" w:cs="IRNazanin"/>
          <w:color w:val="111111"/>
          <w:sz w:val="28"/>
          <w:szCs w:val="28"/>
          <w:rtl w:val="true"/>
          <w:lang w:bidi="fa-IR"/>
        </w:rPr>
        <w:t>.</w:t>
      </w:r>
      <w:r>
        <w:rPr>
          <w:rStyle w:val="FootnoteAnchor"/>
          <w:rtl w:val="true"/>
        </w:rPr>
        <w:footnoteReference w:id="244"/>
      </w:r>
    </w:p>
    <w:p>
      <w:pPr>
        <w:pStyle w:val="Heading6"/>
        <w:numPr>
          <w:ilvl w:val="5"/>
          <w:numId w:val="1"/>
        </w:numPr>
        <w:rPr/>
      </w:pPr>
      <w:bookmarkStart w:id="496" w:name="__RefHeading___Toc2474116_653776707"/>
      <w:bookmarkStart w:id="497" w:name="_Toc182"/>
      <w:bookmarkEnd w:id="496"/>
      <w:r>
        <w:rPr>
          <w:rtl w:val="true"/>
        </w:rPr>
        <w:t>نفور العلماء من داود الظاهري</w:t>
      </w:r>
      <w:r>
        <w:rPr>
          <w:rtl w:val="true"/>
        </w:rPr>
        <w:t>:</w:t>
      </w:r>
      <w:bookmarkEnd w:id="497"/>
    </w:p>
    <w:p>
      <w:pPr>
        <w:pStyle w:val="BookText"/>
        <w:rPr/>
      </w:pPr>
      <w:r>
        <w:rPr>
          <w:rFonts w:ascii="Amiri" w:hAnsi="Amiri" w:eastAsia="Amiri" w:cs="Amiri"/>
          <w:color w:val="111111"/>
          <w:sz w:val="28"/>
          <w:sz w:val="28"/>
          <w:szCs w:val="28"/>
          <w:rtl w:val="true"/>
          <w:lang w:bidi="ar-SA"/>
        </w:rPr>
        <w:t>بالرغم من سعة علم داود بن علي وذكائه، إلاّ أنّ الفقهاء نفروا منه وابتعدوا عنه، وقد ذُكِر في وجه هذا النفور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انتحاله القول بظاهريّة النصّ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جرأته البالغة وعدم تهيّبه عن المناقشة من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محاربته للتقليد وفتحه باب الإجتهاد، حتى جرّأ الناس على القول في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بخلق القرآن، وهوما كان كافيا لاتّهامه بالإبتداع</w:t>
      </w:r>
      <w:r>
        <w:rPr>
          <w:rFonts w:eastAsia="Amiri" w:cs="Amiri" w:ascii="Amiri" w:hAnsi="Amiri"/>
          <w:color w:val="111111"/>
          <w:sz w:val="28"/>
          <w:szCs w:val="28"/>
          <w:rtl w:val="true"/>
          <w:lang w:bidi="ar-SA"/>
        </w:rPr>
        <w:t>.</w:t>
      </w:r>
      <w:r>
        <w:rPr>
          <w:rStyle w:val="FootnoteAnchor"/>
          <w:rtl w:val="true"/>
        </w:rPr>
        <w:footnoteReference w:id="245"/>
      </w:r>
      <w:bookmarkStart w:id="498" w:name="pg8675_123144"/>
    </w:p>
    <w:p>
      <w:pPr>
        <w:pStyle w:val="Heading5"/>
        <w:numPr>
          <w:ilvl w:val="4"/>
          <w:numId w:val="1"/>
        </w:numPr>
        <w:rPr/>
      </w:pPr>
      <w:bookmarkStart w:id="499" w:name="__RefHeading___Toc2474118_653776707"/>
      <w:bookmarkStart w:id="500" w:name="_Toc183"/>
      <w:bookmarkEnd w:id="498"/>
      <w:bookmarkEnd w:id="499"/>
      <w:r>
        <w:rPr/>
        <w:t>3</w:t>
      </w:r>
      <w:r>
        <w:rPr>
          <w:rtl w:val="true"/>
        </w:rPr>
        <w:t xml:space="preserve">) </w:t>
      </w:r>
      <w:r>
        <w:rPr>
          <w:rtl w:val="true"/>
        </w:rPr>
        <w:t>الأصول الأساسيّة للمذهب الظاهريّ</w:t>
      </w:r>
      <w:r>
        <w:rPr>
          <w:rtl w:val="true"/>
        </w:rPr>
        <w:t>:</w:t>
      </w:r>
      <w:bookmarkEnd w:id="500"/>
    </w:p>
    <w:p>
      <w:pPr>
        <w:pStyle w:val="Heading6"/>
        <w:numPr>
          <w:ilvl w:val="5"/>
          <w:numId w:val="1"/>
        </w:numPr>
        <w:rPr/>
      </w:pPr>
      <w:bookmarkStart w:id="501" w:name="__RefHeading___Toc2474120_653776707"/>
      <w:bookmarkStart w:id="502" w:name="_Toc184"/>
      <w:bookmarkEnd w:id="501"/>
      <w:r>
        <w:rPr>
          <w:rtl w:val="true"/>
        </w:rPr>
        <w:t>اشارة</w:t>
      </w:r>
      <w:bookmarkEnd w:id="502"/>
    </w:p>
    <w:p>
      <w:pPr>
        <w:pStyle w:val="BookText"/>
        <w:rPr/>
      </w:pPr>
      <w:r>
        <w:rPr>
          <w:rFonts w:ascii="Amiri" w:hAnsi="Amiri" w:eastAsia="Amiri" w:cs="Amiri"/>
          <w:color w:val="111111"/>
          <w:sz w:val="28"/>
          <w:sz w:val="28"/>
          <w:szCs w:val="28"/>
          <w:rtl w:val="true"/>
          <w:lang w:bidi="ar-SA"/>
        </w:rPr>
        <w:t>ذُكر للمذهب الظاهري أصول أربعة أساسيّة</w:t>
      </w:r>
      <w:r>
        <w:rPr>
          <w:rFonts w:eastAsia="Amiri" w:cs="Amiri" w:ascii="Amiri" w:hAnsi="Amiri"/>
          <w:color w:val="111111"/>
          <w:sz w:val="28"/>
          <w:szCs w:val="28"/>
          <w:rtl w:val="true"/>
          <w:lang w:bidi="ar-SA"/>
        </w:rPr>
        <w:t>:</w:t>
      </w:r>
    </w:p>
    <w:p>
      <w:pPr>
        <w:pStyle w:val="Heading6"/>
        <w:numPr>
          <w:ilvl w:val="5"/>
          <w:numId w:val="1"/>
        </w:numPr>
        <w:rPr/>
      </w:pPr>
      <w:bookmarkStart w:id="503" w:name="__RefHeading___Toc2474122_653776707"/>
      <w:bookmarkStart w:id="504" w:name="_Toc185"/>
      <w:bookmarkEnd w:id="503"/>
      <w:r>
        <w:rPr/>
        <w:t>1</w:t>
      </w:r>
      <w:r>
        <w:rPr>
          <w:rtl w:val="true"/>
        </w:rPr>
        <w:t xml:space="preserve">) </w:t>
      </w:r>
      <w:r>
        <w:rPr>
          <w:rtl w:val="true"/>
        </w:rPr>
        <w:t>كتاب الله</w:t>
      </w:r>
      <w:r>
        <w:rPr>
          <w:rtl w:val="true"/>
        </w:rPr>
        <w:t>:</w:t>
      </w:r>
      <w:bookmarkEnd w:id="504"/>
    </w:p>
    <w:p>
      <w:pPr>
        <w:pStyle w:val="BookText"/>
        <w:rPr/>
      </w:pPr>
      <w:r>
        <w:rPr>
          <w:rFonts w:ascii="Amiri" w:hAnsi="Amiri" w:eastAsia="Amiri" w:cs="Amiri"/>
          <w:color w:val="111111"/>
          <w:sz w:val="28"/>
          <w:sz w:val="28"/>
          <w:szCs w:val="28"/>
          <w:rtl w:val="true"/>
          <w:lang w:bidi="ar-SA"/>
        </w:rPr>
        <w:t>القرآن هوالمصدر الأوّل للتشريع، وحجّيّة السنّة مستمدّة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في إبلاغه للأحكام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بيّنا بنفسه، كما في الكثير من أحكام النكاح والميراث، وأُخرى يحتاج إلى ما يبيّنه، وفي هذه الحالة، تكون السنّة هي من يبيّن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حزم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يختلف في الوضوح، فيكون بعضه جليّا، وبعضه خفيّا، فيختلف الناس في فهمه، فيفهمه بعضهم ويتأخّر بعضهم عن فهمه، كما قال عليّ بن أبيطالب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أن يؤتى الله رجلاً فهما في دينه</w:t>
      </w:r>
      <w:r>
        <w:rPr>
          <w:rFonts w:eastAsia="IRNazanin" w:cs="IRNazanin"/>
          <w:color w:val="111111"/>
          <w:sz w:val="28"/>
          <w:szCs w:val="28"/>
          <w:rtl w:val="true"/>
          <w:lang w:bidi="fa-IR"/>
        </w:rPr>
        <w:t>».</w:t>
      </w:r>
      <w:r>
        <w:rPr>
          <w:rStyle w:val="FootnoteAnchor"/>
          <w:rtl w:val="true"/>
        </w:rPr>
        <w:footnoteReference w:id="246"/>
      </w:r>
    </w:p>
    <w:p>
      <w:pPr>
        <w:pStyle w:val="Heading6"/>
        <w:numPr>
          <w:ilvl w:val="5"/>
          <w:numId w:val="1"/>
        </w:numPr>
        <w:rPr/>
      </w:pPr>
      <w:bookmarkStart w:id="505" w:name="__RefHeading___Toc2474124_653776707"/>
      <w:bookmarkStart w:id="506" w:name="_Toc186"/>
      <w:bookmarkEnd w:id="505"/>
      <w:r>
        <w:rPr/>
        <w:t>2</w:t>
      </w:r>
      <w:r>
        <w:rPr>
          <w:rtl w:val="true"/>
        </w:rPr>
        <w:t xml:space="preserve">) </w:t>
      </w:r>
      <w:r>
        <w:rPr>
          <w:rtl w:val="true"/>
        </w:rPr>
        <w:t>السنّة</w:t>
      </w:r>
      <w:r>
        <w:rPr>
          <w:rtl w:val="true"/>
        </w:rPr>
        <w:t>:</w:t>
      </w:r>
      <w:bookmarkEnd w:id="506"/>
    </w:p>
    <w:p>
      <w:pPr>
        <w:pStyle w:val="BookText"/>
        <w:rPr/>
      </w:pPr>
      <w:r>
        <w:rPr>
          <w:rFonts w:ascii="Amiri" w:hAnsi="Amiri" w:eastAsia="Amiri" w:cs="Amiri"/>
          <w:color w:val="111111"/>
          <w:sz w:val="28"/>
          <w:sz w:val="28"/>
          <w:szCs w:val="28"/>
          <w:rtl w:val="true"/>
          <w:lang w:bidi="ar-SA"/>
        </w:rPr>
        <w:t>يقول ابن حزم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بيّنّا أنّ القرآن هوالأصل المرجوع إليه في الشرائع، نظرنا فيه فوجدنا فيه إيجاب طاعة ما أمرنا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ووجدناه يقول فيه واصفا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هُوإِلاَّ وَحْيٌ يُوحَى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فصحّ لنا بذلك أنّ الوحى ينقسم من الله عزّ وجلّ إلى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قسمين</w:t>
      </w:r>
      <w:r>
        <w:rPr>
          <w:rFonts w:eastAsia="Amiri" w:cs="Amiri" w:ascii="Amiri" w:hAnsi="Amiri"/>
          <w:color w:val="111111"/>
          <w:sz w:val="28"/>
          <w:szCs w:val="28"/>
          <w:rtl w:val="true"/>
          <w:lang w:bidi="ar-SA"/>
        </w:rPr>
        <w:t xml:space="preserve">: </w:t>
      </w:r>
      <w:bookmarkStart w:id="507" w:name="pg8675_123147"/>
    </w:p>
    <w:p>
      <w:pPr>
        <w:pStyle w:val="BookText"/>
        <w:rPr/>
      </w:pPr>
      <w:bookmarkEnd w:id="507"/>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وحى متلومؤلّف تأليفا معجز النظام، وهوالقرآن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 مرويّ منقول، غير مؤلّف ولامعجز النظام ولا متلوّ، لكنّه مقروء، وهوالخبر الوارد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وهوالمبيّن عن الله عزّوجلّ مراده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لِتُبَيِّنَ لِلنَّاسِ مَا نُزِّلَ إِلَيْهِمْ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ووجدناه تعالى قد أوجب طاعة هذا القسم الثاني كما أوجب طاعة القسم الأوّل،الّذي هوالقرآن، ولا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والسنّة عنده تنقسم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متواترة وآحاد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ويقدّم المتواتر منها على الآحاد إذا تعارضا، ولم يمكن التوفيق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يقبل الظاهريّ الخبر المرسل، بل هولا يقبل الحديث إلاّ إذا صرّح الصحابىّ بنسبته إلى النبىّ</w:t>
      </w:r>
      <w:r>
        <w:rPr>
          <w:rFonts w:eastAsia="Amiri" w:cs="Amiri" w:ascii="Amiri" w:hAnsi="Amiri"/>
          <w:color w:val="111111"/>
          <w:sz w:val="28"/>
          <w:szCs w:val="28"/>
          <w:rtl w:val="true"/>
          <w:lang w:bidi="ar-SA"/>
        </w:rPr>
        <w:t>.</w:t>
      </w:r>
      <w:r>
        <w:rPr>
          <w:rStyle w:val="FootnoteAnchor"/>
          <w:rtl w:val="true"/>
        </w:rPr>
        <w:footnoteReference w:id="247"/>
      </w:r>
    </w:p>
    <w:p>
      <w:pPr>
        <w:pStyle w:val="Heading6"/>
        <w:numPr>
          <w:ilvl w:val="5"/>
          <w:numId w:val="1"/>
        </w:numPr>
        <w:rPr/>
      </w:pPr>
      <w:bookmarkStart w:id="508" w:name="__RefHeading___Toc2474126_653776707"/>
      <w:bookmarkStart w:id="509" w:name="_Toc187"/>
      <w:bookmarkEnd w:id="508"/>
      <w:r>
        <w:rPr/>
        <w:t>3</w:t>
      </w:r>
      <w:r>
        <w:rPr>
          <w:rtl w:val="true"/>
        </w:rPr>
        <w:t xml:space="preserve">) </w:t>
      </w:r>
      <w:r>
        <w:rPr>
          <w:rtl w:val="true"/>
        </w:rPr>
        <w:t>تعليل النصوص</w:t>
      </w:r>
      <w:r>
        <w:rPr>
          <w:rtl w:val="true"/>
        </w:rPr>
        <w:t>:</w:t>
      </w:r>
      <w:bookmarkEnd w:id="50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تعدّ النصوص جوهر الخلاف بين الجمهور من العامّة وبين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رأى الجمهور أنّ لكلّ نصٍّ من نصوص الشريعة مقصدا وغاية، ومن هذا المنطلق، قالوا بلزوم أن يُحمل كلّ ما استجدّ من أحداث ولم يوجد نصّ يحكمه على ما وُجد فيه نصٌّ يحكمه، شرط أن يتّحدا في المقصد والغاية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الظاهريّة فرأوا أنّ كلّ نصٍّ مقصور على موضوعه ولا يتجاوزه إلى غيره، فالظاهرىّ لذلك لا يفكّر أصلاً في علّةٍ يمكن أن تُستنبط من النصّ، بل هولا يحلّل ولا يحرّم إلاّ على أساس نصٍّ ورد لسببٍ معيّن</w:t>
      </w:r>
      <w:r>
        <w:rPr>
          <w:rFonts w:eastAsia="Amiri" w:cs="Amiri" w:ascii="Amiri" w:hAnsi="Amiri"/>
          <w:color w:val="111111"/>
          <w:sz w:val="28"/>
          <w:szCs w:val="28"/>
          <w:rtl w:val="true"/>
          <w:lang w:bidi="ar-SA"/>
        </w:rPr>
        <w:t xml:space="preserve">. </w:t>
      </w:r>
      <w:bookmarkStart w:id="510" w:name="pg8675_123150"/>
    </w:p>
    <w:p>
      <w:pPr>
        <w:pStyle w:val="BookText"/>
        <w:rPr/>
      </w:pPr>
      <w:bookmarkEnd w:id="510"/>
      <w:r>
        <w:rPr>
          <w:rFonts w:ascii="IRNazanin" w:hAnsi="IRNazanin" w:eastAsia="IRNazanin"/>
          <w:color w:val="111111"/>
          <w:sz w:val="28"/>
          <w:sz w:val="28"/>
          <w:szCs w:val="28"/>
          <w:rtl w:val="true"/>
          <w:lang w:bidi="fa-IR"/>
        </w:rPr>
        <w:t>يقول ابن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الشرائع كلّها لأسباب،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منها شيءٌ لسببٍ إلاّ ما نصّ منها أنّه لسبب، وما عدا ذلك فإنّما هوشيءٌ أراده الله تعالى، الّذي يفعل ما شاء، ولا نحرّم ولا نحلّل، ولا نزيد ولا ننقص، ولا نقول إلاّ ما قال ربّنا، ونبيّنا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نتعدّى ما قالا، ولا نترك شيئا منه، وهذا هوالدين المحض الّذي لا يحلّ لأحدٍ خلافه ولا اعتقاد سواه، وبالله تعالى التوفيق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الله تعالى واصفا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يُسْأَلُ عَمَّا يَفْعَلُ وَهُمْ يُسْأَلُونَ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الأنبياء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Style w:val="FootnoteAnchor"/>
          <w:rtl w:val="true"/>
        </w:rPr>
        <w:footnoteReference w:id="248"/>
      </w:r>
    </w:p>
    <w:p>
      <w:pPr>
        <w:pStyle w:val="Heading6"/>
        <w:numPr>
          <w:ilvl w:val="5"/>
          <w:numId w:val="1"/>
        </w:numPr>
        <w:rPr/>
      </w:pPr>
      <w:bookmarkStart w:id="511" w:name="__RefHeading___Toc2474128_653776707"/>
      <w:bookmarkStart w:id="512" w:name="_Toc188"/>
      <w:bookmarkEnd w:id="511"/>
      <w:r>
        <w:rPr/>
        <w:t>4</w:t>
      </w:r>
      <w:r>
        <w:rPr>
          <w:rtl w:val="true"/>
        </w:rPr>
        <w:t xml:space="preserve">) </w:t>
      </w:r>
      <w:r>
        <w:rPr>
          <w:rtl w:val="true"/>
        </w:rPr>
        <w:t>الدليل</w:t>
      </w:r>
      <w:r>
        <w:rPr>
          <w:rtl w:val="true"/>
        </w:rPr>
        <w:t>:</w:t>
      </w:r>
      <w:bookmarkEnd w:id="512"/>
    </w:p>
    <w:p>
      <w:pPr>
        <w:pStyle w:val="BookText"/>
        <w:rPr/>
      </w:pPr>
      <w:r>
        <w:rPr>
          <w:rFonts w:ascii="Amiri" w:hAnsi="Amiri" w:eastAsia="Amiri" w:cs="Amiri"/>
          <w:color w:val="111111"/>
          <w:sz w:val="28"/>
          <w:sz w:val="28"/>
          <w:szCs w:val="28"/>
          <w:rtl w:val="true"/>
          <w:lang w:bidi="ar-SA"/>
        </w:rPr>
        <w:t>إنّ الظاهريّة مع عدم تعليلهم للنصوص وإنكارهم له أخذوا بما سمّوه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الدليل الّذي يعتمد على صريح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وهولايعدّ عندهم باباً من أبواب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حزم بالنسبة إلى هذا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قوم بجهلهم أنّ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بالدليل، خروجٌ منّا عن النصّ والإجماع، وظنّ آخرون أنّ القياس والدليل واحد، فأخطأوا في ظنّهم أفحش 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مأخوذٌ من النصّ ومن الإجماع، فأمّا الدليل المأخوذ 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فهوينقسم أربعة أقسام، كلّها أنواع من أنواع الإجماع، وداخلةٌ تحت الإجماع وغير خارجة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الحال</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قيل، وقد مثّلوا له بدية الكتابى، فإنّ فيها أقوالاً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ديته مثل دية المسلم،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فأثبتوا الدية بأقلّ ما قيل، وأجازوا </w:t>
      </w:r>
    </w:p>
    <w:p>
      <w:pPr>
        <w:pStyle w:val="BookText"/>
        <w:rPr/>
      </w:pPr>
      <w:r>
        <w:rPr>
          <w:rFonts w:ascii="Amiri" w:hAnsi="Amiri" w:eastAsia="Amiri" w:cs="Amiri"/>
          <w:color w:val="111111"/>
          <w:sz w:val="28"/>
          <w:sz w:val="28"/>
          <w:szCs w:val="28"/>
          <w:rtl w:val="true"/>
          <w:lang w:bidi="ar-SA"/>
        </w:rPr>
        <w:t>الأخذ به لأنّ فيه اجتماع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والبراءة الأصليّة</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إجماعهم على ترك قولةٍ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إجماعهم على أنّ حكم المسلمين سواء، وإن اختلفوا في حكم كلّ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الدليل المأخوذ من النصّ، فهوينقسم أقساما سبعة، كلّها واقع تحت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مقدّمتان تنتجان نتيجةً ليست منصوصة في إحداهما،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مسكرخمر، وكلّ خمرٍ حرام،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فهاتان المقدّمتان دليل برهانيّ على أنّ كلّ مسكر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معلّق بصفة، فحيث وُجد فواجبٌ ما عُلّق بذلك الشرط،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يَنتَهُواْ يُغَفَرْ لَهُم مَّا قَدْ سَلَفَ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صحّ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انتهى 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يُفهم منه معنى، فيُؤدّي بلفظٍ آخر،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لأوَّاهٌ حَلِيمٌ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فُهم من هذا فهما ضروريّا أنّه ليس بسفيه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تبطل كلّها إلاّ واحدا، فيصحّ ذلك الواحد، مثل أن يكون هذا الشى‌ء إمّا حراما فله حُكم كذا، وإمّا فرضا له حكم كذا، وإمّا مباحا فله حكم كذا، فليس فرضا ولا حراما فهومباحٌ له حكم كذا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قضايا واردة مدرجة، فيقتضى ذلك أنّ الدرجة العليا فوق التالية لها بعدها، وإن كان لم ينصّ على أنّها فوق التالية، مثل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أبوبكر أفضل من عمر، </w:t>
      </w:r>
      <w:bookmarkStart w:id="513" w:name="pg8675_123156"/>
    </w:p>
    <w:p>
      <w:pPr>
        <w:pStyle w:val="BookText"/>
        <w:rPr/>
      </w:pPr>
      <w:bookmarkEnd w:id="513"/>
      <w:r>
        <w:rPr>
          <w:rFonts w:ascii="Amiri" w:hAnsi="Amiri" w:eastAsia="Amiri" w:cs="Amiri"/>
          <w:color w:val="111111"/>
          <w:sz w:val="28"/>
          <w:sz w:val="28"/>
          <w:szCs w:val="28"/>
          <w:rtl w:val="true"/>
          <w:lang w:bidi="ar-SA"/>
        </w:rPr>
        <w:t>وعمر أفضل من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فأبوبكر بلا شكّ أفضل من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صحّ بهذا أنّ بعض المحرّمات 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تنطوى فيه معانٍ جمّة،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ذَآئِقَةُ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فصحّ من ذلك أنّ زيدا يموت، وأنّ هندا تموت، وأنّ عمرا يموت، وهكذا كلّ ذى نفس، وإن لم يذكر نصّ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حزم بعد أن استعرض هذا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هي الأدلّة التي نستعملها، وهيمعاني النصوص ومفهومها، وهي كلّها واقعة تحت النصّ وغير خارجة عنه أصلاً</w:t>
      </w:r>
      <w:r>
        <w:rPr>
          <w:rFonts w:eastAsia="Amiri" w:cs="Amiri" w:ascii="Amiri" w:hAnsi="Amiri"/>
          <w:color w:val="111111"/>
          <w:sz w:val="28"/>
          <w:szCs w:val="28"/>
          <w:rtl w:val="true"/>
          <w:lang w:bidi="ar-SA"/>
        </w:rPr>
        <w:t>».</w:t>
      </w:r>
      <w:r>
        <w:rPr>
          <w:rStyle w:val="FootnoteAnchor"/>
          <w:rtl w:val="true"/>
        </w:rPr>
        <w:footnoteReference w:id="250"/>
      </w:r>
    </w:p>
    <w:p>
      <w:pPr>
        <w:pStyle w:val="Heading6"/>
        <w:numPr>
          <w:ilvl w:val="5"/>
          <w:numId w:val="1"/>
        </w:numPr>
        <w:rPr/>
      </w:pPr>
      <w:bookmarkStart w:id="514" w:name="__RefHeading___Toc2474130_653776707"/>
      <w:bookmarkStart w:id="515" w:name="_Toc189"/>
      <w:bookmarkEnd w:id="514"/>
      <w:r>
        <w:rPr/>
        <w:t>5</w:t>
      </w:r>
      <w:r>
        <w:rPr>
          <w:rtl w:val="true"/>
        </w:rPr>
        <w:t xml:space="preserve">) </w:t>
      </w:r>
      <w:r>
        <w:rPr>
          <w:rtl w:val="true"/>
        </w:rPr>
        <w:t>الإستصحاب</w:t>
      </w:r>
      <w:r>
        <w:rPr>
          <w:rtl w:val="true"/>
        </w:rPr>
        <w:t>:</w:t>
      </w:r>
      <w:bookmarkEnd w:id="515"/>
    </w:p>
    <w:p>
      <w:pPr>
        <w:pStyle w:val="BookText"/>
        <w:rPr/>
      </w:pPr>
      <w:r>
        <w:rPr>
          <w:rFonts w:ascii="Amiri" w:hAnsi="Amiri" w:eastAsia="Amiri" w:cs="Amiri"/>
          <w:color w:val="111111"/>
          <w:sz w:val="28"/>
          <w:sz w:val="28"/>
          <w:szCs w:val="28"/>
          <w:rtl w:val="true"/>
          <w:lang w:bidi="ar-SA"/>
        </w:rPr>
        <w:t>ترك الظاهريّة الأخذ بالرأى من قياس ومصلحة واستحسان وذرائع عند عدم النصّ، وأخذوا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الحكم المبنيّ على النصّ حتى يُوجد دليلٌ من النصوص بغيره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قرّر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الأشياء كلّها على الإباحة، إلاّ ما جاء به نصّ ثابت على تحريمه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فِى الأَرْضِ مُسْتَقَرٌّ وَمَتَاعٌ إِلَى 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فأباح الله تعالى الأشياء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متاع لنا، ثمّ حظر ما شاء، وكلّ ذلك بشرع</w:t>
      </w:r>
      <w:r>
        <w:rPr>
          <w:rFonts w:eastAsia="Amiri" w:cs="Amiri" w:ascii="Amiri" w:hAnsi="Amiri"/>
          <w:color w:val="111111"/>
          <w:sz w:val="28"/>
          <w:szCs w:val="28"/>
          <w:rtl w:val="true"/>
          <w:lang w:bidi="ar-SA"/>
        </w:rPr>
        <w:t>.</w:t>
      </w:r>
      <w:r>
        <w:rPr>
          <w:rStyle w:val="FootnoteAnchor"/>
          <w:rtl w:val="true"/>
        </w:rPr>
        <w:footnoteReference w:id="251"/>
      </w:r>
      <w:bookmarkStart w:id="516" w:name="pg8675_123159"/>
    </w:p>
    <w:p>
      <w:pPr>
        <w:pStyle w:val="Heading5"/>
        <w:numPr>
          <w:ilvl w:val="4"/>
          <w:numId w:val="1"/>
        </w:numPr>
        <w:rPr/>
      </w:pPr>
      <w:bookmarkStart w:id="517" w:name="__RefHeading___Toc2474132_653776707"/>
      <w:bookmarkStart w:id="518" w:name="_Toc190"/>
      <w:bookmarkEnd w:id="516"/>
      <w:bookmarkEnd w:id="517"/>
      <w:r>
        <w:rPr/>
        <w:t>4</w:t>
      </w:r>
      <w:r>
        <w:rPr>
          <w:rtl w:val="true"/>
        </w:rPr>
        <w:t xml:space="preserve">) </w:t>
      </w:r>
      <w:r>
        <w:rPr>
          <w:rtl w:val="true"/>
        </w:rPr>
        <w:t>إطلالة على بعض آراء المذهب الظاهری</w:t>
      </w:r>
      <w:r>
        <w:rPr>
          <w:rtl w:val="true"/>
        </w:rPr>
        <w:t>:</w:t>
      </w:r>
      <w:bookmarkEnd w:id="518"/>
    </w:p>
    <w:p>
      <w:pPr>
        <w:pStyle w:val="Heading6"/>
        <w:numPr>
          <w:ilvl w:val="5"/>
          <w:numId w:val="1"/>
        </w:numPr>
        <w:rPr/>
      </w:pPr>
      <w:bookmarkStart w:id="519" w:name="__RefHeading___Toc2474134_653776707"/>
      <w:bookmarkStart w:id="520" w:name="_Toc191"/>
      <w:bookmarkEnd w:id="519"/>
      <w:r>
        <w:rPr/>
        <w:t>1</w:t>
      </w:r>
      <w:r>
        <w:rPr>
          <w:rtl w:val="true"/>
        </w:rPr>
        <w:t xml:space="preserve">) </w:t>
      </w:r>
      <w:r>
        <w:rPr>
          <w:rtl w:val="true"/>
        </w:rPr>
        <w:t>رأيهم في الأمور الغيبيّة</w:t>
      </w:r>
      <w:r>
        <w:rPr>
          <w:rtl w:val="true"/>
        </w:rPr>
        <w:t>:</w:t>
      </w:r>
      <w:bookmarkEnd w:id="520"/>
    </w:p>
    <w:p>
      <w:pPr>
        <w:pStyle w:val="BookText"/>
        <w:rPr/>
      </w:pPr>
      <w:r>
        <w:rPr>
          <w:rFonts w:ascii="Amiri" w:hAnsi="Amiri" w:eastAsia="Amiri" w:cs="Amiri"/>
          <w:color w:val="111111"/>
          <w:sz w:val="28"/>
          <w:sz w:val="28"/>
          <w:szCs w:val="28"/>
          <w:rtl w:val="true"/>
          <w:lang w:bidi="ar-SA"/>
        </w:rPr>
        <w:t>قال ابن حزم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الله تعالى يراه المسلمون يوم القيامة، بقوّة غير هذه القوّة،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Style w:val="FootnoteAnchor"/>
          <w:rtl w:val="true"/>
        </w:rPr>
        <w:footnoteReference w:id="252"/>
      </w:r>
    </w:p>
    <w:p>
      <w:pPr>
        <w:pStyle w:val="Heading6"/>
        <w:numPr>
          <w:ilvl w:val="5"/>
          <w:numId w:val="1"/>
        </w:numPr>
        <w:rPr/>
      </w:pPr>
      <w:bookmarkStart w:id="521" w:name="__RefHeading___Toc2474136_653776707"/>
      <w:bookmarkStart w:id="522" w:name="_Toc192"/>
      <w:bookmarkEnd w:id="521"/>
      <w:r>
        <w:rPr/>
        <w:t>2</w:t>
      </w:r>
      <w:r>
        <w:rPr>
          <w:rtl w:val="true"/>
        </w:rPr>
        <w:t xml:space="preserve">) </w:t>
      </w:r>
      <w:r>
        <w:rPr>
          <w:rtl w:val="true"/>
        </w:rPr>
        <w:t>رأيهم في الخلافة</w:t>
      </w:r>
      <w:r>
        <w:rPr>
          <w:rtl w:val="true"/>
        </w:rPr>
        <w:t>:</w:t>
      </w:r>
      <w:bookmarkEnd w:id="522"/>
    </w:p>
    <w:p>
      <w:pPr>
        <w:pStyle w:val="BookText"/>
        <w:rPr/>
      </w:pPr>
      <w:r>
        <w:rPr>
          <w:rFonts w:ascii="IRNazanin" w:hAnsi="IRNazanin" w:eastAsia="IRNazanin"/>
          <w:color w:val="111111"/>
          <w:sz w:val="28"/>
          <w:sz w:val="28"/>
          <w:szCs w:val="28"/>
          <w:rtl w:val="true"/>
          <w:lang w:bidi="fa-IR"/>
        </w:rPr>
        <w:t xml:space="preserve">أنّ الخلافة لا تجوز إلاّ في قريش،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فيما رواه الشيخان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هذا الأمر في قريش ما بقى من الناس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لا يجوز أن يكون في الدنيا أكثر من إمامٍ واحد، وأنّ من مات ليلةً وليس في عنقه بيعة، فقد مات ميتة جاهليّة، ولا طاعة لمخلوقٍ في معصية الخالق، ولا يجوز التردّد بعد موت الإمام في اختيار إمامٍ آخر أكثر من ثلاث</w:t>
      </w:r>
      <w:r>
        <w:rPr>
          <w:rFonts w:eastAsia="IRNazanin" w:cs="IRNazanin"/>
          <w:color w:val="111111"/>
          <w:sz w:val="28"/>
          <w:szCs w:val="28"/>
          <w:rtl w:val="true"/>
          <w:lang w:bidi="fa-IR"/>
        </w:rPr>
        <w:t>.</w:t>
      </w:r>
      <w:r>
        <w:rPr>
          <w:rStyle w:val="FootnoteAnchor"/>
          <w:rtl w:val="true"/>
        </w:rPr>
        <w:footnoteReference w:id="253"/>
      </w:r>
    </w:p>
    <w:p>
      <w:pPr>
        <w:pStyle w:val="Heading6"/>
        <w:numPr>
          <w:ilvl w:val="5"/>
          <w:numId w:val="1"/>
        </w:numPr>
        <w:rPr/>
      </w:pPr>
      <w:bookmarkStart w:id="523" w:name="__RefHeading___Toc2474138_653776707"/>
      <w:bookmarkStart w:id="524" w:name="_Toc193"/>
      <w:bookmarkEnd w:id="523"/>
      <w:r>
        <w:rPr/>
        <w:t>3</w:t>
      </w:r>
      <w:r>
        <w:rPr>
          <w:rtl w:val="true"/>
        </w:rPr>
        <w:t xml:space="preserve">) </w:t>
      </w:r>
      <w:r>
        <w:rPr>
          <w:rtl w:val="true"/>
        </w:rPr>
        <w:t>رأيهم في الإجماع</w:t>
      </w:r>
      <w:r>
        <w:rPr>
          <w:rtl w:val="true"/>
        </w:rPr>
        <w:t>:</w:t>
      </w:r>
      <w:bookmarkEnd w:id="524"/>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الإجماع هوما تيقّن أنّ جميع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عرفوه وقالوا به ولم يختلف أحد فيه، كتيقّننا بأنّهم كلّهم قد صلّوا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الصلوات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ادّعى أنّ غير هذا هوإجماع كُلّف البرهان على ما يدّعي، ولا سبيل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فلا سبيل إلى تيقّن إجماع جميع أهل عصر بعد الصحابة</w:t>
      </w:r>
      <w:r>
        <w:rPr>
          <w:rFonts w:eastAsia="IRNazanin" w:cs="IRNazanin"/>
          <w:color w:val="111111"/>
          <w:sz w:val="28"/>
          <w:szCs w:val="28"/>
          <w:rtl w:val="true"/>
          <w:lang w:bidi="fa-IR"/>
        </w:rPr>
        <w:t>.</w:t>
      </w:r>
      <w:r>
        <w:rPr>
          <w:rStyle w:val="FootnoteAnchor"/>
          <w:rtl w:val="true"/>
        </w:rPr>
        <w:footnoteReference w:id="254"/>
      </w:r>
      <w:bookmarkStart w:id="525" w:name="pg8675_123162"/>
    </w:p>
    <w:p>
      <w:pPr>
        <w:pStyle w:val="Heading6"/>
        <w:numPr>
          <w:ilvl w:val="5"/>
          <w:numId w:val="1"/>
        </w:numPr>
        <w:rPr/>
      </w:pPr>
      <w:bookmarkStart w:id="526" w:name="__RefHeading___Toc2474140_653776707"/>
      <w:bookmarkStart w:id="527" w:name="_Toc194"/>
      <w:bookmarkEnd w:id="525"/>
      <w:bookmarkEnd w:id="526"/>
      <w:r>
        <w:rPr/>
        <w:t>4</w:t>
      </w:r>
      <w:r>
        <w:rPr>
          <w:rtl w:val="true"/>
        </w:rPr>
        <w:t xml:space="preserve">) </w:t>
      </w:r>
      <w:r>
        <w:rPr>
          <w:rtl w:val="true"/>
        </w:rPr>
        <w:t>رأيهم في عمل أهل المدينة</w:t>
      </w:r>
      <w:r>
        <w:rPr>
          <w:rtl w:val="true"/>
        </w:rPr>
        <w:t>:</w:t>
      </w:r>
      <w:bookmarkEnd w:id="527"/>
    </w:p>
    <w:p>
      <w:pPr>
        <w:pStyle w:val="BookText"/>
        <w:rPr/>
      </w:pPr>
      <w:r>
        <w:rPr>
          <w:rFonts w:ascii="Amiri" w:hAnsi="Amiri" w:eastAsia="Amiri" w:cs="Amiri"/>
          <w:color w:val="111111"/>
          <w:sz w:val="28"/>
          <w:sz w:val="28"/>
          <w:szCs w:val="28"/>
          <w:rtl w:val="true"/>
          <w:lang w:bidi="ar-SA"/>
        </w:rPr>
        <w:t>لا يجوز الرجوع إلى عمل أهل المدينة ولا غيرهم</w:t>
      </w:r>
      <w:r>
        <w:rPr>
          <w:rFonts w:eastAsia="Amiri" w:cs="Amiri" w:ascii="Amiri" w:hAnsi="Amiri"/>
          <w:color w:val="111111"/>
          <w:sz w:val="28"/>
          <w:szCs w:val="28"/>
          <w:rtl w:val="true"/>
          <w:lang w:bidi="ar-SA"/>
        </w:rPr>
        <w:t>.</w:t>
      </w:r>
      <w:r>
        <w:rPr>
          <w:rStyle w:val="FootnoteAnchor"/>
          <w:rtl w:val="true"/>
        </w:rPr>
        <w:footnoteReference w:id="255"/>
      </w:r>
    </w:p>
    <w:p>
      <w:pPr>
        <w:pStyle w:val="Heading6"/>
        <w:numPr>
          <w:ilvl w:val="5"/>
          <w:numId w:val="1"/>
        </w:numPr>
        <w:rPr/>
      </w:pPr>
      <w:bookmarkStart w:id="528" w:name="__RefHeading___Toc2474142_653776707"/>
      <w:bookmarkStart w:id="529" w:name="_Toc195"/>
      <w:bookmarkEnd w:id="528"/>
      <w:r>
        <w:rPr/>
        <w:t>5</w:t>
      </w:r>
      <w:r>
        <w:rPr>
          <w:rtl w:val="true"/>
        </w:rPr>
        <w:t xml:space="preserve">) </w:t>
      </w:r>
      <w:r>
        <w:rPr>
          <w:rtl w:val="true"/>
        </w:rPr>
        <w:t>رأيهم في القياس</w:t>
      </w:r>
      <w:r>
        <w:rPr>
          <w:rtl w:val="true"/>
        </w:rPr>
        <w:t>:</w:t>
      </w:r>
      <w:bookmarkEnd w:id="529"/>
    </w:p>
    <w:p>
      <w:pPr>
        <w:pStyle w:val="BookText"/>
        <w:rPr/>
      </w:pPr>
      <w:r>
        <w:rPr>
          <w:rFonts w:ascii="IRNazanin" w:hAnsi="IRNazanin" w:eastAsia="IRNazanin"/>
          <w:color w:val="111111"/>
          <w:sz w:val="28"/>
          <w:sz w:val="28"/>
          <w:szCs w:val="28"/>
          <w:rtl w:val="true"/>
          <w:lang w:bidi="fa-IR"/>
        </w:rPr>
        <w:t>لا يحلّ القول بالقياس في الدين، ولا بالرأى؛ لأنّ أمر الله عند التنازع، هوالردّ إلىكتابه وإلى رسوله، فمن ردّ إلى القياس أوإلى التعليل أوإلى الرأي، فقد خالف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عن ابن مالك الأشجعى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تفترق أمّتي على بضع وسبعين فرقة، أعظمهم فتنة على أمّتي قوم يقيسون الأمور بآرائهم، فيحلّون الحرام، ويحرّمون الحلال</w:t>
      </w:r>
      <w:r>
        <w:rPr>
          <w:rFonts w:eastAsia="IRNazanin" w:cs="IRNazanin"/>
          <w:color w:val="111111"/>
          <w:sz w:val="28"/>
          <w:szCs w:val="28"/>
          <w:rtl w:val="true"/>
          <w:lang w:bidi="fa-IR"/>
        </w:rPr>
        <w:t>».</w:t>
      </w:r>
      <w:r>
        <w:rPr>
          <w:rStyle w:val="FootnoteAnchor"/>
          <w:rtl w:val="true"/>
        </w:rPr>
        <w:footnoteReference w:id="256"/>
      </w:r>
    </w:p>
    <w:p>
      <w:pPr>
        <w:pStyle w:val="Heading6"/>
        <w:numPr>
          <w:ilvl w:val="5"/>
          <w:numId w:val="1"/>
        </w:numPr>
        <w:rPr/>
      </w:pPr>
      <w:bookmarkStart w:id="530" w:name="__RefHeading___Toc2474144_653776707"/>
      <w:bookmarkStart w:id="531" w:name="_Toc196"/>
      <w:bookmarkEnd w:id="530"/>
      <w:r>
        <w:rPr/>
        <w:t>6</w:t>
      </w:r>
      <w:r>
        <w:rPr>
          <w:rtl w:val="true"/>
        </w:rPr>
        <w:t xml:space="preserve">) </w:t>
      </w:r>
      <w:r>
        <w:rPr>
          <w:rtl w:val="true"/>
        </w:rPr>
        <w:t>رأيهم في شرع من قبلنا</w:t>
      </w:r>
      <w:r>
        <w:rPr>
          <w:rtl w:val="true"/>
        </w:rPr>
        <w:t>:</w:t>
      </w:r>
      <w:bookmarkEnd w:id="531"/>
    </w:p>
    <w:p>
      <w:pPr>
        <w:pStyle w:val="BookText"/>
        <w:rPr/>
      </w:pPr>
      <w:r>
        <w:rPr>
          <w:rFonts w:ascii="Amiri" w:hAnsi="Amiri" w:eastAsia="Amiri" w:cs="Amiri"/>
          <w:color w:val="111111"/>
          <w:sz w:val="28"/>
          <w:sz w:val="28"/>
          <w:szCs w:val="28"/>
          <w:rtl w:val="true"/>
          <w:lang w:bidi="ar-SA"/>
        </w:rPr>
        <w:t>أنّه لا يحلّ لنا اتّباع شريعة نبيٍّ قبل نبيّنا</w:t>
      </w:r>
      <w:r>
        <w:rPr>
          <w:rFonts w:eastAsia="Amiri" w:cs="Amiri" w:ascii="Amiri" w:hAnsi="Amiri"/>
          <w:color w:val="111111"/>
          <w:sz w:val="28"/>
          <w:szCs w:val="28"/>
          <w:rtl w:val="true"/>
          <w:lang w:bidi="ar-SA"/>
        </w:rPr>
        <w:t>.</w:t>
      </w:r>
      <w:r>
        <w:rPr>
          <w:rStyle w:val="FootnoteAnchor"/>
          <w:rtl w:val="true"/>
        </w:rPr>
        <w:footnoteReference w:id="257"/>
      </w:r>
    </w:p>
    <w:p>
      <w:pPr>
        <w:pStyle w:val="Heading6"/>
        <w:numPr>
          <w:ilvl w:val="5"/>
          <w:numId w:val="1"/>
        </w:numPr>
        <w:rPr/>
      </w:pPr>
      <w:bookmarkStart w:id="532" w:name="__RefHeading___Toc2474146_653776707"/>
      <w:bookmarkStart w:id="533" w:name="_Toc197"/>
      <w:bookmarkEnd w:id="532"/>
      <w:r>
        <w:rPr/>
        <w:t>7</w:t>
      </w:r>
      <w:r>
        <w:rPr>
          <w:rtl w:val="true"/>
        </w:rPr>
        <w:t xml:space="preserve">) </w:t>
      </w:r>
      <w:r>
        <w:rPr>
          <w:rtl w:val="true"/>
        </w:rPr>
        <w:t>رأيهم في التقليد</w:t>
      </w:r>
      <w:r>
        <w:rPr>
          <w:rtl w:val="true"/>
        </w:rPr>
        <w:t>:</w:t>
      </w:r>
      <w:bookmarkEnd w:id="53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يحلّ لأحد أن يقلّد أحدا، لا حيّا ولا ميتا</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 xml:space="preserve">فقد كان ابن حزم يدعوإلى منع </w:t>
      </w:r>
      <w:bookmarkStart w:id="534" w:name="pg8675_123165"/>
    </w:p>
    <w:p>
      <w:pPr>
        <w:pStyle w:val="BookText"/>
        <w:rPr/>
      </w:pPr>
      <w:bookmarkEnd w:id="534"/>
      <w:r>
        <w:rPr>
          <w:rFonts w:ascii="Amiri" w:hAnsi="Amiri" w:eastAsia="Amiri" w:cs="Amiri"/>
          <w:color w:val="111111"/>
          <w:sz w:val="28"/>
          <w:sz w:val="28"/>
          <w:szCs w:val="28"/>
          <w:rtl w:val="true"/>
          <w:lang w:bidi="ar-SA"/>
        </w:rPr>
        <w:t>التقليد، ويعتبره بدعة، ويرى أنّ العامّيّ لا يلزمه أن يقلّد مذهبا معيّنا، وإنّما عليه أن يتعرّف على حكم الله، ولوبالسؤال ممّن يبيّن له الحكم مسندا إلى نصٍّ أودليل، لا مسندا إلى إمامٍ أوفقيه، ولذا فإنّ أهل الظاهر لايعتبرون أنفسهم أصحاب مذهب يُتّبع</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الظاهريّة وإن كانوا ينكرون التقليد ويعدّونه بدعة، إلاّ أنّ ما ذهبوا إليه من القول بلزوم المنع من التقليد لا صحّة له بوجه من الوجوه؛ وذلك لاستلزامه الفوضى والهرج والمرج في معارف الدين وتعاليمه؛ إذ ليس التقليد إلاّ عبارةً عن القاعدة المعمول بهالدى العقلاء كافّةً، وفي جميع الفنون والعلوم، وهى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الرجوع إلى أهل الخبرة، في أيّ مجالٍ من المجالات، فإن كان الشخص هونفسه من أهل الاختصاص والخبرة، فبها ونعمت، وإلاّ تعيّن عليه الرجوع إلى المختصّين ومن هم ذووخبرةٍ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هذه هي حقيقة التقليد فيتّضح أنّه أمرٌ لا بدّ منه ولا محيص عنه</w:t>
      </w:r>
      <w:r>
        <w:rPr>
          <w:rFonts w:eastAsia="Amiri" w:cs="Amiri" w:ascii="Amiri" w:hAnsi="Amiri"/>
          <w:color w:val="111111"/>
          <w:sz w:val="28"/>
          <w:szCs w:val="28"/>
          <w:rtl w:val="true"/>
          <w:lang w:bidi="ar-SA"/>
        </w:rPr>
        <w:t>.</w:t>
      </w:r>
    </w:p>
    <w:p>
      <w:pPr>
        <w:pStyle w:val="Heading5"/>
        <w:numPr>
          <w:ilvl w:val="4"/>
          <w:numId w:val="1"/>
        </w:numPr>
        <w:rPr/>
      </w:pPr>
      <w:bookmarkStart w:id="535" w:name="__RefHeading___Toc2474148_653776707"/>
      <w:bookmarkStart w:id="536" w:name="_Toc198"/>
      <w:bookmarkEnd w:id="535"/>
      <w:r>
        <w:rPr/>
        <w:t>5</w:t>
      </w:r>
      <w:r>
        <w:rPr>
          <w:rtl w:val="true"/>
        </w:rPr>
        <w:t xml:space="preserve">) </w:t>
      </w:r>
      <w:r>
        <w:rPr>
          <w:rtl w:val="true"/>
        </w:rPr>
        <w:t>نماذج من الفتاوي الخاصّة بالمذهب الظاهری</w:t>
      </w:r>
      <w:r>
        <w:rPr>
          <w:rtl w:val="true"/>
        </w:rPr>
        <w:t>:</w:t>
      </w:r>
      <w:bookmarkEnd w:id="5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سؤر الخنزير طاهر، فيجوز شربه والوضوء منه، ولكنّ سؤر الكلب نجس، وتطهير الإناء الّذي وقع فيه سؤر الكلب لا يكون إلاّ بغسله سبعا، يجب في إحداهنّ أن تكون بالتراب الطاهر؛ لأنّ النصّ قد ورد بذلك</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 عقد أوشرط لم يثبت بنصٍّ أوبإجماع، فليس صحيحا،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عمل عملاً ليس عليه أمرنا فهوردّ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ويعلّق ابن حزم على هذا الحديث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فصحّ بهذا النصّ بطلان كلّ عقدٍ عقده الإنسان والتزمه، إلاّ ما صحّ أن يكون عقدا جاء النصّ أوالإجماع بإلزامه باسمه، أوبإباحة التزامه بعينه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فبهذا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فقه الظاهريّة فيه تضييقٌ على الناس، خاصّة في المعاملات التي تجرى بينهم كلّ يوم،</w:t>
      </w:r>
      <w:r>
        <w:rPr>
          <w:rStyle w:val="FootnoteAnchor"/>
          <w:rtl w:val="true"/>
        </w:rPr>
        <w:footnoteReference w:id="260"/>
      </w:r>
      <w:r>
        <w:rPr>
          <w:rFonts w:ascii="Amiri" w:hAnsi="Amiri" w:eastAsia="Amiri" w:cs="Amiri"/>
          <w:color w:val="111111"/>
          <w:sz w:val="28"/>
          <w:sz w:val="28"/>
          <w:szCs w:val="28"/>
          <w:rtl w:val="true"/>
          <w:lang w:bidi="ar-SA"/>
        </w:rPr>
        <w:t>ويعدّ هذا واحدا من العوامل المهمّة التي أدّت إلى إعراض الناس عن هذا المذهب</w:t>
      </w:r>
      <w:r>
        <w:rPr>
          <w:rFonts w:eastAsia="Amiri" w:cs="Amiri" w:ascii="Amiri" w:hAnsi="Amiri"/>
          <w:color w:val="111111"/>
          <w:sz w:val="28"/>
          <w:szCs w:val="28"/>
          <w:rtl w:val="true"/>
          <w:lang w:bidi="ar-SA"/>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7" w:name="pg8675_123174"/>
      <w:bookmarkStart w:id="538" w:name="pg8675_123174"/>
      <w:bookmarkEnd w:id="538"/>
    </w:p>
    <w:p>
      <w:pPr>
        <w:pStyle w:val="Heading3"/>
        <w:numPr>
          <w:ilvl w:val="2"/>
          <w:numId w:val="1"/>
        </w:numPr>
        <w:rPr/>
      </w:pPr>
      <w:bookmarkStart w:id="539" w:name="pg8675_123174"/>
      <w:bookmarkStart w:id="540" w:name="__RefHeading___Toc2474150_653776707"/>
      <w:bookmarkStart w:id="541" w:name="_Toc199"/>
      <w:bookmarkEnd w:id="539"/>
      <w:bookmarkEnd w:id="540"/>
      <w:r>
        <w:rPr>
          <w:rtl w:val="true"/>
        </w:rPr>
        <w:t>الفصل التاسع انسداد باب الإجتهاد عند العامّة وأسبابه</w:t>
      </w:r>
      <w:bookmarkEnd w:id="541"/>
    </w:p>
    <w:p>
      <w:pPr>
        <w:pStyle w:val="Heading4"/>
        <w:numPr>
          <w:ilvl w:val="3"/>
          <w:numId w:val="1"/>
        </w:numPr>
        <w:rPr/>
      </w:pPr>
      <w:bookmarkStart w:id="542" w:name="__RefHeading___Toc2474152_653776707"/>
      <w:bookmarkStart w:id="543" w:name="_Toc200"/>
      <w:bookmarkEnd w:id="542"/>
      <w:r>
        <w:rPr>
          <w:rtl w:val="true"/>
        </w:rPr>
        <w:t>اشارة</w:t>
      </w:r>
      <w:bookmarkEnd w:id="543"/>
    </w:p>
    <w:p>
      <w:pPr>
        <w:pStyle w:val="BookText"/>
        <w:rPr/>
      </w:pPr>
      <w:r>
        <w:rPr>
          <w:rFonts w:ascii="Amiri" w:hAnsi="Amiri" w:eastAsia="Amiri" w:cs="Amiri"/>
          <w:color w:val="111111"/>
          <w:sz w:val="28"/>
          <w:sz w:val="28"/>
          <w:szCs w:val="28"/>
          <w:rtl w:val="true"/>
          <w:lang w:bidi="ar-SA"/>
        </w:rPr>
        <w:t>والكلام يقع فيه في أمور</w:t>
      </w:r>
      <w:r>
        <w:rPr>
          <w:rFonts w:eastAsia="Amiri" w:cs="Amiri" w:ascii="Amiri" w:hAnsi="Amiri"/>
          <w:color w:val="111111"/>
          <w:sz w:val="28"/>
          <w:szCs w:val="28"/>
          <w:rtl w:val="true"/>
          <w:lang w:bidi="ar-SA"/>
        </w:rPr>
        <w:t>:</w:t>
      </w:r>
    </w:p>
    <w:p>
      <w:pPr>
        <w:pStyle w:val="Heading4"/>
        <w:numPr>
          <w:ilvl w:val="3"/>
          <w:numId w:val="1"/>
        </w:numPr>
        <w:rPr/>
      </w:pPr>
      <w:bookmarkStart w:id="544" w:name="__RefHeading___Toc2474154_653776707"/>
      <w:bookmarkStart w:id="545" w:name="_Toc201"/>
      <w:bookmarkEnd w:id="544"/>
      <w:r>
        <w:rPr>
          <w:rtl w:val="true"/>
        </w:rPr>
        <w:t>الأمر الأوّل</w:t>
      </w:r>
      <w:r>
        <w:rPr>
          <w:rtl w:val="true"/>
        </w:rPr>
        <w:t>:</w:t>
      </w:r>
      <w:bookmarkEnd w:id="545"/>
    </w:p>
    <w:p>
      <w:pPr>
        <w:pStyle w:val="BookText"/>
        <w:rPr/>
      </w:pPr>
      <w:r>
        <w:rPr>
          <w:rFonts w:ascii="Amiri" w:hAnsi="Amiri" w:eastAsia="Amiri" w:cs="Amiri"/>
          <w:color w:val="111111"/>
          <w:sz w:val="28"/>
          <w:sz w:val="28"/>
          <w:szCs w:val="28"/>
          <w:rtl w:val="true"/>
          <w:lang w:bidi="ar-SA"/>
        </w:rPr>
        <w:t>شهدت الفترة الزمنيّة الممتدّة ممّا بعد عصر الصحابة والتابعين وإلى أواسط القرن الرابع نشاطا فقهيّا ملحوظا في مذهب أهل العامّة، حيث ظهر فيها العديد من المذاهب والمدارس، وقد ظهرت هذه المذاهب في مناطق مختلفة، وكان منها ما استطاع أن يحشد لنفسه أتباعا كثرا، ومنها ما كان له القليل من الأتباع والمؤيّدين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بين هذه المذاهب التي برزت في تلك الحقبة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المذاهب الأربعة التي أشرنا الیها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ذكرنا أنّه لا يزال لها أتباع ومؤيّدون ومقلّدون في عالمنا الإسلاميّ المعاصر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أهمّ المذاهب المتروكة وأشهرها فهی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سعيد الثوري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يسار البصري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البصرة</w:t>
      </w:r>
      <w:r>
        <w:rPr>
          <w:rFonts w:eastAsia="Amiri" w:cs="Amiri" w:ascii="Amiri" w:hAnsi="Amiri"/>
          <w:color w:val="111111"/>
          <w:sz w:val="28"/>
          <w:szCs w:val="28"/>
          <w:rtl w:val="true"/>
          <w:lang w:bidi="ar-SA"/>
        </w:rPr>
        <w:t xml:space="preserve">. </w:t>
      </w:r>
      <w:bookmarkStart w:id="546" w:name="pg8675_123177"/>
    </w:p>
    <w:p>
      <w:pPr>
        <w:pStyle w:val="BookText"/>
        <w:rPr/>
      </w:pPr>
      <w:bookmarkEnd w:id="54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عمروالأوزاعي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خالد الكلبي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ثور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علي الاصفهاني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مرّ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جرير الطبري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المذاهب التي ذاع صيتها في البلاد، والتي نال أئمّتها رتبة المرجعيّة في الفتيا والأحكام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لكلّ واحد منهم أتباع من المسلمين، قليلون أوكثر، وكانت فتاواهم معمولاً بها على مدى السنين، إلى أن تعرّضت تلك المذاهب للهجران وتُرِكت بذهاب أهلها</w:t>
      </w:r>
      <w:r>
        <w:rPr>
          <w:rFonts w:eastAsia="Amiri" w:cs="Amiri" w:ascii="Amiri" w:hAnsi="Amiri"/>
          <w:color w:val="111111"/>
          <w:sz w:val="28"/>
          <w:szCs w:val="28"/>
          <w:rtl w:val="true"/>
          <w:lang w:bidi="ar-SA"/>
        </w:rPr>
        <w:t>.</w:t>
      </w:r>
      <w:r>
        <w:rPr>
          <w:rStyle w:val="FootnoteAnchor"/>
          <w:rtl w:val="true"/>
        </w:rPr>
        <w:footnoteReference w:id="261"/>
      </w:r>
    </w:p>
    <w:p>
      <w:pPr>
        <w:pStyle w:val="Heading4"/>
        <w:numPr>
          <w:ilvl w:val="3"/>
          <w:numId w:val="1"/>
        </w:numPr>
        <w:rPr/>
      </w:pPr>
      <w:bookmarkStart w:id="547" w:name="__RefHeading___Toc2474156_653776707"/>
      <w:bookmarkStart w:id="548" w:name="_Toc202"/>
      <w:bookmarkEnd w:id="547"/>
      <w:r>
        <w:rPr>
          <w:rtl w:val="true"/>
        </w:rPr>
        <w:t>الأمر الثاني</w:t>
      </w:r>
      <w:r>
        <w:rPr>
          <w:rtl w:val="true"/>
        </w:rPr>
        <w:t xml:space="preserve">: </w:t>
      </w:r>
      <w:r>
        <w:rPr>
          <w:rtl w:val="true"/>
        </w:rPr>
        <w:t>الأسباب التاريخيّة التي أدّت إلى انسداد باب الإجتهاد</w:t>
      </w:r>
      <w:r>
        <w:rPr>
          <w:rtl w:val="true"/>
        </w:rPr>
        <w:t>:</w:t>
      </w:r>
      <w:bookmarkEnd w:id="54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بدأ عصر التقليد وانسداد باب الإجتهاد في المذاهب الإجتهاديّة والفقهيّة عند العامّة في النصف الثاني من القرن الرابع تقريبا، فمنذ تلك الفترة، وشيئا فشيئا، انتشر بين الناس اعتقاد بأنّ من الواجب على كافّة المسلمين أن يرجعوا في جميع أحكامهم إلى أحد المذاهب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الحنفيّ، والمالكيّ، والشافعيّ، والحنبلي، بلا فرقٍ في </w:t>
      </w:r>
    </w:p>
    <w:p>
      <w:pPr>
        <w:pStyle w:val="BookText"/>
        <w:rPr/>
      </w:pPr>
      <w:r>
        <w:rPr>
          <w:rFonts w:ascii="Amiri" w:hAnsi="Amiri" w:eastAsia="Amiri" w:cs="Amiri"/>
          <w:color w:val="111111"/>
          <w:sz w:val="28"/>
          <w:sz w:val="28"/>
          <w:szCs w:val="28"/>
          <w:rtl w:val="true"/>
          <w:lang w:bidi="ar-SA"/>
        </w:rPr>
        <w:t>هذه الأحكام، بين ما كان منها فرديّا أواجتماعيّا، عباديّا أوقضائيّا، اقتصاديّا أوسياسيّا، أوغير ذلك؛ كما ساد الاعتقاد بأنّه لا يجوز للمسلمين أن يقلّدوا في شيءٍ من هذهالأحكام مجتهدين ينتمون إلى سائر المذاهب الفقهيّة الأُخرى</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 xml:space="preserve">وإن كانت الآثار التاريخيّة والعلميّة التي توفّرت لدينا من القرون 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القرن الرابع إلى القرن الثامن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إلى أنّ بعض المذاهب استمرّت في الوجود، وكان لها أتباع، طيلة الفترة الممتدّة إلى القرن الثامن، ولوبشكلٍ متفرّق وجزئىّ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السيطرة التامّة للمذاهب الأربعة المذكورة إلاّ منذ القرن الثامن فصاعدا، حيث تمكّنت هذه المذاهب من التأثير والهيمنة على السلطة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سنشير لاحقا إلى أنّ عددا من علماء العامّة عُرِفوا بالاجتناب عن التقليد والإصرار على فتح باب الإجتهاد، وذلك على امتداد تاريخ هذه المذاهب الفقهيّة</w:t>
      </w:r>
      <w:r>
        <w:rPr>
          <w:rFonts w:eastAsia="Amiri" w:cs="Amiri" w:ascii="Amiri" w:hAnsi="Amiri"/>
          <w:color w:val="111111"/>
          <w:sz w:val="28"/>
          <w:szCs w:val="28"/>
          <w:rtl w:val="true"/>
          <w:lang w:bidi="ar-SA"/>
        </w:rPr>
        <w:t>.</w:t>
      </w:r>
      <w:r>
        <w:rPr>
          <w:rStyle w:val="FootnoteAnchor"/>
          <w:rtl w:val="true"/>
        </w:rPr>
        <w:footnoteReference w:id="263"/>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الناحية التاريخيّة، يرى عدد من الباحثين أنّ عهد الخليفة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القادر بالله، الّذي تسلّم سدّة الخلافة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هوالعصر الّذي شهد وضع حجر الأساس لفكرة حصر الإجتهاد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أصدر القادر بالله مرسوما يطلب فيه من أربعةٍ من فقهاء هذه المذاهب أن يدوّن كلٌّ منهم كتابا مختصرا يدوّن فيه آرائه الفقهيّة، وبعد أن تمّ تدوين هذه الكتب المختصرة التي أمر بها، أصدر القادر بالله مرسوما آخر طلب فيه من جميع الناس أن يعملوا على وفق ما هوموجود في هذه الكتب، وأن يتركوا العمل بكلّ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الهدف الباعث له على إصدار هذا المرسوم </w:t>
      </w:r>
    </w:p>
    <w:p>
      <w:pPr>
        <w:pStyle w:val="BookText"/>
        <w:rPr/>
      </w:pPr>
      <w:r>
        <w:rPr>
          <w:rFonts w:ascii="Amiri" w:hAnsi="Amiri" w:eastAsia="Amiri" w:cs="Amiri"/>
          <w:color w:val="111111"/>
          <w:sz w:val="28"/>
          <w:sz w:val="28"/>
          <w:szCs w:val="28"/>
          <w:rtl w:val="true"/>
          <w:lang w:bidi="ar-SA"/>
        </w:rPr>
        <w:t>هوالتقليل من النظريّات والآراء في الأحكام الشرعيّة، لئلاّ توجب كثرة الخلاف قلّة الوثوق بالشريعة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المعروف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القادر بالله طلب للسيّد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مبلغا من المال لودفعه لأقرّت دولة بني العبّاس بمذهب التشيّع كواحدٍ من المذاهب الرسميّة في البلاد، ولأجازت العمل على وفق آرائه كما أجازته على وفق سائر المذاهب الأُخرى، إلاّ أنّ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ولأسبابٍ عدّة، لم يتمكّن من دفع ذلك المقدار من المال</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ومن جهة أخری، فقد أدّى مرسوم الخليفة هذا إلى أن تتقرّر المذاهب الأربعة التي تمكّن أربابها من دفع المقدار المحدّد لهم من المال كمذاهب رسميّة للدولة آنذاك، فراجت وانتشر العمل بها في أوساط عامّة الناس، ولكنّ هذا المرسوم، من جهةٍ أُخرى، أدّى إلى انزواء سائر المذاهب أواندراسها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الخليفة العبّاسيّ آنذاك، وإن لم تكن له سلطة وقدرة سياسيّة صارمة ومقتدرة، إلاّ أنّه استطاع أن یقدم نفسه بصورة السياسيّ الروحيّ، ویحافظ على طابع القداسة الدينيّة في أوساط عامّة الناس، فتمكّن بذلك من إقناع الناس بالتعامل معه على أساس أنّه قائدهم الدينيّ ومرشدهم الروحيّ، الأمر الّذي جعل الناس يتلقّون أوامره والمراسيم الصادرة عنه على أنّها تمثّل رأى الدين وحكم العقيدة</w:t>
      </w:r>
      <w:r>
        <w:rPr>
          <w:rFonts w:eastAsia="IRNazanin" w:cs="IRNazanin"/>
          <w:color w:val="111111"/>
          <w:sz w:val="28"/>
          <w:szCs w:val="28"/>
          <w:rtl w:val="true"/>
          <w:lang w:bidi="fa-IR"/>
        </w:rPr>
        <w:t>.</w:t>
      </w:r>
      <w:r>
        <w:rPr>
          <w:rStyle w:val="FootnoteAnchor"/>
          <w:rtl w:val="true"/>
        </w:rPr>
        <w:footnoteReference w:id="265"/>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ومنذ أواخر القرن الرابع وإلى زمان سقوط 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وانقراض الخلافة العبّاسيّة على يد هولاكو، والمذاهب الأربعة تشهد ازديادا تدريجيّا لانتشارها واشتداد </w:t>
      </w:r>
    </w:p>
    <w:p>
      <w:pPr>
        <w:pStyle w:val="BookText"/>
        <w:rPr/>
      </w:pPr>
      <w:r>
        <w:rPr>
          <w:rFonts w:ascii="Amiri" w:hAnsi="Amiri" w:eastAsia="Amiri" w:cs="Amiri"/>
          <w:color w:val="111111"/>
          <w:sz w:val="28"/>
          <w:sz w:val="28"/>
          <w:szCs w:val="28"/>
          <w:rtl w:val="true"/>
          <w:lang w:bidi="ar-SA"/>
        </w:rPr>
        <w:t>قدرتها، وفي المقابل استمرّت المذاهب الأُخرى في الاتجاه تدريجيّا أيضا نحوالمزيد من الضعف والانزواء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المناسب هنا أن نستعرض إحدى الوثائق التاريخيّة التي تتحدّث عن بعض الحوادث التي جرت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تصوّر بشكلٍ جيّد كيف سادت فكرة انسداد باب الإجتهاد أواخر الخلافة العبّاسيّة وقبل سقوط 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المؤرّخ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الفوطي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يصفه الشيخ آغا بزرک الطهراني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نابغة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الحوادث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وقائع سنة </w:t>
      </w:r>
      <w:r>
        <w:rPr>
          <w:rFonts w:eastAsia="IRNazanin" w:cs="IRNazanin"/>
          <w:color w:val="111111"/>
          <w:sz w:val="28"/>
          <w:szCs w:val="28"/>
          <w:rtl w:val="true"/>
          <w:lang w:bidi="fa-IR"/>
        </w:rPr>
        <w:t>(</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كيفيّة افتتاح المدرسة المستنصريّة في بغداد في جمادى الثانية من هذه السنة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الشروع في بنائها بأمر المستنصر بالله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تولّى عمارتها أستاذ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مؤيّدالدين أبوطالب محمد بن العلقمي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وقسّمت يوم افتتاحها على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الربع القبليّ الأيمن إلى الشافعيّة، والربع الأيسر إلى الحنفيّة، والربع الثالث يمنة الداخل للحنابلة، والميسرة للمالكيّة، وتُخُيِّر لكلّ مذهب اثنان وستّون نفسا من الفقهاء الّذي يقرأون الفقه والأحكام، فيكون مجموع الطلبة المتفقّهة في المدرسة مائتين وثمانية وأربعين نفسا، ورُتِّب لهم مدرّسان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من الشافعيّة، والثاني من الحنفيّة، ونائبا مدرّس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حنبليٌّ والآخر مالكىّ، ولكلّ واحدٍ من هؤلاء مشاهرات وجرايات ورواتب مطبوخة وغير مطبوخة، وكذلك عُيِّن عدّة القرّاء، وعدّةٌ لتعليم الحديث، وعدّةٌ لتعلّم الطبّ، وكانت المدرسة تحت النظارة والتغيير والتبديل للأشخاص الداخلين أوالخارجين إلى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السنة أحضروا المدرّسين الأربعة الموظّفين لتدريس الفقه على المذاهب الأربعة، وألزموهم أن لا يذكروا شيئا من تصانيف أنفسهم للطلبة المتفقّهين عندهم، وأن لا </w:t>
      </w:r>
    </w:p>
    <w:p>
      <w:pPr>
        <w:pStyle w:val="BookText"/>
        <w:rPr/>
      </w:pPr>
      <w:r>
        <w:rPr>
          <w:rFonts w:ascii="Amiri" w:hAnsi="Amiri" w:eastAsia="Amiri" w:cs="Amiri"/>
          <w:color w:val="111111"/>
          <w:sz w:val="28"/>
          <w:sz w:val="28"/>
          <w:szCs w:val="28"/>
          <w:rtl w:val="true"/>
          <w:lang w:bidi="ar-SA"/>
        </w:rPr>
        <w:t>يُلزموهم بحفظ شيءٍ من تلك التصانيف، بل يقتصرون على ذكر كلام المشايخ القدماء، تأدّبا معهم، وتبرّكا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جمال‌الدين أبوالفرج عبدالرحمن بن محيى‌الدين يوسفبن الجوزىّ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بالسمع والطاعة، وهوالذي كان محتسبا في بغداد أوّلاً، ثمّ قام مقام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محيى‌الدين يوسف بن الجوزىّ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تدريس الحنابلة في المدرسة المذكورة، وهومتأخّر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الفرج عبد الرحمن بن على بن محمّد بن الجوزىّ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الواعظ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أجاب مدرّس المالكيّة،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سراج‌الدين عبدالله الشرماحى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وأظهر القبول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شهاب‌الدين الزنجانيّ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 الشافعيّة، وأقضى القضاة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عبدالرحمن اللمغاني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 الحنفيّة، فامتنعا عن ذلك، وأجابا بما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المشايخ كانوا رجالاً، ونحن رجال، ونحوذلك من الكلام المُوهم للمساواة بينهم وبين المشايخ القدماء، وكان إحضار المدرّسين في دار الوزير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مؤيّدالدين محمّد بن العلقمىّ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تولّى عمارة المدينة في أيّام كونه أستاذ الدار، فأنهى الوزير صورة الحال إلى حضرة الخليفة المستعصم، فتقدّم الخليفة بأن يلزموا المدرّسون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كلام المشائخ واحترامهم، فأُلزِموا بذلك، فأجابوه جميعا بالسمع والطاعة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المحصّل من كلام ابن الفوطى مع التوضيح والبيان</w:t>
      </w:r>
      <w:r>
        <w:rPr>
          <w:rFonts w:eastAsia="Amiri" w:cs="Amiri" w:ascii="Amiri" w:hAnsi="Amiri"/>
          <w:color w:val="111111"/>
          <w:sz w:val="28"/>
          <w:szCs w:val="28"/>
          <w:rtl w:val="true"/>
          <w:lang w:bidi="ar-SA"/>
        </w:rPr>
        <w:t>.</w:t>
      </w:r>
      <w:r>
        <w:rPr>
          <w:rStyle w:val="FootnoteAnchor"/>
          <w:rtl w:val="true"/>
        </w:rPr>
        <w:footnoteReference w:id="266"/>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كلام ابن الفوطيّ هذا، والّذي يصوّر فيه وضعيّة الإجتهاد في القرن السابع في مركز الخلافة وفي شرق العالم الإسلامىّ، يعود إلى احد عشر عاما سبقت سقوط </w:t>
      </w:r>
    </w:p>
    <w:p>
      <w:pPr>
        <w:pStyle w:val="BookText"/>
        <w:rPr/>
      </w:pPr>
      <w:r>
        <w:rPr>
          <w:rFonts w:ascii="Amiri" w:hAnsi="Amiri" w:eastAsia="Amiri" w:cs="Amiri"/>
          <w:color w:val="111111"/>
          <w:sz w:val="28"/>
          <w:sz w:val="28"/>
          <w:szCs w:val="28"/>
          <w:rtl w:val="true"/>
          <w:lang w:bidi="ar-SA"/>
        </w:rPr>
        <w:t xml:space="preserve">بغداد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ومقتل الخليفة العبّاسيّ المستعصم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وضعيّة الإجتهاد في ذلك الزمان في غرب العالَم الإسلامىّ فنستطيع أن نتبيّنها من خلال وثيقة للمؤرّخ الشهير المقريزيّ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الخطط المقريزيّة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ذكرأنّ تاريخ انتشار المذهبين المالكيّ والشافعيّ في مصر يعود إلى العامين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أن بيّن أنّ المذهبين الحنفيّ والحنبليّ لم يعرفا طريقهما ولم يدخلا إلى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المذهب في مصر لمالك والشافعيّ، إلى أن أتى القائد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بجيوش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المعزّ لدين الله أبي تميم 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الخليفة الفاطمىّ إلى مصر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فشاع بها مذهب الشيعة، حتى لم يبقَ بها مذهب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يشير المقريزيّ بعد ذلك إلى التاريخ الذي جُعلت فيه المذاهب الأربعة مذاهب رسميّةً في مصر، فيقول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في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بيبرس البندقدارى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مصر أربعة 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شافعيّ ومالكيّ وحنفيّ وحنبليّ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فاستمرّ ذلك ولاية القضاة الأربعة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لم يبقَ في مجموع أمصار الإسلام مذهبٌ يُعرف من مذاهب الإسلام سوى هذه الأربعة، وعُودى من تمذهب بغيرها، وأُنكر عليه، ولم يُوَلَّ قاضٍ ولا قُبِلت شهادة أحد، ما لم يكن مقلِّدا لأحد هذه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وأفتى فقهاؤهم في هذه الأمصار في طول هذه المدّة بوجوب اتّباع هذه المذاهب وتحريم ما عداها، والعمل على هذا إلى اليوم</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وكان بيبرس ملك مصر قد استدعى أحمد بن علىّ أحد المنتسبين إلى البيت العبّاسىّ الذين فرّوا إلى حلب بعد سقوط بغداد إلى مصر وبايعه خليفةً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أحمد بن عليّ هذا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واستلم الخلافة في القاهرة 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أن أحيا خلافة العبّاسيّين، ولكن هذه المرّة في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الحاكم بأمر الله، وبموافقة من الملك بيبرس، أربعة 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حنفيٍّ ومالكيٍّ وشافعيٍّ وحنبليّ، في مصر والشام، الأمر الّذي لعب دورا في تكريس عنوان لزوم العمل على طبق هذه المذاهب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لم يُوَلَّ من سائر المذاهب قاضٍ، ولا خطيب، ولا إمام جمعة وجماعة، ولم تُقبل منهم شهادة شاهد، ولا عُيِّن من أحد منهم مدرّس، بل جُعل اتّباع واحدٍ من المذاهب الأربعة شرطا أصليّا لتولّي هذه المناصب في جميع أقطار العالَم الإسلامىّ، الأمر الّذي أدّى إلى انسداد باب الإجتهاد وانحصاره نهائيّا في تلك المذاهب الأربعة</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وقد اتّضح على ضوء ما ذكرناه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السلطة السياسيّة في دولة الخلفاء والسلاطين كان لها أكبر الأثر في انسداد باب الإجتهاد في مذاهب أهل العامّة، وقد تحقّق ذلك على مرحلتين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تبدأ الأُولى منهما من أواسط القرن الرابع وتنتهى بسقوط 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وتبدأ المرحلة الثانية من سقوط بغداد وحتى وقتنا الحالى</w:t>
      </w:r>
      <w:r>
        <w:rPr>
          <w:rFonts w:eastAsia="Amiri" w:cs="Amiri" w:ascii="Amiri" w:hAnsi="Amiri"/>
          <w:color w:val="111111"/>
          <w:sz w:val="28"/>
          <w:szCs w:val="28"/>
          <w:rtl w:val="true"/>
          <w:lang w:bidi="ar-SA"/>
        </w:rPr>
        <w:t>.</w:t>
      </w:r>
      <w:r>
        <w:rPr>
          <w:rStyle w:val="FootnoteAnchor"/>
          <w:rtl w:val="true"/>
        </w:rPr>
        <w:footnoteReference w:id="269"/>
      </w:r>
      <w:bookmarkStart w:id="549" w:name="pg8675_123198"/>
    </w:p>
    <w:p>
      <w:pPr>
        <w:pStyle w:val="BookText"/>
        <w:rPr/>
      </w:pPr>
      <w:bookmarkEnd w:id="549"/>
      <w:r>
        <w:rPr>
          <w:rFonts w:ascii="IRNazanin" w:hAnsi="IRNazanin" w:eastAsia="IRNazanin"/>
          <w:color w:val="111111"/>
          <w:sz w:val="28"/>
          <w:sz w:val="28"/>
          <w:szCs w:val="28"/>
          <w:rtl w:val="true"/>
          <w:lang w:bidi="fa-IR"/>
        </w:rPr>
        <w:t>إنّ السبب الأصلىّ لهذه الظاهرة التي أثّرت في المجتمع بكافّة طبقاته، وجعلت فقهاء المذاهب الأربعة من كبار الأئمّة الذين لا يمكن الارتقاء والوصول إليهم، يمكن البحث فیه من زاويتين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نبحث عنها من زاوية الظروف الإجتماعيّة السياسيّةوالعوامل التاريخيّة التي أدّت إلى هذا الانسداد، وأبعاد علم الاجتماع، وأُخرى من زاوية البعد الفقهيّ وعلى ضوء المباني الإجتهاديّة لهذه المذاهب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ونتعرّض فيما يلي لدراسة هذه العلّة من الزاويتين المذكورتين، فنقول</w:t>
      </w:r>
      <w:r>
        <w:rPr>
          <w:rFonts w:eastAsia="Amiri" w:cs="Amiri" w:ascii="Amiri" w:hAnsi="Amiri"/>
          <w:color w:val="111111"/>
          <w:sz w:val="28"/>
          <w:szCs w:val="28"/>
          <w:rtl w:val="true"/>
          <w:lang w:bidi="ar-SA"/>
        </w:rPr>
        <w:t>:</w:t>
      </w:r>
    </w:p>
    <w:p>
      <w:pPr>
        <w:pStyle w:val="Heading4"/>
        <w:numPr>
          <w:ilvl w:val="3"/>
          <w:numId w:val="1"/>
        </w:numPr>
        <w:rPr/>
      </w:pPr>
      <w:bookmarkStart w:id="550" w:name="__RefHeading___Toc2474158_653776707"/>
      <w:bookmarkStart w:id="551" w:name="_Toc203"/>
      <w:bookmarkEnd w:id="550"/>
      <w:r>
        <w:rPr>
          <w:rtl w:val="true"/>
        </w:rPr>
        <w:t>الأمر الثالث</w:t>
      </w:r>
      <w:r>
        <w:rPr>
          <w:rtl w:val="true"/>
        </w:rPr>
        <w:t xml:space="preserve">: </w:t>
      </w:r>
      <w:r>
        <w:rPr>
          <w:rtl w:val="true"/>
        </w:rPr>
        <w:t>عوامل الإنسداد، تاریخیاً وسیاسیاً واجتماعیاً</w:t>
      </w:r>
      <w:r>
        <w:rPr>
          <w:rtl w:val="true"/>
        </w:rPr>
        <w:t>:</w:t>
      </w:r>
      <w:bookmarkEnd w:id="551"/>
    </w:p>
    <w:p>
      <w:pPr>
        <w:pStyle w:val="Heading5"/>
        <w:numPr>
          <w:ilvl w:val="4"/>
          <w:numId w:val="1"/>
        </w:numPr>
        <w:rPr/>
      </w:pPr>
      <w:bookmarkStart w:id="552" w:name="__RefHeading___Toc2474160_653776707"/>
      <w:bookmarkStart w:id="553" w:name="_Toc204"/>
      <w:bookmarkEnd w:id="552"/>
      <w:r>
        <w:rPr>
          <w:rtl w:val="true"/>
        </w:rPr>
        <w:t>اشارة</w:t>
      </w:r>
      <w:bookmarkEnd w:id="553"/>
    </w:p>
    <w:p>
      <w:pPr>
        <w:pStyle w:val="BookText"/>
        <w:rPr/>
      </w:pPr>
      <w:r>
        <w:rPr>
          <w:rFonts w:ascii="Amiri" w:hAnsi="Amiri" w:eastAsia="Amiri" w:cs="Amiri"/>
          <w:color w:val="111111"/>
          <w:sz w:val="28"/>
          <w:sz w:val="28"/>
          <w:szCs w:val="28"/>
          <w:rtl w:val="true"/>
          <w:lang w:bidi="ar-SA"/>
        </w:rPr>
        <w:t>فيما يتعلّق بالبعد السياسيّ والاجتماعيّ يذكر المحققون أنّ هناك عوامل عديدة كان لها الدور الكبير في انسداد باب الإجتهاد لدى مذاهب أهل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 هذه العوامل</w:t>
      </w:r>
      <w:r>
        <w:rPr>
          <w:rFonts w:eastAsia="Amiri" w:cs="Amiri" w:ascii="Amiri" w:hAnsi="Amiri"/>
          <w:color w:val="111111"/>
          <w:sz w:val="28"/>
          <w:szCs w:val="28"/>
          <w:rtl w:val="true"/>
          <w:lang w:bidi="ar-SA"/>
        </w:rPr>
        <w:t>:</w:t>
      </w:r>
    </w:p>
    <w:p>
      <w:pPr>
        <w:pStyle w:val="Heading5"/>
        <w:numPr>
          <w:ilvl w:val="4"/>
          <w:numId w:val="1"/>
        </w:numPr>
        <w:rPr/>
      </w:pPr>
      <w:bookmarkStart w:id="554" w:name="__RefHeading___Toc2474162_653776707"/>
      <w:bookmarkStart w:id="555" w:name="_Toc205"/>
      <w:bookmarkEnd w:id="554"/>
      <w:r>
        <w:rPr/>
        <w:t>1</w:t>
      </w:r>
      <w:r>
        <w:rPr>
          <w:rtl w:val="true"/>
        </w:rPr>
        <w:t xml:space="preserve">) </w:t>
      </w:r>
      <w:r>
        <w:rPr>
          <w:rtl w:val="true"/>
        </w:rPr>
        <w:t>ضعف الدولة العبّاسيّة</w:t>
      </w:r>
      <w:r>
        <w:rPr>
          <w:rtl w:val="true"/>
        </w:rPr>
        <w:t>:</w:t>
      </w:r>
      <w:bookmarkEnd w:id="55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منتصف القرن الرابع الهجريّ، بدأ الضعف يدبّ في جسد الدولة العبّاسيّة، وتمزّقت وحدة كلمتها، وتعرّضت للتقسيم إلى دويلات، وأخذت عوامل التفرقة والتشتّت تسرى في كيانها، ممّا أدّى إلى انشغال الملوك والسياسيّين وغفلتهم عن تشجيع حركة الإجتهاد وتأييدها، واستتبع ذلك موت مظاهر الاستقلال الفكرىّ عندی الفقهاء، الذي في ركونهم إلى التقليد وابتعادهم عن الإجتهاد</w:t>
      </w:r>
      <w:r>
        <w:rPr>
          <w:rFonts w:eastAsia="IRNazanin" w:cs="IRNazanin"/>
          <w:color w:val="111111"/>
          <w:sz w:val="28"/>
          <w:szCs w:val="28"/>
          <w:rtl w:val="true"/>
          <w:lang w:bidi="fa-IR"/>
        </w:rPr>
        <w:t>.</w:t>
      </w:r>
      <w:r>
        <w:rPr>
          <w:rStyle w:val="FootnoteAnchor"/>
          <w:rtl w:val="true"/>
        </w:rPr>
        <w:footnoteReference w:id="270"/>
      </w:r>
      <w:bookmarkStart w:id="556" w:name="pg8675_123201"/>
    </w:p>
    <w:p>
      <w:pPr>
        <w:pStyle w:val="Heading5"/>
        <w:numPr>
          <w:ilvl w:val="4"/>
          <w:numId w:val="1"/>
        </w:numPr>
        <w:rPr/>
      </w:pPr>
      <w:bookmarkStart w:id="557" w:name="__RefHeading___Toc2474164_653776707"/>
      <w:bookmarkStart w:id="558" w:name="_Toc206"/>
      <w:bookmarkEnd w:id="556"/>
      <w:bookmarkEnd w:id="557"/>
      <w:r>
        <w:rPr/>
        <w:t>2</w:t>
      </w:r>
      <w:r>
        <w:rPr>
          <w:rtl w:val="true"/>
        </w:rPr>
        <w:t xml:space="preserve">) </w:t>
      </w:r>
      <w:r>
        <w:rPr>
          <w:rtl w:val="true"/>
        </w:rPr>
        <w:t>التعصّب للمذاهب وأئمّتها</w:t>
      </w:r>
      <w:r>
        <w:rPr>
          <w:rtl w:val="true"/>
        </w:rPr>
        <w:t>:</w:t>
      </w:r>
      <w:bookmarkEnd w:id="558"/>
    </w:p>
    <w:p>
      <w:pPr>
        <w:pStyle w:val="BookText"/>
        <w:rPr/>
      </w:pPr>
      <w:r>
        <w:rPr>
          <w:rFonts w:ascii="Amiri" w:hAnsi="Amiri" w:eastAsia="Amiri" w:cs="Amiri"/>
          <w:color w:val="111111"/>
          <w:sz w:val="28"/>
          <w:sz w:val="28"/>
          <w:szCs w:val="28"/>
          <w:rtl w:val="true"/>
          <w:lang w:bidi="ar-SA"/>
        </w:rPr>
        <w:t>حصر فقهاء هذا العصر أبحاثهم في دائرةٍ ضيّقة، وذلك في حدود مذهب الفقيه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ووصل بهم هذا التعصّب إلى درجة أنّهم يعتبرون عبارات أئمّة مذاهبهمنصوصا في الفقه لا يُرجع عنها إلى نصٍّ قرآنيّ أوحديث نبويّ، بل ربّما عملوا على العكس من ذلك، فاعتبروا عبارة إمامهم أساسا لتفسير القرآن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عبيدالله الكرخيّ من أعيان الحنفيّة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آية تخالف ما عليه أصحابنا فهى مؤوّلة أومنسوخة، وكلّ حديثٍ كذلك فهومؤوّل أومنسوخ</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فقد التزم كلّ واحدٍ من علماء هذا العصر مذهبا معيّنا لأحد أئمّة المذاهب لا يحيد عنه ولا يتعدّاه، مع أنّ نفس هؤلاء الأئمّة لم يكن يخطر ببالهم أنّ العصمة ثابتة لهم فيما يجتهدون فيه، بل كانوا هم أنفسهم يعترفون بجواز الخطأ عليهم، حتى رُوي عن غير واحدٍ منهم أنّه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صحّ الحديث فهومذهبى، واضربوا بقولي عرض الحائط</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الفقهاء اللاّحقين جعلوا من أنفسهم مجرّد أتباعٍ ومقلّدين، فأماتوا بذلك روح الاستقلاليّة في أنفسهم وفي تفكيرهم واختياراتهم</w:t>
      </w:r>
      <w:r>
        <w:rPr>
          <w:rFonts w:eastAsia="Amiri" w:cs="Amiri" w:ascii="Amiri" w:hAnsi="Amiri"/>
          <w:color w:val="111111"/>
          <w:sz w:val="28"/>
          <w:szCs w:val="28"/>
          <w:rtl w:val="true"/>
          <w:lang w:bidi="ar-SA"/>
        </w:rPr>
        <w:t>.</w:t>
      </w:r>
      <w:r>
        <w:rPr>
          <w:rStyle w:val="FootnoteAnchor"/>
          <w:rtl w:val="true"/>
        </w:rPr>
        <w:footnoteReference w:id="272"/>
      </w:r>
      <w:bookmarkStart w:id="559" w:name="pg8675_123204"/>
    </w:p>
    <w:p>
      <w:pPr>
        <w:pStyle w:val="Heading5"/>
        <w:numPr>
          <w:ilvl w:val="4"/>
          <w:numId w:val="1"/>
        </w:numPr>
        <w:rPr/>
      </w:pPr>
      <w:bookmarkStart w:id="560" w:name="__RefHeading___Toc2474166_653776707"/>
      <w:bookmarkStart w:id="561" w:name="_Toc207"/>
      <w:bookmarkEnd w:id="559"/>
      <w:bookmarkEnd w:id="560"/>
      <w:r>
        <w:rPr/>
        <w:t>3</w:t>
      </w:r>
      <w:r>
        <w:rPr>
          <w:rtl w:val="true"/>
        </w:rPr>
        <w:t xml:space="preserve">) </w:t>
      </w:r>
      <w:r>
        <w:rPr>
          <w:rtl w:val="true"/>
        </w:rPr>
        <w:t>القضاء</w:t>
      </w:r>
      <w:r>
        <w:rPr>
          <w:rtl w:val="true"/>
        </w:rPr>
        <w:t>:</w:t>
      </w:r>
      <w:bookmarkEnd w:id="561"/>
    </w:p>
    <w:p>
      <w:pPr>
        <w:pStyle w:val="BookText"/>
        <w:rPr/>
      </w:pPr>
      <w:r>
        <w:rPr>
          <w:rFonts w:ascii="IRNazanin" w:hAnsi="IRNazanin" w:eastAsia="IRNazanin"/>
          <w:color w:val="111111"/>
          <w:sz w:val="28"/>
          <w:sz w:val="28"/>
          <w:szCs w:val="28"/>
          <w:rtl w:val="true"/>
          <w:lang w:bidi="fa-IR"/>
        </w:rPr>
        <w:t>نتيجةً للانحلال والضعف السياسيّ للدولة، وبسبب عدم وجود ضوابط موضوعيّة وحازمة، فقد تصدّى للقضاء والفتوى في تلك الدولة من لا يصلح لهما، من جهة ضعف المستوى العلمىّ وعدم اللياقة للاجتهاد والفتيا، الأمر الّذي أدّى إلى تقبّلفكرة سدّ باب الإجتهاد، وتقيّد المفتين والقضاء بأحكام الأئمّة الأربعة بحذافيرها، فكان أن عالجوا الفوضى الحاصلین بالتقليد والجمود، وعند حصول تعارض بين الأحكام الصادرة عن القضاة، فكانت الدولة تُلزِم القضاة وكلّ من يتصدّی للفتوى بالعودة إلى أحكام الأئمّة السابقة والتقيّد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أن كان الخليفة يختار أفراد الجهاز القضائيّ في البلاد من المجتهدين، أصبح القضاء منصبا يتولاّه الفقهاء من أتباع مذاهب معيّنة ممّن يتقيّدون في أحكامهم وقضائهم بأحكام أئمّة مذاهبهم ولا يخرجون عنها</w:t>
      </w:r>
      <w:r>
        <w:rPr>
          <w:rFonts w:eastAsia="IRNazanin" w:cs="IRNazanin"/>
          <w:color w:val="111111"/>
          <w:sz w:val="28"/>
          <w:szCs w:val="28"/>
          <w:rtl w:val="true"/>
          <w:lang w:bidi="fa-IR"/>
        </w:rPr>
        <w:t>.</w:t>
      </w:r>
      <w:r>
        <w:rPr>
          <w:rStyle w:val="FootnoteAnchor"/>
          <w:rtl w:val="true"/>
        </w:rPr>
        <w:footnoteReference w:id="273"/>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وإلى جانب هذا الكلام الّذي ذكره عدد من المحقّقين، يجب ألا ننسى، ما ذكرناه سابقا أثناء الكلام عن مذهبى الحنفيّة والمالكيّة، أنّ هذين المذهبين، ومنذ بداية أمرهما، كانا مذهبى السلطة السياسيّة والنظام الحاكم، حتى أنّ الفترة الزمنيّة التي بلغت فيها الدولة العباسیّة أوج قدرتها وسلطتها وسيطرتها، تُعدّ فترةً ذهبيّةً بالنسبة إلى </w:t>
      </w:r>
      <w:bookmarkStart w:id="562" w:name="pg8675_123207"/>
    </w:p>
    <w:p>
      <w:pPr>
        <w:pStyle w:val="BookText"/>
        <w:rPr/>
      </w:pPr>
      <w:bookmarkEnd w:id="562"/>
      <w:r>
        <w:rPr>
          <w:rFonts w:ascii="Amiri" w:hAnsi="Amiri" w:eastAsia="Amiri" w:cs="Amiri"/>
          <w:color w:val="111111"/>
          <w:sz w:val="28"/>
          <w:sz w:val="28"/>
          <w:szCs w:val="28"/>
          <w:rtl w:val="true"/>
          <w:lang w:bidi="ar-SA"/>
        </w:rPr>
        <w:t xml:space="preserve">المذهب الحنفيّ، فقد قام هارون الرشيد بتولية أبى يوسف تلميذ أبي حنيفة وتنصيبه على ولاية القضاء ببغداد، كما نقل التاريخ في كيفيّة تعاطيه مع هذا المنصب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لا يعيّن القاضي في الأقاليم إلاّ إذا اعتنق المذهب الحنفىّ</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من هذا کله یظهر أنّ التفكير الفقهىّ في مذاهب العامّة تمّ توجيهه نحوسدّ باب الإجتهاد منذ القرن الثاني، بفعلٍ سياسات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 في ذلك إنّ الحرّيّة فيالفكر والإجتهاد لم تكن من الممكن أن تنسجم مع ميول النظام السياسىّ الحاكم آنذاك؛ لأنّه نظام مبنيٌّ على القهر والاستبداد، ولأنّ السلطة الحاكمة كانت ترى أنّ مصالحها لا يمكن أن تتحقّق إلاّ في أجواء التقليد المحض، وفى إطارٍ ضيّق لا يتعدّاه التفكير العامّ للمسلمين من رعايا تلك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يبدولنا أنّ البحث عن جذور فكرة انسداد باب الإجتهاد والأسباب المؤدّية إليه يجب أن يتركّز على مرحلة ازدهار الدولة العبّاسيّة وقوّتها، لا على مرحلة ضعفها وانحطاطها</w:t>
      </w:r>
      <w:r>
        <w:rPr>
          <w:rFonts w:eastAsia="IRNazanin" w:cs="IRNazanin"/>
          <w:color w:val="111111"/>
          <w:sz w:val="28"/>
          <w:szCs w:val="28"/>
          <w:rtl w:val="true"/>
          <w:lang w:bidi="fa-IR"/>
        </w:rPr>
        <w:t>.</w:t>
      </w:r>
    </w:p>
    <w:p>
      <w:pPr>
        <w:pStyle w:val="Heading5"/>
        <w:numPr>
          <w:ilvl w:val="4"/>
          <w:numId w:val="1"/>
        </w:numPr>
        <w:rPr/>
      </w:pPr>
      <w:bookmarkStart w:id="563" w:name="__RefHeading___Toc2474168_653776707"/>
      <w:bookmarkStart w:id="564" w:name="_Toc208"/>
      <w:bookmarkEnd w:id="563"/>
      <w:r>
        <w:rPr/>
        <w:t>4</w:t>
      </w:r>
      <w:r>
        <w:rPr>
          <w:rtl w:val="true"/>
        </w:rPr>
        <w:t xml:space="preserve">) </w:t>
      </w:r>
      <w:r>
        <w:rPr>
          <w:rtl w:val="true"/>
        </w:rPr>
        <w:t>الحروب الداخليّة وكثرة الفتن</w:t>
      </w:r>
      <w:r>
        <w:rPr>
          <w:rtl w:val="true"/>
        </w:rPr>
        <w:t>:</w:t>
      </w:r>
      <w:bookmarkEnd w:id="564"/>
    </w:p>
    <w:p>
      <w:pPr>
        <w:pStyle w:val="BookText"/>
        <w:rPr/>
      </w:pPr>
      <w:r>
        <w:rPr>
          <w:rFonts w:ascii="IRNazanin" w:hAnsi="IRNazanin" w:eastAsia="IRNazanin"/>
          <w:color w:val="111111"/>
          <w:sz w:val="28"/>
          <w:sz w:val="28"/>
          <w:szCs w:val="28"/>
          <w:rtl w:val="true"/>
          <w:lang w:bidi="fa-IR"/>
        </w:rPr>
        <w:t>قال الشيخ آغا بزرک الطهراني عند ذكره للعوامل المؤدّية لانحصار المذاهب بالأربعة المعروفة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كثرة اختلاف الآراء والإجتهادات التي لانهاية لها، وعجزهم عن رفع التخلی عن بعض المذاهب الأربعة لكثرة وقوع الفتن، وشدّة العصّبیات، بين أهلها، ألجأ الخلفاء إلى الحكم بالتقید بهذه المذاهب</w:t>
      </w:r>
      <w:r>
        <w:rPr>
          <w:rFonts w:eastAsia="IRNazanin" w:cs="IRNazanin"/>
          <w:color w:val="111111"/>
          <w:sz w:val="28"/>
          <w:szCs w:val="28"/>
          <w:rtl w:val="true"/>
          <w:lang w:bidi="fa-IR"/>
        </w:rPr>
        <w:t xml:space="preserve">». </w:t>
      </w:r>
      <w:bookmarkStart w:id="565" w:name="pg8675_123210"/>
    </w:p>
    <w:p>
      <w:pPr>
        <w:pStyle w:val="BookText"/>
        <w:rPr/>
      </w:pPr>
      <w:bookmarkEnd w:id="565"/>
      <w:r>
        <w:rPr>
          <w:rFonts w:ascii="IRNazanin" w:hAnsi="IRNazanin" w:eastAsia="IRNazanin"/>
          <w:color w:val="111111"/>
          <w:sz w:val="28"/>
          <w:sz w:val="28"/>
          <w:szCs w:val="28"/>
          <w:rtl w:val="true"/>
          <w:lang w:bidi="fa-IR"/>
        </w:rPr>
        <w:t>ويشهد للعجز عن أحد هذه المذاهب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المقريزى في الخطط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أبا حامد الاسفرائيني كتب إلى السلطان محمود سبكتكين في سنة </w:t>
      </w:r>
      <w:r>
        <w:rPr>
          <w:rFonts w:eastAsia="IRNazanin" w:cs="IRNazanin"/>
          <w:color w:val="111111"/>
          <w:sz w:val="28"/>
          <w:szCs w:val="28"/>
          <w:rtl w:val="true"/>
          <w:lang w:bidi="fa-IR"/>
        </w:rPr>
        <w:t>(</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الخليفة نقل القضاء عن الحنفيّة إلى الشافعيّة، فثارت الفتن بين أصحابهما، حتى أدی الأمر إلى رجوع الخليفة عن رأيه، وسخطه على أبي حامد وحمله الحنفيّين على ما كانوا عليه</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وقال في الجزء الأوّل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نشأالخراب في أصفهان في هذا الوقت وقبله، لكثرة التعصّب بين الشافعيّة والحنفيّة والحروب المتّصلة بين الحزبين المذهبین، فكلّما ظهرت طائفةً نهبت محلّة الأُخرى وأحرقتها وخربتها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فهذه الحروب الداخليّة والمشاغبات والفتن والتعصّبات اقتضت في سياسة الخلفاء إلزامهم الفقهاء على عدم الخروج عن أقوال المشایخ</w:t>
      </w:r>
      <w:r>
        <w:rPr>
          <w:rFonts w:eastAsia="IRNazanin" w:cs="IRNazanin"/>
          <w:color w:val="111111"/>
          <w:sz w:val="28"/>
          <w:szCs w:val="28"/>
          <w:rtl w:val="true"/>
          <w:lang w:bidi="fa-IR"/>
        </w:rPr>
        <w:t>».</w:t>
      </w:r>
      <w:r>
        <w:rPr>
          <w:rStyle w:val="FootnoteAnchor"/>
          <w:rtl w:val="true"/>
        </w:rPr>
        <w:footnoteReference w:id="277"/>
      </w:r>
    </w:p>
    <w:p>
      <w:pPr>
        <w:pStyle w:val="Heading5"/>
        <w:numPr>
          <w:ilvl w:val="4"/>
          <w:numId w:val="1"/>
        </w:numPr>
        <w:rPr/>
      </w:pPr>
      <w:bookmarkStart w:id="566" w:name="__RefHeading___Toc2474170_653776707"/>
      <w:bookmarkStart w:id="567" w:name="_Toc209"/>
      <w:bookmarkEnd w:id="566"/>
      <w:r>
        <w:rPr/>
        <w:t>5</w:t>
      </w:r>
      <w:r>
        <w:rPr>
          <w:rtl w:val="true"/>
        </w:rPr>
        <w:t xml:space="preserve">) </w:t>
      </w:r>
      <w:r>
        <w:rPr>
          <w:rtl w:val="true"/>
        </w:rPr>
        <w:t>الأمراض الخُلقيّة والتحاسد بين العلماء</w:t>
      </w:r>
      <w:r>
        <w:rPr>
          <w:rtl w:val="true"/>
        </w:rPr>
        <w:t>:</w:t>
      </w:r>
      <w:bookmarkEnd w:id="567"/>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يُعدّ شيوع الأمراض الخلقيّة والتحاسد والأنانيّة بین العلماء من أخطر وأهمّ العوامل التي أدّت إلى انسداد باب الإجتهاد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العلماء إذا فتح أحدهم باب الإجتهاد لنفسه فتح على نفسه باب التشهير به، وحطّ أقرانه من قدره، وإذا أفتى في واقعةٍ برأيه قصدوا إلى تسفيه رأيه وتفنيد ما أفتى به بالحقّ وبالباطل، فلهذا كان العالِم منهم يتّقي كيد زمانه وتجريح الناس له بدعوى أنّه مقلّد وناقل، وليس مجتهداً ولا </w:t>
      </w:r>
      <w:bookmarkStart w:id="568" w:name="pg8675_123213"/>
    </w:p>
    <w:p>
      <w:pPr>
        <w:pStyle w:val="BookText"/>
        <w:rPr/>
      </w:pPr>
      <w:bookmarkEnd w:id="568"/>
      <w:r>
        <w:rPr>
          <w:rFonts w:ascii="Amiri" w:hAnsi="Amiri" w:eastAsia="Amiri" w:cs="Amiri"/>
          <w:color w:val="111111"/>
          <w:sz w:val="28"/>
          <w:sz w:val="28"/>
          <w:szCs w:val="28"/>
          <w:rtl w:val="true"/>
          <w:lang w:bidi="ar-SA"/>
        </w:rPr>
        <w:t>مبتكراً، وبهذا ماتت روح النبوغ، وضعفت ثقة العلماء بأنفسهم من جهة، وثقة الناس به من جهةٍ أُخرى</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إنّ كلّ واحدٍ من هذه العوامل المتقدّمة، يشكّل جزءا من العلّة التامّة الموجبة لظهور العمل بفكرة الانسداد، وعلى رأس هذه العوامل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السياسة الحاكمة فی دولة الخلفاء من العلماء الأبرار والأحرار الذين يتمتّعون بأصالةٍ في الفكر، وبروحٍ الاستقلاليّة، الذين لا يركنون إلى الظالمين، ولا يخشون أحدا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ينبغي ذكره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المتعارف لدى علماء العامّة هوأنّهم يصطلحون على تقسيم الفقهاء إلى متقدّمين ومتأخّرين، ويريدون من المتقدّمين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الذين عاشوا قبل سقوط بغداد، وقبل عصر التقليد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المتأخّرين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ما بعد سقوط بغداد الذين عاشوا عصر تحقّق التقليد المحض</w:t>
      </w:r>
      <w:r>
        <w:rPr>
          <w:rFonts w:eastAsia="IRNazanin" w:cs="IRNazanin"/>
          <w:color w:val="111111"/>
          <w:sz w:val="28"/>
          <w:szCs w:val="28"/>
          <w:rtl w:val="true"/>
          <w:lang w:bidi="fa-IR"/>
        </w:rPr>
        <w:t>.</w:t>
      </w:r>
      <w:r>
        <w:rPr>
          <w:rStyle w:val="FootnoteAnchor"/>
          <w:rtl w:val="true"/>
        </w:rPr>
        <w:footnoteReference w:id="279"/>
      </w:r>
    </w:p>
    <w:p>
      <w:pPr>
        <w:pStyle w:val="Heading4"/>
        <w:numPr>
          <w:ilvl w:val="3"/>
          <w:numId w:val="1"/>
        </w:numPr>
        <w:rPr/>
      </w:pPr>
      <w:bookmarkStart w:id="569" w:name="__RefHeading___Toc2474172_653776707"/>
      <w:bookmarkStart w:id="570" w:name="_Toc210"/>
      <w:bookmarkEnd w:id="569"/>
      <w:r>
        <w:rPr>
          <w:rtl w:val="true"/>
        </w:rPr>
        <w:t>الأمر الرابع</w:t>
      </w:r>
      <w:r>
        <w:rPr>
          <w:rtl w:val="true"/>
        </w:rPr>
        <w:t xml:space="preserve">: </w:t>
      </w:r>
      <w:r>
        <w:rPr>
          <w:rtl w:val="true"/>
        </w:rPr>
        <w:t>القول بسدّ باب الإجتهاد وأدلّته</w:t>
      </w:r>
      <w:r>
        <w:rPr>
          <w:rtl w:val="true"/>
        </w:rPr>
        <w:t>:</w:t>
      </w:r>
      <w:bookmarkEnd w:id="570"/>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بالإضافة إلى العوامل السياسيّة والإجتماعيّة المتقدّمة التي أدّت إلى انسداد باب الإجتهاد لدى العامّة، فإنّ عددا من العلماء المتأخّرين نظّروا لهذه الفكرة، وعملوا على تنقيحها والاستدلال عليها تدريجيّا، وذلك عبر القول بأنّ فتح باب الإجتهاد في مثل هذه العصور محال، وأنّه لا يمكن لأحدٍ الوصول إلى رتبة الإجتهاد والحصول </w:t>
      </w:r>
    </w:p>
    <w:p>
      <w:pPr>
        <w:pStyle w:val="BookText"/>
        <w:rPr/>
      </w:pPr>
      <w:r>
        <w:rPr>
          <w:rFonts w:ascii="Amiri" w:hAnsi="Amiri" w:eastAsia="Amiri" w:cs="Amiri"/>
          <w:color w:val="111111"/>
          <w:sz w:val="28"/>
          <w:sz w:val="28"/>
          <w:szCs w:val="28"/>
          <w:rtl w:val="true"/>
          <w:lang w:bidi="ar-SA"/>
        </w:rPr>
        <w:t>على ملكته، وذلك لمكان هذه الفاصلة الزمنيّة البعيدة التي تفصلنا عن عصر التشريع، بل إنّ بعضهم ذهب إلى القول بأنّ الإجتهاد في هذه العصور الأخيرة أمر محرّم ولا مشروعيّة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ونستعرض فيما يلي اقوالاً لعدد من العلماء الذين أدلّوا بآرائهم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الكمال بن الهمام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الإجماع انعقد على عدم العمل بمذهبٍ مخالفٍ للأئمّة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النجيم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الأشباه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خالف الأئمّة الأربعة مخالف للإجماع</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وقال النوويّ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دهرٍ طويل عُدِم المجتهد المستقلّ، وصارت الفتوى إلى المنتسبين إلى أئمّة المذاهب المتبوعة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الرافعيّ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الخلق كلّهم متّفقون على أنّه لا مجتهد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خلدون في مقدّمته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 التقليد في الأمصار عند هؤلاء الأربعة، ودرس المقلّدون لمن سواهم، وسدّ الناس باب الخلاف وطرقه لمّا كثر تشعّب الاصطلاحات في العلوم، ولِما عاق عن الوصول إلى رتبة الإجتهاد، ولِما خُشى من إسناد ذلك إلى غير أهله، ومن لا يُوثَق برأيه ولا بدينه، فصرّحوا بالعجز والإعواز، وردّوا الناس إلى تقليد هؤلاء</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أقوال العلماء، كالغزاليّ والقرطبي، والحافظ ابن حجر، والفاضل </w:t>
      </w:r>
      <w:bookmarkStart w:id="571" w:name="pg8675_123219"/>
    </w:p>
    <w:p>
      <w:pPr>
        <w:pStyle w:val="BookText"/>
        <w:rPr/>
      </w:pPr>
      <w:bookmarkEnd w:id="571"/>
      <w:r>
        <w:rPr>
          <w:rFonts w:ascii="Amiri" w:hAnsi="Amiri" w:eastAsia="Amiri" w:cs="Amiri"/>
          <w:color w:val="111111"/>
          <w:sz w:val="28"/>
          <w:sz w:val="28"/>
          <w:szCs w:val="28"/>
          <w:rtl w:val="true"/>
          <w:lang w:bidi="ar-SA"/>
        </w:rPr>
        <w:t>ابن عاشو،ر والشهاب الرملى، ومحمّد بن بخيت المطيعى وغيرهم</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ومن مجموع كلمات وأقوال أصحاب نظريّة انسداد باب الإجتهاد وضرورة التقليد، يمكن لنا أن نستخرج الأدلّة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الإجماع على تقليد أئمّة المذاهب الأربعة، وأنّ الحقّ لا يخرج عنهم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الإجتهاد في عهد الأئمّة الأربعة وأقرانهم قد استقرّت أصوله وثبتت قواعده، بحيث لم يُسَجَّل لأحدٍ بعدهم أنّه قد أتى بأيّ أصلٍ معتبر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لم يثبت بلوغ أحدٍ من العلماء المتأخّرين عن الأئمّة الأربعة رتبة الإجتهاد، والمدّعون لذلك قلّة قليلة، والإجتهادات التي أبرزها هؤلاء جاءت قاصرةً ومليئةًبالأخطاء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الإستقراء التامّ لأحوال العلماء بعد القرون الثلاثة الأولى يدلّنا على انعدام المجتهد المستقلّ بشهادة العلماء من أهل كلّ 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انقطاع الإجتهاد جائز عقلاً وواقع فعلاً، فلا مجال لإنكاره</w:t>
      </w:r>
      <w:r>
        <w:rPr>
          <w:rFonts w:eastAsia="Amiri" w:cs="Amiri" w:ascii="Amiri" w:hAnsi="Amiri"/>
          <w:color w:val="111111"/>
          <w:sz w:val="28"/>
          <w:szCs w:val="28"/>
          <w:rtl w:val="true"/>
          <w:lang w:bidi="ar-SA"/>
        </w:rPr>
        <w:t>.</w:t>
      </w:r>
    </w:p>
    <w:p>
      <w:pPr>
        <w:pStyle w:val="Heading4"/>
        <w:numPr>
          <w:ilvl w:val="3"/>
          <w:numId w:val="1"/>
        </w:numPr>
        <w:rPr/>
      </w:pPr>
      <w:bookmarkStart w:id="572" w:name="__RefHeading___Toc2474174_653776707"/>
      <w:bookmarkStart w:id="573" w:name="_Toc211"/>
      <w:bookmarkEnd w:id="572"/>
      <w:r>
        <w:rPr>
          <w:rtl w:val="true"/>
        </w:rPr>
        <w:t>الأمر الخامس</w:t>
      </w:r>
      <w:r>
        <w:rPr>
          <w:rtl w:val="true"/>
        </w:rPr>
        <w:t xml:space="preserve">: </w:t>
      </w:r>
      <w:r>
        <w:rPr>
          <w:rtl w:val="true"/>
        </w:rPr>
        <w:t>القول بإمكان الإجتهاد وأدلّته</w:t>
      </w:r>
      <w:r>
        <w:rPr>
          <w:rtl w:val="true"/>
        </w:rPr>
        <w:t>:</w:t>
      </w:r>
      <w:bookmarkEnd w:id="573"/>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مقابل القول الأوّل، ذهب عدد من المفكّرين من علماء العامّة إلى بطلان نظريّة انسداد الإجتهاد وبطلان القول بتحريم الإجتهاد، وأعلنوا بصراحة جواز الإجتهاد </w:t>
      </w:r>
    </w:p>
    <w:p>
      <w:pPr>
        <w:pStyle w:val="BookText"/>
        <w:rPr/>
      </w:pPr>
      <w:r>
        <w:rPr>
          <w:rFonts w:ascii="Amiri" w:hAnsi="Amiri" w:eastAsia="Amiri" w:cs="Amiri"/>
          <w:color w:val="111111"/>
          <w:sz w:val="28"/>
          <w:sz w:val="28"/>
          <w:szCs w:val="28"/>
          <w:rtl w:val="true"/>
          <w:lang w:bidi="ar-SA"/>
        </w:rPr>
        <w:t>وإمكانه في كافّة العصور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الشوكاني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بكون الإجتهاد فرضا يستلزم عدم خلوالزمان من مجتهد، ويدلّ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صحّ عنه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تزال طائفة من أمّتي على الحقّ ظاهرين حتى تقوم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الحنابلة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خلوالعصر من المجتهد، وبه جزم الأستاذ أبوإسحاق والزبيری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الزبيري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تخلوالأرض من قائمٍ لله بالحجّة في كلّ وقتٍ ودهرٍ وزمان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دقيق العيد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لا تخلومن قائمٍ لله بالحجّة، لأنّ الشريعة لا بدّ لها من سالكٍ إلى الحقّ على واضح الحجّة، إلى أن يأتى أمر الله في أشراط الساعة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بخيت المطيعى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الأدلّة الدالّة على وجوب التمسّك بالكتاب والسنّة والإجماع والقياس عامّة موجبة لاتفيده من الحكم من غير تخصيص شخصٍدون شخص، وعصرٍ دون 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انقراض عصر الإجتهاد وانقضاء أهله دعوى لا دليل عليها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الشوكاني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ولولم يحدث من مفاسد التقليد إلاّ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انسداد باب الإجتهاد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فيها كفاية ونهاية، فإنّها حادثة وقعت في الشريعة بأسرها، استلزمت نسخ كلام الله ورسوله وتقديم غيرهما واستبدال غيرهما بهما</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قال ابن القيّم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خلوعصرٍ من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هوالمراد من 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الله يبعث لهذه الأمّة على رأس كلّ مائة سنةٍ من يجدّد لها أمر دينها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الذين قال فيهم الإمام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لن تخلوالأرض من قائمٍ لله بحجّته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غير ذلك من أقوال العلماء القائلين بإمكان الإجتهاد، وعدم خلوأىّ عصرٍ من مجتهد، كالزركشي، والعز بن عبدالسلام، ومحمد بن إبراهيم الوزير، وولىّ الله الدهلوى، والسيوطى وابن جماعة</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ومن مجموع كلمات القائلين بإمكان الإجتهاد في جميع العصور يمكن استفادة الأدلّة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الإستقراء لأحوال العلماء في كلّ عصر يدلّنا على عدم خلوأيّ عصرٍ من المجتهدين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القول بانعدام المجتهد يترتّب عليه ضلال وفساد كبير، لا سيّما أنّ الناس سينحرفون عن سنن الحقّ، وسيعجز الفقه عن مواكبة تطوّر الحياة ومشكلاتها، وتجدّدالمسائل والقضايا المختلفة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الإجتهاد فرض كفاية في كلّ عصر، والقول بانعدامه في القرون المتأخّرة يجعل الأمّة غارقةً في هذه القرون في الإثم والمعصية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القول بانعدام الإجتهاد باطل شرعا، لتواتر الأخبار الدالّة على عدم خلوالزمان من المجتهد</w:t>
      </w:r>
      <w:r>
        <w:rPr>
          <w:rFonts w:eastAsia="Amiri" w:cs="Amiri" w:ascii="Amiri" w:hAnsi="Amiri"/>
          <w:color w:val="111111"/>
          <w:sz w:val="28"/>
          <w:szCs w:val="28"/>
          <w:rtl w:val="true"/>
          <w:lang w:bidi="ar-SA"/>
        </w:rPr>
        <w:t>.</w:t>
      </w:r>
      <w:r>
        <w:rPr>
          <w:rStyle w:val="FootnoteAnchor"/>
          <w:rtl w:val="true"/>
        </w:rPr>
        <w:footnoteReference w:id="284"/>
      </w:r>
      <w:bookmarkStart w:id="574" w:name="pg8675_123228"/>
    </w:p>
    <w:p>
      <w:pPr>
        <w:pStyle w:val="Heading4"/>
        <w:numPr>
          <w:ilvl w:val="3"/>
          <w:numId w:val="1"/>
        </w:numPr>
        <w:rPr/>
      </w:pPr>
      <w:bookmarkStart w:id="575" w:name="__RefHeading___Toc2474176_653776707"/>
      <w:bookmarkStart w:id="576" w:name="_Toc212"/>
      <w:bookmarkEnd w:id="574"/>
      <w:bookmarkEnd w:id="575"/>
      <w:r>
        <w:rPr>
          <w:rtl w:val="true"/>
        </w:rPr>
        <w:t>الأمر السادس</w:t>
      </w:r>
      <w:r>
        <w:rPr>
          <w:rtl w:val="true"/>
        </w:rPr>
        <w:t xml:space="preserve">: </w:t>
      </w:r>
      <w:r>
        <w:rPr>
          <w:rtl w:val="true"/>
        </w:rPr>
        <w:t>نقد أدلّة كلٍّ من الموافقين والمخالفين لانسداد من الإجتهاد</w:t>
      </w:r>
      <w:r>
        <w:rPr>
          <w:rtl w:val="true"/>
        </w:rPr>
        <w:t>:</w:t>
      </w:r>
      <w:bookmarkEnd w:id="576"/>
    </w:p>
    <w:p>
      <w:pPr>
        <w:pStyle w:val="Heading5"/>
        <w:numPr>
          <w:ilvl w:val="4"/>
          <w:numId w:val="1"/>
        </w:numPr>
        <w:rPr/>
      </w:pPr>
      <w:bookmarkStart w:id="577" w:name="__RefHeading___Toc2474178_653776707"/>
      <w:bookmarkStart w:id="578" w:name="_Toc213"/>
      <w:bookmarkEnd w:id="577"/>
      <w:r>
        <w:rPr>
          <w:rtl w:val="true"/>
        </w:rPr>
        <w:t>أ</w:t>
      </w:r>
      <w:r>
        <w:rPr>
          <w:rtl w:val="true"/>
        </w:rPr>
        <w:t xml:space="preserve">) </w:t>
      </w:r>
      <w:r>
        <w:rPr>
          <w:rtl w:val="true"/>
        </w:rPr>
        <w:t>نقد أدلّة القائلين بانسداد باب الإجتهاد</w:t>
      </w:r>
      <w:r>
        <w:rPr>
          <w:rtl w:val="true"/>
        </w:rPr>
        <w:t>:</w:t>
      </w:r>
      <w:bookmarkEnd w:id="578"/>
    </w:p>
    <w:p>
      <w:pPr>
        <w:pStyle w:val="BookText"/>
        <w:rPr/>
      </w:pPr>
      <w:r>
        <w:rPr>
          <w:rFonts w:ascii="Amiri" w:hAnsi="Amiri" w:eastAsia="Amiri" w:cs="Amiri"/>
          <w:color w:val="111111"/>
          <w:sz w:val="28"/>
          <w:sz w:val="28"/>
          <w:szCs w:val="28"/>
          <w:rtl w:val="true"/>
          <w:lang w:bidi="ar-SA"/>
        </w:rPr>
        <w:t>أهمّ دليل يتمسّك به القائلون بالانسداد هوالإجماع على عدم جواز الخروج عن المذاهب الأربعة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الخدشة في هذا الإجماع المدّعى من جهتین صغرىً وكبرى</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كيف يُمكن لأحدٍ أن يزعم إجماع الأمّة كافّةً على انسداد باب الإجتهاد، بینما ینکر ذلك كثيرون من علماء أهل السنّة؟ حیث ذهبوا كما عرفنا من الاقوال السابقة إلى القول بلزوم أن لا يخلوأىّ عصرٍ من العصور من وجود المجتهد الّذي ترجع إليه عامّة الناس بالتقليد، ثمّ كيف يمكن لدعوى الإجماع هذه أن تستقيم والحال أنّ كثيرا من المذاهب الأخرى، كالإماميّة والزيديّة والإسماعيليّة والأباضيّة وغيرهم، يخالفون ذلک ويرون جواز الإجتهاد وإمكانه في كلّ عصرٍ؟وأمّا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هذا الإجماع ليس بحجّة، حتى ولوسُلِّم تحقّقه وكونه محصَّلاً، لأنّه إجماع منعقد على مستوى الباحثين والمحقّقين، ومعلوم أنّ الإجماع الحجّة إنّما هوالإجماع الّذي ينعقد لدى المجتهدين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لإجماع المحقّقين قيمة بين الأدلّة الشرعيّة، فهى محصورة في كتاب الله وسنّة رسوله وإجماع المجتهدين والقياس على المنصوص، ولم يعدّ أحد اجماع المحققین من الأدلّة </w:t>
      </w:r>
    </w:p>
    <w:p>
      <w:pPr>
        <w:pStyle w:val="BookText"/>
        <w:rPr/>
      </w:pPr>
      <w:r>
        <w:rPr>
          <w:rFonts w:ascii="Amiri" w:hAnsi="Amiri" w:eastAsia="Amiri" w:cs="Amiri"/>
          <w:color w:val="111111"/>
          <w:sz w:val="28"/>
          <w:sz w:val="28"/>
          <w:szCs w:val="28"/>
          <w:rtl w:val="true"/>
          <w:lang w:bidi="ar-SA"/>
        </w:rPr>
        <w:t>الشرعيّة</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وأمّا الأدلّة الأربعة الأُخرى التي سيقت لإثبات الانسداد، فليس فیها ما یستحق الرد، إذ لا يمكن لأحدٍ أن يدّعى أنّ الإجتهاد قد بلغ حدّه النهائىّ في عصر المذاهب الأربعة، وأنّه لم يعد بالإمكان منذ ذلك الحين الوصول إلى نظريّاتٍ جديدة وأصولٍ أكثر حداثةً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الادّعاء يكذّبه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عصر المذاهب الأربعة هوبنفسه شهد بروز مذاهب ونظريّاتٍ أُخرى تنتمى إلى نفس مدرسة فقه العامّة، ولم يكن هناك من دليلٍ واحدٍ على تحريم اتّباع هذه المذاهب الأُخرى وتقليدها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الكلام لا يعدو أن يكون من التحجّر والجمود على أقوال الأقدمين، وإلاّ فكما أنّ البشريّة اکتسبت رشدا وكمالاً وتطوّرا ونموّا في كافّة العصور، وعلى مختلف الجوانب، فهى كذلك قادرة على النمو والتطوّر في مجال الإجتهاد الفقهىّ، لأنّ تطوّر العلم ونموالفكر البشرىّ يوفران أرضيّة صالحةً للوصول إلى إدراكٍ أفضلللكتاب والسنّة، وهذا ما يدفع نحوقراءةٍ أكثر عمقا ومتانةً لمنابع الإسلام ومصادره الأصيلة، من الكتاب والسنّة، ومع تكرّر هذه المحاولات الجادّة لإعادة النظر في هذه المصادر يمكن البلوغ إلى درجاتٍ أعلى من الإبداع في هذا المجال، إذ ما أكثر الدرر والكنوز القيّمة التي يحویها الكتاب الكريم والسنّة المباركة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لا یزال المسلمون يعيشون العجز عن استخراجها وإماطة اللثام عنها، لا سيّما وأنّ الدين الإسلامىّ </w:t>
      </w:r>
      <w:bookmarkStart w:id="579" w:name="pg8675_123235"/>
    </w:p>
    <w:p>
      <w:pPr>
        <w:pStyle w:val="BookText"/>
        <w:rPr/>
      </w:pPr>
      <w:bookmarkEnd w:id="579"/>
      <w:r>
        <w:rPr>
          <w:rFonts w:ascii="Amiri" w:hAnsi="Amiri" w:eastAsia="Amiri" w:cs="Amiri"/>
          <w:color w:val="111111"/>
          <w:sz w:val="28"/>
          <w:sz w:val="28"/>
          <w:szCs w:val="28"/>
          <w:rtl w:val="true"/>
          <w:lang w:bidi="ar-SA"/>
        </w:rPr>
        <w:t>هوخاتم الأديان، وأنّ انفتاح باب الإجتهاد شرط لازم للخاتميّة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كثيرة هی المسائل المستحدثة التي ظهرت حديثا، ولم يكن لها في القرون السابقة عين ولا أثر، ولا نزال في عصرنا الحاضر نقف على مسائل من هذا القبيل بحاجةٍ إلى جواب، حیث لا نجد لها جوابا في كلام المتقدّمين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فلوقلنا بانسداد باب الإجتهاد، فكيف يمكن لنا أن نجيب عن هذه المسائل المستحدثة؟ وكيف سيتسنّى لنا أن نلبّى الحاجات الفقهيّة التي قد تستجدّ؟ وإذا كنّا مقلّدين فقط، فكيف ستكون لنا القدرة على تقدیم جواب صحيح لها، ينسجم مع الموازين الفقهيّة، وهى قدرة لا ينالها إلاّ من یبلغ رتبة الإجتهاد؟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لزمانٍ أن يخلومن مجتهدٍ يتمكّن بقدرته العلميّة وبعمقه الفكرىّ من الرجوع إلى الكتاب والسنّة، ليرفع الحاجات الفقهيّة التي تستجدّ في عصره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نفهم السرّ فيما رأيناه ونراه من ذهاب عددٍ كبيرٍ من الفقهاء، حتى من فقهاء أهل العامّة أنفسهم إلى إنكار انسداد باب الإجتهاد، وإلى إثبات مقام الإجتهاد لأنفسهم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بين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الزمخشرى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ومحيى‌الدين محمد بن على بن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تيمية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والشيخ محمد عبده ویذکراسمه الصریح</w:t>
      </w:r>
      <w:r>
        <w:rPr>
          <w:rFonts w:eastAsia="IRNazanin" w:cs="IRNazanin"/>
          <w:color w:val="111111"/>
          <w:sz w:val="28"/>
          <w:szCs w:val="28"/>
          <w:rtl w:val="true"/>
          <w:lang w:bidi="fa-IR"/>
        </w:rPr>
        <w:t>.</w:t>
      </w:r>
      <w:r>
        <w:rPr>
          <w:rStyle w:val="FootnoteAnchor"/>
          <w:rtl w:val="true"/>
        </w:rPr>
        <w:footnoteReference w:id="286"/>
      </w:r>
    </w:p>
    <w:p>
      <w:pPr>
        <w:pStyle w:val="Heading5"/>
        <w:numPr>
          <w:ilvl w:val="4"/>
          <w:numId w:val="1"/>
        </w:numPr>
        <w:rPr/>
      </w:pPr>
      <w:bookmarkStart w:id="580" w:name="__RefHeading___Toc2474180_653776707"/>
      <w:bookmarkStart w:id="581" w:name="_Toc214"/>
      <w:bookmarkEnd w:id="580"/>
      <w:r>
        <w:rPr>
          <w:rtl w:val="true"/>
        </w:rPr>
        <w:t>ب</w:t>
      </w:r>
      <w:r>
        <w:rPr>
          <w:rtl w:val="true"/>
        </w:rPr>
        <w:t xml:space="preserve">) </w:t>
      </w:r>
      <w:r>
        <w:rPr>
          <w:rtl w:val="true"/>
        </w:rPr>
        <w:t>نقد أدلّة المنكرين لانسداد الإجتهاد</w:t>
      </w:r>
      <w:r>
        <w:rPr>
          <w:rtl w:val="true"/>
        </w:rPr>
        <w:t>:</w:t>
      </w:r>
      <w:bookmarkEnd w:id="581"/>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ريب في أنّ بعض الأدلّة التي ساقها أصحاب نظريّة الانفتاح صحيحة ومقبولة </w:t>
      </w:r>
    </w:p>
    <w:p>
      <w:pPr>
        <w:pStyle w:val="BookText"/>
        <w:rPr/>
      </w:pPr>
      <w:r>
        <w:rPr>
          <w:rFonts w:ascii="Amiri" w:hAnsi="Amiri" w:eastAsia="Amiri" w:cs="Amiri"/>
          <w:color w:val="111111"/>
          <w:sz w:val="28"/>
          <w:sz w:val="28"/>
          <w:szCs w:val="28"/>
          <w:rtl w:val="true"/>
          <w:lang w:bidi="ar-SA"/>
        </w:rPr>
        <w:t>ومطابقة للواقع، مثل ما قالوه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امتناع أن يخلوعصر من العصور من مجتهد، وأنّ سدّ باب الإجتهاد قد أدّى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أضرارٍ جسيمة على العالَم الإسلامىّ، وأنّ الإجتهاد فرض كفايةٍ في كافّة العصور والأزمان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بين هذه الأدلّة التي ساقوها والكلمات التي ذكروها ما لا يمكن القبول به والموافقة عليه، وذلك كاستنادهم إلى بعض الأحاديث التي لا تنهض لكي تكون دليلاً صالحا لإثبات صحّة القول بانفتاح باب الإجتهاد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وذلك كاستدلالهم بالرواية التي تثبت لزوم وجود مجدّدٍ على رأس كل مائة سنة، فإنّ هذه الرواية لا تنفع بوجه من الوجوه لإثبات ما يرمی الیه مدّعوالانفتاح من امتناع خلوأيّ زمان من الأزمنة من المجتهد، من دون تحديدٍ الزمن بمائة عام، بل حتى وإن كان أقلّ من ذلك، ودون حصر للمجتهد في فردٍ واحد، بل حتى ولوكان أكثر من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يُضاف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الاستدلال قائم على دعوى التلازم بين الإجتهاد وبين التجديد، وهى دعوى قابلة للتأمّل والإشكال، إذ ما المانع من حصول التجديد في الإسلام على يد شخصٍ لم يبلغ رتبة الإجتهاد؟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القبيل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بعض المفكّرين من أهل العامّة لنظريّة الانفتاح بالمرويّ عن عليٍّ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تخلوالأرض من قائمٍ لله بحجّته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معأنّ هذه الرواية عندما نرجع إلى تتمّتها المذكورة في نهج البلاغة، نجد أنّها تتحدّث عن مجموعةٍ من الأوصاف والمزايا، تفترق كثيرا عن تلك الأوصاف التي اعتدنا رؤيتها لدى المجتهدين</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ففيما نقله الشريف الرضيّ تبدأ هذه الرواية كما يلي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كميل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بيدى أمير المؤمنين علىّ بن أبى‌طالب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فأخرجنى إلى الجبّان،</w:t>
      </w:r>
      <w:r>
        <w:rPr>
          <w:rStyle w:val="FootnoteAnchor"/>
          <w:rtl w:val="true"/>
        </w:rPr>
        <w:footnoteReference w:id="287"/>
      </w:r>
      <w:r>
        <w:rPr>
          <w:rFonts w:ascii="IRNazanin" w:hAnsi="IRNazanin" w:eastAsia="IRNazanin"/>
          <w:color w:val="111111"/>
          <w:sz w:val="28"/>
          <w:sz w:val="28"/>
          <w:szCs w:val="28"/>
          <w:rtl w:val="true"/>
          <w:lang w:bidi="fa-IR"/>
        </w:rPr>
        <w:t>فلمّا أصحر تنفّس الصعداء،</w:t>
      </w:r>
      <w:r>
        <w:rPr>
          <w:rStyle w:val="FootnoteAnchor"/>
          <w:rtl w:val="true"/>
        </w:rPr>
        <w:footnoteReference w:id="288"/>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كميل، إنّ هذه القلوب أوعية، فخيرها أوعاها، فاحفظ عنّي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فعالِمٌ ربّانيّ، ومتعلّم على سبيل نجاة، وهَمَج رَعاع</w:t>
      </w:r>
      <w:r>
        <w:rPr>
          <w:rFonts w:eastAsia="Amiri" w:cs="Amiri" w:ascii="Amiri" w:hAnsi="Amiri"/>
          <w:color w:val="111111"/>
          <w:sz w:val="28"/>
          <w:szCs w:val="28"/>
          <w:rtl w:val="true"/>
          <w:lang w:bidi="ar-SA"/>
        </w:rPr>
        <w:t>».</w:t>
      </w:r>
      <w:r>
        <w:rPr>
          <w:rStyle w:val="FootnoteAnchor"/>
          <w:rtl w:val="true"/>
        </w:rPr>
        <w:footnoteReference w:id="289"/>
      </w:r>
      <w:r>
        <w:rPr>
          <w:rFonts w:ascii="IRNazanin" w:hAnsi="IRNazanin" w:eastAsia="IRNazanin"/>
          <w:color w:val="111111"/>
          <w:sz w:val="28"/>
          <w:sz w:val="28"/>
          <w:szCs w:val="28"/>
          <w:rtl w:val="true"/>
          <w:lang w:bidi="fa-IR"/>
        </w:rPr>
        <w:t xml:space="preserve">ثمّ أكمل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حديثه عن مكانة العلم وأهمّيّته، مشيرا إلى ما بينه وبين المال من التفاوت والامتياز، إلى أن قال</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بلى، لا تخلوالأرض من قائمٍ لله بحجّة، إمّا ظاهرا مشهورا، أوخائفا مغمورا، لئلاّ تبطل حجج الله وبيّناته، وكم ذا؟ وأين أُولئك؟ أولئك والله الأقلّون عددا، والأعظمون قدرا، يحفظ الله بهم حججه وبيّناته حتى يُودعوها نظراءهم، ويزرعوها في قلوب أشباههم، هجم بهم العلم على حقيقة البصيرة، وباشروا روح اليقين، واستلانوا</w:t>
      </w:r>
      <w:r>
        <w:rPr>
          <w:rStyle w:val="FootnoteAnchor"/>
          <w:rtl w:val="true"/>
        </w:rPr>
        <w:footnoteReference w:id="290"/>
      </w:r>
      <w:r>
        <w:rPr>
          <w:rFonts w:ascii="IRNazanin" w:hAnsi="IRNazanin" w:eastAsia="IRNazanin"/>
          <w:color w:val="111111"/>
          <w:sz w:val="28"/>
          <w:sz w:val="28"/>
          <w:szCs w:val="28"/>
          <w:rtl w:val="true"/>
          <w:lang w:bidi="fa-IR"/>
        </w:rPr>
        <w:t>ما استوعره</w:t>
      </w:r>
      <w:r>
        <w:rPr>
          <w:rStyle w:val="FootnoteAnchor"/>
          <w:rtl w:val="true"/>
        </w:rPr>
        <w:footnoteReference w:id="291"/>
      </w:r>
      <w:r>
        <w:rPr>
          <w:rFonts w:ascii="IRNazanin" w:hAnsi="IRNazanin" w:eastAsia="IRNazanin"/>
          <w:color w:val="111111"/>
          <w:sz w:val="28"/>
          <w:sz w:val="28"/>
          <w:szCs w:val="28"/>
          <w:rtl w:val="true"/>
          <w:lang w:bidi="fa-IR"/>
        </w:rPr>
        <w:t>المترفون،</w:t>
      </w:r>
      <w:r>
        <w:rPr>
          <w:rStyle w:val="FootnoteAnchor"/>
          <w:rtl w:val="true"/>
        </w:rPr>
        <w:footnoteReference w:id="292"/>
      </w:r>
      <w:r>
        <w:rPr>
          <w:rFonts w:ascii="Amiri" w:hAnsi="Amiri" w:eastAsia="Amiri" w:cs="Amiri"/>
          <w:color w:val="111111"/>
          <w:sz w:val="28"/>
          <w:sz w:val="28"/>
          <w:szCs w:val="28"/>
          <w:rtl w:val="true"/>
          <w:lang w:bidi="ar-SA"/>
        </w:rPr>
        <w:t>وأنسوا بما استوحش به الجاهلون، وصحبوا الدنيابأبدانٍ أرواحها معلّقة بالمحلّ الأعلى، أولئك خلفاء الله في أرضه، والدعاة إلى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شوقا إلى رؤيتهم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إذا شئتَ</w:t>
      </w:r>
      <w:r>
        <w:rPr>
          <w:rFonts w:eastAsia="Amiri" w:cs="Amiri" w:ascii="Amiri" w:hAnsi="Amiri"/>
          <w:color w:val="111111"/>
          <w:sz w:val="28"/>
          <w:szCs w:val="28"/>
          <w:rtl w:val="true"/>
          <w:lang w:bidi="ar-SA"/>
        </w:rPr>
        <w:t>».</w:t>
      </w:r>
      <w:r>
        <w:rPr>
          <w:rStyle w:val="FootnoteAnchor"/>
          <w:rtl w:val="true"/>
        </w:rPr>
        <w:footnoteReference w:id="293"/>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فنلاحظ هنا أنّ الصفات التي تتضمّنها هذه الرواية هي على قدرٍ عالٍ، وعلى درجةٍ رفيعةٍ من الأصالة، بحيث يبدوأنّ من الصعب تطبيقها على المجتهدين العاديّين، فإنّ الإجتهاد، وإن كان في حدّ نفسه أمرا في غاية الأهمّيّة، وذا درجةٍ عاليةٍ ورفيعة، إلاّ أنّ الّذي يظهر من هذه الرواية أنّها تشير إلى مراتب أكثر عظمةً، وإلى درجاتٍ أكثر ارتفاعا من تلك التي يمكن للمجتهد العادىّ أن يبلغها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582" w:name="pg8675_123247"/>
    </w:p>
    <w:p>
      <w:pPr>
        <w:pStyle w:val="Heading3"/>
        <w:numPr>
          <w:ilvl w:val="2"/>
          <w:numId w:val="1"/>
        </w:numPr>
        <w:rPr/>
      </w:pPr>
      <w:bookmarkStart w:id="583" w:name="__RefHeading___Toc2474182_653776707"/>
      <w:bookmarkStart w:id="584" w:name="_Toc215"/>
      <w:bookmarkEnd w:id="582"/>
      <w:bookmarkEnd w:id="583"/>
      <w:r>
        <w:rPr>
          <w:rtl w:val="true"/>
        </w:rPr>
        <w:t>الفصل العاشر تبعات انسداد باب الإجتهاد حتى العصر الحاضر</w:t>
      </w:r>
      <w:bookmarkEnd w:id="584"/>
    </w:p>
    <w:p>
      <w:pPr>
        <w:pStyle w:val="Heading4"/>
        <w:numPr>
          <w:ilvl w:val="3"/>
          <w:numId w:val="1"/>
        </w:numPr>
        <w:rPr/>
      </w:pPr>
      <w:bookmarkStart w:id="585" w:name="__RefHeading___Toc2474184_653776707"/>
      <w:bookmarkStart w:id="586" w:name="_Toc216"/>
      <w:bookmarkEnd w:id="585"/>
      <w:r>
        <w:rPr>
          <w:rtl w:val="true"/>
        </w:rPr>
        <w:t>الأمر الأول</w:t>
      </w:r>
      <w:r>
        <w:rPr>
          <w:rtl w:val="true"/>
        </w:rPr>
        <w:t xml:space="preserve">: </w:t>
      </w:r>
      <w:r>
        <w:rPr>
          <w:rtl w:val="true"/>
        </w:rPr>
        <w:t>الأثار السيّئة للانسداد</w:t>
      </w:r>
      <w:r>
        <w:rPr>
          <w:rtl w:val="true"/>
        </w:rPr>
        <w:t>:</w:t>
      </w:r>
      <w:bookmarkEnd w:id="586"/>
    </w:p>
    <w:p>
      <w:pPr>
        <w:pStyle w:val="BookText"/>
        <w:rPr/>
      </w:pPr>
      <w:r>
        <w:rPr>
          <w:rFonts w:ascii="Amiri" w:hAnsi="Amiri" w:eastAsia="Amiri" w:cs="Amiri"/>
          <w:color w:val="111111"/>
          <w:sz w:val="28"/>
          <w:sz w:val="28"/>
          <w:szCs w:val="28"/>
          <w:rtl w:val="true"/>
          <w:lang w:bidi="ar-SA"/>
        </w:rPr>
        <w:t>لا أظنّ وجود حاجةً تدعونا إلى مزيد بحثٍ في العواقب الوخيمة والتبعات السيّئة التي أدّى إليها سدّ باب الإجتهاد في أوساط مذاهب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الواضح أنّ أمّةً تفرض على نفسها تقليد الأسلاف، وتعتبره واجبا، وتحرّم الحياد والابتعاد عنه، بدلاً من التتبّع والتدبّر في الكتاب والسنّة نراها تحصر نفسها في الإطار الضيّق لأقوال أسلافها من المجتهدين، هي أمّة تفتح على نفسها وابلاً من الآثار السيّئة والمخاطر التي لا يمكن جبرانها ولا تجنّب ما تجلبه من مفاسد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الإطار يقول الشيخ سيّد سابق</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وبالتقليد والتعصّب للمذاهب فقدت الأمّة الهداية بالكتاب والسنّة، وحدث القول بانسداد باب الإجتهاد، وصارت الشريعة هي أقوال الفقهاء، وأقوال الفقهاء هي الشريعة، واعتُبر كلّ من يخرج عن أقوال الفقهاء مبتدعا لا يُوثق بأقواله، ولا يعتدّ بفتاواه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ممّا ساعد على انتشار هذه الروح الرجعيّة ما قام به الحكّام والأغنياء من إنشاء المدارس، وقصر التدريس فيها على مذهبٍ أومذاهب معيّنة، فكان ذلك من </w:t>
      </w:r>
    </w:p>
    <w:p>
      <w:pPr>
        <w:pStyle w:val="BookText"/>
        <w:rPr/>
      </w:pPr>
      <w:r>
        <w:rPr>
          <w:rFonts w:ascii="Amiri" w:hAnsi="Amiri" w:eastAsia="Amiri" w:cs="Amiri"/>
          <w:color w:val="111111"/>
          <w:sz w:val="28"/>
          <w:sz w:val="28"/>
          <w:szCs w:val="28"/>
          <w:rtl w:val="true"/>
          <w:lang w:bidi="ar-SA"/>
        </w:rPr>
        <w:t>أسباب الإقبال على تلك المذاهب، والانصراف عن الإجتهاد، محافظةً على الأرزاقالتي رُتّبت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 أبوزرعة شيخه البلقيني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تقصير الشيخ تقي‌الدین السبكي عن الإجتهاد وقد استكمل آلته؟ فسكت البلقينى، فقال أبوزرعة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عندي أنّ الامتناع عن ذلك إلاّ للوظائف التي قدّرت للفقهاء على المذاهب الأربعة، وأنّ من خرج عن ذلك لم ينله شيءٌ من ذلك، وحُرِم ولاية القضاء، وامتنع الناس عن إفتائه، ونُسبت إليه البدعة، فابتسم البلقيني ووافقه على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وبالعكوف على التقليد، وفقد الهداية بالكتاب والسنّة، والقول بانسداد باب الإجتهاد، وقعت الأمّة في شرٍّ وبلاء، ودخلت في جُحر الضبّ الّذي حذّرها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من آثار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اختلفت الأمّة شيعا وأحزابا، حتى إنّهم اختلفوا في حكم تزوّج الحنفيّة بالشافعيّ،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لأنّها تشكّ في إيمانها،</w:t>
      </w:r>
      <w:r>
        <w:rPr>
          <w:rStyle w:val="FootnoteAnchor"/>
          <w:rtl w:val="true"/>
        </w:rPr>
        <w:footnoteReference w:id="294"/>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قياسا على الذمّيّة</w:t>
      </w:r>
      <w:r>
        <w:rPr>
          <w:rFonts w:eastAsia="Amiri" w:cs="Amiri" w:ascii="Amiri" w:hAnsi="Amiri"/>
          <w:color w:val="111111"/>
          <w:sz w:val="28"/>
          <w:szCs w:val="28"/>
          <w:rtl w:val="true"/>
          <w:lang w:bidi="ar-SA"/>
        </w:rPr>
        <w:t>.</w:t>
      </w:r>
      <w:r>
        <w:rPr>
          <w:rStyle w:val="FootnoteAnchor"/>
          <w:rtl w:val="true"/>
        </w:rPr>
        <w:footnoteReference w:id="295"/>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كان من آثار ذلك انتشار البدع، واختفاء معالم السنن، وخمود الحركة العقليّة، ووقف النشاط الفكرىّ، وضياع الاستقلال العلميّ، الأمر الّذي أدّى إلى ضعف </w:t>
      </w:r>
    </w:p>
    <w:p>
      <w:pPr>
        <w:pStyle w:val="BookText"/>
        <w:rPr/>
      </w:pPr>
      <w:r>
        <w:rPr>
          <w:rFonts w:ascii="Amiri" w:hAnsi="Amiri" w:eastAsia="Amiri" w:cs="Amiri"/>
          <w:color w:val="111111"/>
          <w:sz w:val="28"/>
          <w:sz w:val="28"/>
          <w:szCs w:val="28"/>
          <w:rtl w:val="true"/>
          <w:lang w:bidi="ar-SA"/>
        </w:rPr>
        <w:t>شخصيّة الأمّة، وأفقدها الحياة المنتجة، وقعد بها عن السير والنهوض، ووجد الدخلاء بذلك ثغراتٍ ينفذون منها إلى صميم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سيّد سابق ما ملخّصه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وأخيرا انتهى الأمر بالتشريع الإسلامىّ، الّذي نظّم الله به حياة الناس جميعا، وجعله ضماناً لمعاشهم ومعادهم، إلى دركةٍ لم يسبق لها مثيل، ونزل إلى هوّة سحيقة، وأصبح الاشتغال به مفسدةً للعقل والقلب، ومضيعةً للزمن، لا يفيد في دين الله ولا ينظم من حياة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التشريع عند هذا الحدّ، ووقف العلماء لا يستظهرون غير المتون، حتى وثبت أوروبا على الشرق تصفعه بيدها، وترك له برجلها، فكان أن تيقّظ على هذه الضربات، وتلفّت ذات اليمين وذات الشمال، فإذا هومتخلّف عن ركب الحياة الزاحف، وقاعد بينما القافلة تسير، وإذا هوأمام عالَمٍ جديد، كلّه الحياة والقوّة والإنتاج، فصاح الذين تنكّروا لتاريخهم وعقّوا آباءهم ونسوا دينهم وتقاليدهم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ها هي ذي أوروبا يا معشر الشرقيّين، فاسلكوا سبيلها، وقلّدوها في خيرها وشرّها، وإيمانها وكفرها، ووقف الجامدون موقفا سلبيّا، يُكثرون من الحوقلة والترجيع، ولزموا بيوتهم، فكان هذا برهانا آخر على أنّ شريعة الإسلام لدى المغرورين لا تجاري التطوّر ولا تمشي مع الزمن</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كانت النتيجة الحتميّة أن التشريع الأجنبيّ الدخيل أصبح يهيمن على الحياة الشرقيّة، مع منافاته لدينها وعاداتها وتقاليدها، وغزت المفاهیم الأوروبّيّة البيوت والشوارع والمنتديات والمدارس والمعاهد، وتتغلّب على كلّ ناحيةٍ من النواحى، حتى كاد الشرق ينسى دينه وتقاليده، ويقطع الصلاته بين حاضره وماضيه، إلاّ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لا تخلومن قائمٍ لله بحجّته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فهبّ دعاة الإصلاح يُهيبون بهؤلاء المخدوعين </w:t>
      </w:r>
      <w:bookmarkStart w:id="587" w:name="pg8675_123256"/>
    </w:p>
    <w:p>
      <w:pPr>
        <w:pStyle w:val="BookText"/>
        <w:rPr/>
      </w:pPr>
      <w:bookmarkEnd w:id="587"/>
      <w:r>
        <w:rPr>
          <w:rFonts w:ascii="Amiri" w:hAnsi="Amiri" w:eastAsia="Amiri" w:cs="Amiri"/>
          <w:color w:val="111111"/>
          <w:sz w:val="28"/>
          <w:sz w:val="28"/>
          <w:szCs w:val="28"/>
          <w:rtl w:val="true"/>
          <w:lang w:bidi="ar-SA"/>
        </w:rPr>
        <w:t>بالغربيّين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خذوا حذركم، وكفّوا عن دعايتكم، فإنّ ما عليه الغربيّون من فساد الأخلاق لابدّ وأن ينتهي بهم إلى العاقبة السوأي، ويصيحون بهؤلاء الجامدين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دونكمالنبع الصافي والهدى الكريم، لنبع الكتاب وهدى السنّة، خذوا منهما دينكم وبشّروا بهما غيركم</w:t>
      </w:r>
      <w:r>
        <w:rPr>
          <w:rFonts w:eastAsia="Amiri" w:cs="Amiri" w:ascii="Amiri" w:hAnsi="Amiri"/>
          <w:color w:val="111111"/>
          <w:sz w:val="28"/>
          <w:szCs w:val="28"/>
          <w:rtl w:val="true"/>
          <w:lang w:bidi="ar-SA"/>
        </w:rPr>
        <w:t>».</w:t>
      </w:r>
      <w:r>
        <w:rPr>
          <w:rStyle w:val="FootnoteAnchor"/>
          <w:rtl w:val="true"/>
        </w:rPr>
        <w:footnoteReference w:id="296"/>
      </w:r>
    </w:p>
    <w:p>
      <w:pPr>
        <w:pStyle w:val="Heading4"/>
        <w:numPr>
          <w:ilvl w:val="3"/>
          <w:numId w:val="1"/>
        </w:numPr>
        <w:rPr/>
      </w:pPr>
      <w:bookmarkStart w:id="588" w:name="__RefHeading___Toc2474186_653776707"/>
      <w:bookmarkStart w:id="589" w:name="_Toc217"/>
      <w:bookmarkEnd w:id="588"/>
      <w:r>
        <w:rPr>
          <w:rtl w:val="true"/>
        </w:rPr>
        <w:t>الأمر الثاني</w:t>
      </w:r>
      <w:r>
        <w:rPr>
          <w:rtl w:val="true"/>
        </w:rPr>
        <w:t xml:space="preserve">: </w:t>
      </w:r>
      <w:r>
        <w:rPr>
          <w:rtl w:val="true"/>
        </w:rPr>
        <w:t>إحياء حركة الإجتهاد في مذاهب العامّة</w:t>
      </w:r>
      <w:r>
        <w:rPr>
          <w:rtl w:val="true"/>
        </w:rPr>
        <w:t>:</w:t>
      </w:r>
      <w:bookmarkEnd w:id="589"/>
    </w:p>
    <w:p>
      <w:pPr>
        <w:pStyle w:val="BookText"/>
        <w:rPr/>
      </w:pPr>
      <w:r>
        <w:rPr>
          <w:rFonts w:ascii="IRNazanin" w:hAnsi="IRNazanin" w:eastAsia="IRNazanin"/>
          <w:color w:val="111111"/>
          <w:sz w:val="28"/>
          <w:sz w:val="28"/>
          <w:szCs w:val="28"/>
          <w:rtl w:val="true"/>
          <w:lang w:bidi="fa-IR"/>
        </w:rPr>
        <w:t>كما أسلفنا في المباحث السابقة، وأيّده جمع من مفكّري أهل السنّة، فإنّ للتقليد وانسداد باب الإجتهاد في مذاهب السنیة أصلاً سياسيّا، بل إنّ هذه الجذور السياسيّة هي الأصل الأساسيّ الّذي تقوم عليه هذه الفكرة عندهم، وأنّ مبدأ هذه الفكرة عندهم هوتلك الفترة من الزمن، حيث استلم أمثال أبي يوسف منصب القضاء، ولم يكن من الجائز لغير من يدين بنفس مذهبه أن يتسلّم مثل هذا المنصب</w:t>
      </w:r>
      <w:r>
        <w:rPr>
          <w:rFonts w:eastAsia="IRNazanin" w:cs="IRNazanin"/>
          <w:color w:val="111111"/>
          <w:sz w:val="28"/>
          <w:szCs w:val="28"/>
          <w:rtl w:val="true"/>
          <w:lang w:bidi="fa-IR"/>
        </w:rPr>
        <w:t>.</w:t>
      </w:r>
      <w:r>
        <w:rPr>
          <w:rStyle w:val="FootnoteAnchor"/>
          <w:rtl w:val="true"/>
        </w:rPr>
        <w:footnoteReference w:id="297"/>
      </w:r>
      <w:r>
        <w:rPr>
          <w:rFonts w:ascii="Amiri" w:hAnsi="Amiri" w:eastAsia="Amiri" w:cs="Amiri"/>
          <w:color w:val="111111"/>
          <w:sz w:val="28"/>
          <w:sz w:val="28"/>
          <w:szCs w:val="28"/>
          <w:rtl w:val="true"/>
          <w:lang w:bidi="ar-SA"/>
        </w:rPr>
        <w:t>ولذلك يقول ابن حزم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القول بلزوم التزام مذهبٍ معيّن، مبنيٌّ على المقتضيات السياسيّة والتطوّرات الزمنيّة والأغراض النفسانيّة، كما لا يخفى على العاقل الخبير بالتواريخ</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وبالنظر إلى لهذا الأمر، وكما نقلناه من 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يمكن لنا أن نلاحظ ملامح وشواهد تدلّ على سعيٍ نحوإعادة إحياء الإجتهاد عند العامّة في عصرناالحالىّ الّذي فرض العالَم الغربيّ سيطرته فيه على الكيان الإسلامىّ، واستهدف بحملاته المغرضة الثقافت والقیم المدنیّة والعقائد والأخلاق السائدة في المجتمعات الإسلاميّة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هذا الإطار يأتى ما اطلقه بعض المعاصرين علی هذا العصر بالنسبة إلى الإجتهاد تلک المذاهب من تسميته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النهضة الحديثة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لكلّ شيءٍ نهايةً، وهكذا، بعد فترة طويلة عاش فيها الفقه بين التقليد والجمود بدأ يعود له ازدهاره وقوّته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ويرجع هذا الازدهارالی ضيق الناس الشديد من التقليد واختلافات العادات، وتبدّل ظروف الحياة، ممّا جعل المفكّرين والعلماء يتّجهون صوب الغرب، يقتسمون تشريعه، ويطبّقونه في بلاد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جمود العلماء ومعاهد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الإسلامىّ هي المسؤولة عن ذلك</w:t>
      </w:r>
      <w:r>
        <w:rPr>
          <w:rFonts w:eastAsia="IRNazanin" w:cs="IRNazanin"/>
          <w:color w:val="111111"/>
          <w:sz w:val="28"/>
          <w:szCs w:val="28"/>
          <w:rtl w:val="true"/>
          <w:lang w:bidi="fa-IR"/>
        </w:rPr>
        <w:t>».</w:t>
      </w:r>
      <w:r>
        <w:rPr>
          <w:rStyle w:val="FootnoteAnchor"/>
          <w:rtl w:val="true"/>
        </w:rPr>
        <w:footnoteReference w:id="299"/>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وبالرغم من أنّ هذه الحركة لم تعجب عددا من مفكّري الوسط السنّيّ، الذين رأوا أنّ هذه المرحلة ما هي إلاّ امتداد لمرحلة التقليد المحض، إلاّ أنّ هناك رأيا آخر مقابلا هذا الرأي، ويتبنّاه عدد كبير من المفكّرين الّذين يرون أنّ مرحلةً من اليقظة والنهضة الفقهيّة قد أخذت بالظهور في الوسط الفقهىّ السنّىّ، ويستشهدون علی ذلك بظهور عددٍ من المؤلّفات الجديدة والموسوعات الكبيرة ودوائر المعارف الفقهيّة </w:t>
      </w:r>
      <w:bookmarkStart w:id="590" w:name="pg8675_123262"/>
    </w:p>
    <w:p>
      <w:pPr>
        <w:pStyle w:val="BookText"/>
        <w:rPr/>
      </w:pPr>
      <w:bookmarkEnd w:id="590"/>
      <w:r>
        <w:rPr>
          <w:rFonts w:ascii="Amiri" w:hAnsi="Amiri" w:eastAsia="Amiri" w:cs="Amiri"/>
          <w:color w:val="111111"/>
          <w:sz w:val="28"/>
          <w:sz w:val="28"/>
          <w:szCs w:val="28"/>
          <w:rtl w:val="true"/>
          <w:lang w:bidi="ar-SA"/>
        </w:rPr>
        <w:t>التي تهدف إلى تنظيم القوانين المدنيّة على أساس الفقه الإسلامىّ، وبغير ذلك من الشواهد التي تثبت هذه الفكرة، كاللّجان التي تشكّلت في مصر، والتي تسعى إلى سنّ القوانين المدنيّة الحديثة في المجالات المختلفة على ضوء الفقه الإسلامىّ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أبرز المنظّرين لهذه الحركة والرافعين للوائها والعاملين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جمال‌الدين الأفغاني، والشيخ محمد عبده، ورشيد رضا، والشيخ شلتوت وأمثال هؤلاء الأعلام</w:t>
      </w:r>
      <w:r>
        <w:rPr>
          <w:rFonts w:eastAsia="Amiri" w:cs="Amiri" w:ascii="Amiri" w:hAnsi="Amiri"/>
          <w:color w:val="111111"/>
          <w:sz w:val="28"/>
          <w:szCs w:val="28"/>
          <w:rtl w:val="true"/>
          <w:lang w:bidi="ar-SA"/>
        </w:rPr>
        <w:t>.</w:t>
      </w:r>
      <w:r>
        <w:rPr>
          <w:rStyle w:val="FootnoteAnchor"/>
          <w:rtl w:val="true"/>
        </w:rPr>
        <w:footnoteReference w:id="300"/>
      </w:r>
    </w:p>
    <w:p>
      <w:pPr>
        <w:pStyle w:val="Heading4"/>
        <w:numPr>
          <w:ilvl w:val="3"/>
          <w:numId w:val="1"/>
        </w:numPr>
        <w:rPr/>
      </w:pPr>
      <w:bookmarkStart w:id="591" w:name="__RefHeading___Toc2474188_653776707"/>
      <w:bookmarkStart w:id="592" w:name="_Toc218"/>
      <w:bookmarkEnd w:id="591"/>
      <w:r>
        <w:rPr>
          <w:rtl w:val="true"/>
        </w:rPr>
        <w:t>الأمر الثالث</w:t>
      </w:r>
      <w:r>
        <w:rPr>
          <w:rtl w:val="true"/>
        </w:rPr>
        <w:t xml:space="preserve">: </w:t>
      </w:r>
      <w:r>
        <w:rPr>
          <w:rtl w:val="true"/>
        </w:rPr>
        <w:t>نظرة جديدة إلى إحياء حركة الإجتهاد في مذاهب أهل العامّة</w:t>
      </w:r>
      <w:r>
        <w:rPr>
          <w:rtl w:val="true"/>
        </w:rPr>
        <w:t>:</w:t>
      </w:r>
      <w:bookmarkEnd w:id="592"/>
    </w:p>
    <w:p>
      <w:pPr>
        <w:pStyle w:val="BookText"/>
        <w:rPr/>
      </w:pPr>
      <w:r>
        <w:rPr>
          <w:rFonts w:ascii="Amiri" w:hAnsi="Amiri" w:eastAsia="Amiri" w:cs="Amiri"/>
          <w:color w:val="111111"/>
          <w:sz w:val="28"/>
          <w:sz w:val="28"/>
          <w:szCs w:val="28"/>
          <w:rtl w:val="true"/>
          <w:lang w:bidi="ar-SA"/>
        </w:rPr>
        <w:t>بالرغم من تفاؤلنا خيرا بهذه الحركة الجديدة لإحياء الإجتهاد في أوساط مذاهب أهل العامّة، إلاّ أنّنا نرى أنّ هذه الحركة الميمونة لا يمكن أن يُكتب لها النجاح والتوفيق، إلاّ بأخذ عددٍ من الأمور الأساسيّة والضروريّة التالية بعين الاعتبار</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تدوين الموسوعات الفقهيّة والعمل على تنظيم قوانين مبنیة على أسس الفقه الإسلاميّ، وإن كان أمرا ضروريّا ولازما، ويُعَدّ خطوةً إلى الأمام، إلاّ أنّه لوحده ليس كافيا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الأهمّ في المرحلة الراهنة إنّما هوالسعى إلى إيصال هذه القوانين إلى مرحلة الإجراء، وأن يسعی الفقهاء علی أن یعمل بها في الأنظمة السياسيّة فی البلدان التي يعيشون فيها، وأن ينصّوا على أنّ إقرارها والعمل بها هومن الوظائف اللاّزمة </w:t>
      </w:r>
    </w:p>
    <w:p>
      <w:pPr>
        <w:pStyle w:val="BookText"/>
        <w:rPr/>
      </w:pPr>
      <w:r>
        <w:rPr>
          <w:rFonts w:ascii="Amiri" w:hAnsi="Amiri" w:eastAsia="Amiri" w:cs="Amiri"/>
          <w:color w:val="111111"/>
          <w:sz w:val="28"/>
          <w:sz w:val="28"/>
          <w:szCs w:val="28"/>
          <w:rtl w:val="true"/>
          <w:lang w:bidi="ar-SA"/>
        </w:rPr>
        <w:t>الملقاة على عهدة هذه الأنظمة، إذليس من المقبول أن يكون الفقهاء في جانب، وحكّام العالم الإسلامىّ وسياسيّوه في جانبٍ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هوالسبب في عدم تقبّل بعض علماء أهل السنّة لهذه الحركة الجديدة الهادفة إلى إعادة إحياء حركة الإجتهاد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ولوأنّ الأحكام الإسلاميّة معمول بها في المحاكم ودور القضاء، لخلَّف لنا ذلك ثروةً فقهيّةً حديثةً تخرج بهم عن دائرة التقليد</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وفي السياق عينه وجّه مؤلّف وكتاب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التشريع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حكومات العالَم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دعوتهم نحوهذه الحركة التجديديّة بهذه الطريقة، فقالوا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نتوجّه بكلمةٍ للحكومات المختلفة في مصر والعالَم العربيّ، نطالبهم فيها تطبيق شرع الله، وإظهار هذه القوانين الإسلاميّة للناس، وجعلها عنوانا لمجالات الحياة وفروعها، إذ لا يُعقل أن تتقنّن هذه الأحكام، ثمّ تظلّ حبيسة الأدراج في الظلام الدامس تشتكي إلى الله ظلم هذه الحكومات</w:t>
      </w:r>
      <w:r>
        <w:rPr>
          <w:rFonts w:eastAsia="Amiri" w:cs="Amiri" w:ascii="Amiri" w:hAnsi="Amiri"/>
          <w:color w:val="111111"/>
          <w:sz w:val="28"/>
          <w:szCs w:val="28"/>
          <w:rtl w:val="true"/>
          <w:lang w:bidi="ar-SA"/>
        </w:rPr>
        <w:t>».</w:t>
      </w:r>
      <w:r>
        <w:rPr>
          <w:rStyle w:val="FootnoteAnchor"/>
          <w:rtl w:val="true"/>
        </w:rPr>
        <w:footnoteReference w:id="302"/>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الأساس، فالشرط اللازم لبلوغ حركة الإجتهاد رشدها وإعادة إحيائها من جديد، ولعدم إجهاضها وانقطاعها، هولزوم حضور الفقه على ساحة المجتمعات الإسلاميّة، وضرورة تدخّله في الحياة الإجتماعيّة للمسلمين، ولا سبيل لذلك كلّه إلاّ بأن يُفرَض على الدول الإسلاميّة أن تعمل بقوانين الشريعة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اكتفاء الفقهاء بتوجيه أحاديث النصح والوعظ إلی لحكّام والسياسيّين، لم يُثبت كونه أسلوبا مجديا ونافعا في الضغط على هؤلاء، نحوإجراء الأحكام الإسلاميّة، وإيصالها إلى حيّز التنفيذ؛ بل الأسلوب الّذي نراه واجب الاتّباع في هذا الصدد هوسعى علماء الإسلام نحوإيجاد حركةٍ شعبيّة عامّة، تعمل في هذا السبيل،فعلى الفقهاء أن يستنهضوهم الناس ویحرکوهم لتحقيق هذه الغاية، لإجبار الحكّام والسياسيّين على الالتزام بأحكام الإسلام،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الواجب على الناس أن يثوروا في وجه حكّامهم، لإزاحتهم وتنحيتهم عن السلطة واستبدالهم بحاكمٍ يلتزم في حكمه بالإسلام دينا وقانونا ونظاما، ويقف في وجه النزعة الغربيّة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فلوأنّ الحكّام المسلمين تُركوا لأنفسهم، فمن غير المعلوم أن يلتزموا بسهولة بإحلال العدل وإجراء القوانين الإلهيّة، لأنّ احكام الشريعة تتنافی مع سلطتهم ومع مصالحهم الدنيويّة، ومن البعيد جدّا أن يتمكّن الفقهاء من إرغام الحكّام على إجراء العدل والعمل على وفق قوانين الشريعة، من دون ان يعملوا على تحريك الشعبىّ والاستفادة من القوّة العظيمة الجماهير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الابتعاد عن التعصّب المذهبيّة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علماء المذاهب كافّةً أن يستندوا إلى التحقيق والبحث العلمىّ والموضوعىّ، وأن يتجنّبوا تقليد الآخرين، وأن يضعوا جانبا التعصب الذی لا منشأ له سوى الجهل، وأن يمارسوا إجتهاداتهم في أجواءٍ من الحكمة والدراية والتعقل</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الأمور الباعثة على الحسرة والأسف، انعدام الخبرة وقلّة الاطّلاع فيما يتعلّق بأفكار سائر المذاهب وعقائدها ومبانيها وفتاواها الفقهيّة، فقد شاهدنا الكثير من الكتب والمؤلّفات التي دوّنها علماء كبار، من علماء أهل السنّة، من دون أن يقوموا </w:t>
      </w:r>
    </w:p>
    <w:p>
      <w:pPr>
        <w:pStyle w:val="BookText"/>
        <w:rPr/>
      </w:pPr>
      <w:r>
        <w:rPr>
          <w:rFonts w:ascii="IRNazanin" w:hAnsi="IRNazanin" w:eastAsia="IRNazanin"/>
          <w:color w:val="111111"/>
          <w:sz w:val="28"/>
          <w:sz w:val="28"/>
          <w:szCs w:val="28"/>
          <w:rtl w:val="true"/>
          <w:lang w:bidi="fa-IR"/>
        </w:rPr>
        <w:t>بالتتبّع والتقصّى اللاّزمين في البحث العلميّ، بل اكتفوا بالتقليد والرجوع إلى ما اشتهر على ألسنة البعض مما نسبوه إلى سائر المذاهب، مع كونه عاريا عن الحقيقة، ولا أصل له في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ولوأنّهم بذلوا جهدا أكبر فيما ينقلونه، وأبعدوا عنهم التعصّب والتقليد، لَما صدّقوا كثيرا من التهم المجحفة التي نسبوها إلى بعض المذاهبالأُخرى، ولا سيّما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يجزمون بنسبة بعض الأفكار إليه، مع كونها لا أساس لها من الصحّة أصلاً، ومن دون أن يذكروا أدلّتهم على هذه النسبة أوالمصادر الصحيحة التي اعتمدوا عليها في هذا النقل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بعضهم في عقائد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فولّوا بعد الحسين ابنه عليّا زين‌العابدين، وبعد وفاته ولّوا ابنه محمّدا الباقر، انقسموا فمنهم من ولّى زيد بن علىّ، وهم المعروفون بالزيديّة، ومنهم من ولّى جعفرا الصادق بن محمّد الباقر</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ولست أدري، ما الّذي نتوقّعه من كاتبٍ قليل الاطّلاع كهذا؟ كاتب يتحدّث عن الفرق بين الزيديّة وبين الإماميّة من دون أن يقف على حقيقة هذا الفرق، ومن دون أن يعرف أنّ الزيديّة لا يقولون بإمامة الإمام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وإنّما يقولون بإمامة زيد بعد إمامة أبيه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يمكن لنا أن ننتظر من كاتبٍ كهذا أن يساهم في أن تُفلح نهضة إحياء الإجتهاد، وفي أن تؤتي أُكلها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هؤلاء المؤلّفين أيضا من تحدّث عن بعض عقائد الشيعة قائلاً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يعتقد أصحاب هذه العقيدة أنّ عليّا لم يمت، بل هوحيٌّ مختفٍ، وسيعود في ملأ الأرض عدلاً كما مُلِئت 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ادّعت بعض فرق الشيعة النبوّة لعليٍّ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غالى بعضهم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النبوّة كانت لعليٍّ، ولكنّ جبرئيل أخطأ فنزل بها علي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الأُلوهيّة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أخطر العقائد التي اعتنقها الشيعة، فذهبت فرقة منهم إلى القول بألوهيّة علىّ بن أبيطالب</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ثمّ بعد أن قام الكاتب بنسبة هذه النظريّات إلى الشيعة، عقد بحثا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الشيعة على الحديث، معتبرا التشيّع من أهمّ العوامل الأصليّة لجعل الأحاديث ووضعها، ومن دون أن يُسند كلامه هذا إلى أيّ كتابٍ معتبر، مع أنّ أوّل خطوةٍ للوصول إلى الإجتهاد الصحيح هي الإرجاع إلى المصادر الصحيحة، وكأنّ هذه التهمة كانت بنظر الكاتب من الوضوح بمكانٍ بحيث لم يرَ حاجةً لتوثيقها بشيءٍ من المصادر المعتبرة لدى الشيعة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المشكلة الأهمّ، لدى كثيرٍ من علماء أهل السنّة، هي عدم توفرهم علی معلومات وافية عن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أنّ المعلومات التي لديهم تنطلق من خلفيّاتٍ مسبقة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هؤلاء الكاتب وهبة الزحيلى في كتابه 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 الإسلاميّ وأدلّته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قال في حقّ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جعفر محمّد بن الحسن بن فروخ الصفار الأعرج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هوالمؤسّس مذهب الشيعة الإماميّة في الفقه، </w:t>
      </w:r>
    </w:p>
    <w:p>
      <w:pPr>
        <w:pStyle w:val="BookText"/>
        <w:rPr/>
      </w:pPr>
      <w:r>
        <w:rPr>
          <w:rFonts w:ascii="IRNazanin" w:hAnsi="IRNazanin" w:eastAsia="IRNazanin"/>
          <w:color w:val="111111"/>
          <w:sz w:val="28"/>
          <w:sz w:val="28"/>
          <w:szCs w:val="28"/>
          <w:rtl w:val="true"/>
          <w:lang w:bidi="fa-IR"/>
        </w:rPr>
        <w:t>ثمّ ذكر أنّ اسم كتابه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البشائر هوتصحيف 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 أن هذالکتاب ليس من الكتب الفقهية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يُعهد من أحدٍ أنّه نسب إلى العالم المذكور أنّه هوالمؤسّس لمذهب التشيّع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وللأسف الشديد فإنّ المصادر الأُولى والأصيلة لمدرسة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تتحدث عن مبانيهم المشهورة وآرائهم المعتبرة لا تلقى رواجا وانتشارا في أوساط علماء العامّة، مع أنّالأمر لدى علماء الشيعة، بالعكس من ذلك تماما، فإنّ كافّة مصادر أهل السنة الفقهيّة والأصوليّة والحديثيّة والرجاليّة والتاريخيّة والكلاميّة وغير ذلك، متوفّرة ومتاحة لديهم، ويمكن لمن أراد منهم أن وصل إليها، بكلّ حرّيّةٍ وسهولة، الأمر الّذي يُتيح للمحقّقين منهم أن يحقّقوا في مضامينها، وأن يخضعوها لمنطق النقد والتحليل، بعيدا عن التعصّب والجمود، فلذلك نراهم يوافقون تارةً على بعض ما جاء فيها، ويعلنون رفضهم وانتقادهم للبعض الآخر، تارةً أُخرى</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النحومن الحركة العلميّة لدی علماء الشیعة، هوما يجب أن يفرض نفسه على ساحة أهل العلم والتحقيق، لكي يبقى باب الإجتهاد مفتوحا أمامهم، ولكى يُتاح لهم أن يُتحفوا المجتمع بآثارهم العلميّة القيّمة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فلوأنّ ذاك الكاتب المحترم كان يعلم أنّ هذه المطالب التي قام بنسبتها إلى الشيعة غیر صحیحة، وأنّ العقائد السائدة لدى أتباع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تنأى بهم عن أن يُثبتوا للإمام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شكلٍ من أشكال الألوهيّة أوالنبوّة، ولوأنّه كان يعلم حقيقة مسألة الرجعة، وأنّها مباينةٌ تماما لما نقلها عنهم، لوأنّه كان يعلم بكلّ ذلك، أوحصل على المعلومات الوافية قبل الكتابة والتأليف، فلربّما لم يكن ليرضى بإضعاف المستوي العلميّ لكتابه بهذه الطريقة المکشوفة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تفوتنا الإشارة هنا إلى أنّ العديد من المؤلّفين والمفكّرين من أهل السنّة استطاعوا أن يتخلّصوا من مشكلة التعصّب، فحاولوا في كتبهم أن لا ينقلوا المباني الفكريّة والإجتهاديّة التي ترتكز عليها مدرسة أتباع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بعد الرجوع إلى مصادرهم الأصيلة والمعتبرة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ألّف الأستاذ محمد سلام مدكور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الإجتهاد في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وتعرّض في هذا الكتاب للحديث عن فكر الشيعة الإماميّة وآرائهم ومعتقداتهم،مستنداً هذه الآراء والمعتقدات من بعض كتبهم المعتبرة،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المظفّر،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للشيخ مغنية،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للسيّد شرف‌الدين،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العامّة للفقه المقارن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للسيّد الحكيم،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الشيعة وأصولها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كاشف الغطاء، ونحوذلك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شكّ في أنّ هذه الرجوع إلى كتبنا المعتبرة، هي من دواعى شكرنا له؛ لذا أنّه لاحقا عن الزيديّة لايقع في خطأ والاشتباه للذین وقع فیهما غيره عندما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أجمعوا على أنّ الخلافة بالتالي للإمام عليّ ولديه الحسن والحسين وعلي زين‌العابدين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وتفرّقوا بعد ذلك إلى عدّة فرق بسبب الخلافة من أشهرها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الإماميّة والزيديّة، فيرى الزيديّة أنّ الخلافة بعد ذلك لزيد بن علي</w:t>
      </w:r>
      <w:r>
        <w:rPr>
          <w:rFonts w:eastAsia="IRNazanin" w:cs="IRNazanin"/>
          <w:color w:val="111111"/>
          <w:sz w:val="28"/>
          <w:szCs w:val="28"/>
          <w:rtl w:val="true"/>
          <w:lang w:bidi="fa-IR"/>
        </w:rPr>
        <w:t>».</w:t>
      </w:r>
      <w:r>
        <w:rPr>
          <w:rStyle w:val="FootnoteAnchor"/>
          <w:rtl w:val="true"/>
        </w:rPr>
        <w:footnoteReference w:id="305"/>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إشتمل هذا الكتاب على بعض الأخطاء الأُخرى، ولا سيّما ما ذكره من انتساب </w:t>
      </w:r>
    </w:p>
    <w:p>
      <w:pPr>
        <w:pStyle w:val="BookText"/>
        <w:rPr/>
      </w:pPr>
      <w:r>
        <w:rPr>
          <w:rFonts w:ascii="Amiri" w:hAnsi="Amiri" w:eastAsia="Amiri" w:cs="Amiri"/>
          <w:color w:val="111111"/>
          <w:sz w:val="28"/>
          <w:sz w:val="28"/>
          <w:szCs w:val="28"/>
          <w:rtl w:val="true"/>
          <w:lang w:bidi="ar-SA"/>
        </w:rPr>
        <w:t>مذهب التشيّع إلى عبدالله ابن سبأ</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وقد خصّص المؤلّف المذكور آخر صفحات كتابه للحديث عن منهج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كان قد نقل كلاما مفصلاً من كتاب المراجعات، حیث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وإنّنا إذ نكتفى بهذا عن الإمام جعفر رضى‌الله‌عنه، فإنّنا نرى أن نختم الكلام عنه، خاصّةً وأنّنا قد انتهينا من الكتاب كلّه، فننقل ما رُوِي عنه من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والخصومة في الدين، فإنّها تُحدث الشكّ وتُورث النفاق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وحقّا فإنّ التعصّب يأتى من وراء ذلك،فيورث حبّ الغلب فتضيع الحقائق، هدانا الله إلى الحقّ وجمع كلمتنا عليه</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تاريخيّا واجهت حركة الإجتهاد في المدارس الفقهيّة لدى أهل العامّة عاصفةً من الأحداث التي لم تتمكّن من مواجهتها، حتى ضعفت واستسلمت، وطغى عليها الجمود والركود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مقابل ذلك، فإنّ حركة الإجتهاد في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 حيّةً ونابضةً ومتلألئةً؛ لأنّ الشيعة لم يرفضوا سدّ باب الإجتهاد فحسب، بل هم لا يجيزون لغير المجتهد أن يرجع بالتقليد إلاّ إلى مجتهد ومرجع على قيد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 كان مجتهدا، فهوعندهم لا يقلّد غيره من المجتهدين، بل يحرم عليه أن يقلّد غيره، ويتعيّن عليه أن يستند في عمله بالأحكام إلى إجتهاده الشخصيّ</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أن حركة الإجتهاد لدى الشيعة تعرضت على مرّ التاريخ إلى نكساتٍ </w:t>
      </w:r>
    </w:p>
    <w:p>
      <w:pPr>
        <w:pStyle w:val="BookText"/>
        <w:rPr/>
      </w:pPr>
      <w:r>
        <w:rPr>
          <w:rFonts w:ascii="IRNazanin" w:hAnsi="IRNazanin" w:eastAsia="IRNazanin"/>
          <w:color w:val="111111"/>
          <w:sz w:val="28"/>
          <w:sz w:val="28"/>
          <w:szCs w:val="28"/>
          <w:rtl w:val="true"/>
          <w:lang w:bidi="fa-IR"/>
        </w:rPr>
        <w:t xml:space="preserve">و أزماتٍ عدّة، منها تلك الفترة الزمنيّة المقدّرة بمائة عام، بعد وفاة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أيضا تلك الفترة التي شهدت بروز الحركة الأخباریّة في القرن الحادي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حكمة الإجتهاد وقوّة منطقه في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مكّنته من تخطّى هذه الأزمات واستطاعت هذه المدرسة أن تكمل مسيرتها؛ ولا زلنا نشاهد آثارها الطيّبة، لا سيّما في عصرنا الحاضر، عبر رجوع المسلمين إلى الإسلام الأصيل وتشييدهم لحكومةٍ إسلاميّةٍ مبنيّةٍ على قوانين الشريعة وأنظمة الدين الإسلاميّ الحنيف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الآثار الطيّبة لهذه الحركة أيضا هذه النهضة التي یشهدها العديد من المجتمعات الإسلاميّة في عصرنا الحاضر، من أقصى الشرق إلى أقصى الغرب، من الجزائر ومصر وأفريقيا إلى تركيا والعراق ولبنان وأفغانستان؛ لأنّها حركة تهدف إلى توظيف الإجتهادالصحيح من خلال العودة إلى المصادر الإسلاميّة الأصيلة، من الكتاب العزيز والسنّة المباركة، لتأسيس حضارةٍ إسلاميّةٍ جديدة، وللخروج بواسطة هذه المصادر الأصيلة من ظلمات جاهليّة هذا العصر الجديد التي فرضتها ثقافة الغرب الملحد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بعينه هوما تحتاجه حركة إحياء الإجتهاد لدى مذاهب العامّة، لكى تقوم من جديد، ولكي تُثمر وتؤتي أكلها هي أيضا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لكي حرکة الإجتهاديّة عند أهل السنّة من النهوض تتمکن، يتوجّب على علمائهم ومفكّريهم أن يتصدّوا للمشاكل المطروحة على الساحة المعاصرة، ليقطعوا بذلك الطريق على الجاهلين والأعداء المتربّصين بهذه الأمّة شرّا، إذ لوقُدِّر للحركات التكفيريّة التي تتبنّى التطرّف والإفراط والتعصّب مسلكا لها، والتي لا تتورّع عن تكفير كلّ من يخالفها في الرأي واتّهامه بالشرك والخروج عن الدين، لوقُدِّر لهذه الحركات أن تسيطر على الساحة الإسلاميّة، لما استطعنا أبدا أن نعيد الإسلام الحقيقيّ الّذي </w:t>
      </w:r>
    </w:p>
    <w:p>
      <w:pPr>
        <w:pStyle w:val="BookText"/>
        <w:rPr/>
      </w:pPr>
      <w:r>
        <w:rPr>
          <w:rFonts w:ascii="Amiri" w:hAnsi="Amiri" w:eastAsia="Amiri" w:cs="Amiri"/>
          <w:color w:val="111111"/>
          <w:sz w:val="28"/>
          <w:sz w:val="28"/>
          <w:szCs w:val="28"/>
          <w:rtl w:val="true"/>
          <w:lang w:bidi="ar-SA"/>
        </w:rPr>
        <w:t>يتمكّن من الوقوف بوجه قوانين الغرب العلمانيّة والملحدة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يعنى أنّ على العلماء الواعين من أهل السنّة أن يفرضوا وجودهم على الساحة المعاصرة، لغرض التضييق وقطع الطريق على هؤلاء المتشدّدين وتحرّكاتهم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جانب آخر، ولا سيّما أمثال محمّد بن عبد الوهاب وحركته السلفيّة المتحجّرة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المثير للعجب والدهشة هنا، أن نجد أشخاصا</w:t>
      </w:r>
      <w:r>
        <w:rPr>
          <w:rStyle w:val="FootnoteAnchor"/>
          <w:rtl w:val="true"/>
        </w:rPr>
        <w:footnoteReference w:id="308"/>
      </w:r>
      <w:r>
        <w:rPr>
          <w:rFonts w:ascii="Amiri" w:hAnsi="Amiri" w:eastAsia="Amiri" w:cs="Amiri"/>
          <w:color w:val="111111"/>
          <w:sz w:val="28"/>
          <w:sz w:val="28"/>
          <w:szCs w:val="28"/>
          <w:rtl w:val="true"/>
          <w:lang w:bidi="ar-SA"/>
        </w:rPr>
        <w:t>يعتبرون محمد بن عبد الوهاب هذا واحدا من أبرز زعماء النهضة الإجتهاديّة في العصر الحديث، مع أنّ الأفكار والعقائد التي يدعولها هذا الرجل أفكار شاذّةٌ يوجب الالتزام بها خروج أكثرالمسلمين عن دائرة الإسلام والإيمان، واتّهامهم بالكفر والشرك، أفكار أثبتت التجربة مدى الخطر الّذي تتركه على العالم الإسلامىّ برمّته، وكانت هي المنشأ وراء الغارات والمجازر التي ارتكبت في الحجاز والعراق و</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جانبٍ آخر، يجب على القائمين بهذه الحركة الإجتهاديّة الجديدة أن لا يُغفلوا تلك الحركات التفريطيّة التي تنظر إلى الغرب نظرةً فوقيّة، والتي سلّم أصحابها للغرب تسليما كاملاً بعد انکارهم اكتمال الشريعة الإسلاميّة، وبعد أن توهموا أن لیس في الإسلام إلاّ مفاهيم العبادة الفرديّة، منكرين الإسلام السياسيّ والإسلام الاجتماعيّ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یجدر التنبیه الی أنّ الخطر الّذي يتهدّد حركة النهضة الإجتهاديّة الحديثة في العالَم السنّي من قِبل هذه الحركة التفريطيّة لا يقلّ عن الأخطار التي تتهدّدها من الحركات الإفراطيّة المتطرّفة</w:t>
      </w:r>
      <w:r>
        <w:rPr>
          <w:rFonts w:eastAsia="IRNazanin" w:cs="IRNazanin"/>
          <w:color w:val="111111"/>
          <w:sz w:val="28"/>
          <w:szCs w:val="28"/>
          <w:rtl w:val="true"/>
          <w:lang w:bidi="fa-IR"/>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هذا الأساس، نرى أنّه لا يمكن النهوض بحركة الإجتهاد إلاّ بعد التعرّف على هاتين الحركتين لمواجهتهما والتعامل معهما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الّذي يستدعي تركيزا وتأكيدا على قضيّة الوحدة بين المسلمين، والتقريب بين المذاهب الإسلاميّة، بوصفها أصلاً إسلاميّا أساسيّا، ومن ثم والرجوع من خلال منظار الوحدة والتقريب إلى الكتاب والسنّة، وإعمال الإجتهاد الحرّ فيهما، ذلک الإجتهاد الّذي يتخلّص من الجمود والتقليد الأعمى</w:t>
      </w:r>
      <w:r>
        <w:rPr>
          <w:rFonts w:eastAsia="IRNazanin" w:cs="IRNazanin"/>
          <w:color w:val="111111"/>
          <w:sz w:val="28"/>
          <w:szCs w:val="28"/>
          <w:rtl w:val="true"/>
          <w:lang w:bidi="fa-IR"/>
        </w:rPr>
        <w:t xml:space="preserve">. </w:t>
      </w:r>
      <w:bookmarkStart w:id="593" w:name="pg8675_123299"/>
    </w:p>
    <w:p>
      <w:pPr>
        <w:pStyle w:val="Heading2"/>
        <w:numPr>
          <w:ilvl w:val="1"/>
          <w:numId w:val="1"/>
        </w:numPr>
        <w:rPr/>
      </w:pPr>
      <w:bookmarkStart w:id="594" w:name="__RefHeading___Toc2474190_653776707"/>
      <w:bookmarkStart w:id="595" w:name="_Toc219"/>
      <w:bookmarkEnd w:id="593"/>
      <w:bookmarkEnd w:id="594"/>
      <w:r>
        <w:rPr>
          <w:rtl w:val="true"/>
        </w:rPr>
        <w:t>الباب الثانی</w:t>
      </w:r>
      <w:r>
        <w:rPr>
          <w:rtl w:val="true"/>
        </w:rPr>
        <w:t xml:space="preserve">: </w:t>
      </w:r>
      <w:r>
        <w:rPr>
          <w:rtl w:val="true"/>
        </w:rPr>
        <w:t xml:space="preserve">أدوار الإجتهاد ومناهجه في مدرسة أهل البيت </w:t>
      </w:r>
      <w:r>
        <w:rPr>
          <w:rtl w:val="true"/>
        </w:rPr>
        <w:t>(</w:t>
      </w:r>
      <w:r>
        <w:rPr>
          <w:rtl w:val="true"/>
        </w:rPr>
        <w:t>علیهم السلام</w:t>
      </w:r>
      <w:r>
        <w:rPr>
          <w:rtl w:val="true"/>
        </w:rPr>
        <w:t>)</w:t>
      </w:r>
      <w:bookmarkEnd w:id="595"/>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6" w:name="__RefHeading___Toc2474192_653776707"/>
      <w:bookmarkStart w:id="597" w:name="_Toc220"/>
      <w:bookmarkEnd w:id="596"/>
      <w:r>
        <w:rPr>
          <w:rtl w:val="true"/>
        </w:rPr>
        <w:t>اشارة</w:t>
      </w:r>
      <w:bookmarkEnd w:id="597"/>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8" w:name="pg8675_123305"/>
      <w:bookmarkStart w:id="599" w:name="pg8675_123305"/>
      <w:bookmarkEnd w:id="599"/>
    </w:p>
    <w:p>
      <w:pPr>
        <w:pStyle w:val="Heading3"/>
        <w:numPr>
          <w:ilvl w:val="2"/>
          <w:numId w:val="1"/>
        </w:numPr>
        <w:rPr/>
      </w:pPr>
      <w:bookmarkStart w:id="600" w:name="pg8675_123305"/>
      <w:bookmarkStart w:id="601" w:name="__RefHeading___Toc2474194_653776707"/>
      <w:bookmarkStart w:id="602" w:name="_Toc221"/>
      <w:bookmarkEnd w:id="600"/>
      <w:bookmarkEnd w:id="601"/>
      <w:r>
        <w:rPr>
          <w:rtl w:val="true"/>
        </w:rPr>
        <w:t>الفصل الأول المفاهيم والكليات</w:t>
      </w:r>
      <w:bookmarkEnd w:id="602"/>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03" w:name="__RefHeading___Toc2474196_653776707"/>
      <w:bookmarkStart w:id="604" w:name="_Toc222"/>
      <w:bookmarkEnd w:id="603"/>
      <w:r>
        <w:rPr>
          <w:rtl w:val="true"/>
        </w:rPr>
        <w:t>اشارة</w:t>
      </w:r>
      <w:bookmarkEnd w:id="604"/>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5" w:name="pg8675_123311"/>
      <w:bookmarkStart w:id="606" w:name="pg8675_123311"/>
      <w:bookmarkEnd w:id="606"/>
    </w:p>
    <w:p>
      <w:pPr>
        <w:pStyle w:val="Heading4"/>
        <w:numPr>
          <w:ilvl w:val="3"/>
          <w:numId w:val="1"/>
        </w:numPr>
        <w:rPr/>
      </w:pPr>
      <w:bookmarkStart w:id="607" w:name="pg8675_123311"/>
      <w:bookmarkStart w:id="608" w:name="__RefHeading___Toc2474198_653776707"/>
      <w:bookmarkStart w:id="609" w:name="_Toc223"/>
      <w:bookmarkEnd w:id="607"/>
      <w:bookmarkEnd w:id="608"/>
      <w:r>
        <w:rPr>
          <w:rtl w:val="true"/>
        </w:rPr>
        <w:t>المبحث الأول ما يرتبط بكلمة الإجتهاد</w:t>
      </w:r>
      <w:bookmarkEnd w:id="609"/>
    </w:p>
    <w:p>
      <w:pPr>
        <w:pStyle w:val="BookText"/>
        <w:rPr/>
      </w:pPr>
      <w:r>
        <w:rPr>
          <w:rFonts w:ascii="Amiri" w:hAnsi="Amiri" w:eastAsia="Amiri" w:cs="Amiri"/>
          <w:color w:val="111111"/>
          <w:sz w:val="28"/>
          <w:sz w:val="28"/>
          <w:szCs w:val="28"/>
          <w:rtl w:val="true"/>
          <w:lang w:bidi="ar-SA"/>
        </w:rPr>
        <w:t>الإجتهاد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الإجتهاد من الجُهد اوالجَهد بمعنى الطاقة والمشقة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المشقة، والجُهد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الوسع، والإجتهاد مصدر من الافتعال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فهوبمعنى اخذ النفس ببذل الطاقة وتحمل المشقة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وبنفس هذا المعنى اللغوى جری استعمل الإجتهاد في روايات العامة والخاصة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روى عن 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يجتهد في العشر الأواخر ما لايجتهد في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نهج‌البلاغة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اعينوني بورع وإجتهاد وعفة وسداد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الإجتهاد في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اخذت کلمة الإجتهاد في الأدوار التاريخيه المختلفه معانٍ متفاوتة يمكن أن نلخصها فیما یأتی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التفكير الشخصي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وهوالّذي ذهب إليه أصحاب الإجتهاد بالرأي كابي حنيفة وغیره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القياس، كما ذهب إليه الشافعي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استكشاف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عرفوا الإجتهاد بهذا المعنى بتعريفات، أهمها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ابن 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استفراغ الوسع لتحصيل الظن بحكم شرعي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تعريف خضرى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الفقيه وسعه في طلب العلم بالأحكام الشرعيه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والظن لاينطبقان على الإجتهاد فالتعريف غير جامع ولامانع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تعريف الآخوندالخراساني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استفراغ الوسع في تحصيل الحجة على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قيد الحجة فيه 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ثمرة عملية الإجتهاد هي المعرفة بالحكم الشرعي لا الحجة على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الوصول إلى الحكم الشرعي، بحيث يمكن للمجتهد أن يسنده إلى الشارع، يتوقف على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فالحجة شرط لتحصيل الحكم الشرعي لا أنها قيد للاجتهاد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وعرفه السيد الإمام الخمینی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المجتهد من كان ذا قوة ومكنة يقتدر بها على إستنباط الحكم الشرعي من مداركه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أن الأكثریة ذهبوا إلى ان الإجتهاد ملكة وقوة، ولكن ذهب المحقق العراقى والسيد الخوئي ذهبا إلى أنّ الفعليه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تعتبر في الإجتهاد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العراقي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هوالاستفراغ الفعلى في تحصيل المعرفة بالأحكام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أن السيد الخوئى يعتقد أن الفعل متأخر في ملكة الإجتهاد، خلافاً لسائر الملكات كالشجاعة والسخاوة، والواقع أن الفعل في الملكات الأخرى متقدم على الملكة، ولكن فيه ما لايخفى؛ لأنه یظهر بالدقة والتأمل يظهر انه لافرق بين الإجتهاد وسائرالملكات في أن حصول الملكة يتوقف على الفعل والممارسة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اي حال، إذاکان الإجتهاد بالمعنيين الأولين، يعتبر عند العامة من مصادر التشريع، فقد ذمّ أصحابنا الاجتهاد تبعاً للروايات المروية عن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وحرّموه والفوّا في ذمّه الكتب والرسائل كالشيخ المفيد، والسيد المرتضى، وهلال بن ابراهيم، والصدوق وعبدالله بن عبدالرحمن الزبيرى، وابن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الإجتهاد بالمعني الثالث فبما انّه صناعة إستكشاف الحكم الشرعي، ويطلق على عمليه الإستنباط فلاشك أن الإجتهاد بهذا المعنى ممدوح بل هومن الأمور الضرورية، حتّى أن أصحابنا من الاخباريين والمحدثين يستخدمونه أيضاً وإن لم يجر لفظه على لسانهم، كما صرح الآخوند، والشيخ كاشف الغطاء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البحث عن كلمة الإجتهاد في اللغة والاصطلاح عبرمراحلها التاريخية</w:t>
      </w:r>
      <w:r>
        <w:rPr>
          <w:rFonts w:eastAsia="Amiri" w:cs="Amiri" w:ascii="Amiri" w:hAnsi="Amiri"/>
          <w:color w:val="111111"/>
          <w:sz w:val="28"/>
          <w:szCs w:val="28"/>
          <w:rtl w:val="true"/>
          <w:lang w:bidi="ar-SA"/>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0" w:name="pg8675_123323"/>
      <w:bookmarkStart w:id="611" w:name="pg8675_123323"/>
      <w:bookmarkEnd w:id="611"/>
    </w:p>
    <w:p>
      <w:pPr>
        <w:pStyle w:val="Heading4"/>
        <w:numPr>
          <w:ilvl w:val="3"/>
          <w:numId w:val="1"/>
        </w:numPr>
        <w:rPr/>
      </w:pPr>
      <w:bookmarkStart w:id="612" w:name="pg8675_123323"/>
      <w:bookmarkStart w:id="613" w:name="__RefHeading___Toc2474200_653776707"/>
      <w:bookmarkStart w:id="614" w:name="_Toc224"/>
      <w:bookmarkEnd w:id="612"/>
      <w:bookmarkEnd w:id="613"/>
      <w:r>
        <w:rPr>
          <w:rtl w:val="true"/>
        </w:rPr>
        <w:t>المبحث الثاني ما يرتبط بكلمة الأدوار</w:t>
      </w:r>
      <w:bookmarkEnd w:id="614"/>
    </w:p>
    <w:p>
      <w:pPr>
        <w:pStyle w:val="Heading5"/>
        <w:numPr>
          <w:ilvl w:val="4"/>
          <w:numId w:val="1"/>
        </w:numPr>
        <w:rPr/>
      </w:pPr>
      <w:bookmarkStart w:id="615" w:name="__RefHeading___Toc2474202_653776707"/>
      <w:bookmarkStart w:id="616" w:name="_Toc225"/>
      <w:bookmarkEnd w:id="615"/>
      <w:r>
        <w:rPr>
          <w:rtl w:val="true"/>
        </w:rPr>
        <w:t>ومنهجيّة البحث</w:t>
      </w:r>
      <w:bookmarkEnd w:id="616"/>
    </w:p>
    <w:p>
      <w:pPr>
        <w:pStyle w:val="BookText"/>
        <w:rPr/>
      </w:pPr>
      <w:r>
        <w:rPr>
          <w:rFonts w:ascii="IRNazanin" w:hAnsi="IRNazanin" w:eastAsia="IRNazanin"/>
          <w:color w:val="111111"/>
          <w:sz w:val="28"/>
          <w:sz w:val="28"/>
          <w:szCs w:val="28"/>
          <w:rtl w:val="true"/>
          <w:lang w:bidi="fa-IR"/>
        </w:rPr>
        <w:t>الأدوار جمع دور، بمعنى مرحلة تاريخية لها مبدء ومنتهى، هذا بحسب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ما تضاف الأدوار إلى علم من العلوم يراد منه المعرفة بمراحله التاريخية التي مرّ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والفقه بما هوعلم من العلوم الإسلامية كسائر العلوم له أدوار ومراحل تاريخیة مختلفه، ولكل دورة ومرحلة مميزات تتمير بها عن سائر المراحل والأدوار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فالمراد في هذا المجال هوالمعرفة بهذه الأدوار والمراحل التاريخية التي مرت بها صناعة الإجتهاد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وقبل ان نتطرق الی منهجية البحث، لابد أن نذكّر بأن المقصود هنا هوالمعرفة بتاريخ الفقه والإجتهاد، لا تاريخ التشريع الإسلامي، حیث يوجد في بعض الكتب خلط بين هذين المبحثين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تاريخ التشريع الإسلامي يرتبط بما شرعه الشارع في عصره، وهذا الدور عندنا، أي أصحاب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بدء من أول البِعثة إلى انتهاء الغيبة الصغرى للإمام صاحب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واما عند العامه فيبدء من البعثة وينتهى برحيله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الرفيق الأعلى، أي السنة العاشرة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القول باستمرار تاریخ التشریع یوافق نظریّة التصویب الباطل والمصوّبة القائلین بأن رأی کل مجتهد مصیب الی الواقع مهما کان ولیس فی الواقع للشارع حکم مشرّع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ما یبدیه </w:t>
      </w:r>
      <w:bookmarkStart w:id="617" w:name="pg8675_123326"/>
    </w:p>
    <w:p>
      <w:pPr>
        <w:pStyle w:val="BookText"/>
        <w:rPr/>
      </w:pPr>
      <w:bookmarkEnd w:id="617"/>
      <w:r>
        <w:rPr>
          <w:rFonts w:ascii="IRNazanin" w:hAnsi="IRNazanin" w:eastAsia="IRNazanin"/>
          <w:color w:val="111111"/>
          <w:sz w:val="28"/>
          <w:sz w:val="28"/>
          <w:szCs w:val="28"/>
          <w:rtl w:val="true"/>
          <w:lang w:bidi="fa-IR"/>
        </w:rPr>
        <w:t>المجتهد منآرائه فهوالحکم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بیّن بطلان هذه النظریّة فی مجالها</w:t>
      </w:r>
      <w:r>
        <w:rPr>
          <w:rFonts w:eastAsia="IRNazanin" w:cs="IRNazanin"/>
          <w:color w:val="111111"/>
          <w:sz w:val="28"/>
          <w:szCs w:val="28"/>
          <w:rtl w:val="true"/>
          <w:lang w:bidi="fa-IR"/>
        </w:rPr>
        <w:t>.</w:t>
      </w:r>
    </w:p>
    <w:p>
      <w:pPr>
        <w:pStyle w:val="Heading5"/>
        <w:numPr>
          <w:ilvl w:val="4"/>
          <w:numId w:val="1"/>
        </w:numPr>
        <w:rPr/>
      </w:pPr>
      <w:bookmarkStart w:id="618" w:name="__RefHeading___Toc2474204_653776707"/>
      <w:bookmarkStart w:id="619" w:name="_Toc226"/>
      <w:bookmarkEnd w:id="618"/>
      <w:r>
        <w:rPr>
          <w:rtl w:val="true"/>
        </w:rPr>
        <w:t>منهجية البحث</w:t>
      </w:r>
      <w:r>
        <w:rPr>
          <w:rtl w:val="true"/>
        </w:rPr>
        <w:t>:</w:t>
      </w:r>
      <w:bookmarkEnd w:id="619"/>
    </w:p>
    <w:p>
      <w:pPr>
        <w:pStyle w:val="BookText"/>
        <w:rPr/>
      </w:pPr>
      <w:r>
        <w:rPr>
          <w:rFonts w:ascii="IRNazanin" w:hAnsi="IRNazanin" w:eastAsia="IRNazanin"/>
          <w:color w:val="111111"/>
          <w:sz w:val="28"/>
          <w:sz w:val="28"/>
          <w:szCs w:val="28"/>
          <w:rtl w:val="true"/>
          <w:lang w:bidi="fa-IR"/>
        </w:rPr>
        <w:t>توجد مناهج عدة لبیان أدوار الإجتهاد الإمامي، نذكرها باختصار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ترتیب الأدوار التاريخية حسب المنطقة الجغرافية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كالمدينة والكوفة، والرّي، وقم، والحلة، وجبل عامل، واصفهان، والنجف، وقم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ترتیب الأدوار على أساس عنصر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كالقرن الأول والثاني والثالث إلى الخامس عشر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ترتیب الأدوار على أساس طبيعة الإجتهاد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لأن الإجتهاد جهاد مستمر لتحصیل المعرفة وإستنباط الحكم الشرعي، وبما أنه علم كسائر الفروع العلمية فهوأمر متدرج، ويتكامل بالتدریج، والمقصود في هذا المجال هوالتعرف على المنعطفات التي أوجبت تحولاً عميقاً في الإجتهاد، والمعرفة بالأدوار التي أوجبت تغييراً متكاملاً فيه، وفي ما يرتبط به من حیث الأسلوب والمباني والأصول والعلوم المرتبط به كالرجال والدراية وعلم الأصول، وغير ذلك، وعلى أساس هذا المنهج تقسم أدوار الإجتهاد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إلى عصر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الهداة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عصر الحضور، وإلی عصر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وثانياً بعد عصر الأئمة وعصر الغیبة تقسم إلى ثمانیة أدوار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دور التأسيس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الانطلاق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الاستقلال والتکامل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الافراط فی الأتجاه العقلی للإستنباط</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التفريط فی الأتجاه العقلی للإستنباط</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دور التصحيح والإعتدال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نضج الفکر الاجتهادی وابداعه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 تأسيس الدولة وفقاً لنظریة الحکم فی الاسلام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0" w:name="pg8675_123335"/>
      <w:bookmarkStart w:id="621" w:name="pg8675_123335"/>
      <w:bookmarkEnd w:id="621"/>
    </w:p>
    <w:p>
      <w:pPr>
        <w:pStyle w:val="Heading4"/>
        <w:numPr>
          <w:ilvl w:val="3"/>
          <w:numId w:val="1"/>
        </w:numPr>
        <w:rPr/>
      </w:pPr>
      <w:bookmarkStart w:id="622" w:name="pg8675_123335"/>
      <w:bookmarkStart w:id="623" w:name="__RefHeading___Toc2474206_653776707"/>
      <w:bookmarkStart w:id="624" w:name="_Toc227"/>
      <w:bookmarkEnd w:id="622"/>
      <w:bookmarkEnd w:id="623"/>
      <w:r>
        <w:rPr>
          <w:rtl w:val="true"/>
        </w:rPr>
        <w:t>المبحث الثالث ضرورة البحث وسابقته</w:t>
      </w:r>
      <w:bookmarkEnd w:id="624"/>
    </w:p>
    <w:p>
      <w:pPr>
        <w:pStyle w:val="BookText"/>
        <w:rPr/>
      </w:pPr>
      <w:r>
        <w:rPr>
          <w:rFonts w:ascii="Amiri" w:hAnsi="Amiri" w:eastAsia="Amiri" w:cs="Amiri"/>
          <w:color w:val="111111"/>
          <w:sz w:val="28"/>
          <w:sz w:val="28"/>
          <w:szCs w:val="28"/>
          <w:rtl w:val="true"/>
          <w:lang w:bidi="ar-SA"/>
        </w:rPr>
        <w:t>قد ذكرت لدراسة تاريخ الإجتهاد وأدواره فوائد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الإطلاع على المناهج الفقهية المختلفة التي اتخذها الفقهاء، والطرق التی سلكوها لاستكشاف الحكم الشرعي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العوامل الدخيلة في نضج الإجتهاد ونشاطه، وفي مقابلها معرفة العوامل التي تعتبر من افاته ونقصه وعجزه عن الاجابة عن حوائج الإنسان في جميع ابعادها المختلفه، من الثقافة والاقتصاد والسياسة والأسرة والعبادة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يعرف الطالب المعرفة ضرورة استمرار الإجتهاد، وما يواجهه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الأسباب المعيقة لتطوره ونشاطه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الاطلاع على مسيرة من المبدأ إلى المنتهى، وما واجهه عبر القرون، وما ابتلي به، إذ إنّه من دون الاطلاع على تاريخ العلم، لايطمئن المباحث أنه قد أعطى ابحاثه حقها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الجدیر بالذکر؛ هذه الابحاث أنها وإن لم يمرّ زمان طويل علی الاهتمام بها اعنی دراسة ادواره الاجتهاد وتاریخ الفقه حتی تستقر في إطار أسلوب متقن، ولكن ومع ذلک أن الباحثین من الفقهاء والعلماء بدأوا في الفترة الأخيرة یهتمون بها، وأصبحنا نری في تاريخ الفقه السني والشيعي كتباً ومقالات، بل موسوعات تساعد الباحث والطالب على الاطلاع علی أدوار الفقه وما تعرضت له حرکة الاجتهاد بمرور الايام</w:t>
      </w:r>
      <w:r>
        <w:rPr>
          <w:rFonts w:eastAsia="IRNazanin" w:cs="IRNazanin"/>
          <w:color w:val="111111"/>
          <w:sz w:val="28"/>
          <w:szCs w:val="28"/>
          <w:rtl w:val="true"/>
          <w:lang w:bidi="fa-IR"/>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5" w:name="pg8675_123341"/>
      <w:bookmarkStart w:id="626" w:name="pg8675_123341"/>
      <w:bookmarkEnd w:id="626"/>
    </w:p>
    <w:p>
      <w:pPr>
        <w:pStyle w:val="Heading4"/>
        <w:numPr>
          <w:ilvl w:val="3"/>
          <w:numId w:val="1"/>
        </w:numPr>
        <w:rPr/>
      </w:pPr>
      <w:bookmarkStart w:id="627" w:name="pg8675_123341"/>
      <w:bookmarkStart w:id="628" w:name="__RefHeading___Toc2474208_653776707"/>
      <w:bookmarkStart w:id="629" w:name="_Toc228"/>
      <w:bookmarkEnd w:id="627"/>
      <w:bookmarkEnd w:id="628"/>
      <w:r>
        <w:rPr>
          <w:rtl w:val="true"/>
        </w:rPr>
        <w:t xml:space="preserve">المبحث الرابع النظرة الاجمالية إلى مصادر الإستنباط في فقه أهل البيت </w:t>
      </w:r>
      <w:r>
        <w:rPr>
          <w:rtl w:val="true"/>
        </w:rPr>
        <w:t>(</w:t>
      </w:r>
      <w:r>
        <w:rPr>
          <w:rtl w:val="true"/>
        </w:rPr>
        <w:t>علیهم السلام</w:t>
      </w:r>
      <w:r>
        <w:rPr>
          <w:rtl w:val="true"/>
        </w:rPr>
        <w:t>)</w:t>
      </w:r>
      <w:bookmarkEnd w:id="629"/>
    </w:p>
    <w:p>
      <w:pPr>
        <w:pStyle w:val="BookText"/>
        <w:rPr/>
      </w:pPr>
      <w:r>
        <w:rPr>
          <w:rFonts w:ascii="IRNazanin" w:hAnsi="IRNazanin" w:eastAsia="IRNazanin"/>
          <w:color w:val="111111"/>
          <w:sz w:val="28"/>
          <w:sz w:val="28"/>
          <w:szCs w:val="28"/>
          <w:rtl w:val="true"/>
          <w:lang w:bidi="fa-IR"/>
        </w:rPr>
        <w:t xml:space="preserve">البيان الشرعي المتمثل في الكتاب والسنة، هوالمصدر الأساسي للاجتهاد وإستنباط الحكم الشرعي وما صدر عن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المعصومين من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النصوص تمثل بمجموعها السنة الشريفة التي لايجوز الخروج عنها، ولا الإجتهاد في مقابلها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يعرف أن المنبع الأصلي لاستنباط الأحكام هوالكتاب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الاجماع، إن كان بحيث يمكن استكشاف الحكم الشرعي منه، فهوأيضاً يكون منبعاً من منابع الإستنباط؛ لأنه حينئذ يكون طريقاً إلى السنة، ويكون حاكياً عنها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مدركات العقل، فقد يستعان بها في مجال الإستنباط، إذا كانت قطعية ويقينية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هذه المدركات لاتكون في مجال تشخيص ملاكات الأحكام واثبات الحكم الشرعي بها قطعيّة غالباً، ولذلک لا يمكن الاعتماد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مدركات العقل فيما يرتبط بتشخيص العلاقة فيما بين الأحكام كعلاقة التضاد والتقابل أوالإستلزام والمقارنة وغير ذلك هی قطعية يعتمد عليها، وفي الحقيقة المدرك العقلي في هذا المجال امّا راجع إلى تشخيص صغرى الدلالة في الخطاب الشرعي، واما مرتبط بتحديد الوظيفه العملية عند الشك في الحكم الشرعي، وهذا ما يسمى بالأصول العملية العقلية من احتياط أوبراءة اوتخيير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وبتقسيم آخر، أن للعقل دورين في مجال الإستنباط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في المستقلات العقلية، وما يرتبط بقاعدة كل ما حكم به العقل حكم به الشرع؛ والثاني في غير المستقلاتالعقلية أي الأمور التي تکون بعض مقدماتها عقلية وبعضها غير عقلية، والتي تسمى بالملازمات العقليه، كوجوب المقدمة لوجوب ذيها، والأمر بالشيء مستلزم للنهي عن ضده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صارت مصادر الإستنباط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والسنة والاجماع والعقل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غيرها من القياس والاستحسان والمصالح المرسله والإجتهاد بالرأى، فلاقيمة لها في الإجتهاد الإمامي، ولاتعدّ من مصادر الإجتهاد، كما أن في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إعتبار بقول الصحابي ورأيه مالم ينقله عن المعصوم ومالم يكن ثقه</w:t>
      </w:r>
      <w:r>
        <w:rPr>
          <w:rFonts w:eastAsia="IRNazanin" w:cs="IRNazanin"/>
          <w:color w:val="111111"/>
          <w:sz w:val="28"/>
          <w:szCs w:val="28"/>
          <w:rtl w:val="true"/>
          <w:lang w:bidi="fa-IR"/>
        </w:rPr>
        <w:t xml:space="preserve">. </w:t>
      </w:r>
      <w:bookmarkStart w:id="630" w:name="pg8675_123347"/>
    </w:p>
    <w:p>
      <w:pPr>
        <w:pStyle w:val="Heading3"/>
        <w:numPr>
          <w:ilvl w:val="2"/>
          <w:numId w:val="1"/>
        </w:numPr>
        <w:rPr/>
      </w:pPr>
      <w:bookmarkStart w:id="631" w:name="__RefHeading___Toc2474210_653776707"/>
      <w:bookmarkStart w:id="632" w:name="_Toc229"/>
      <w:bookmarkEnd w:id="630"/>
      <w:bookmarkEnd w:id="631"/>
      <w:r>
        <w:rPr>
          <w:rtl w:val="true"/>
        </w:rPr>
        <w:t>الفصل الثاني الإجتهاد في عصر الحضور</w:t>
      </w:r>
      <w:bookmarkEnd w:id="632"/>
    </w:p>
    <w:p>
      <w:pPr>
        <w:pStyle w:val="BookText"/>
        <w:rPr/>
      </w:pPr>
      <w:r>
        <w:rPr>
          <w:rFonts w:ascii="IRNazanin" w:hAnsi="IRNazanin" w:eastAsia="IRNazanin"/>
          <w:color w:val="111111"/>
          <w:sz w:val="28"/>
          <w:sz w:val="28"/>
          <w:szCs w:val="28"/>
          <w:rtl w:val="true"/>
          <w:lang w:bidi="fa-IR"/>
        </w:rPr>
        <w:t xml:space="preserve">بما أن الإجتهاد، يعتمد على البيان الشرعي المتمثل في الكتاب والسنة، وأن ما صدر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من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الأحاديث والنصوص حجة، ولا يجوز الخروج عنها ولا الإجتهاد في مقابلها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فالإجتهاد الفقهي يبدء في طول صدور هذه النصوص، وبعدها في اطار فهمها واستخراج الأحكام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أن هناك مرحلتين وعصرين في تاريخ الإجتهاد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الإجتهاد في عصر صدور النصّ وحضور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الإجتهاد في إطار البيان الشرعي وعصر الغيبة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مرحلة النصّ وعصر حضور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المرحلة تنقسم بدورها إلى عصرين أيضاً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وهوعصر التشريع واكتمال الشريعة، من خلال ما نزل من الوحي على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وفاقاً لما نصت عليه الآية الكريمة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العصر يبدء من البعثة وينتهى بوفاة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وانتقاله له الرفيق الأعلى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وهوعصر تبيين التشريع وحفظه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يبدء هذا العصر من السنة الحادية عشرة إلى وقوع الغيبة الكبرى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فعصر النص والحضور يمتد من أول البعثة إلى اوائل القرن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فلنبدء اوّلاً بممیزات عصر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بعده ممیزات عصرالائمة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مميزات عصر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القرآن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بما هومصدر أول للتشريع الإسلامي، وأن آياته تشمل جميع مجالات الحياة الفردية والاجتماعية، العبادية والسياسية والثقافية، وغير ذلك، ولابد ان نؤكد أن ما هوالشائع من أن عدد آيات الأحكام يبلغ نحواً من خمس مائة، فيه مجال للبحث والاشكال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التأمل يفىد أن عدد الآيات أكثر من ذلك بمراتب؛ بل هناك من يدعي أن أكثر آيات الكتاب له إرتباط بالحكم الشرعي</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الأقوال والأفعال والتقريرات الصادرة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لتعليم الأمة الأحكام من الواجبات والمحرمات والمكروهات والمستحبات والمباحات والأحكام المرتبطة بالعبادات والعقود والايقاعات والجهاد والحدود والقصاص والديات إلى غير ذلك، مما يرتبط بجميع جوانب الحياة، ومجموع هذه السنة بکاملها تسلّمها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سائر الناس من الاصحاب وغیر هم وهی تبلغ من حيث الكم ما يمكن أن يغطي جميع الاحتياجات المرتبطة بالفقه وتشتمل على كل مايحتاج إليه الإنسان في حياته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بنحوالخصوص والتنصيص واما من خلال قواعد عامة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 الإشارة إلى انّ هذا العلم الغزير لم يكن عند سائر الصحابة، بل إنما كان عندالإمام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وابنائه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قد دون القرآن الكريم والسنة الشريفة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تدويناً كاملاً، وقد أشار إلى هذا الأمر الكثير من الروايات ونقل فی الكثير من كتب السير والتاريخ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باب المثال أورد الكليني بسند معتبر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قال في حديث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كنت ادخل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يوم دخلة، وكل ليل دخلة فيخليني فيها أدور معه حيث دار، وقد علم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أنه لم يصنع ذلك بأحد من الناس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وقد عبر عن هذه الأخبار المدونة بخط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وإملاء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الأحاديث الصادرة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بكتاب علي أوالصحيفة أوالجامعة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انتقلت هذه العلوم إلى الأئمة من ولده من بعده، كما تنص على ذلك الروايات المستفيضة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رواية ينقلها النجاشي في فهرسته بسنده إلى عذافر الصيرفي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كنت مع الحكم بن عتيبة عند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يسأله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أبوجعفر له مكرماً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فاختلفا في شيء، فقال 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بني، قم فاخرج كتاب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فاخرج كتاباً مدروجاً عظيماً، ففتحه وجعل ينظر حتى أخرج المسألة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خط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وإملاء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واقبل على الحكم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محمد اذهب أنت وسلمة وأبوالمقدام، حيث شئتم يميناً وشمالاً، فواللهلاتجدون العلم اوثق منه عند قوم كان ينزل عليهم جبرئيل</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وأيضاً روى الكليني بسند صحيح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اقرأني 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صحيفة كتاب الفرائض التي هي إملاء رسول الله وخط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وأيضاً روى بسند صحيح عن عمر بن اذينة عن زرارة في حديث طويل يذكر اقرائه صحيفة الفرائض، وبعد قرائته قال 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فإن الّذي رأيت والله يا زرارة هوالحق، الّذي رأيت املاء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مميزات عصر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ذكرنا أن مرحلة الصدور تنقسم بدورها إلى عصرين، عصرالنبي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وعصر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قدمنا شرحاً اجمالیاً لعصر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ومميزاته، والآن سوف نتطرق إلى تعريف عصر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ومميزاته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ويمكننا بحق أن نسمى عصر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تبيين النص وحفظه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العصر امتدّ من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عصر وقوع الغيبة الكبرى، سنة </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قام الأئمة الهداة في هذه الفترة بتبيين الدين الحنيف والتشريع الإلهي، كما علمه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كاملة وافية اخاه ووصيّه علي بن أبيطالب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نقله إلی </w:t>
      </w:r>
    </w:p>
    <w:p>
      <w:pPr>
        <w:pStyle w:val="BookText"/>
        <w:rPr/>
      </w:pPr>
      <w:r>
        <w:rPr>
          <w:rFonts w:ascii="IRNazanin" w:hAnsi="IRNazanin" w:eastAsia="IRNazanin"/>
          <w:color w:val="111111"/>
          <w:sz w:val="28"/>
          <w:sz w:val="28"/>
          <w:szCs w:val="28"/>
          <w:rtl w:val="true"/>
          <w:lang w:bidi="fa-IR"/>
        </w:rPr>
        <w:t xml:space="preserve">الأئمة من ولده، ليصونوا بذلك الدين عن التحريف وتلاعب المبتدعين، وقد وردت في ذلك روایاتعن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وأولاده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منها 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عبادالله ابصروا عيب معادن الجور، وعليكم بطاعة من لاتعذرون بجهالته؛ فإن العلم اّذي نزل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وجميع ما فُضِّل به النبيون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محمد خاتم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عترته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فاين يتاه بكم؟ بل أين تذهبون؟</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وقد صدر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الفترة الكثير من النصوص خصوصاً في عصر الإمامين الباقر والصادق عليهماالسلام الّذي استغرق أكثر من نصف قرن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قارنت هذه المدّة فترة انتقال السلطة من الأمويين إلى العباسيين؛ولذلک تعتبر هذه الفترة فترة الانفراج النشاط الفكري والفقهي لمدرسة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الحقيقة عصرالامامین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يعد عصر انتشار علوم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كان لكل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سيما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رواته المختصون به ولما کان یلقیه من درس وتعليم في المسجد النبوي الشريف، كما كان لكل منهم في بيته مجلس عامر بالرواة وطلبة العلم، وخاصه في أيام الحج، وكان أصحابهم يدونون كل ما لديهم من أسئلة، ويتقدمون بها إلى الإمام عند تشرّفهم بلقائه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عبدالله بن عطاء المكي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رأيت العلماء عند أحد أصغر منهم عند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ولقدرأيت الحكم بن عتبة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جلالته في القوم </w:t>
      </w:r>
    </w:p>
    <w:p>
      <w:pPr>
        <w:pStyle w:val="BookText"/>
        <w:rPr/>
      </w:pPr>
      <w:r>
        <w:rPr>
          <w:rFonts w:ascii="IRNazanin" w:hAnsi="IRNazanin" w:eastAsia="IRNazanin"/>
          <w:color w:val="111111"/>
          <w:sz w:val="28"/>
          <w:sz w:val="28"/>
          <w:szCs w:val="28"/>
          <w:rtl w:val="true"/>
          <w:lang w:bidi="fa-IR"/>
        </w:rPr>
        <w:t>بين يديه كأنّه صبي بين یدی معلمه</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سأل ابن عمر عن مسألة، فلم يدر ما يجيبه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إلى ذلك الغلام فسله واعلمني بما يجيبك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واشار به إلى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فسأله واجابه، فرجع ابن عمر فاخبره فقال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أهل بيت مفهمون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روى الكثيرون من غيرالشيعة الأحاديث عن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شهاب الزهري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وايوب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سعيد الانصاري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وأبوحنيفه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وسفيان بن سعيد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وسفيان بن عيينية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ومالك بن انس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وعبدالملك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وشعبة 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أبوحنيفه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افقه من جعفر بن محمد</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وهذا مالك بن انس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رأت عيني أفضل من جعفر بن محمد فضلاً وعلماً وورعاً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اختلفت إليه زماناً فما كنت أراه إلا على احدى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مصلیاً وامّا صائماً وامّا يقرأ القرآن</w:t>
      </w:r>
      <w:r>
        <w:rPr>
          <w:rFonts w:eastAsia="IRNazanin" w:cs="IRNazanin"/>
          <w:color w:val="111111"/>
          <w:sz w:val="28"/>
          <w:szCs w:val="28"/>
          <w:rtl w:val="true"/>
          <w:lang w:bidi="fa-IR"/>
        </w:rPr>
        <w:t>».</w:t>
      </w:r>
      <w:r>
        <w:rPr>
          <w:rStyle w:val="FootnoteAnchor"/>
          <w:rtl w:val="true"/>
        </w:rPr>
        <w:footnoteReference w:id="317"/>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ولأن دور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تجلیّ بشکل کبیر فی صون الدين والمحافظة علی خلوصه وعدم امتزاجه بالافكار الباطله، والأمور الخرافيه وغيرالحقّه، فإننا تبعاً لذلك يمكننا أن نقسم عصر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إلى الظروف التي عاشوها في طيلة حياتهم الشريفة </w:t>
      </w:r>
    </w:p>
    <w:p>
      <w:pPr>
        <w:pStyle w:val="BookText"/>
        <w:rPr/>
      </w:pPr>
      <w:r>
        <w:rPr>
          <w:rFonts w:ascii="Amiri" w:hAnsi="Amiri" w:eastAsia="Amiri" w:cs="Amiri"/>
          <w:color w:val="111111"/>
          <w:sz w:val="28"/>
          <w:sz w:val="28"/>
          <w:szCs w:val="28"/>
          <w:rtl w:val="true"/>
          <w:lang w:bidi="ar-SA"/>
        </w:rPr>
        <w:t>إلى الأقسام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وفات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اسشتهاد الإمام الحسين بنعلى عليهماالسلام في الطف سنة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عصرالإمام السجاد والصادقين عليهما‌السلام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عصر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شهادة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انتهاء الغيبة الصغرى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ولكل من هذه العصور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مميزات خاصّة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العصر المهم الذي له دور عميق بالنسبة إلى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تكوينه وتشکّل مبادئه الإجتهادیّة هوعصر الصادقين عليهما‌السلام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والسر في ذلك هوأنّه لم یکن في عصور الأئمة من قبلهما مجال، وهذا المجال انفتح في عصر هذين الامامين الهمامين، وأمّا الائمة بعدهما، فقد تجلّی دورهم ایضاً فی حفظ الميراث العلمي لهذين الإمامين من الزوال وصيانته عن الانحراف ودخول الاباطيل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مميزات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خاصة في عصر الصادقين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انّها كانت مدرسة جامعة يدرس فيها العلوم المختلفه وفي جميع مجالات العلم من أصول العقيدة والفقه وأصوله والتفسير والفلسفة والكلام والطب والفلك والكيمياء، إلى غير ذلك من الفروع العلمية المختلفة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اهتماماً بالغاً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إلى الفقه وتربية الرواة والفقهاء ليحفظوا الدين، وقد 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 أربعة من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أربعة نجباء امناء الله </w:t>
      </w:r>
    </w:p>
    <w:p>
      <w:pPr>
        <w:pStyle w:val="BookText"/>
        <w:rPr/>
      </w:pPr>
      <w:r>
        <w:rPr>
          <w:rFonts w:ascii="Amiri" w:hAnsi="Amiri" w:eastAsia="Amiri" w:cs="Amiri"/>
          <w:color w:val="111111"/>
          <w:sz w:val="28"/>
          <w:sz w:val="28"/>
          <w:szCs w:val="28"/>
          <w:rtl w:val="true"/>
          <w:lang w:bidi="ar-SA"/>
        </w:rPr>
        <w:t>على حلاله وحرامه، لولا هؤلاء انقطعت آثارالنبوة واندرست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بريد بن معاوية العجلى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زرارة بن اعين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مسلم الثقفى </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ليث المرادى أبوبصیر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أجد أحداً احيى ذكرنا وأحاديث أبي، إلا زرارة وأبابصير ليث المرادي ومحمد بن مسلم وبريد بن معاوية العجلي، ولولا هولاء ما كان احد يستنبط هدى، هؤلاء حفاظ الدين، وامناء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حلال الله وحرامه، وهم السابقون الينا، في الدنيا، والسابقون الينا في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بلغ عدد الرواة الخريجين من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الأف شخص وصنف في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مأة كتاب تسمّى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بالأصول لاربعمأئة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ألف أبوالعباس المعروف بابن عقدة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كتاباً باسماء الرجال الذين رووا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الأسف، أن الانفراج الذي حصل في عصر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انقلب في عهد الأئمة بعدهما إلى التضييق والتشديد عليهم، خصوصاً في زمن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حيث اعتمدت السلطة في عهده سياسة جلب الأئمة من المدينة إلى دار الخلافة، ومن ثم وضعهم تحت الرقابة المشددة، ولهذا تلاحظ قلة الروايات عن الأئمة بعد الإمامين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فمجموع الرواة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الإمام العسكري </w:t>
      </w:r>
      <w:r>
        <w:rPr>
          <w:rFonts w:eastAsia="IRNazanin" w:cs="IRNazanin"/>
          <w:color w:val="111111"/>
          <w:sz w:val="28"/>
          <w:szCs w:val="28"/>
          <w:rtl w:val="true"/>
          <w:lang w:bidi="fa-IR"/>
        </w:rPr>
        <w:t>(</w:t>
      </w:r>
      <w:r>
        <w:rPr>
          <w:rFonts w:eastAsia="IRNazanin" w:cs="IRNazanin"/>
          <w:color w:val="111111"/>
          <w:sz w:val="28"/>
          <w:szCs w:val="28"/>
          <w:lang w:bidi="fa-IR"/>
        </w:rPr>
        <w:t>5436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راوياً، منهم </w:t>
      </w:r>
      <w:r>
        <w:rPr>
          <w:rFonts w:eastAsia="IRNazanin" w:cs="IRNazanin"/>
          <w:color w:val="111111"/>
          <w:sz w:val="28"/>
          <w:szCs w:val="28"/>
          <w:rtl w:val="true"/>
          <w:lang w:bidi="fa-IR"/>
        </w:rPr>
        <w:t>(</w:t>
      </w:r>
      <w:r>
        <w:rPr>
          <w:rFonts w:eastAsia="IRNazanin" w:cs="IRNazanin"/>
          <w:color w:val="111111"/>
          <w:sz w:val="28"/>
          <w:szCs w:val="28"/>
          <w:lang w:bidi="fa-IR"/>
        </w:rPr>
        <w:t>3217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راوياً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راوياً عن الباقر عليهماالسلام والباقون رواة عن سائر الأئمة مع اضافة الراوين عن الإمام الثاني عشر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بلغ عددهم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 xml:space="preserve">والكتب المصنفة في عهد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 الأصحاب بلغ عددها ما يزيد على ستة آلاف وستمائة كتاب وقد جاءت هذه الكتب على نوعين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وغير 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والأصول هي التي دون فيها مؤلفوها الأحاديث التي سمعوها من الأئمة مباشرة ورووها عنهم بلا واسطة، وأيضاً، التي سمعوها من راويرويها –بدوره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مباشرة، وعلى هذا، فروايات الأصول لم تنقل من كتاب، وإنما اعتمد في طريق تدوينهما على السماع من الإمام، أوممن يروي عن الإمام مباشرة، وأما غير الأصول فهي التي نقل مؤلفوها محتوياتها من الأحاديث ولوعن كتاب 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صاحبه الذريعه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المجال ما ملخصه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بعد أن جمعت الأصول في المجاميع قلت الرغبات في استنساخ أعيانها، لمشقة الاستفادة منها، فقلّت نسخها وتلفت النسخ القديمه تدريجاً، وأوّل تلف وقع فيها کان احراق ما كان منها موجوداً في مكتبة سابور بالكرخ، عند ورود طغرل بك السلجوقي ببغداد</w:t>
      </w:r>
      <w:r>
        <w:rPr>
          <w:rFonts w:eastAsia="IRNazanin" w:cs="IRNazanin"/>
          <w:color w:val="111111"/>
          <w:sz w:val="28"/>
          <w:szCs w:val="28"/>
          <w:rtl w:val="true"/>
          <w:lang w:bidi="fa-IR"/>
        </w:rPr>
        <w:t>(</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أكثر تلك الأصول باقياً بالصورة الأوليّة إلى عصر ابن ادريس الحلّي واستخرج منها جملة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حصل علی جملة منها السيد على بن طاووس </w:t>
      </w:r>
      <w:r>
        <w:rPr>
          <w:rFonts w:eastAsia="IRNazanin" w:cs="IRNazanin"/>
          <w:color w:val="111111"/>
          <w:sz w:val="28"/>
          <w:szCs w:val="28"/>
          <w:rtl w:val="true"/>
          <w:lang w:bidi="fa-IR"/>
        </w:rPr>
        <w:t>(</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تدرّج التلف وتقليل النسخ إلى ما نراه في عصرنا هذا</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و قد جمعت عمدة تلك الأصول في مجاميع الحديث والاهم منها الكتب الأربعة التي 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ضمت هذه المجاميع عدداً هائلاً من الأحاديث، وهذا يعد من امتيازات فقه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وعدد احادیثها علی النحوالتالی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أحاديث الكافي بلغت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أحاديث التهذيب بلغت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أحاديث من لايحضره الفقيه بلغت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أحاديث الاستبصار بلغت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بعد ذلك الشيخ الحر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الموجودة في الكتب الأربعة وغيرها، فبلغت أحاديثه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واستدرك عليه الميرزا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المستدرك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أهم خصائص عصر الحضور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ثبوت الإمامة العظمى لأئمة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وأنهم كانوا مرجعاً علمياً وسياسياً للمسلمين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إمكان الوصول إلى الحكم الشرعي الواقعي في هذا العصر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جواز اعمال الإجتهاد في مقابل قولهم ورأيهم؛ لانه من الإجتهاد في مقابلالنص المحرم والباطل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تصدي الفقهاء لأى منصب كان منوطاً بأذنهم والتنصب من قبلهم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الإجتهاد موجوداً في هذا العصر؛ ولكن لايصح للفقهاء في هذا العصر أن يرجعوا إلى القواعد والأصول العامة قبل سؤال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والفحص عن المخصص والمقيد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الفقاهة في ذلك العصر تتمثل في سماع الروايات والنقل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والافتاء بما هوظاهر، وواضح منها والرجوع في المسائل الإجتهاديه إلى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في حالات لايمكن فيها الوصول إليهم، كما حدث ذلك بالتدريج لدى إتساع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وانتشار مدرستهم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فعملية الإجتهاد كانت موجودة في عصرهم؛ ولكنها کانت محدودة؛ لأن مصادرها لم تکن قد إكتملت بعد، وقد اشارت إلى ذلك بعض الأخبار العلاجية الأمرة بالتوقف والاحتياط في الخبرين المتعارضين، وإرجاء الفقیه ذلك حتى يلقى الإمام</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على هذا يمكن تلخيص ملامح عهد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أمرين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الاعتماد على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رواه عبدالله بن يعفور، حيث قال للإمام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ليس كل ساعة القاك ولايمكن القدوم، ويجى‌ء الرجل من أصحابنا فيسألني، </w:t>
      </w:r>
    </w:p>
    <w:p>
      <w:pPr>
        <w:pStyle w:val="BookText"/>
        <w:rPr/>
      </w:pPr>
      <w:r>
        <w:rPr>
          <w:rFonts w:ascii="IRNazanin" w:hAnsi="IRNazanin" w:eastAsia="IRNazanin"/>
          <w:color w:val="111111"/>
          <w:sz w:val="28"/>
          <w:sz w:val="28"/>
          <w:szCs w:val="28"/>
          <w:rtl w:val="true"/>
          <w:lang w:bidi="fa-IR"/>
        </w:rPr>
        <w:t xml:space="preserve">و ليس عندى كل ما يسألني عنه؟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يمنعك من محمد بن مسلم الثقفى، فإنهسمع من ابى وكان عنده وجيهاً</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تطبيق القواعد الكليه على مواردها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في رواية عبدالاعلى حين سأل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انقطاع الظُفُر والوضوء في هذه الحالة،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يعرف هذا واشباهه من كتاب الله قال الله 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جعل عليكم في الدين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امسح عليه</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وروي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علينا القاءالأصول وعليكم التفريع</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بداية حركة الإجتهاد عند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اعتماداً على ما تقدم في المباحث السابقة، نستطيع أن نقول إن حركة الإجتهاد عند الشيعة بدأت منذ عهد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أمر الأئمة أصحابهم بالجلوس للفتيا، كما قال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للقثم بن عباس عند ما ولاّه مكه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أفت المستفتي وعلّم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تغلب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 في مسجد المدينة، وأفت الناس فاني احبّ أن يرى في شيعتي مثلك</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 لمعاذ بن مسلم حين بلغه انه يقعد في الجامع ويفتي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اصنع كذا </w:t>
      </w:r>
    </w:p>
    <w:p>
      <w:pPr>
        <w:pStyle w:val="BookText"/>
        <w:rPr/>
      </w:pPr>
      <w:r>
        <w:rPr>
          <w:rFonts w:ascii="IRNazanin" w:hAnsi="IRNazanin" w:eastAsia="IRNazanin"/>
          <w:color w:val="111111"/>
          <w:sz w:val="28"/>
          <w:sz w:val="28"/>
          <w:szCs w:val="28"/>
          <w:rtl w:val="true"/>
          <w:lang w:bidi="fa-IR"/>
        </w:rPr>
        <w:t>فانّي كذا اصنع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العزيز المهتدي حين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آخذ معالم ديني؟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خذ عن يونس بن عبدالرحمن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وبذلك ظهر ما يرد على القول بنفي وجود الإجتهاد في عصر الأئمة بتوهّم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قبيل الإجتهاد في مقابل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لايحتاج إلى الإجتهاد في هذه الظروف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هناك تدوين لعلم الأصول في تلك الأعصار، فلايجور الإجتهاد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كما مرّ سابقاً، أن هذه الأدلة لاتنفي وجود الإجتهاد في عصر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ويرد على هذه الادلة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بالنسبة إلى الدليل الأول،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الإجتهاد في ذلك العصر كان في اطار النص، وكان مرتبطاً بفهم النص، لا في مقابل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بالنسبة إلى الدليل الثاني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الوصول إلى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العهد لم یکن متاحاً في كل حين ولكل أحد، فإن الظروف والأوضاع كانت بحيث لايمكن لكل أحد أن يرى الإمام ويسئله بسهولة، فإن السكن في الأماكن البعيدة، وعدم وجود وسائل السفر بسهولة، وظروف التقيه والتضييق على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وكونهم في السجون ونحوها، كل ذلك یدلّ على تحقق الإجتهاد في ذلك العهد؛ بل ضرورته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بالنسبة إلى الدليل الثالث فإنه يقال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الإجتهاد في ذلك العصر كان بسيطاً وسهلاً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بحيث يحتاج إلى المباحث العميقة الواردة في القواعد الأصولية</w:t>
      </w:r>
      <w:r>
        <w:rPr>
          <w:rFonts w:eastAsia="Amiri" w:cs="Amiri" w:ascii="Amiri" w:hAnsi="Amiri"/>
          <w:color w:val="111111"/>
          <w:sz w:val="28"/>
          <w:szCs w:val="28"/>
          <w:rtl w:val="true"/>
          <w:lang w:bidi="ar-SA"/>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بلغ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تتضمن الأصول المهمة المحتاج إليها، وقد دوّن بعض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كهشام بن الحكم في هذا المجال كتباً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وبهذا تم الكلام عن الإجتهاد في عصر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الهداة من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633" w:name="pg8675_123389"/>
    </w:p>
    <w:p>
      <w:pPr>
        <w:pStyle w:val="Heading3"/>
        <w:numPr>
          <w:ilvl w:val="2"/>
          <w:numId w:val="1"/>
        </w:numPr>
        <w:rPr/>
      </w:pPr>
      <w:bookmarkStart w:id="634" w:name="__RefHeading___Toc2474212_653776707"/>
      <w:bookmarkStart w:id="635" w:name="_Toc230"/>
      <w:bookmarkEnd w:id="633"/>
      <w:bookmarkEnd w:id="634"/>
      <w:r>
        <w:rPr>
          <w:rtl w:val="true"/>
        </w:rPr>
        <w:t>الفصل الثالث حركة الإجتهاد في عصر الغيبة</w:t>
      </w:r>
      <w:bookmarkEnd w:id="635"/>
    </w:p>
    <w:p>
      <w:pPr>
        <w:pStyle w:val="Heading4"/>
        <w:numPr>
          <w:ilvl w:val="3"/>
          <w:numId w:val="1"/>
        </w:numPr>
        <w:rPr/>
      </w:pPr>
      <w:bookmarkStart w:id="636" w:name="__RefHeading___Toc2474214_653776707"/>
      <w:bookmarkStart w:id="637" w:name="_Toc231"/>
      <w:bookmarkEnd w:id="636"/>
      <w:r>
        <w:rPr>
          <w:rtl w:val="true"/>
        </w:rPr>
        <w:t>اشارة</w:t>
      </w:r>
      <w:bookmarkEnd w:id="637"/>
    </w:p>
    <w:p>
      <w:pPr>
        <w:pStyle w:val="BookText"/>
        <w:rPr/>
      </w:pPr>
      <w:r>
        <w:rPr>
          <w:rFonts w:ascii="IRNazanin" w:hAnsi="IRNazanin" w:eastAsia="IRNazanin"/>
          <w:color w:val="111111"/>
          <w:sz w:val="28"/>
          <w:sz w:val="28"/>
          <w:szCs w:val="28"/>
          <w:rtl w:val="true"/>
          <w:lang w:bidi="fa-IR"/>
        </w:rPr>
        <w:t xml:space="preserve">قد مرّ بنا أن المراحل التاريخية للإجتهاد وفقاً لمذهب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تتكوّن من عصرين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العصر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الإجتهاد في عصر الحضور ومرحلة صدور النص، وهذا الذي مرّ ذكره في المباحث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العصر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الإجتهاد في عصر الغيبة</w:t>
      </w:r>
    </w:p>
    <w:p>
      <w:pPr>
        <w:pStyle w:val="BookText"/>
        <w:rPr/>
      </w:pPr>
      <w:r>
        <w:rPr>
          <w:rFonts w:ascii="IRNazanin" w:hAnsi="IRNazanin" w:eastAsia="IRNazanin"/>
          <w:color w:val="111111"/>
          <w:sz w:val="28"/>
          <w:sz w:val="28"/>
          <w:szCs w:val="28"/>
          <w:rtl w:val="true"/>
          <w:lang w:bidi="fa-IR"/>
        </w:rPr>
        <w:t xml:space="preserve">إن الإجتهاد بالمعنى الاصطلاحی، كما مرّ ذكره، وإن كان موجوداً في عصر الأئمة الهداة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کانوا يرجعون شيعتهم أحیاناً في الأقطار المختلفة إلى بعض الفقهاء، كامثال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بن آدم ويونس بن عبدالرحمن کما أنّ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الذين وضعوا اللبنة الأساس لحركة للاجتهاد، وفقاً لتعاليم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كمحمد بن مسلم، وزرارة بن أعين، وابن أبي عمير، والفضل بن شاذان، ويونس بن عبدالرحمن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هذا المنهج في المرحلة الأولى کان خافت ضوء في مقابل شعاع شمس ولاية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فی عصرالغيبة صار منهج الإجتهاد وتفريع الفروع على الأصول والرجوع إلى فقهاء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ومنحصراً بالفقهاء، فمن هذه الجهة قد يسمّى عصر </w:t>
      </w:r>
    </w:p>
    <w:p>
      <w:pPr>
        <w:pStyle w:val="BookText"/>
        <w:rPr/>
      </w:pPr>
      <w:r>
        <w:rPr>
          <w:rFonts w:ascii="Amiri" w:hAnsi="Amiri" w:eastAsia="Amiri" w:cs="Amiri"/>
          <w:color w:val="111111"/>
          <w:sz w:val="28"/>
          <w:sz w:val="28"/>
          <w:szCs w:val="28"/>
          <w:rtl w:val="true"/>
          <w:lang w:bidi="ar-SA"/>
        </w:rPr>
        <w:t>الغيبة بعصر الإجتهاد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مرّ حرکة إجتهاد الإمامية على أيدي فقهاء هذه المدرسة بمراحل عديدة، يمكن بيانها ضمن الأدوار التالية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دور التأسيس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الانطلاق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دور التكامل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دور الافراط في الاتجاه العقلي للاستنباط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دور التفريط في الاتجاه العقلي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حركة الاخبارية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دور التصحيح والإعتدال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دور الكمال والنضج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التدبير والتنفيذ وتأسیس الدولة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كلّ دور من هذه الأدوار ينبغى البحث عن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فقهاء الدور ومؤلفاتهم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الإجتهاد في الدور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 خصائص الدور</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والآن نبدأ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بشرح مختصر للأدوار المذكورة للاجتهاد في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ترتيب هذه الأمور الخمسة</w:t>
      </w:r>
      <w:r>
        <w:rPr>
          <w:rFonts w:eastAsia="IRNazanin" w:cs="IRNazanin"/>
          <w:color w:val="111111"/>
          <w:sz w:val="28"/>
          <w:szCs w:val="28"/>
          <w:rtl w:val="true"/>
          <w:lang w:bidi="fa-IR"/>
        </w:rPr>
        <w:t xml:space="preserve">. </w:t>
      </w:r>
      <w:bookmarkStart w:id="638" w:name="pg8675_123395"/>
    </w:p>
    <w:p>
      <w:pPr>
        <w:pStyle w:val="Heading4"/>
        <w:numPr>
          <w:ilvl w:val="3"/>
          <w:numId w:val="1"/>
        </w:numPr>
        <w:rPr/>
      </w:pPr>
      <w:bookmarkStart w:id="639" w:name="__RefHeading___Toc2474216_653776707"/>
      <w:bookmarkStart w:id="640" w:name="_Toc232"/>
      <w:bookmarkEnd w:id="638"/>
      <w:bookmarkEnd w:id="639"/>
      <w:r>
        <w:rPr>
          <w:rtl w:val="true"/>
        </w:rPr>
        <w:t>الدور الأول دور التأسيس</w:t>
      </w:r>
      <w:bookmarkEnd w:id="640"/>
    </w:p>
    <w:p>
      <w:pPr>
        <w:pStyle w:val="Heading5"/>
        <w:numPr>
          <w:ilvl w:val="4"/>
          <w:numId w:val="1"/>
        </w:numPr>
        <w:rPr/>
      </w:pPr>
      <w:bookmarkStart w:id="641" w:name="__RefHeading___Toc2474218_653776707"/>
      <w:bookmarkStart w:id="642" w:name="_Toc233"/>
      <w:bookmarkEnd w:id="641"/>
      <w:r>
        <w:rPr>
          <w:rtl w:val="true"/>
        </w:rPr>
        <w:t>الأمر الأول</w:t>
      </w:r>
      <w:r>
        <w:rPr>
          <w:rtl w:val="true"/>
        </w:rPr>
        <w:t xml:space="preserve">: </w:t>
      </w:r>
      <w:r>
        <w:rPr>
          <w:rtl w:val="true"/>
        </w:rPr>
        <w:t>تحديد دور التأسيس</w:t>
      </w:r>
      <w:bookmarkEnd w:id="642"/>
    </w:p>
    <w:p>
      <w:pPr>
        <w:pStyle w:val="BookText"/>
        <w:rPr/>
      </w:pPr>
      <w:r>
        <w:rPr>
          <w:rFonts w:ascii="IRNazanin" w:hAnsi="IRNazanin" w:eastAsia="IRNazanin"/>
          <w:color w:val="111111"/>
          <w:sz w:val="28"/>
          <w:sz w:val="28"/>
          <w:szCs w:val="28"/>
          <w:rtl w:val="true"/>
          <w:lang w:bidi="fa-IR"/>
        </w:rPr>
        <w:t xml:space="preserve">هذا الدور هو دور تدوين الكتب الفقهية والأصولية الأوّلية، والعناية بالمنهج الفقهي، والذي قد يسمّى بالفقه المأثور، ويبدء هذا الدور من نهاية الغيبة الصغرى، في سنة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السنة أيضاً هي سنة وفاة الشيخ الكليني والشيخ الصدوق الأول على بن الحسين بن بابويه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ينتهى هذا الدور في اوائل القرن الخامس الهجری بوفاة حمزة بن عبدالعزيز الديلمي،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5"/>
        <w:numPr>
          <w:ilvl w:val="4"/>
          <w:numId w:val="1"/>
        </w:numPr>
        <w:rPr/>
      </w:pPr>
      <w:bookmarkStart w:id="643" w:name="__RefHeading___Toc2474220_653776707"/>
      <w:bookmarkStart w:id="644" w:name="_Toc234"/>
      <w:bookmarkEnd w:id="643"/>
      <w:r>
        <w:rPr>
          <w:rtl w:val="true"/>
        </w:rPr>
        <w:t>الأمر الثاني</w:t>
      </w:r>
      <w:r>
        <w:rPr>
          <w:rtl w:val="true"/>
        </w:rPr>
        <w:t xml:space="preserve">: </w:t>
      </w:r>
      <w:r>
        <w:rPr>
          <w:rtl w:val="true"/>
        </w:rPr>
        <w:t>التعريف بدور التأسيس</w:t>
      </w:r>
      <w:bookmarkEnd w:id="644"/>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هذا الدور بدأ الفقهاء التابعون لمذهب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بالتدوين والتأليف في الفقه وفق أصول هذا المذهب، وشرعوا بتأسيس ما نصطلح عليه اليوم بالفقه الإجتهادي، وصنّفوا في ذلك مؤلفات كثيرة؛ لأنهم كانوا في عهد انتهت فيه فرصة صدور النص، وإمكان الوصول إلى شمس الحقيقة واخذ الحكم الشرعي مباشرة، فكان الطريق المتعین هوالرجوع إلى كتاب الله وإلى ما كان قد صدر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النصوص الشرعية، ثم استخراج الحكم الشرعي واستكشافه من هما وتفريع الفروع على الأصول التي القاها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وعلى ضوء القواعد العامّة المبيّنة فيها، وهذه هي نفس عملية الإجتهاد الفقهي المصطلح عليه اليوم</w:t>
      </w:r>
      <w:r>
        <w:rPr>
          <w:rFonts w:eastAsia="IRNazanin" w:cs="IRNazanin"/>
          <w:color w:val="111111"/>
          <w:sz w:val="28"/>
          <w:szCs w:val="28"/>
          <w:rtl w:val="true"/>
          <w:lang w:bidi="fa-IR"/>
        </w:rPr>
        <w:t xml:space="preserve">. </w:t>
      </w:r>
      <w:bookmarkStart w:id="645" w:name="pg8675_123398"/>
    </w:p>
    <w:p>
      <w:pPr>
        <w:pStyle w:val="BookText"/>
        <w:rPr/>
      </w:pPr>
      <w:bookmarkEnd w:id="645"/>
      <w:r>
        <w:rPr>
          <w:rFonts w:ascii="IRNazanin" w:hAnsi="IRNazanin" w:eastAsia="IRNazanin"/>
          <w:color w:val="111111"/>
          <w:sz w:val="28"/>
          <w:sz w:val="28"/>
          <w:szCs w:val="28"/>
          <w:rtl w:val="true"/>
          <w:lang w:bidi="fa-IR"/>
        </w:rPr>
        <w:t xml:space="preserve">والّذي يظهر من مراجعة مصنفات هذا العصر أن عملية الإجتهاد فيه كانت بدائية، وتتمثّل في توزيع نصوص الروايات على الأبواب الفقهية، واصدار الفتوى بنفس ألفاظالنصوص والأخبار ولذا يسمّى هذا المنهج للاجتهاد بالفقه المأثور؛ إذ إن الروايات كانت تدون تارة بعين ألفاظ الأحاديث كما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وأخرى بحذف الأسانيد وتقطيع متون الأخبار والاقتصار على الفتوى وفقاً لألفاظ النصوص، موزّعة على الأبواب الفقهية، كما نجد ذلك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 تطوّر الفقه واتساع تفريعاته على أساس المسائل المستجدَّة والمستحدثة أوجب استقلال المنهج الفقهی والفقه المأثور عن الأخبار، والاحادیث، وبدأ الفصل بين المصنفات الفقهية وكتب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مصنفات القديمين العماني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والسيد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وتلامذتهم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وأيضاً، مضافاً إلى تدوين الكتب في مستوى الفقه، بدأ في هذه الدور تدوين كتب في أصول الفقه وتأليف الرسائل في هذا المجال، مستقلة عن المؤلفات الفقهية كرسالة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بأصول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المفيد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 إلى أصول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المرتضى</w:t>
      </w:r>
      <w:r>
        <w:rPr>
          <w:rFonts w:eastAsia="Amiri" w:cs="Amiri" w:ascii="Amiri" w:hAnsi="Amiri"/>
          <w:color w:val="111111"/>
          <w:sz w:val="28"/>
          <w:szCs w:val="28"/>
          <w:rtl w:val="true"/>
          <w:lang w:bidi="ar-SA"/>
        </w:rPr>
        <w:t>.</w:t>
      </w:r>
    </w:p>
    <w:p>
      <w:pPr>
        <w:pStyle w:val="Heading5"/>
        <w:numPr>
          <w:ilvl w:val="4"/>
          <w:numId w:val="1"/>
        </w:numPr>
        <w:rPr/>
      </w:pPr>
      <w:bookmarkStart w:id="646" w:name="__RefHeading___Toc2474222_653776707"/>
      <w:bookmarkStart w:id="647" w:name="_Toc235"/>
      <w:bookmarkEnd w:id="646"/>
      <w:r>
        <w:rPr>
          <w:rtl w:val="true"/>
        </w:rPr>
        <w:t>الأمر الثالث</w:t>
      </w:r>
      <w:r>
        <w:rPr>
          <w:rtl w:val="true"/>
        </w:rPr>
        <w:t xml:space="preserve">: </w:t>
      </w:r>
      <w:r>
        <w:rPr>
          <w:rtl w:val="true"/>
        </w:rPr>
        <w:t>أهم فقهاء الدور الأوّل وأهمّ مؤلفاتهم</w:t>
      </w:r>
      <w:bookmarkEnd w:id="647"/>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بالتأمل في الاتجاهات الفقهية، يظهر أن کان لفقهاء هذا الدور منهجان أساسيان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المنهج الروائي والمنهج العقلي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فقهاء المنهج الروائي، 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وهوالمؤلف لأصول الكافيوفروعه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أبوجعفر 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محمد بن قولويه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النجاشي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ثقات أصحابنا واجّلائهم في الحديث والفقه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يوصف به الناس من جميل وفقه، فهوفوقه، له كتب حسان</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فقهاء المنهج العقلي، 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علي أبي عقيل الحذّاء العمّاني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شيخ فقهاء الشيعة الّذي وصفه العلاّمة الحلّي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ثقة متكلم، له كتب في الفقه والكلام،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المستمسك بحبل آل الرسول</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وهذا الكتاب كان في القرنين الرابع والخامس من أهم المراجع الفقهية عند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المستمسك بحبل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مشهور في الطائفة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الحاجّ من خراسان إلاّ طلب واشترى منه نسخ</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 xml:space="preserve">ثم من الأمور المهمّة التي لابد من أن تذكر؛ أن كتب العماني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تبق بصورتها؛ ولكن بقيت بمادتّها، فقد نقل عنها العلاّمة في </w:t>
      </w:r>
    </w:p>
    <w:p>
      <w:pPr>
        <w:pStyle w:val="BookText"/>
        <w:rPr/>
      </w:pP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ابن أحمد بن الجنيد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النجاشي في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في أصحابنا، ثقة جليل القدر، صنّف فأكثر وسمعت بعض شيوخنا يذكر انّه كان عنده مال للصاحب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وسيف أيضاً، وانه وصىّ به إلى جاريته فهلك ذلك، له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الشيعة لأحكام الشريعة</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محمد بن النعمان العكبري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واستاذنا رضى‌الله‌عنه، فضله أشهر من أن يوصف في الفقه والكلام والرواية والثقة والعلم</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وقال تلميذه الآخر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اجلّة متكلّمي الإمامية، انتهت إليه رئاسة الإمامية في وقته، وكان مقدّماً في العلم وصناعة الكلام، وكان فقيهاً متقدّماً فيه، حسن الخاطر، دقيق الفطنة، حاضر الجواب، له قريب من مائتي مصنّف كبار وصغار، وكان يوم وفاته يوماً لم ير اعظم منه، من كثرة الناس للصلاة عليه، وكثرة البكاء من المخالف والموالف</w:t>
      </w:r>
      <w:r>
        <w:rPr>
          <w:rFonts w:eastAsia="Amiri" w:cs="Amiri" w:ascii="Amiri" w:hAnsi="Amiri"/>
          <w:color w:val="111111"/>
          <w:sz w:val="28"/>
          <w:szCs w:val="28"/>
          <w:rtl w:val="true"/>
          <w:lang w:bidi="ar-SA"/>
        </w:rPr>
        <w:t>.</w:t>
      </w:r>
      <w:r>
        <w:rPr>
          <w:rStyle w:val="FootnoteAnchor"/>
          <w:rtl w:val="true"/>
        </w:rPr>
        <w:footnoteReference w:id="330"/>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وأهم كتبه الفقهية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وهوالمتن الّذي شرحه الشيخ الطوسي في كتابه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الكتاب ليس متناً حديثيا محضاً لايخرج عن نصوص الروايات، ولا كتاباً تفريعيّاً يتوسع في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كتاب يحتوى على </w:t>
      </w:r>
      <w:bookmarkStart w:id="648" w:name="pg8675_123408"/>
    </w:p>
    <w:p>
      <w:pPr>
        <w:pStyle w:val="BookText"/>
        <w:rPr/>
      </w:pPr>
      <w:bookmarkEnd w:id="648"/>
      <w:r>
        <w:rPr>
          <w:rFonts w:ascii="Amiri" w:hAnsi="Amiri" w:eastAsia="Amiri" w:cs="Amiri"/>
          <w:color w:val="111111"/>
          <w:sz w:val="28"/>
          <w:sz w:val="28"/>
          <w:szCs w:val="28"/>
          <w:rtl w:val="true"/>
          <w:lang w:bidi="ar-SA"/>
        </w:rPr>
        <w:t>جميع أبواب الفقه، اخرج الفقه من حصار الوقوف على النصوص، من دون أن يتعبّد بأمور غيرمعتبرة، كالقياس والاستحسان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علي بن الحسين الموسوي، علم الهدى، الشريف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وهومن أبرز تلامذة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 تلميذه النجاشي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حاز من العلوم ما لم يدانه فيه أحد في زمانه، وسمع من الحديث فأكثر، وكان متكلماً شاعراً أديباً، عظيم المنزله في العلم والدين والدنيا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كتباً</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ومن أهمّ كتبه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أهمّ كتبه الأصولية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 إلى أصول الشريعة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حمزة بن عبدالعزيز الديلمي، سلاّر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أهم كتبه في الفقه،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المراسم العلوية</w:t>
      </w:r>
      <w:r>
        <w:rPr>
          <w:rFonts w:eastAsia="Amiri" w:cs="Amiri" w:ascii="Amiri" w:hAnsi="Amiri"/>
          <w:color w:val="111111"/>
          <w:sz w:val="28"/>
          <w:szCs w:val="28"/>
          <w:rtl w:val="true"/>
          <w:lang w:bidi="ar-SA"/>
        </w:rPr>
        <w:t>».</w:t>
      </w:r>
    </w:p>
    <w:p>
      <w:pPr>
        <w:pStyle w:val="Heading5"/>
        <w:numPr>
          <w:ilvl w:val="4"/>
          <w:numId w:val="1"/>
        </w:numPr>
        <w:rPr/>
      </w:pPr>
      <w:bookmarkStart w:id="649" w:name="__RefHeading___Toc2474224_653776707"/>
      <w:bookmarkStart w:id="650" w:name="_Toc236"/>
      <w:bookmarkEnd w:id="649"/>
      <w:r>
        <w:rPr>
          <w:rtl w:val="true"/>
        </w:rPr>
        <w:t>الأمر الرابع</w:t>
      </w:r>
      <w:r>
        <w:rPr>
          <w:rtl w:val="true"/>
        </w:rPr>
        <w:t xml:space="preserve">: </w:t>
      </w:r>
      <w:r>
        <w:rPr>
          <w:rtl w:val="true"/>
        </w:rPr>
        <w:t>منهج الإجتهاد في الدور الأول</w:t>
      </w:r>
      <w:bookmarkEnd w:id="650"/>
    </w:p>
    <w:p>
      <w:pPr>
        <w:pStyle w:val="Heading6"/>
        <w:numPr>
          <w:ilvl w:val="5"/>
          <w:numId w:val="1"/>
        </w:numPr>
        <w:rPr/>
      </w:pPr>
      <w:bookmarkStart w:id="651" w:name="__RefHeading___Toc2474226_653776707"/>
      <w:bookmarkStart w:id="652" w:name="_Toc237"/>
      <w:bookmarkEnd w:id="651"/>
      <w:r>
        <w:rPr>
          <w:rtl w:val="true"/>
        </w:rPr>
        <w:t>اشارة</w:t>
      </w:r>
      <w:bookmarkEnd w:id="65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ذكرنا في المبحث السابق، نواجه في الدور الأول من أدوار الإجتهاد، اتجاهين من فقهاء هذا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الاتجاه الروائي والاتجاه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هذين الاتجاهين، نواجه اتجاهاً ثالثاً، يعدّ خطاً متوسطاً بين هذين الاتجاهين، والآن نذكر أهم ما يتربط بكلّ من هذه الاتجاهات الثلاث</w:t>
      </w:r>
      <w:r>
        <w:rPr>
          <w:rFonts w:eastAsia="Amiri" w:cs="Amiri" w:ascii="Amiri" w:hAnsi="Amiri"/>
          <w:color w:val="111111"/>
          <w:sz w:val="28"/>
          <w:szCs w:val="28"/>
          <w:rtl w:val="true"/>
          <w:lang w:bidi="ar-SA"/>
        </w:rPr>
        <w:t xml:space="preserve">. </w:t>
      </w:r>
      <w:bookmarkStart w:id="653" w:name="pg8675_123411"/>
    </w:p>
    <w:p>
      <w:pPr>
        <w:pStyle w:val="Heading6"/>
        <w:numPr>
          <w:ilvl w:val="5"/>
          <w:numId w:val="1"/>
        </w:numPr>
        <w:rPr/>
      </w:pPr>
      <w:bookmarkStart w:id="654" w:name="__RefHeading___Toc2474228_653776707"/>
      <w:bookmarkStart w:id="655" w:name="_Toc238"/>
      <w:bookmarkEnd w:id="653"/>
      <w:bookmarkEnd w:id="654"/>
      <w:r>
        <w:rPr>
          <w:rtl w:val="true"/>
        </w:rPr>
        <w:t>الاتجاه الأول</w:t>
      </w:r>
      <w:r>
        <w:rPr>
          <w:rtl w:val="true"/>
        </w:rPr>
        <w:t xml:space="preserve">: </w:t>
      </w:r>
      <w:r>
        <w:rPr>
          <w:rtl w:val="true"/>
        </w:rPr>
        <w:t>الاتجاه الروائي</w:t>
      </w:r>
      <w:bookmarkEnd w:id="655"/>
    </w:p>
    <w:p>
      <w:pPr>
        <w:pStyle w:val="Heading6"/>
        <w:numPr>
          <w:ilvl w:val="5"/>
          <w:numId w:val="1"/>
        </w:numPr>
        <w:rPr/>
      </w:pPr>
      <w:bookmarkStart w:id="656" w:name="__RefHeading___Toc2474230_653776707"/>
      <w:bookmarkStart w:id="657" w:name="_Toc239"/>
      <w:bookmarkEnd w:id="656"/>
      <w:r>
        <w:rPr>
          <w:rtl w:val="true"/>
        </w:rPr>
        <w:t>اشارة</w:t>
      </w:r>
      <w:bookmarkEnd w:id="657"/>
    </w:p>
    <w:p>
      <w:pPr>
        <w:pStyle w:val="BookText"/>
        <w:rPr/>
      </w:pPr>
      <w:r>
        <w:rPr>
          <w:rFonts w:ascii="IRNazanin" w:hAnsi="IRNazanin" w:eastAsia="IRNazanin"/>
          <w:color w:val="111111"/>
          <w:sz w:val="28"/>
          <w:sz w:val="28"/>
          <w:szCs w:val="28"/>
          <w:rtl w:val="true"/>
          <w:lang w:bidi="fa-IR"/>
        </w:rPr>
        <w:t>يمثل هذه الاتجاه، الفقهاء الذين يعتمدون الحديث، وهم في الغالب من خريجيمدرسة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یسمون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الحديث، وقد يسمّون ایضاً بالاخبارية، والجدیر بالذّكر أن الاخبارية في ذلك العصر لم تكن لهم مدرسة ومنهج فقهی خاص كما ظهر بعد القرن العاشر، ومایری من منهج محمد أمين الاسترابادي فالمراد من أهل الحديث في هذا الدور، هم الذین مارسوا تدوين الحديث ونقل السنة؛ أذ لم يكن لهم مذهب خاص باسم مذهب أهل الحديث، وأمّا الاخبارية الحديثة، فسيأتي ذكر منهجهم ومدرستهم لاحقاً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كان لهؤلاء في نقل النصوص وكيفيّة تلقي الأخبار منهجان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الحديث من كل راومن دون فرق بين الثقة وغيره، وهم المعروفون بالاكثار عن الضعفاء، كسهل بن زياد، وأحمد بن محمد بن خالد البرقي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الحديث عن الثقه دون الضعيف، وهم شیوخ الشيعة في الحديث، كأحمد بن محمد بن عيسى، ومحمد بن حسن بن أحمد بن الوليد والصدوقين والكليني</w:t>
      </w:r>
      <w:r>
        <w:rPr>
          <w:rFonts w:eastAsia="IRNazanin" w:cs="IRNazanin"/>
          <w:color w:val="111111"/>
          <w:sz w:val="28"/>
          <w:szCs w:val="28"/>
          <w:rtl w:val="true"/>
          <w:lang w:bidi="fa-IR"/>
        </w:rPr>
        <w:t>.</w:t>
      </w:r>
      <w:r>
        <w:rPr>
          <w:rStyle w:val="FootnoteAnchor"/>
          <w:rtl w:val="true"/>
        </w:rPr>
        <w:footnoteReference w:id="332"/>
      </w:r>
    </w:p>
    <w:p>
      <w:pPr>
        <w:pStyle w:val="Heading6"/>
        <w:numPr>
          <w:ilvl w:val="5"/>
          <w:numId w:val="1"/>
        </w:numPr>
        <w:rPr/>
      </w:pPr>
      <w:bookmarkStart w:id="658" w:name="__RefHeading___Toc2474232_653776707"/>
      <w:bookmarkStart w:id="659" w:name="_Toc240"/>
      <w:bookmarkEnd w:id="658"/>
      <w:r>
        <w:rPr>
          <w:rtl w:val="true"/>
        </w:rPr>
        <w:t>الاتجاه الروائی والاستدلالات العقلية</w:t>
      </w:r>
      <w:r>
        <w:rPr>
          <w:rtl w:val="true"/>
        </w:rPr>
        <w:t>:</w:t>
      </w:r>
      <w:bookmarkEnd w:id="659"/>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كثيرین من أصحاب الاتجاه كانوا ينظرون إلى الاستدلالات العقلية علی أنها نوع من القياس الّذي نهى عنه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ويرون أن النهى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العمل بالقياس شامل لتلك الإستدلالات العقلية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وجود فرق بين القياس والإجتهاد </w:t>
      </w:r>
      <w:bookmarkStart w:id="660" w:name="pg8675_123414"/>
    </w:p>
    <w:p>
      <w:pPr>
        <w:pStyle w:val="BookText"/>
        <w:rPr/>
      </w:pPr>
      <w:bookmarkEnd w:id="660"/>
      <w:r>
        <w:rPr>
          <w:rFonts w:ascii="Amiri" w:hAnsi="Amiri" w:eastAsia="Amiri" w:cs="Amiri"/>
          <w:color w:val="111111"/>
          <w:sz w:val="28"/>
          <w:sz w:val="28"/>
          <w:szCs w:val="28"/>
          <w:rtl w:val="true"/>
          <w:lang w:bidi="ar-SA"/>
        </w:rPr>
        <w:t>بالرأي المنهي عنه، بين الأدلّة العقلية المظنونة والاستدلالات العقلية القطعية المعتبرة؛ كيف وقد كتب كثيرون منهم في ردّ الإجتهاد بالرأي والدليل العقلي الظنّي</w:t>
      </w:r>
      <w:r>
        <w:rPr>
          <w:rFonts w:eastAsia="Amiri" w:cs="Amiri" w:ascii="Amiri" w:hAnsi="Amiri"/>
          <w:color w:val="111111"/>
          <w:sz w:val="28"/>
          <w:szCs w:val="28"/>
          <w:rtl w:val="true"/>
          <w:lang w:bidi="ar-SA"/>
        </w:rPr>
        <w:t>.</w:t>
      </w:r>
      <w:r>
        <w:rPr>
          <w:rStyle w:val="FootnoteAnchor"/>
          <w:rtl w:val="true"/>
        </w:rPr>
        <w:footnoteReference w:id="333"/>
      </w:r>
    </w:p>
    <w:p>
      <w:pPr>
        <w:pStyle w:val="Heading6"/>
        <w:numPr>
          <w:ilvl w:val="5"/>
          <w:numId w:val="1"/>
        </w:numPr>
        <w:rPr/>
      </w:pPr>
      <w:bookmarkStart w:id="661" w:name="__RefHeading___Toc2474234_653776707"/>
      <w:bookmarkStart w:id="662" w:name="_Toc241"/>
      <w:bookmarkEnd w:id="661"/>
      <w:r>
        <w:rPr>
          <w:rtl w:val="true"/>
        </w:rPr>
        <w:t>الاتجاه الروائی والغلوّ</w:t>
      </w:r>
      <w:r>
        <w:rPr>
          <w:rtl w:val="true"/>
        </w:rPr>
        <w:t>:</w:t>
      </w:r>
      <w:bookmarkEnd w:id="662"/>
    </w:p>
    <w:p>
      <w:pPr>
        <w:pStyle w:val="BookText"/>
        <w:rPr/>
      </w:pPr>
      <w:r>
        <w:rPr>
          <w:rFonts w:ascii="IRNazanin" w:hAnsi="IRNazanin" w:eastAsia="IRNazanin"/>
          <w:color w:val="111111"/>
          <w:sz w:val="28"/>
          <w:sz w:val="28"/>
          <w:szCs w:val="28"/>
          <w:rtl w:val="true"/>
          <w:lang w:bidi="fa-IR"/>
        </w:rPr>
        <w:t>لاشك فی أن الغلاة يعدّون من الكفار، وأن الإمامية تبرّأوا منهم، وإنما الكلام والخلاف في تحديد الغلوّ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هناك اختلاف بين المدرستين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قم ومدرسة بغداد، أوماسمّيناه بالاتجاه الروائى والاتجاه العقلي في تحديد معنى الغلو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فأصحاب الاتجاه الروائى كان الرأي الرائج بينهم نسبة السهوإلى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الصلاة، وقد تبنّاه به الشيخ الصدوق واستاذه محمد بن الحسن بن الوليد القمي، اعتماداً على الروايات في هذا الباب؛ ولذلك كانوا يتهمون البغدايين الذين ينكرون هذه النسبة بالغلوّ، 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وعلامة المفوضة والغلاة واصنافهم نسبتهم مشايخ قم وعلمائهم إلى القول بالتقصير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زعموا أن نسبة علم الغيب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لاتخلوعن غلوّ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مقابل ذلك کان اصحاب الاتجاه العقلي وعلماء بغداد يتهمون القميين بالتقصير</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سمعنا حكاية ظاهرة عن أبي جعفر محمد بن الحسن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نجد لها دافعاً في التقصير، وهي ما حكي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درجه في الغلونفي السهوعن النبي والإمام، فإن صحّت هذه الحكاية، فهومقصّر، مع أنه من </w:t>
      </w:r>
      <w:bookmarkStart w:id="663" w:name="pg8675_123417"/>
    </w:p>
    <w:p>
      <w:pPr>
        <w:pStyle w:val="BookText"/>
        <w:rPr/>
      </w:pPr>
      <w:bookmarkEnd w:id="663"/>
      <w:r>
        <w:rPr>
          <w:rFonts w:ascii="IRNazanin" w:hAnsi="IRNazanin" w:eastAsia="IRNazanin"/>
          <w:color w:val="111111"/>
          <w:sz w:val="28"/>
          <w:sz w:val="28"/>
          <w:szCs w:val="28"/>
          <w:rtl w:val="true"/>
          <w:lang w:bidi="fa-IR"/>
        </w:rPr>
        <w:t>علماء القميّين ومشایخهم</w:t>
      </w:r>
      <w:r>
        <w:rPr>
          <w:rFonts w:eastAsia="IRNazanin" w:cs="IRNazanin"/>
          <w:color w:val="111111"/>
          <w:sz w:val="28"/>
          <w:szCs w:val="28"/>
          <w:rtl w:val="true"/>
          <w:lang w:bidi="fa-IR"/>
        </w:rPr>
        <w:t>.</w:t>
      </w:r>
    </w:p>
    <w:p>
      <w:pPr>
        <w:pStyle w:val="Heading6"/>
        <w:numPr>
          <w:ilvl w:val="5"/>
          <w:numId w:val="1"/>
        </w:numPr>
        <w:rPr/>
      </w:pPr>
      <w:bookmarkStart w:id="664" w:name="__RefHeading___Toc2474236_653776707"/>
      <w:bookmarkStart w:id="665" w:name="_Toc242"/>
      <w:bookmarkEnd w:id="664"/>
      <w:r>
        <w:rPr>
          <w:rtl w:val="true"/>
        </w:rPr>
        <w:t>الاتجاه الثاني</w:t>
      </w:r>
      <w:r>
        <w:rPr>
          <w:rtl w:val="true"/>
        </w:rPr>
        <w:t xml:space="preserve">: </w:t>
      </w:r>
      <w:r>
        <w:rPr>
          <w:rtl w:val="true"/>
        </w:rPr>
        <w:t>الإتجاه العقلي</w:t>
      </w:r>
      <w:bookmarkEnd w:id="665"/>
    </w:p>
    <w:p>
      <w:pPr>
        <w:pStyle w:val="BookText"/>
        <w:rPr/>
      </w:pPr>
      <w:r>
        <w:rPr>
          <w:rFonts w:ascii="Amiri" w:hAnsi="Amiri" w:eastAsia="Amiri" w:cs="Amiri"/>
          <w:color w:val="111111"/>
          <w:sz w:val="28"/>
          <w:sz w:val="28"/>
          <w:szCs w:val="28"/>
          <w:rtl w:val="true"/>
          <w:lang w:bidi="ar-SA"/>
        </w:rPr>
        <w:t xml:space="preserve">يمثل الاتجاه العقلي، الفقهاء الذين كانوا يعتمدون على الأصول العقلية، ولهم طريقتهم الخاصة بهم في الاستدلال العقلي، كالقديمين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العمّاني والاسكافي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وأصحاب الاتجاه العقلي، كانوا في الغالب من خرّيجي مدرسة بغداد، والسبب فيذلك أن المباحث العقلية كثرت في بغداد، ولا سيما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فبالنسبة إلى الغلو، كانوا يردّون الاتهام وينسبون القميين إلى التقصير، وقد كان هذا النزاع قائماً إلى أن طواه الشيخ المفيد</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ولواء الاتجاه العقلي كان معقوداً لطائفة من المجتهدين، من أشهرهم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أبي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مرّ ذكره، والظاهر حسب النسبة أنه كان فقيها بعمّان</w:t>
      </w:r>
      <w:r>
        <w:rPr>
          <w:rStyle w:val="FootnoteAnchor"/>
          <w:rtl w:val="true"/>
        </w:rPr>
        <w:footnoteReference w:id="334"/>
      </w:r>
      <w:r>
        <w:rPr>
          <w:rFonts w:ascii="IRNazanin" w:hAnsi="IRNazanin" w:eastAsia="IRNazanin"/>
          <w:color w:val="111111"/>
          <w:sz w:val="28"/>
          <w:sz w:val="28"/>
          <w:szCs w:val="28"/>
          <w:rtl w:val="true"/>
          <w:lang w:bidi="fa-IR"/>
        </w:rPr>
        <w:t>وكانت الصلة بينه وبين الحواضر العلمية ضعيفة، ولاجل ذلك ينقل عنه بعض الفتاوى الشاذّة، كعدم تنجس الماء القليل بمجرد الملاقاة، وعدم وجوب طواف النساء، وعدم اشتراط رضي المرأة في نكاح بنت أخيها وبنت أختها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في ساحة الفقه، أما فی ساحة الأصول، كان لايعمل إلاّ بالأخبار المتواترة أوالأخبار القطعية؛ ولكنه كالمفيد والمرتضى کان يدعى التواتر كثيراً في مالا تواتر فيه</w:t>
      </w:r>
      <w:r>
        <w:rPr>
          <w:rFonts w:eastAsia="IRNazanin" w:cs="IRNazanin"/>
          <w:color w:val="111111"/>
          <w:sz w:val="28"/>
          <w:szCs w:val="28"/>
          <w:rtl w:val="true"/>
          <w:lang w:bidi="fa-IR"/>
        </w:rPr>
        <w:t>.</w:t>
      </w:r>
      <w:r>
        <w:rPr>
          <w:rStyle w:val="FootnoteAnchor"/>
          <w:rtl w:val="true"/>
        </w:rPr>
        <w:footnoteReference w:id="335"/>
      </w:r>
      <w:bookmarkStart w:id="666" w:name="pg8675_123420"/>
    </w:p>
    <w:p>
      <w:pPr>
        <w:pStyle w:val="BookText"/>
        <w:rPr/>
      </w:pPr>
      <w:bookmarkEnd w:id="666"/>
      <w:r>
        <w:rPr>
          <w:rFonts w:ascii="IRNazanin" w:hAnsi="IRNazanin" w:eastAsia="IRNazanin"/>
          <w:color w:val="111111"/>
          <w:sz w:val="28"/>
          <w:sz w:val="28"/>
          <w:szCs w:val="28"/>
          <w:rtl w:val="true"/>
          <w:lang w:bidi="fa-IR"/>
        </w:rPr>
        <w:t xml:space="preserve">والفقيه الثاني من هذا الاتجاه، هومحمد بن أحمد بن الجنيد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بالاسكافي، قال الشيخ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جيّد التصنيف حسنه إلاّ أنه كان يرى القول بالقياس، فتركت لذلك كتبه ولم يعوّل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مسلك الرجل لم يكن مورد الرضا لأعلام الأمّة كالمفيد والمرتضى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أفرد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نقد مسلكه رسالتين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رسالة الجنيدي إلى أهل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المنقض على ابن الجنيد في إجتهاد الرأي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الأسف لم يصل إلينا شئ من الرسالتين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 المفيد ردّ علىابن الجنيد في ثنايا كتابيه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المسائل الصاغانية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والمسائل السروية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ويظهر من ردوده أن ابن الجنيد كان متاثراً بالمناهج الفقهية السنیّة</w:t>
      </w:r>
      <w:r>
        <w:rPr>
          <w:rFonts w:eastAsia="IRNazanin" w:cs="IRNazanin"/>
          <w:color w:val="111111"/>
          <w:sz w:val="28"/>
          <w:szCs w:val="28"/>
          <w:rtl w:val="true"/>
          <w:lang w:bidi="fa-IR"/>
        </w:rPr>
        <w:t>.</w:t>
      </w:r>
      <w:r>
        <w:rPr>
          <w:rStyle w:val="FootnoteAnchor"/>
          <w:rtl w:val="true"/>
        </w:rPr>
        <w:footnoteReference w:id="336"/>
      </w:r>
    </w:p>
    <w:p>
      <w:pPr>
        <w:pStyle w:val="Heading6"/>
        <w:numPr>
          <w:ilvl w:val="5"/>
          <w:numId w:val="1"/>
        </w:numPr>
        <w:rPr/>
      </w:pPr>
      <w:bookmarkStart w:id="667" w:name="__RefHeading___Toc2474238_653776707"/>
      <w:bookmarkStart w:id="668" w:name="_Toc243"/>
      <w:bookmarkEnd w:id="667"/>
      <w:r>
        <w:rPr>
          <w:rtl w:val="true"/>
        </w:rPr>
        <w:t>الاتجاه الثالث</w:t>
      </w:r>
      <w:r>
        <w:rPr>
          <w:rtl w:val="true"/>
        </w:rPr>
        <w:t xml:space="preserve">: </w:t>
      </w:r>
      <w:r>
        <w:rPr>
          <w:rtl w:val="true"/>
        </w:rPr>
        <w:t>خط الإعتدال والتوفیق بين العقل والنقل</w:t>
      </w:r>
      <w:bookmarkEnd w:id="668"/>
    </w:p>
    <w:p>
      <w:pPr>
        <w:pStyle w:val="BookText"/>
        <w:rPr/>
      </w:pPr>
      <w:r>
        <w:rPr>
          <w:rFonts w:ascii="Amiri" w:hAnsi="Amiri" w:eastAsia="Amiri" w:cs="Amiri"/>
          <w:color w:val="111111"/>
          <w:sz w:val="28"/>
          <w:sz w:val="28"/>
          <w:szCs w:val="28"/>
          <w:rtl w:val="true"/>
          <w:lang w:bidi="ar-SA"/>
        </w:rPr>
        <w:t xml:space="preserve">وكان يحمل لواء هذا الاتجاه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وإن كان من أجلّة تلاميذ ابن الجنيد، وقد استفاد منه كثيراً؛ لكنه عارض طريقته في الاستدلال وخطّأه في موارد عديدة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حكي عن شيخ الشريعة الاصفهاني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لبعض الفقهاء حقاً عظيماً في تثبيت الهوية الفكرية للشيعة في سالف الزمان، منهم الشيخ المفيد فقد جعل الفقه ينحومنهج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صائناً له عن التحريف والضلال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لأكثر فقهائنا مع تثبّتهم في الفقه، فتاوى شاذة تخالف فتاوى مشاهير الفقهاء ولكن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w:t>
      </w:r>
    </w:p>
    <w:p>
      <w:pPr>
        <w:pStyle w:val="BookText"/>
        <w:rPr/>
      </w:pPr>
      <w:r>
        <w:rPr>
          <w:rFonts w:ascii="Amiri" w:hAnsi="Amiri" w:eastAsia="Amiri" w:cs="Amiri"/>
          <w:color w:val="111111"/>
          <w:sz w:val="28"/>
          <w:sz w:val="28"/>
          <w:szCs w:val="28"/>
          <w:rtl w:val="true"/>
          <w:lang w:bidi="ar-SA"/>
        </w:rPr>
        <w:t>تتلمّذ على أيدى اهل القياس، لم يتأثر بأفكارهم وابعد القياس عن فقهه</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 xml:space="preserve">هذه مسيرة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الفكرية بالنسبة إلى الإتجاه العقلي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مسيرته بالنسبة إلى الاتجاه النقلى ومواجهته مع اهل الحدیث، فإنه ردّ عليهم ردّاً عنيفاً، حیث قال في حقّهم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أصحابنا المتعلقين بالأخبار، أصحاب سلامة وبُعد ذهن، وقلّة فطنة، يمرّون على وجوههم فيما سمعوه من الأحاديث ولا ينظرون في سندها ولايفرّقون بين حقها وباطلها ولايفهمون ما يدخل عليهم في اثباتهاولايحصلون معاني ما يطلقونه منها</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وأيضا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وجدنا جماعة وردوا إلينا من قم، يقصّرون تقصيراً ظاهراً في الدين، وينزلون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مراتبهم، يزعمون أنهم كانوا لايعرفون كثيراً من الأحكام الدينية، حتى ينكت في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ورأينا في اولئك من يقول أنّهم ملتجئون في أحكام الشريعة إلى الرأي والظنون؛ ويدعون مع ذلك انهم من العلماء، وهذا هوالتقصير الّذي لاشبهة فيه</w:t>
      </w:r>
      <w:r>
        <w:rPr>
          <w:rFonts w:eastAsia="IRNazanin" w:cs="IRNazanin"/>
          <w:color w:val="111111"/>
          <w:sz w:val="28"/>
          <w:szCs w:val="28"/>
          <w:rtl w:val="true"/>
          <w:lang w:bidi="fa-IR"/>
        </w:rPr>
        <w:t>».</w:t>
      </w:r>
      <w:r>
        <w:rPr>
          <w:rStyle w:val="FootnoteAnchor"/>
          <w:rtl w:val="true"/>
        </w:rPr>
        <w:footnoteReference w:id="339"/>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أيضاً، ردّا على ما اثبته الشيخ أبوجعفر ابن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كتبه من الأخبار المسندة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فليس يجب العمل بجميعه إذا لم يكن ثابتاً من الطرق التي تعلق بها قول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هي أخبار أحاد لا توجب علماً ولا عملاً، وروايتهاعمن يجوز عليه السهووالخلط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روى 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 ونقل ما حفظ، ولم يضمن العهدة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 الحديث ينقلون الغث والسمين، ولا </w:t>
      </w:r>
      <w:bookmarkStart w:id="669" w:name="pg8675_123428"/>
    </w:p>
    <w:p>
      <w:pPr>
        <w:pStyle w:val="BookText"/>
        <w:rPr/>
      </w:pPr>
      <w:bookmarkEnd w:id="669"/>
      <w:r>
        <w:rPr>
          <w:rFonts w:ascii="Amiri" w:hAnsi="Amiri" w:eastAsia="Amiri" w:cs="Amiri"/>
          <w:color w:val="111111"/>
          <w:sz w:val="28"/>
          <w:sz w:val="28"/>
          <w:szCs w:val="28"/>
          <w:rtl w:val="true"/>
          <w:lang w:bidi="ar-SA"/>
        </w:rPr>
        <w:t>يقتصرون في النقل عن المعلوم، وليسوا بأصحاب نظر وتفتيش ولا فكر فيما يروونه وتمييز، فاخبارهم مختلطة، لا يتميزّ منها الصحيح من السقيم إلاّ بنظر في الأصول واعتماد على النظر الّذي يوصل إلى العلم بصحة المنقول</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 xml:space="preserve">فهذه كانت طريقة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الإجتهاد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بعده، قد استمرت هذه الطريقه وهى طريقة الإعتدال في الإجتهاد، واتبع تلاميذه نفس هذه المدرسة كالسيد المرتضى وسلاّر والشيخ الطوسي وغيرهم</w:t>
      </w:r>
    </w:p>
    <w:p>
      <w:pPr>
        <w:pStyle w:val="Heading5"/>
        <w:numPr>
          <w:ilvl w:val="4"/>
          <w:numId w:val="1"/>
        </w:numPr>
        <w:rPr/>
      </w:pPr>
      <w:bookmarkStart w:id="670" w:name="__RefHeading___Toc2474240_653776707"/>
      <w:bookmarkStart w:id="671" w:name="_Toc244"/>
      <w:bookmarkEnd w:id="670"/>
      <w:r>
        <w:rPr>
          <w:rtl w:val="true"/>
        </w:rPr>
        <w:t>الأمر الخامس</w:t>
      </w:r>
      <w:r>
        <w:rPr>
          <w:rtl w:val="true"/>
        </w:rPr>
        <w:t xml:space="preserve">: </w:t>
      </w:r>
      <w:r>
        <w:rPr>
          <w:rtl w:val="true"/>
        </w:rPr>
        <w:t>أهم خصائص دور التأسيس</w:t>
      </w:r>
      <w:bookmarkEnd w:id="67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تدوين القواعد الأصولية</w:t>
      </w:r>
    </w:p>
    <w:p>
      <w:pPr>
        <w:pStyle w:val="BookText"/>
        <w:rPr/>
      </w:pPr>
      <w:r>
        <w:rPr>
          <w:rFonts w:ascii="Amiri" w:hAnsi="Amiri" w:eastAsia="Amiri" w:cs="Amiri"/>
          <w:color w:val="111111"/>
          <w:sz w:val="28"/>
          <w:sz w:val="28"/>
          <w:szCs w:val="28"/>
          <w:rtl w:val="true"/>
          <w:lang w:bidi="ar-SA"/>
        </w:rPr>
        <w:t>من أبرز مميّزات هذا الدور تدوين القواعد الأصولية في سياق علمي، وقد تمثل ذلك في تأليف كتابين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التذكرة باصول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اورد مختصره الكرا جكي في 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 إلى أصول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الكتب الفقهية الاستدلالية</w:t>
      </w:r>
    </w:p>
    <w:p>
      <w:pPr>
        <w:pStyle w:val="BookText"/>
        <w:rPr/>
      </w:pPr>
      <w:r>
        <w:rPr>
          <w:rFonts w:ascii="Amiri" w:hAnsi="Amiri" w:eastAsia="Amiri" w:cs="Amiri"/>
          <w:color w:val="111111"/>
          <w:sz w:val="28"/>
          <w:sz w:val="28"/>
          <w:szCs w:val="28"/>
          <w:rtl w:val="true"/>
          <w:lang w:bidi="ar-SA"/>
        </w:rPr>
        <w:t>رغم أن بدايات هذا الدور عرفت بالفقه المأثور كما مرّ ذكره لكن الفقهاء توسّعوا بعد ذلك في عمليات الإستنباط متجاوزين النصوص إلى اكتشاف موارد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ونلاحظ ذلك عياناً في كتب المفيد ومن بعده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كتب الفقه المقارن </w:t>
      </w:r>
    </w:p>
    <w:p>
      <w:pPr>
        <w:pStyle w:val="BookText"/>
        <w:rPr/>
      </w:pPr>
      <w:r>
        <w:rPr>
          <w:rFonts w:ascii="Amiri" w:hAnsi="Amiri" w:eastAsia="Amiri" w:cs="Amiri"/>
          <w:color w:val="111111"/>
          <w:sz w:val="28"/>
          <w:sz w:val="28"/>
          <w:szCs w:val="28"/>
          <w:rtl w:val="true"/>
          <w:lang w:bidi="ar-SA"/>
        </w:rPr>
        <w:t xml:space="preserve">الّف الشيخ المفيد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المرتضى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المقارن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الأحكام الفقهية على شكل أجوبة على مسائل واستفتائات كانت ترد على الفقهاء من مختلف الأقطار</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إعتبار أخبار الاحاد والاهتمام بالاجماعات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ابن الجنيد والمفيد والمرتضى وغيرهم</w:t>
      </w:r>
      <w:r>
        <w:rPr>
          <w:rFonts w:eastAsia="Amiri" w:cs="Amiri" w:ascii="Amiri" w:hAnsi="Amiri"/>
          <w:color w:val="111111"/>
          <w:sz w:val="28"/>
          <w:szCs w:val="28"/>
          <w:rtl w:val="true"/>
          <w:lang w:bidi="ar-SA"/>
        </w:rPr>
        <w:t>.</w:t>
      </w:r>
      <w:r>
        <w:rPr>
          <w:rStyle w:val="FootnoteAnchor"/>
          <w:rtl w:val="true"/>
        </w:rPr>
        <w:footnoteReference w:id="341"/>
      </w:r>
      <w:bookmarkStart w:id="672" w:name="pg8675_123434"/>
    </w:p>
    <w:p>
      <w:pPr>
        <w:pStyle w:val="Heading4"/>
        <w:numPr>
          <w:ilvl w:val="3"/>
          <w:numId w:val="1"/>
        </w:numPr>
        <w:rPr/>
      </w:pPr>
      <w:bookmarkStart w:id="673" w:name="__RefHeading___Toc2474242_653776707"/>
      <w:bookmarkStart w:id="674" w:name="_Toc245"/>
      <w:bookmarkEnd w:id="672"/>
      <w:bookmarkEnd w:id="673"/>
      <w:r>
        <w:rPr>
          <w:rtl w:val="true"/>
        </w:rPr>
        <w:t>الدور الثاني دور الإنطلاق</w:t>
      </w:r>
      <w:bookmarkEnd w:id="674"/>
    </w:p>
    <w:p>
      <w:pPr>
        <w:pStyle w:val="Heading5"/>
        <w:numPr>
          <w:ilvl w:val="4"/>
          <w:numId w:val="1"/>
        </w:numPr>
        <w:rPr/>
      </w:pPr>
      <w:bookmarkStart w:id="675" w:name="__RefHeading___Toc2474244_653776707"/>
      <w:bookmarkStart w:id="676" w:name="_Toc246"/>
      <w:bookmarkEnd w:id="675"/>
      <w:r>
        <w:rPr>
          <w:rtl w:val="true"/>
        </w:rPr>
        <w:t>اشارة</w:t>
      </w:r>
      <w:bookmarkEnd w:id="676"/>
    </w:p>
    <w:p>
      <w:pPr>
        <w:pStyle w:val="BookText"/>
        <w:rPr/>
      </w:pPr>
      <w:r>
        <w:rPr>
          <w:rFonts w:ascii="Amiri" w:hAnsi="Amiri" w:eastAsia="Amiri" w:cs="Amiri"/>
          <w:color w:val="111111"/>
          <w:sz w:val="28"/>
          <w:sz w:val="28"/>
          <w:szCs w:val="28"/>
          <w:rtl w:val="true"/>
          <w:lang w:bidi="ar-SA"/>
        </w:rPr>
        <w:t>البحث عن دور الإنطلاق كما ذكرنا بالنسبة إلى جميع أدوار الإجتهاد يقع في أمور خمسه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تحديد دور الإنطلاق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التعريف بدور الإنطلاق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فقهاء الدور وأهم مؤلفاتهم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منهج الإجتهاد في دور الإنطلاق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أهم خصائص دور الإنطلاق</w:t>
      </w:r>
    </w:p>
    <w:p>
      <w:pPr>
        <w:pStyle w:val="BookText"/>
        <w:rPr/>
      </w:pPr>
      <w:r>
        <w:rPr>
          <w:rFonts w:ascii="Amiri" w:hAnsi="Amiri" w:eastAsia="Amiri" w:cs="Amiri"/>
          <w:color w:val="111111"/>
          <w:sz w:val="28"/>
          <w:sz w:val="28"/>
          <w:szCs w:val="28"/>
          <w:rtl w:val="true"/>
          <w:lang w:bidi="ar-SA"/>
        </w:rPr>
        <w:t>وإليك البحث عن هذه الأمور في الدور الثاني من أدوار الإجتهاد</w:t>
      </w:r>
      <w:r>
        <w:rPr>
          <w:rFonts w:eastAsia="Amiri" w:cs="Amiri" w:ascii="Amiri" w:hAnsi="Amiri"/>
          <w:color w:val="111111"/>
          <w:sz w:val="28"/>
          <w:szCs w:val="28"/>
          <w:rtl w:val="true"/>
          <w:lang w:bidi="ar-SA"/>
        </w:rPr>
        <w:t>.</w:t>
      </w:r>
    </w:p>
    <w:p>
      <w:pPr>
        <w:pStyle w:val="Heading5"/>
        <w:numPr>
          <w:ilvl w:val="4"/>
          <w:numId w:val="1"/>
        </w:numPr>
        <w:rPr/>
      </w:pPr>
      <w:bookmarkStart w:id="677" w:name="__RefHeading___Toc2474246_653776707"/>
      <w:bookmarkStart w:id="678" w:name="_Toc247"/>
      <w:bookmarkEnd w:id="677"/>
      <w:r>
        <w:rPr>
          <w:rtl w:val="true"/>
        </w:rPr>
        <w:t>الأمر الأول</w:t>
      </w:r>
      <w:r>
        <w:rPr>
          <w:rtl w:val="true"/>
        </w:rPr>
        <w:t xml:space="preserve">: </w:t>
      </w:r>
      <w:r>
        <w:rPr>
          <w:rtl w:val="true"/>
        </w:rPr>
        <w:t>تحديد دور الإنطلاق</w:t>
      </w:r>
      <w:bookmarkEnd w:id="678"/>
    </w:p>
    <w:p>
      <w:pPr>
        <w:pStyle w:val="BookText"/>
        <w:rPr/>
      </w:pPr>
      <w:r>
        <w:rPr>
          <w:rFonts w:ascii="Amiri" w:hAnsi="Amiri" w:eastAsia="Amiri" w:cs="Amiri"/>
          <w:color w:val="111111"/>
          <w:sz w:val="28"/>
          <w:sz w:val="28"/>
          <w:szCs w:val="28"/>
          <w:rtl w:val="true"/>
          <w:lang w:bidi="ar-SA"/>
        </w:rPr>
        <w:t xml:space="preserve">يبدا هذا الدور من عهد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عهد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منتصف القرن الخامس إلى منتصف القرن السابع</w:t>
      </w:r>
      <w:r>
        <w:rPr>
          <w:rFonts w:eastAsia="Amiri" w:cs="Amiri" w:ascii="Amiri" w:hAnsi="Amiri"/>
          <w:color w:val="111111"/>
          <w:sz w:val="28"/>
          <w:szCs w:val="28"/>
          <w:rtl w:val="true"/>
          <w:lang w:bidi="ar-SA"/>
        </w:rPr>
        <w:t>.</w:t>
      </w:r>
    </w:p>
    <w:p>
      <w:pPr>
        <w:pStyle w:val="Heading5"/>
        <w:numPr>
          <w:ilvl w:val="4"/>
          <w:numId w:val="1"/>
        </w:numPr>
        <w:rPr/>
      </w:pPr>
      <w:bookmarkStart w:id="679" w:name="__RefHeading___Toc2474248_653776707"/>
      <w:bookmarkStart w:id="680" w:name="_Toc248"/>
      <w:bookmarkEnd w:id="679"/>
      <w:r>
        <w:rPr>
          <w:rtl w:val="true"/>
        </w:rPr>
        <w:t>الأمر الثانی</w:t>
      </w:r>
      <w:r>
        <w:rPr>
          <w:rtl w:val="true"/>
        </w:rPr>
        <w:t xml:space="preserve">: </w:t>
      </w:r>
      <w:r>
        <w:rPr>
          <w:rtl w:val="true"/>
        </w:rPr>
        <w:t>التعریف بدور الإنطلاق</w:t>
      </w:r>
      <w:bookmarkEnd w:id="68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انطلق الإجتهاد على يد الشيخ الطوسي في هذا الدور، حيث استطاع بما أوتي من نبوغ أن یخطوبالفقه، بل بعلوم الشريعة كلّها، خطوات عظيمة إلى الأمام 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bookmarkStart w:id="681" w:name="pg8675_123437"/>
    </w:p>
    <w:p>
      <w:pPr>
        <w:pStyle w:val="BookText"/>
        <w:rPr/>
      </w:pPr>
      <w:bookmarkEnd w:id="681"/>
      <w:r>
        <w:rPr>
          <w:rFonts w:ascii="Amiri" w:hAnsi="Amiri" w:eastAsia="Amiri" w:cs="Amiri"/>
          <w:color w:val="111111"/>
          <w:sz w:val="28"/>
          <w:sz w:val="28"/>
          <w:szCs w:val="28"/>
          <w:rtl w:val="true"/>
          <w:lang w:bidi="ar-SA"/>
        </w:rPr>
        <w:t>إمام الحياة العلميّة والإجتهادية، وزعيمها الأوحد في ذلك العصر</w:t>
      </w:r>
      <w:r>
        <w:rPr>
          <w:rStyle w:val="FootnoteAnchor"/>
          <w:rtl w:val="true"/>
        </w:rPr>
        <w:footnoteReference w:id="342"/>
      </w:r>
      <w:r>
        <w:rPr>
          <w:rFonts w:ascii="IRNazanin" w:hAnsi="IRNazanin" w:eastAsia="IRNazanin"/>
          <w:color w:val="111111"/>
          <w:sz w:val="28"/>
          <w:sz w:val="28"/>
          <w:szCs w:val="28"/>
          <w:rtl w:val="true"/>
          <w:lang w:bidi="fa-IR"/>
        </w:rPr>
        <w:t>وقد استأثر الشيخ بعواطف تلاميذه ومعاصريه، واستطاع أن يحتلّ في قلوبهم مكانة رفيعة احاطته بهالة من القداسة بحیث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مناقشة آرائه تبدوا کإهانةٍ لشخصيته الفذّة</w:t>
      </w:r>
      <w:r>
        <w:rPr>
          <w:rFonts w:eastAsia="IRNazanin" w:cs="IRNazanin"/>
          <w:color w:val="111111"/>
          <w:sz w:val="28"/>
          <w:szCs w:val="28"/>
          <w:rtl w:val="true"/>
          <w:lang w:bidi="fa-IR"/>
        </w:rPr>
        <w:t>.</w:t>
      </w:r>
      <w:r>
        <w:rPr>
          <w:rStyle w:val="FootnoteAnchor"/>
          <w:rtl w:val="true"/>
        </w:rPr>
        <w:footnoteReference w:id="343"/>
      </w:r>
    </w:p>
    <w:p>
      <w:pPr>
        <w:pStyle w:val="Heading5"/>
        <w:numPr>
          <w:ilvl w:val="4"/>
          <w:numId w:val="1"/>
        </w:numPr>
        <w:rPr/>
      </w:pPr>
      <w:bookmarkStart w:id="682" w:name="__RefHeading___Toc2474250_653776707"/>
      <w:bookmarkStart w:id="683" w:name="_Toc249"/>
      <w:bookmarkEnd w:id="682"/>
      <w:r>
        <w:rPr>
          <w:rtl w:val="true"/>
        </w:rPr>
        <w:t>الأمر الثالث</w:t>
      </w:r>
      <w:r>
        <w:rPr>
          <w:rtl w:val="true"/>
        </w:rPr>
        <w:t xml:space="preserve">: </w:t>
      </w:r>
      <w:r>
        <w:rPr>
          <w:rtl w:val="true"/>
        </w:rPr>
        <w:t>فقهاء دور الإنطلاق وأهم مؤلفاتهم</w:t>
      </w:r>
      <w:bookmarkEnd w:id="683"/>
    </w:p>
    <w:p>
      <w:pPr>
        <w:pStyle w:val="Heading6"/>
        <w:numPr>
          <w:ilvl w:val="5"/>
          <w:numId w:val="1"/>
        </w:numPr>
        <w:rPr/>
      </w:pPr>
      <w:bookmarkStart w:id="684" w:name="__RefHeading___Toc2474252_653776707"/>
      <w:bookmarkStart w:id="685" w:name="_Toc250"/>
      <w:bookmarkEnd w:id="684"/>
      <w:r>
        <w:rPr>
          <w:rtl w:val="true"/>
        </w:rPr>
        <w:t>اشارة</w:t>
      </w:r>
      <w:bookmarkEnd w:id="685"/>
    </w:p>
    <w:p>
      <w:pPr>
        <w:pStyle w:val="BookText"/>
        <w:rPr/>
      </w:pPr>
      <w:r>
        <w:rPr>
          <w:rFonts w:ascii="Amiri" w:hAnsi="Amiri" w:eastAsia="Amiri" w:cs="Amiri"/>
          <w:color w:val="111111"/>
          <w:sz w:val="28"/>
          <w:sz w:val="28"/>
          <w:szCs w:val="28"/>
          <w:rtl w:val="true"/>
          <w:lang w:bidi="ar-SA"/>
        </w:rPr>
        <w:t>يمكن أن نقسّم فقهاء هذا الدور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ومعاصروه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فقهاء بعد الشيخ</w:t>
      </w:r>
      <w:r>
        <w:rPr>
          <w:rFonts w:eastAsia="Amiri" w:cs="Amiri" w:ascii="Amiri" w:hAnsi="Amiri"/>
          <w:color w:val="111111"/>
          <w:sz w:val="28"/>
          <w:szCs w:val="28"/>
          <w:rtl w:val="true"/>
          <w:lang w:bidi="ar-SA"/>
        </w:rPr>
        <w:t>.</w:t>
      </w:r>
    </w:p>
    <w:p>
      <w:pPr>
        <w:pStyle w:val="Heading6"/>
        <w:numPr>
          <w:ilvl w:val="5"/>
          <w:numId w:val="1"/>
        </w:numPr>
        <w:rPr/>
      </w:pPr>
      <w:bookmarkStart w:id="686" w:name="__RefHeading___Toc2474254_653776707"/>
      <w:bookmarkStart w:id="687" w:name="_Toc251"/>
      <w:bookmarkEnd w:id="686"/>
      <w:r>
        <w:rPr>
          <w:rtl w:val="true"/>
        </w:rPr>
        <w:t>ألف</w:t>
      </w:r>
      <w:r>
        <w:rPr>
          <w:rtl w:val="true"/>
        </w:rPr>
        <w:t xml:space="preserve">) </w:t>
      </w:r>
      <w:r>
        <w:rPr>
          <w:rtl w:val="true"/>
        </w:rPr>
        <w:t>الشيخ ومعاصروه</w:t>
      </w:r>
      <w:r>
        <w:rPr>
          <w:rtl w:val="true"/>
        </w:rPr>
        <w:t>:</w:t>
      </w:r>
      <w:bookmarkEnd w:id="687"/>
    </w:p>
    <w:p>
      <w:pPr>
        <w:pStyle w:val="Heading6"/>
        <w:numPr>
          <w:ilvl w:val="5"/>
          <w:numId w:val="1"/>
        </w:numPr>
        <w:rPr/>
      </w:pPr>
      <w:bookmarkStart w:id="688" w:name="__RefHeading___Toc2474256_653776707"/>
      <w:bookmarkStart w:id="689" w:name="_Toc252"/>
      <w:bookmarkEnd w:id="688"/>
      <w:r>
        <w:rPr>
          <w:rtl w:val="true"/>
        </w:rPr>
        <w:t>اشارة</w:t>
      </w:r>
      <w:bookmarkEnd w:id="6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ولد شيخ الطائفة، أبوجعفر محمد بن الحسن بن علي بن الحسن الطوسي في مدينة طوس في أيران، في شهر رمضان سنة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وهاجر إلى بغداد سنة </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يُنقل في التراجم والتاريخ شيئاً كثيراً عن الفترة الزمنیة التي قضاها الشيخ في مسقط رأسه ولا عن اساتذته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تتلمذ في بغداد على علمين كبيرين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المفيد والسید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علماً للفقه ومرجعاً للشيعة بعد رحيل استاذة الشريف‌المرتضى سنة </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تقاطر إليه العلماء والفضلاء للتلمذة عليه وبلغت عدة تلاميذه ثلاثمائة من </w:t>
      </w:r>
    </w:p>
    <w:p>
      <w:pPr>
        <w:pStyle w:val="BookText"/>
        <w:rPr/>
      </w:pPr>
      <w:r>
        <w:rPr>
          <w:rFonts w:ascii="Amiri" w:hAnsi="Amiri" w:eastAsia="Amiri" w:cs="Amiri"/>
          <w:color w:val="111111"/>
          <w:sz w:val="28"/>
          <w:sz w:val="28"/>
          <w:szCs w:val="28"/>
          <w:rtl w:val="true"/>
          <w:lang w:bidi="ar-SA"/>
        </w:rPr>
        <w:t>مجتهدى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وبلغ الأمر من الاعتقاد به والإكبار له أن جعل له الخليفة أنذاك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بأمر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كرسيّ الكلام، وقد كان لهذا الكرسيّ يوم ذلك عظمة وقدر فوق الوصف، اذ لم يسمحوا به إلاّ لمن برز في علومه وتفوق على اقرانه، ولم يكن في بغداد يوم ذاك من یفوقه قدراً أويفضل عليه علماً، فكان هوالمتعين لذلك الشرف إلی أن جائت أحداث بغداد المؤلمة التي أدّت إلى احراق مكتبة الشيعة سنة </w:t>
      </w:r>
      <w:r>
        <w:rPr>
          <w:rFonts w:eastAsia="IRNazanin" w:cs="IRNazanin"/>
          <w:color w:val="111111"/>
          <w:sz w:val="28"/>
          <w:szCs w:val="28"/>
          <w:rtl w:val="true"/>
          <w:lang w:bidi="fa-IR"/>
        </w:rPr>
        <w:t>(</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انشأها أبونصر سابور وزير بهاءالدولة البويهي، وكانت من دور العلم المهمة في بغداد، ولم يكن في الدنيا أحسن كتباً منها، كما أن بغداد كانت في ذلك الزمان عاصمة البلاد الإسلامية، ولم يكن في ذلك الزمان مدينة في العالم أهمّ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اُحرقت هذه المكتبة العظيمة فيما احترق من محالّ الكرخ، وتوسعت الفتنة، حتى احرقوا كتب الشيخ وكرسيّه الّذي كان يجلس عليه للكلام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وضاع قسم كبير منها في هجوم السلاجقة على الكرخ</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اضطرّ الشيخ أن يهاجر إلى النجف الأشرف سنة </w:t>
      </w:r>
      <w:r>
        <w:rPr>
          <w:rFonts w:eastAsia="IRNazanin" w:cs="IRNazanin"/>
          <w:color w:val="111111"/>
          <w:sz w:val="28"/>
          <w:szCs w:val="28"/>
          <w:rtl w:val="true"/>
          <w:lang w:bidi="fa-IR"/>
        </w:rPr>
        <w:t>(</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ليؤسّس فيها جامعة علمية من جديد، وبقى هناك مدّت اثنتي عشرة سنة، إلی أن توفي سنة </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في داره، وتحولت الدار بعده إلی مسجد في موضعه اليوم</w:t>
      </w:r>
      <w:r>
        <w:rPr>
          <w:rFonts w:eastAsia="IRNazanin" w:cs="IRNazanin"/>
          <w:color w:val="111111"/>
          <w:sz w:val="28"/>
          <w:szCs w:val="28"/>
          <w:rtl w:val="true"/>
          <w:lang w:bidi="fa-IR"/>
        </w:rPr>
        <w:t>.</w:t>
      </w:r>
      <w:r>
        <w:rPr>
          <w:rStyle w:val="FootnoteAnchor"/>
          <w:rtl w:val="true"/>
        </w:rPr>
        <w:footnoteReference w:id="344"/>
      </w:r>
      <w:bookmarkStart w:id="690" w:name="pg8675_123443"/>
    </w:p>
    <w:p>
      <w:pPr>
        <w:pStyle w:val="Heading6"/>
        <w:numPr>
          <w:ilvl w:val="5"/>
          <w:numId w:val="1"/>
        </w:numPr>
        <w:rPr/>
      </w:pPr>
      <w:bookmarkStart w:id="691" w:name="__RefHeading___Toc2474258_653776707"/>
      <w:bookmarkStart w:id="692" w:name="_Toc253"/>
      <w:bookmarkEnd w:id="690"/>
      <w:bookmarkEnd w:id="691"/>
      <w:r>
        <w:rPr>
          <w:rtl w:val="true"/>
        </w:rPr>
        <w:t>أهم الآثار العلمية للشيخ الطوسي</w:t>
      </w:r>
      <w:bookmarkEnd w:id="692"/>
    </w:p>
    <w:p>
      <w:pPr>
        <w:pStyle w:val="BookText"/>
        <w:rPr/>
      </w:pPr>
      <w:r>
        <w:rPr>
          <w:rFonts w:ascii="Amiri" w:hAnsi="Amiri" w:eastAsia="Amiri" w:cs="Amiri"/>
          <w:color w:val="111111"/>
          <w:sz w:val="28"/>
          <w:sz w:val="28"/>
          <w:szCs w:val="28"/>
          <w:rtl w:val="true"/>
          <w:lang w:bidi="ar-SA"/>
        </w:rPr>
        <w:t>في مجال الفقه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في مجرّد الفقه والفتاوى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كتاباً دراسيّاً زمناً طويلاً إلى زمنالمحقق الحلّي قبل تأليف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وكما يظهر من عنوانه، كان كتاباً على نهج الفقه المأثور، حيث يقتصر فيه على الروايات والنصوص مجرّداً عن الأسانيد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 في فقه الإماميه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 على مسلك المجتهدين، كما وصفه في مقدمته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كتاب لم يصنّف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 في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يعدّ كتاباً فی الفقه المقارن، تناول فیه الاراء وتقويمها وموازنتها وترجيح ما اختاره على غيره من الآراء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مجال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هوشرح استدلالي روائي لكتاب المقنعة لاستاذه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 في حياة استاذه، وقد طبّق فيه منهج الإستنباط الروائي على أبواب الفقه كلّها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 لمعالجة التعارض والاختلاف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مجال الأصول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 هذا الكتاب سائر الکتب الأصولية السابقة عليه واصبح محوراً للتدريس والشرح والتعليق إلى قرون متأخرة، وهویحوي جميع المسائل الأصولية، قال عنه السيد مهدي بحرالعلوم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هواحسن كتاب صنّف في علم </w:t>
      </w:r>
    </w:p>
    <w:p>
      <w:pPr>
        <w:pStyle w:val="BookText"/>
        <w:rPr/>
      </w:pPr>
      <w:r>
        <w:rPr>
          <w:rFonts w:ascii="IRNazanin" w:hAnsi="IRNazanin" w:eastAsia="IRNazanin"/>
          <w:color w:val="111111"/>
          <w:sz w:val="28"/>
          <w:sz w:val="28"/>
          <w:szCs w:val="28"/>
          <w:rtl w:val="true"/>
          <w:lang w:bidi="fa-IR"/>
        </w:rPr>
        <w:t>الأصول</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في مجال الرجال والفهرست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هوالّذي فتح باب البحث عن علم الدراية والحديث، والّف كتباً رجاليةمختلفة وهى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الرجال في من روى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هذا الكتاب باسلوب الطبقات من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أصحاب كل واحد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هذّب فيه رجال الكشي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بمعرفة الناقلين عن الأئمة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عمد الشيخ إلى تهذيبه وتجريده من الزيادات والاغلاط واملاه على تلاميذه في المشهد الغروي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بدأ إملائه يوم الثلاثاء</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صفر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 في شرح المصنّفين من رجالات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فيه أصحاب الكتب والأصول، وأنهى إليهم وإليها اسانيده عن مشايخه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الكتب الثلاثة اضافة إلى فهرست النجاشي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کان معاصر للشيخ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تعتبر المصادر الأربعة الأساسية لتوثيق رجال روايات الشيعة واسانيدها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مجال التفسير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التبيان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يعد الكتاب الامّ لتفاسير الشيعة، وهوأول تفسير الّف من أوّل القرآن إلى آخره، وفقاً لمذهب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مجال 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تلخيص الشافي في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هوتلخیص 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ألّفه الشريف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تمهيد الأصول 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وهوالشرح على القسم النظرى من 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العلم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للشريف المرتضى</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وفي مجالات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أثاره القيمة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أبوالصلاح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هوفقيه متبحر، قرأ على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استاذه الشيخ الطوسي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 بن نجم الحلبي، ثقة له، كتب قرأ علينا وعلى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 آثاره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في الفقه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على النجاشي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كوفي أسدي، نشأ في بيت كبير من بيوتات وجهاء أهل الكوفة، وأمّا سكناه كان في بغداد، وتتلمّذ على الشيخ المفيد وحسين بن عبيدالله الغضائري وغيرهما وشارك الشيخ الطوسي في كثير من مشايخه، ووالده كان من علماء بغداد، كما أن جدّه أحمد بن العباس كان من العلماء، وأما جدّه الأعلى وهوعبدالله بن النجاشي فکان والیاً على الأهواز من قبل المنصور ويصفه الشيخ في التهذيب بقوله</w:t>
      </w:r>
      <w:r>
        <w:rPr>
          <w:rFonts w:eastAsia="IRNazanin" w:cs="IRNazanin"/>
          <w:color w:val="111111"/>
          <w:sz w:val="28"/>
          <w:szCs w:val="28"/>
          <w:rtl w:val="true"/>
          <w:lang w:bidi="fa-IR"/>
        </w:rPr>
        <w:t xml:space="preserve">: </w:t>
      </w:r>
      <w:bookmarkStart w:id="693" w:name="pg8675_123452"/>
    </w:p>
    <w:p>
      <w:pPr>
        <w:pStyle w:val="BookText"/>
        <w:rPr/>
      </w:pPr>
      <w:bookmarkEnd w:id="693"/>
      <w:r>
        <w:rPr>
          <w:rFonts w:ascii="IRNazanin" w:hAnsi="IRNazanin" w:eastAsia="IRNazanin"/>
          <w:color w:val="111111"/>
          <w:sz w:val="28"/>
          <w:sz w:val="28"/>
          <w:szCs w:val="28"/>
          <w:rtl w:val="true"/>
          <w:lang w:bidi="fa-IR"/>
        </w:rPr>
        <w:t>كان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وهورجل من الزهاد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عاملاً على الأهواز وفارس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وقد روى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المعروفة منه إلى النجاشي، التي نقلها المجلسى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للشهيد الثاني، ونقلها الشيخ الأنصاري أيضاً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المكاسب المحرّمة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أحمد بن علي النجاشي فهوالثقة الصدوق المعتمد المسكون إليه، الخبيربأحوال الرواة وانسابهم وماورد فيهم من مدح أوذمّ وطبقاتهم ومصنفاتهم وأصولهم ورواياتهم، قُدّم على أعلام الجرح والتعديل لكثرة اطلاعه واحاطته، واتفقت كلمات علمائنا بترجيح أقواله على أقوال سائر أئمّة الجرح والتعديل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أن النجاشي بعد فتنة بغداد وإحراق مكتبة الشيعة، هاجر إلى مطير آباد وهی قرية من نواحي سامرّا كانت احد منتزهاتها، وقد بنيت في خلافة المأمون، وتوفي هناك سنة خمسين وأربع مأة</w:t>
      </w:r>
      <w:r>
        <w:rPr>
          <w:rFonts w:eastAsia="IRNazanin" w:cs="IRNazanin"/>
          <w:color w:val="111111"/>
          <w:sz w:val="28"/>
          <w:szCs w:val="28"/>
          <w:rtl w:val="true"/>
          <w:lang w:bidi="fa-IR"/>
        </w:rPr>
        <w:t>.</w:t>
      </w:r>
      <w:r>
        <w:rPr>
          <w:rStyle w:val="FootnoteAnchor"/>
          <w:rtl w:val="true"/>
        </w:rPr>
        <w:footnoteReference w:id="347"/>
      </w:r>
    </w:p>
    <w:p>
      <w:pPr>
        <w:pStyle w:val="Heading6"/>
        <w:numPr>
          <w:ilvl w:val="5"/>
          <w:numId w:val="1"/>
        </w:numPr>
        <w:rPr/>
      </w:pPr>
      <w:bookmarkStart w:id="694" w:name="__RefHeading___Toc2474260_653776707"/>
      <w:bookmarkStart w:id="695" w:name="_Toc254"/>
      <w:bookmarkEnd w:id="694"/>
      <w:r>
        <w:rPr>
          <w:rtl w:val="true"/>
        </w:rPr>
        <w:t>ب</w:t>
      </w:r>
      <w:r>
        <w:rPr>
          <w:rtl w:val="true"/>
        </w:rPr>
        <w:t xml:space="preserve">) </w:t>
      </w:r>
      <w:r>
        <w:rPr>
          <w:rtl w:val="true"/>
        </w:rPr>
        <w:t>فقهاء ما بعد الشيخ</w:t>
      </w:r>
      <w:r>
        <w:rPr>
          <w:rtl w:val="true"/>
        </w:rPr>
        <w:t>:</w:t>
      </w:r>
      <w:bookmarkEnd w:id="695"/>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یطلق علی الدورة التی تلت عصر الشيخ بعصر الركود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الفقهاء من بعده لم يجرؤوا على مخالفة طريقته ومنهجه وآرائه، لشدة تعظميهم له والاعتقاد بتفوقه وغزارة علمه وتسلطه على مصادر الشريعة وفنون الكلام والاستدلال ولکن هذا الرأی محل نظر وتأمل جدّاً،نعم هجوم السلاجقة علی البغداد وعلی الشیعة ورموزهم والإغارة علیهم وقتلهم وإحراق تراثهم وتسفیرهم العلماء واجبارهم </w:t>
      </w:r>
    </w:p>
    <w:p>
      <w:pPr>
        <w:pStyle w:val="BookText"/>
        <w:rPr/>
      </w:pPr>
      <w:r>
        <w:rPr>
          <w:rFonts w:ascii="IRNazanin" w:hAnsi="IRNazanin" w:eastAsia="IRNazanin"/>
          <w:color w:val="111111"/>
          <w:sz w:val="28"/>
          <w:sz w:val="28"/>
          <w:szCs w:val="28"/>
          <w:rtl w:val="true"/>
          <w:lang w:bidi="fa-IR"/>
        </w:rPr>
        <w:t>لترک البغداد، صار السبب الأساس لتحقق الرکود والفترة فی حرکة إجتهاد الشیعة لأجل زوال المرکز الأساس لعلوم الامامیة وتفرّق علمائهم فی البلاد ومع ذلك كلّه، فقد انجبت هذه الفترة فقهاء كبار نشير إلى أهمّهم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البراج الطرابلسي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مناظرات مع شيخه الطوسي، وهومؤلّف الكتب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في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أبوعلي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حوالي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محمد بن الحسن الطوسي، هوابن شيخ الطائفة، قرأ على أبيه، ومن آثاره الفقهية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الفضل بن الحسن بن الفضل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كتاب التفسير الشهير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قطب‌الدين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 الكتاب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القرآن في بيان آيات الأحكام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أبوالفتوح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حوالي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 التفسير الضخم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الجنان وروح الجنان في تفسير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حمزة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حوالي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 إلى نيل الفضيلة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أبوالمجد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اشارة السبق إلى معرفة الحق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ابن زهرة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غُنية النزوع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ومباحث الكتاب تدور على محاور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 على أهم المسائل الكلامية،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الفقه،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الفروع والأحكام الشرعية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قطب‌الدين البيهقي الكيدري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القرن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إصباح الشيعة بمصباح الشريعه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سديدالدين الحمّص الرازي</w:t>
      </w:r>
    </w:p>
    <w:p>
      <w:pPr>
        <w:pStyle w:val="BookText"/>
        <w:rPr/>
      </w:pP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المصادر في اصول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المنقذ من التقليد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ابي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ادريس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يعدّ ابن أدريس أول من خطا بالفقه خطوات واسعة، فهوبتأليف كتابه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السرائر الحاوي لتحرير الفتاوى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نفض غبار الركود عن كاهل الفقه الشيعي، ثم اقتفی أثره جلّ من تأخّروا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معين‌الدين المصرى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حوالي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معد بن فخار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الذاهب إلى تكفير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نما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bookmarkStart w:id="696" w:name="pg8675_123461"/>
    </w:p>
    <w:p>
      <w:pPr>
        <w:pStyle w:val="BookText"/>
        <w:rPr/>
      </w:pPr>
      <w:bookmarkEnd w:id="696"/>
      <w:r>
        <w:rPr>
          <w:rFonts w:ascii="Amiri" w:hAnsi="Amiri" w:eastAsia="Amiri" w:cs="Amiri"/>
          <w:color w:val="111111"/>
          <w:sz w:val="28"/>
          <w:sz w:val="28"/>
          <w:szCs w:val="28"/>
          <w:rtl w:val="true"/>
          <w:lang w:bidi="ar-SA"/>
        </w:rPr>
        <w:t>وهوأحد مشايخ المحقق الحلّي</w:t>
      </w:r>
      <w:r>
        <w:rPr>
          <w:rFonts w:eastAsia="Amiri" w:cs="Amiri" w:ascii="Amiri" w:hAnsi="Amiri"/>
          <w:color w:val="111111"/>
          <w:sz w:val="28"/>
          <w:szCs w:val="28"/>
          <w:rtl w:val="true"/>
          <w:lang w:bidi="ar-SA"/>
        </w:rPr>
        <w:t>.</w:t>
      </w:r>
      <w:r>
        <w:rPr>
          <w:rStyle w:val="FootnoteAnchor"/>
          <w:rtl w:val="true"/>
        </w:rPr>
        <w:footnoteReference w:id="348"/>
      </w:r>
    </w:p>
    <w:p>
      <w:pPr>
        <w:pStyle w:val="Heading5"/>
        <w:numPr>
          <w:ilvl w:val="4"/>
          <w:numId w:val="1"/>
        </w:numPr>
        <w:rPr/>
      </w:pPr>
      <w:bookmarkStart w:id="697" w:name="__RefHeading___Toc2474262_653776707"/>
      <w:bookmarkStart w:id="698" w:name="_Toc255"/>
      <w:bookmarkEnd w:id="697"/>
      <w:r>
        <w:rPr>
          <w:rtl w:val="true"/>
        </w:rPr>
        <w:t>الأمر الرابع</w:t>
      </w:r>
      <w:r>
        <w:rPr>
          <w:rtl w:val="true"/>
        </w:rPr>
        <w:t xml:space="preserve">: </w:t>
      </w:r>
      <w:r>
        <w:rPr>
          <w:rtl w:val="true"/>
        </w:rPr>
        <w:t>منهج الإجتهاد في دور الإنطلاق</w:t>
      </w:r>
      <w:bookmarkEnd w:id="698"/>
    </w:p>
    <w:p>
      <w:pPr>
        <w:pStyle w:val="BookText"/>
        <w:rPr/>
      </w:pPr>
      <w:r>
        <w:rPr>
          <w:rFonts w:ascii="Amiri" w:hAnsi="Amiri" w:eastAsia="Amiri" w:cs="Amiri"/>
          <w:color w:val="111111"/>
          <w:sz w:val="28"/>
          <w:sz w:val="28"/>
          <w:szCs w:val="28"/>
          <w:rtl w:val="true"/>
          <w:lang w:bidi="ar-SA"/>
        </w:rPr>
        <w:t xml:space="preserve">انطلق إجتهاد الشيعة على يد الشيخ الطوسي، فهووإنّ اتبع في فتاواه ومؤلفاته الفقهية نهج استاذيه المرتضى والمفيد إلا أنه مع ذلك بلغ التفريع والتخريج على يدهإلى مستوى عال واستخرج قواعد عقليه واعتمد عليها في مقام التفريع، كما يصرّح به في اوّل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فإنّي لا أزال أسمع معاشر مخالفينا من المتفقهة والمنتسبين إلى علم الفروع، يستحقرون فقه أصحابنا الإمامية ويستنزرونه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جهل منهم بمذهبنا، وقلّة تأمل لأصولنا، ولونظروا في أخبارنا وفقهنا، لعلموا أنّ جلّ ما ذكروه من المسائل موجود في أخبارنا، منصوصاً عليه تلويحاً عن أئمتنا</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وكان الفقهاء قبل الشيخ يعتمدن النصوص والروايات من غير بحث أسانيدها، وكان الشيخ أوّل من فتح مجال البحث عن ذلك، وأسّس قاعدة حجيّة خبر الاحاد، وبالجمله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بتأليفاته القيّمة وفّر كل أدوات الممارسة الفقهية الإجتهادية نظرياً وتطبيقيّاً، وهذه خطوة كبيرة وانطلاقه كبرى إذا ما قيست إلى ما قبل عصره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واستمرتأثیر شخصية الشیخ العلمية فیمن جاء بعده فکانوا لایخرجون عن نتائج استنباطاته، وقد بلغ عدم الجرأة على مخالفة طريقة الشيخ إلى حد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كتبه </w:t>
      </w:r>
    </w:p>
    <w:p>
      <w:pPr>
        <w:pStyle w:val="BookText"/>
        <w:rPr/>
      </w:pPr>
      <w:r>
        <w:rPr>
          <w:rFonts w:ascii="Amiri" w:hAnsi="Amiri" w:eastAsia="Amiri" w:cs="Amiri"/>
          <w:color w:val="111111"/>
          <w:sz w:val="28"/>
          <w:sz w:val="28"/>
          <w:szCs w:val="28"/>
          <w:rtl w:val="true"/>
          <w:lang w:bidi="ar-SA"/>
        </w:rPr>
        <w:t>المعروفة في الفقه والحديث، لعظم مكانتها، خدرت العقول، وسدّت عليها منافذ التفكير في نقدها قرابة قرن،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لقبوا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لإلتزامهم منهج الشيخ الطوسي وعدم خروجهم على آرائه</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ولذلک سمیت هذه البرهة الزمنية بعصر الركود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ظاهرة الركود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الضغط من قبل السلطات الحاكمة انذاك على الشيعة، كالغزنويين في الشرق والأيوبيين في الشام ومصر، وخصوصاً السلاجقة في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احرق طغرل بك مكتبة بغداد، ما أدی إلی لجوء الشيخ الطوسي إلى النجف، والنجاشي إلى مطير آباد وسلاّر إلى ايران وتوفّي في نواحي تبريز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ومعلوم أن في الجو المشحون بالعداء والبغضاء لاتسنح الفرصة لأيّ نشاط علمي، فإن الحياة العلميّة رهن الظروف المناسبة والصالحة لتنمية الأفكار</w:t>
      </w:r>
      <w:r>
        <w:rPr>
          <w:rFonts w:eastAsia="Amiri" w:cs="Amiri" w:ascii="Amiri" w:hAnsi="Amiri"/>
          <w:color w:val="111111"/>
          <w:sz w:val="28"/>
          <w:szCs w:val="28"/>
          <w:rtl w:val="true"/>
          <w:lang w:bidi="ar-SA"/>
        </w:rPr>
        <w:t>.</w:t>
      </w:r>
      <w:r>
        <w:rPr>
          <w:rStyle w:val="FootnoteAnchor"/>
          <w:rtl w:val="true"/>
        </w:rPr>
        <w:footnoteReference w:id="351"/>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حظيت آراء الشيخ الطوسي بقدسيّه نزّهته عن النقد، واستمرّت تلك النظرة إلى مدّة مديدة</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قال صاحب المعالم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أكثر الفقهاء بعد الشيخ الطوسي كانوا يقلّدون فتاوى الشيخ، لاعتقادهم بشخصيته العلمية وحسن ظنهم به</w:t>
      </w:r>
      <w:r>
        <w:rPr>
          <w:rFonts w:eastAsia="Amiri" w:cs="Amiri" w:ascii="Amiri" w:hAnsi="Amiri"/>
          <w:color w:val="111111"/>
          <w:sz w:val="28"/>
          <w:szCs w:val="28"/>
          <w:rtl w:val="true"/>
          <w:lang w:bidi="ar-SA"/>
        </w:rPr>
        <w:t>».</w:t>
      </w:r>
      <w:r>
        <w:rPr>
          <w:rStyle w:val="FootnoteAnchor"/>
          <w:rtl w:val="true"/>
        </w:rPr>
        <w:footnoteReference w:id="353"/>
      </w:r>
      <w:bookmarkStart w:id="699" w:name="pg8675_123467"/>
    </w:p>
    <w:p>
      <w:pPr>
        <w:pStyle w:val="BookText"/>
        <w:rPr/>
      </w:pPr>
      <w:bookmarkEnd w:id="699"/>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يذكر عامل آخر للركود، وهوأن الشيخ بهجرته إلى النجف قد انفصل عن حوزته العلمية في بغداد، وبدأ ينشئ في النجف حوزة فتية حوله من أولاده أومن الراغبين في الالتحاق بالدراسات الفقهية، ومن الطبيعى أن الحوزة الفتية لا ترقى إلى مستوى التفاعل المبدع</w:t>
      </w:r>
      <w:r>
        <w:rPr>
          <w:rFonts w:eastAsia="Amiri" w:cs="Amiri" w:ascii="Amiri" w:hAnsi="Amiri"/>
          <w:color w:val="111111"/>
          <w:sz w:val="28"/>
          <w:szCs w:val="28"/>
          <w:rtl w:val="true"/>
          <w:lang w:bidi="ar-SA"/>
        </w:rPr>
        <w:t>.</w:t>
      </w:r>
      <w:r>
        <w:rPr>
          <w:rStyle w:val="FootnoteAnchor"/>
          <w:rtl w:val="true"/>
        </w:rPr>
        <w:footnoteReference w:id="354"/>
      </w:r>
    </w:p>
    <w:p>
      <w:pPr>
        <w:pStyle w:val="Heading5"/>
        <w:numPr>
          <w:ilvl w:val="4"/>
          <w:numId w:val="1"/>
        </w:numPr>
        <w:rPr/>
      </w:pPr>
      <w:bookmarkStart w:id="700" w:name="__RefHeading___Toc2474264_653776707"/>
      <w:bookmarkStart w:id="701" w:name="_Toc256"/>
      <w:bookmarkEnd w:id="700"/>
      <w:r>
        <w:rPr>
          <w:rtl w:val="true"/>
        </w:rPr>
        <w:t>الأمر الخامس</w:t>
      </w:r>
      <w:r>
        <w:rPr>
          <w:rtl w:val="true"/>
        </w:rPr>
        <w:t xml:space="preserve">: </w:t>
      </w:r>
      <w:r>
        <w:rPr>
          <w:rtl w:val="true"/>
        </w:rPr>
        <w:t>أهم خصائص دور الإنطلاق</w:t>
      </w:r>
      <w:bookmarkEnd w:id="701"/>
    </w:p>
    <w:p>
      <w:pPr>
        <w:pStyle w:val="BookText"/>
        <w:rPr/>
      </w:pPr>
      <w:r>
        <w:rPr>
          <w:rFonts w:ascii="Amiri" w:hAnsi="Amiri" w:eastAsia="Amiri" w:cs="Amiri"/>
          <w:color w:val="111111"/>
          <w:sz w:val="28"/>
          <w:sz w:val="28"/>
          <w:szCs w:val="28"/>
          <w:rtl w:val="true"/>
          <w:lang w:bidi="ar-SA"/>
        </w:rPr>
        <w:t>يمكن أن نلخص أهمّ خصائص دور الإنطلاق فيما يلي</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تدوين قوانين الإستنباط وقواعده، وفقاً لمذهب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وتوضيح مبانيه ومنهاجه في كل من اصول الفقه والحديث والرجال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جعلت مصادر الإستنباط وأدلّة الفقه في هذا الدور فی الكتاب والسنة والاجماع والعقل، ولعلّ ابن ادريس الحلّي، كما عن الشيخ المظفر، هوأوّل من صرّح بهذا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نعم أن الاجماع الّذي يعدّ من الأدلّة في مذهب الإمامية، أريد منه ما يكون في ضمنه قول المعصوم، أويستكشف منه قوله، ولوبدلالة عقلية، خلافاً لمذاهب العامة فيكون في الواقع كاشفاً عن السنة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المراد من العقل حكمه اليقيني لا الظنون والاقيسة وماشابهها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تطبيق القواعد المذكور للاستنباط في الفقه بصورة موسعة، وفي جميع الأبواب، كما يرى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استطاع فقهاء الإمامية أن يثبتوا قدرة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علاج التفريعات والمسائل الفقهية المستحدثة مهما تنوّعت وتفرّعت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الحوار مع المذاهب الفقهية الأخرى والمقارنة فيما بينها سواء بنحوالفتاوى المجرّدة أوبشكل موسّع واستدلالي، كما تظهر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الاهتمام بتوفير أدوات الإستنباط الرجالية والحديثية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بحجية خبر الاحاد، خلافاً لما كان عليه كثيراً من الأصحاب، كالمفيدوالمرتضى وابن قبة وإن استمر القول بإنكارها بواسطة أمثال ابن ادريس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زهرة وابن البراج والطبرسي إلى ما بعد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الاهتمام بالدراسات القرانية ویعتبر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من أغنى الكتب التفسيرية، حيث عكس مدى الاهتمام البالغ من قبل الشيخ بالجانب القرآني، وكما أن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لمؤلّفه القطب الراوندي يعد أوّل مؤلف اختص بايات الأحكام، وأيضاً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مجمع البيان للطبرسي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الفتوح الرازى یظهر اهتمام الأصحاب بكتاب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بظهور ابن ادريس الحلّي بعد فترة من الركود العلمي، عادت حركة الإجتهاد إلى نشاطها، وظهر في علماء الشيعة من تجاوز بفكره وإجتهاده كثيراً من آراء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كسر الجمود الّذي كان عليه الفقهاء من تلامذة الشيخ ومقلّديه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دور الانطلاق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حوزة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أهمّ مركز إجتهادي لمذهب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IRNazanin" w:hAnsi="IRNazanin" w:eastAsia="IRNazanin"/>
          <w:color w:val="111111"/>
          <w:sz w:val="28"/>
          <w:sz w:val="28"/>
          <w:szCs w:val="28"/>
          <w:rtl w:val="true"/>
          <w:lang w:bidi="fa-IR"/>
        </w:rPr>
        <w:t>بعد اشتعال نار الفتنه في بغداد، هاجرالشيخ إلى النجف الأشرف حیثه أسّس حوزة علمية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في أواخرهذا الدور بدأ تكوّن مركز علمي جديد، صار في الدور الثالث هوالمركز الأصلي للعلم والإجتهاد في مذهب الإمامية، وهوحوزة الحلّة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بانتهاء دور الإنطلاق، يتمّ عصر القدماء الذين يعدّ فقههم فقها مأثوراً، وبما أنّهم كانوا قريبي العهد بعصر الأئمة الهداة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عندهم كثير من الأصول والآثار والقرائن التي فقدت في العصوراللاحقة، تعدّ فتاواهم وآرائهم الفقهية عند البعض كالسيد البروجردي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فإذا اجمعوا على رأي واحد يكون هذا الإجماع حجة، وهذا ما يسمى بإعتبار الشهرة عند القدماء</w:t>
      </w:r>
      <w:r>
        <w:rPr>
          <w:rFonts w:eastAsia="IRNazanin" w:cs="IRNazanin"/>
          <w:color w:val="111111"/>
          <w:sz w:val="28"/>
          <w:szCs w:val="28"/>
          <w:rtl w:val="true"/>
          <w:lang w:bidi="fa-IR"/>
        </w:rPr>
        <w:t>.</w:t>
      </w:r>
      <w:bookmarkStart w:id="702" w:name="pg8675_123477"/>
    </w:p>
    <w:p>
      <w:pPr>
        <w:pStyle w:val="Heading4"/>
        <w:numPr>
          <w:ilvl w:val="3"/>
          <w:numId w:val="1"/>
        </w:numPr>
        <w:rPr/>
      </w:pPr>
      <w:bookmarkStart w:id="703" w:name="__RefHeading___Toc2474266_653776707"/>
      <w:bookmarkStart w:id="704" w:name="_Toc257"/>
      <w:bookmarkEnd w:id="702"/>
      <w:bookmarkEnd w:id="703"/>
      <w:r>
        <w:rPr>
          <w:rtl w:val="true"/>
        </w:rPr>
        <w:t>الدور الثالث دور الاستقلال والتكامل</w:t>
      </w:r>
      <w:bookmarkEnd w:id="704"/>
    </w:p>
    <w:p>
      <w:pPr>
        <w:pStyle w:val="Heading5"/>
        <w:numPr>
          <w:ilvl w:val="4"/>
          <w:numId w:val="1"/>
        </w:numPr>
        <w:rPr/>
      </w:pPr>
      <w:bookmarkStart w:id="705" w:name="__RefHeading___Toc2474268_653776707"/>
      <w:bookmarkStart w:id="706" w:name="_Toc258"/>
      <w:bookmarkEnd w:id="705"/>
      <w:r>
        <w:rPr>
          <w:rtl w:val="true"/>
        </w:rPr>
        <w:t>اشارة</w:t>
      </w:r>
      <w:bookmarkEnd w:id="706"/>
    </w:p>
    <w:p>
      <w:pPr>
        <w:pStyle w:val="BookText"/>
        <w:rPr/>
      </w:pPr>
      <w:r>
        <w:rPr>
          <w:rFonts w:ascii="Amiri" w:hAnsi="Amiri" w:eastAsia="Amiri" w:cs="Amiri"/>
          <w:color w:val="111111"/>
          <w:sz w:val="28"/>
          <w:sz w:val="28"/>
          <w:szCs w:val="28"/>
          <w:rtl w:val="true"/>
          <w:lang w:bidi="ar-SA"/>
        </w:rPr>
        <w:t>وألبحث يقع حول أمور خمسة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تحديد دور الاستقلال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التعريف بدور الاستقلال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فقهاء دور الاستقلال وأهم مؤلفاتهم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منهج‌الإجتهاد في دور الاستقلال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أهمّ خصائص دور الاستقلال</w:t>
      </w:r>
    </w:p>
    <w:p>
      <w:pPr>
        <w:pStyle w:val="Heading5"/>
        <w:numPr>
          <w:ilvl w:val="4"/>
          <w:numId w:val="1"/>
        </w:numPr>
        <w:rPr/>
      </w:pPr>
      <w:bookmarkStart w:id="707" w:name="__RefHeading___Toc2474270_653776707"/>
      <w:bookmarkStart w:id="708" w:name="_Toc259"/>
      <w:bookmarkEnd w:id="707"/>
      <w:r>
        <w:rPr>
          <w:rtl w:val="true"/>
        </w:rPr>
        <w:t>الأمر الأول</w:t>
      </w:r>
      <w:r>
        <w:rPr>
          <w:rtl w:val="true"/>
        </w:rPr>
        <w:t xml:space="preserve">: </w:t>
      </w:r>
      <w:r>
        <w:rPr>
          <w:rtl w:val="true"/>
        </w:rPr>
        <w:t>تحديد دور الاستقلال والتكامل</w:t>
      </w:r>
      <w:bookmarkEnd w:id="708"/>
    </w:p>
    <w:p>
      <w:pPr>
        <w:pStyle w:val="BookText"/>
        <w:rPr/>
      </w:pPr>
      <w:r>
        <w:rPr>
          <w:rFonts w:ascii="Amiri" w:hAnsi="Amiri" w:eastAsia="Amiri" w:cs="Amiri"/>
          <w:color w:val="111111"/>
          <w:sz w:val="28"/>
          <w:sz w:val="28"/>
          <w:szCs w:val="28"/>
          <w:rtl w:val="true"/>
          <w:lang w:bidi="ar-SA"/>
        </w:rPr>
        <w:t>يبدء هذا الدور من منتصف القرن السابع، أي من عصر المحقق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ويستمرّ باستمرار النشاط الفقهي لأعالم هذا الدور، حتى نهاية القرن العاشر، أي إلى زمن الشهيد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356"/>
      </w:r>
    </w:p>
    <w:p>
      <w:pPr>
        <w:pStyle w:val="Heading5"/>
        <w:numPr>
          <w:ilvl w:val="4"/>
          <w:numId w:val="1"/>
        </w:numPr>
        <w:rPr/>
      </w:pPr>
      <w:bookmarkStart w:id="709" w:name="__RefHeading___Toc2474272_653776707"/>
      <w:bookmarkStart w:id="710" w:name="_Toc260"/>
      <w:bookmarkEnd w:id="709"/>
      <w:r>
        <w:rPr>
          <w:rtl w:val="true"/>
        </w:rPr>
        <w:t>الأمر الثاني</w:t>
      </w:r>
      <w:r>
        <w:rPr>
          <w:rtl w:val="true"/>
        </w:rPr>
        <w:t xml:space="preserve">: </w:t>
      </w:r>
      <w:r>
        <w:rPr>
          <w:rtl w:val="true"/>
        </w:rPr>
        <w:t>التعريف بدور الاستقلال والتکامل</w:t>
      </w:r>
      <w:bookmarkEnd w:id="710"/>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ظهور ابن ادريس الحلي فقد بدئت مدرسة الحلّة نشاطها، حیث یبدأ الدور </w:t>
      </w:r>
    </w:p>
    <w:p>
      <w:pPr>
        <w:pStyle w:val="BookText"/>
        <w:rPr/>
      </w:pPr>
      <w:r>
        <w:rPr>
          <w:rFonts w:ascii="Amiri" w:hAnsi="Amiri" w:eastAsia="Amiri" w:cs="Amiri"/>
          <w:color w:val="111111"/>
          <w:sz w:val="28"/>
          <w:sz w:val="28"/>
          <w:szCs w:val="28"/>
          <w:rtl w:val="true"/>
          <w:lang w:bidi="ar-SA"/>
        </w:rPr>
        <w:t>الثالث واعقبه آخرون من نفس هذه المدرسة، وبعدها إزدهرت ونشطت مدرسة جبلعامل واصفهان في نفس هذا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مدرسة 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ابن ادريس الحلّي، جاء دور الاُسر العلمية الحليّة التي أسهم علماؤها في جلّ العلوم الإسلامية ومدرسة أهل البيت، ولاسيما بمايرتبط بالإجتهاد وإستنباط الأحكام، بقسط 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أهمّ هذه الاُسر في هذه الحقبة الممتدة من القرن السادس إلى أوائل القرن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نما وآل طاووس الهذليون والأسديّون</w:t>
      </w:r>
      <w:r>
        <w:rPr>
          <w:rFonts w:eastAsia="Amiri" w:cs="Amiri" w:ascii="Amiri" w:hAnsi="Amiri"/>
          <w:color w:val="111111"/>
          <w:sz w:val="28"/>
          <w:szCs w:val="28"/>
          <w:rtl w:val="true"/>
          <w:lang w:bidi="ar-SA"/>
        </w:rPr>
        <w:t>.</w:t>
      </w:r>
      <w:r>
        <w:rPr>
          <w:rStyle w:val="FootnoteAnchor"/>
          <w:rtl w:val="true"/>
        </w:rPr>
        <w:footnoteReference w:id="357"/>
      </w:r>
      <w:r>
        <w:rPr>
          <w:rFonts w:ascii="IRNazanin" w:hAnsi="IRNazanin" w:eastAsia="IRNazanin"/>
          <w:color w:val="111111"/>
          <w:sz w:val="28"/>
          <w:sz w:val="28"/>
          <w:szCs w:val="28"/>
          <w:rtl w:val="true"/>
          <w:lang w:bidi="fa-IR"/>
        </w:rPr>
        <w:t>ومن بين أشهر علماء الحلّة، علی مستوى الإجتهاد، المسمّون بالحليين الستة، 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ادريس الحلّي، والمحقق الحلّي، ويحيى بن سعيد الحلّي، والعلاّمة الحلّي، وفخرالمحققين الحلّي، والفاضل المقداد السيوري الحلّي،</w:t>
      </w:r>
      <w:r>
        <w:rPr>
          <w:rStyle w:val="FootnoteAnchor"/>
          <w:rtl w:val="true"/>
        </w:rPr>
        <w:footnoteReference w:id="358"/>
      </w:r>
      <w:r>
        <w:rPr>
          <w:rFonts w:ascii="Amiri" w:hAnsi="Amiri" w:eastAsia="Amiri" w:cs="Amiri"/>
          <w:color w:val="111111"/>
          <w:sz w:val="28"/>
          <w:sz w:val="28"/>
          <w:szCs w:val="28"/>
          <w:rtl w:val="true"/>
          <w:lang w:bidi="ar-SA"/>
        </w:rPr>
        <w:t>وأيضاً ابن فهد الحلّي يعد من أشهر فقهاء هذا الدور في مدرسة الحلّة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استمر نشاط مدرسة الحلّة حتى أواخر القرن التاسع، ومع أنّ الحملة المغولية دمرت الكثير من الآثار العلمية في حاضرة العراق، إلاّ أن الحوزة العلمية في الحلّة بقيت مصونة من شرّهم واستمر نشاطها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المغول بعد هجومهم على الشرق الإسلامي بسطوا سلطتهم علی حاضرة البلاد الإسلامية بغداد، بعد حروب مهلكة مفجعه أدت إلی سقوط الدولة العباسية على يد هولاكوعام </w:t>
      </w:r>
      <w:r>
        <w:rPr>
          <w:rFonts w:eastAsia="IRNazanin" w:cs="IRNazanin"/>
          <w:color w:val="111111"/>
          <w:sz w:val="28"/>
          <w:szCs w:val="28"/>
          <w:rtl w:val="true"/>
          <w:lang w:bidi="fa-IR"/>
        </w:rPr>
        <w:t>(</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واستقر حكم المغول على المسلمين إلى أن اعتنق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بعضهم الإسلام، ويعدّ محمود غازان خان الّذي استلم السلطة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من اعتنق الإسلام، ثم أعقبه محمد خدابنده أولجاتيوالذی تسلم زمام 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704</w:t>
      </w:r>
      <w:r>
        <w:rPr>
          <w:rFonts w:eastAsia="IRNazanin" w:cs="IRNazanin"/>
          <w:color w:val="111111"/>
          <w:sz w:val="28"/>
          <w:szCs w:val="28"/>
          <w:rtl w:val="true"/>
          <w:lang w:bidi="fa-IR"/>
        </w:rPr>
        <w:t>-</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انتحل التشيع بفضل العلامة الحلّي بعد مناظرات جرت بينه وبين علماء المذاهب الأربعة في محضر السلطان، حیث ظهرت قوّة منطقه عل كل من حضر، فطلب السلطان منه أن يلازمه في السفر والحضر، وهكذا اخذ العلامة يصاحبه مع تلاميذه وكتبه فاسّس مدرسة سيّارة، تقام كلّما حطّ السلطان بمكان، حتى أنّ العلامة فرغ من تأليف بعض كتبه في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محافظة زنجان، فلمّا اعتنق المغول الإسلام والتشيع واخذوا ینشرون العلم، بدأ الركب الحضاري يتقدم بعد ما اصابته فتنة المغول، ولم تمض مدّة حتى بدأ المسلمون، بأخذ زمام الأمور من يد المغول في السياسة والثقافة والاقتصاد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كانت الامور مستقرة في البقاع الإسلامية إلى عصر السلطان بهادرخان </w:t>
      </w: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تغيّرت الأوضاع 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فعادت الفوضى إلى البلا، وتمزقت البلاد واستبدّ بكل جزء منها أمير، كامراء آل جلايرجوباني وآل مظفر واينجووسربدارية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تلك الأوضاع ظهر بتيمور لنک وبسط نفوذه على اصقاع شاسعة بعد أن أراق دماء كثيرة ودام حكم التيمورية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لم یکم همهم فیها سوى الركوب على رقاب الناس، فانعكست سيرتهم السيّئة على الصعيد العلمي والثقافي، بما فی ذلک العلوم الإسلامية والفقه والإجتهاد، ممّا أعقب فتور النشاط الاجتهادي</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مدرسة جبل عامل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بدأ التشيع في بلاد الشام من حین اقصاء أبي ذر الغفاري إلىها ثم انتعش في أيام الفاطميين؛ لکنه انتکس في زمن الأيوبيين ولمّا استولى المغول واعقبتهم دولة المماليك تنفّس الشيعة الصعداء في الشام رغم اضطهاد الممالیک، لهم وفي تلك الظروف بادر الشهيد الأول إلى انشاء مدرسة جزّين التی فاثمرت واتسعت وتلتها حوزات علمية آخرى كحوزة بعلبك والكرك وجبع، وظهر علماء وفقهاء عظماء في هذه المدرسة من أهمّهم واشهرهم على صعيد الإجتهاد والفقهاهة، الشهيد الأول والمحقق الكركي والشهيد الثاني، أي ثلاثة من المسمّين بالشاميّين الخمسة المذكورين في الكتب الفقهية</w:t>
      </w:r>
      <w:r>
        <w:rPr>
          <w:rStyle w:val="FootnoteAnchor"/>
          <w:rtl w:val="true"/>
        </w:rPr>
        <w:footnoteReference w:id="360"/>
      </w:r>
      <w:r>
        <w:rPr>
          <w:rFonts w:ascii="IRNazanin" w:hAnsi="IRNazanin" w:eastAsia="IRNazanin"/>
          <w:color w:val="111111"/>
          <w:sz w:val="28"/>
          <w:sz w:val="28"/>
          <w:szCs w:val="28"/>
          <w:rtl w:val="true"/>
          <w:lang w:bidi="fa-IR"/>
        </w:rPr>
        <w:t xml:space="preserve">واستمرّت مدرسة جبل عامل حتى سقطت دولة المماليك على يد السلطان سليم العثماني الّذي امتدّ نفوذه إلى بلاد الشام، في عام </w:t>
      </w:r>
      <w:r>
        <w:rPr>
          <w:rFonts w:eastAsia="IRNazanin" w:cs="IRNazanin"/>
          <w:color w:val="111111"/>
          <w:sz w:val="28"/>
          <w:szCs w:val="28"/>
          <w:rtl w:val="true"/>
          <w:lang w:bidi="fa-IR"/>
        </w:rPr>
        <w:t>(</w:t>
      </w:r>
      <w:r>
        <w:rPr>
          <w:rFonts w:eastAsia="IRNazanin" w:cs="IRNazanin"/>
          <w:color w:val="111111"/>
          <w:sz w:val="28"/>
          <w:szCs w:val="28"/>
          <w:lang w:bidi="fa-IR"/>
        </w:rPr>
        <w:t>930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وهناك عاد الضغط على الشيعة مرّة أخرى، واستشهد الشهيد الثاني </w:t>
      </w:r>
      <w:r>
        <w:rPr>
          <w:rFonts w:eastAsia="IRNazanin" w:cs="IRNazanin"/>
          <w:color w:val="111111"/>
          <w:sz w:val="28"/>
          <w:szCs w:val="28"/>
          <w:rtl w:val="true"/>
          <w:lang w:bidi="fa-IR"/>
        </w:rPr>
        <w:t>(</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فاخذ النشاط الفقهي في مدرسة جبل عامل بالتقلّص شيئاً فشيئاً، ما حدا بكثير من الفقهاء إلی الهجرة إلى ايران والعراق</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مدرسة اصفهان</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إطلالة القرن العاشر قضى الحكم الصفوي على التيمورية، وبذلك وقعت البلاد الإسلاميه تحت حکم دولتين عظيمتين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الصفوية والعثمانية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الأولى في اصقاع الشرق الإسلامي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عام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وحكمت الثانية في </w:t>
      </w:r>
      <w:bookmarkStart w:id="711" w:name="pg8675_123488"/>
    </w:p>
    <w:p>
      <w:pPr>
        <w:pStyle w:val="BookText"/>
        <w:rPr/>
      </w:pPr>
      <w:bookmarkEnd w:id="711"/>
      <w:r>
        <w:rPr>
          <w:rFonts w:ascii="IRNazanin" w:hAnsi="IRNazanin" w:eastAsia="IRNazanin"/>
          <w:color w:val="111111"/>
          <w:sz w:val="28"/>
          <w:sz w:val="28"/>
          <w:szCs w:val="28"/>
          <w:rtl w:val="true"/>
          <w:lang w:bidi="fa-IR"/>
        </w:rPr>
        <w:t>اصقاع الغرب الإسلامي وأكثر البلاد العربية، وقد استأثر الفقهاء باهتمام كلا الدولتين بغية اضفاء الشرعية على حكمهما، خصوصاً الدولة الصفوية التي قامت على دعامة التشيع وولاية الأئمة الاثني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فوّضت الأمور بعد غيبة الإمام الثاني عشر إلى الفقهاء العظام الجامعين لشرائط الافتاء، فازدهرت العلوم الإسلامية، لاسيما الفقه في عهد الدولة الصفوية، وبدأ النشاط الفقهي في ايران ولاسيما الحوزة العلمية بأصفهان الّتی هاجر إليها كثيراً من العلماء والفقهاء من جبل عامل، كالمحقق الثاني والشيخ بهاءالدين وغيرهما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حوزة اصفهان فی عهد الدولة الصوفية ذات نشاط كبير تخرّج منها علماء افذاذ فی اختصاصات مختلفة واستمرّ نشاطها العلمي من أواخر الدور الثالث إلى الأدوار اللاحقة، فأخذت الابحاث الفقهية خصوصاً في ايران تزدهر فيما يرجع إلى فقه الدولة ونظام الحكم الإسلامي، والّفت كتب كثيرة في المجال الفقهي كالرسائل الخراجية والرسائل الكثيرة حول صلاة الجمعة</w:t>
      </w:r>
      <w:r>
        <w:rPr>
          <w:rFonts w:eastAsia="IRNazanin" w:cs="IRNazanin"/>
          <w:color w:val="111111"/>
          <w:sz w:val="28"/>
          <w:szCs w:val="28"/>
          <w:rtl w:val="true"/>
          <w:lang w:bidi="fa-IR"/>
        </w:rPr>
        <w:t>.</w:t>
      </w:r>
      <w:r>
        <w:rPr>
          <w:rStyle w:val="FootnoteAnchor"/>
          <w:rtl w:val="true"/>
        </w:rPr>
        <w:footnoteReference w:id="362"/>
      </w:r>
    </w:p>
    <w:p>
      <w:pPr>
        <w:pStyle w:val="Heading5"/>
        <w:numPr>
          <w:ilvl w:val="4"/>
          <w:numId w:val="1"/>
        </w:numPr>
        <w:rPr/>
      </w:pPr>
      <w:bookmarkStart w:id="712" w:name="__RefHeading___Toc2474274_653776707"/>
      <w:bookmarkStart w:id="713" w:name="_Toc261"/>
      <w:bookmarkEnd w:id="712"/>
      <w:r>
        <w:rPr>
          <w:rtl w:val="true"/>
        </w:rPr>
        <w:t>الأمر الثالث</w:t>
      </w:r>
      <w:r>
        <w:rPr>
          <w:rtl w:val="true"/>
        </w:rPr>
        <w:t xml:space="preserve">: </w:t>
      </w:r>
      <w:r>
        <w:rPr>
          <w:rtl w:val="true"/>
        </w:rPr>
        <w:t>فقهاء دور الاستقلال وأهم مؤلفاتهم</w:t>
      </w:r>
      <w:bookmarkEnd w:id="713"/>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دور الاستقلال وأهم مؤلفاتهم</w:t>
      </w:r>
      <w:r>
        <w:rPr>
          <w:rStyle w:val="FootnoteAnchor"/>
          <w:rtl w:val="true"/>
        </w:rPr>
        <w:footnoteReference w:id="36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نجم الدين جعفر بن الحسن بن يحيى بن سعيد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مرجع أهل عصره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 مقامه 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كتاباً دراسياً منذ تأليفه إلى يومنا هذا، وصار محطاً للشرح والتعليق عبر القرون، وقد وصفه </w:t>
      </w:r>
    </w:p>
    <w:p>
      <w:pPr>
        <w:pStyle w:val="BookText"/>
        <w:rPr/>
      </w:pPr>
      <w:r>
        <w:rPr>
          <w:rFonts w:ascii="Amiri" w:hAnsi="Amiri" w:eastAsia="Amiri" w:cs="Amiri"/>
          <w:color w:val="111111"/>
          <w:sz w:val="28"/>
          <w:sz w:val="28"/>
          <w:szCs w:val="28"/>
          <w:rtl w:val="true"/>
          <w:lang w:bidi="ar-SA"/>
        </w:rPr>
        <w:t>العلامة الحلي في اجازته ابى زهرة بأنه كان أفضل أهل عصره في الفقه، واستدركهصاحب المعالم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لوكان ترك التقييد بأهل زمانه، كان اصوب، إذا لا أرى في فقهائنا مثله على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 أن الخواجة نصيرالدين طوسي حضر درس المحقق وطلب منه اكمال الدرس، فجرى البحث في مسألة استحباب التياسر في العراق فقال الخواجة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للاستحباب؛ لأن القياس إن كان من القبلة إلى غيرها فهوحرام، وإن كان من غيرها إليها فواجب، فقال المحقق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منها إليها فسكت الخواجة، ثم الّف المحقق في ذلك رسالة لطيفة وارسلها إلى الخواجة فاستحسنها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أهمّ مؤلفاته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شرائع الإسلام في مسائل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وهومن أحسن المتون الفقهية ترتيباً، ومعظم الموسوعات الفقهية الضخمة التي الّفت بعد عصر المحقق هی شروح له، كما هومذكور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 إلى تصانيف الشيعة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في شرح المختصر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 الأصول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موسى بن جعفر بن محمد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هوأوّل من إخترع تفريع الأخبار إلى أقسامها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الصحيح والحسن الموثق والضعيف، بعدما كان الصحيح عند القدماء بغير المعنى الّذي اصطلحه عليه، وقد صبّت الأخباریّة حمم غضبها على ابن طاووس وتلميذه العلامة الحلي؛ لاجل </w:t>
      </w:r>
    </w:p>
    <w:p>
      <w:pPr>
        <w:pStyle w:val="BookText"/>
        <w:rPr/>
      </w:pPr>
      <w:r>
        <w:rPr>
          <w:rFonts w:ascii="Amiri" w:hAnsi="Amiri" w:eastAsia="Amiri" w:cs="Amiri"/>
          <w:color w:val="111111"/>
          <w:sz w:val="28"/>
          <w:sz w:val="28"/>
          <w:szCs w:val="28"/>
          <w:rtl w:val="true"/>
          <w:lang w:bidi="ar-SA"/>
        </w:rPr>
        <w:t>تنويعهما الأخبار بهذا النحو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 مؤلفاته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بشرى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ستّه مجلّدات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أربعة مجلّدات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يؤسف أن هذين الكتابين مما لعب بهما الزمان، ولم تصلنا نسخة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 الاشكال في معرفة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جدّد صياغة الكتاب صاحب المعالم واسماه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 الطاووسي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الفوائد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وهوكتاب في أصول الفقه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موسى بن جعفر بن محمد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يصل نسب إبن طاووس إلى السبط 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وتكنى اسرة طاووس بابن طاووس نسبة إلى جدّهم الأعلى محمد بن اسحاق، فإنه كان جميل الصورة، بهي المنظر إلاّ أنّ قدميه لم يتناسب مع جمال هيئته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أهمّ مؤلفاته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اللهوف في قتلی الطفوف</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غياث سلطان الورى لسكلان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الاخير في الفقه</w:t>
      </w:r>
      <w:r>
        <w:rPr>
          <w:rFonts w:eastAsia="Amiri" w:cs="Amiri" w:ascii="Amiri" w:hAnsi="Amiri"/>
          <w:color w:val="111111"/>
          <w:sz w:val="28"/>
          <w:szCs w:val="28"/>
          <w:rtl w:val="true"/>
          <w:lang w:bidi="ar-SA"/>
        </w:rPr>
        <w:t>.</w:t>
      </w:r>
      <w:r>
        <w:rPr>
          <w:rStyle w:val="FootnoteAnchor"/>
        </w:rPr>
        <w:footnoteReference w:id="364"/>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سعيد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تصانيف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الجامع للشرائع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المدخل في اصول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نزهة الناظر في الجمع بين الاشباه والنظائر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يوسف بن المطهر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العلاّمة الحلي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الفاضل الآبي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عام </w:t>
      </w:r>
      <w:r>
        <w:rPr>
          <w:rFonts w:eastAsia="Amiri" w:cs="Amiri" w:ascii="Amiri" w:hAnsi="Amiri"/>
          <w:color w:val="111111"/>
          <w:sz w:val="28"/>
          <w:szCs w:val="28"/>
          <w:lang w:bidi="ar-SA"/>
        </w:rPr>
        <w:t>673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الرموز في شرح المختصر النافع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علي بن داود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كتاب الرجال المعروف بابن داود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العلاّمه الحلي الحسن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يصفه ولده بالمؤيّد بالنفس القدسية والاخلاق النبويّة ويعرّفه ابن داود في رجاله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وقته، صاحب التحقيق والتدقيق، كثير التصانيف، انتهت رئاسة الإمامية إليه في المعقول والمنقول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أهمّ كتبه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متنهى المطلب في تحقيق المذهب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تلخيص المرام في معرفة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غاية الأحكام في تصحيح تلخيص المرام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تحرير الأحكام الشرعيه على مذهب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مختلف الشيعة في احكام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تبصرة المتعلمين في احكام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مبادى الوصول إلى علم الأصول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تهذيب الوصول إلى علم الأصول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نهاية العقول إلى علم الأصول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ذكر أن العلاّمة الّف خمسة عشر كتاباً في الفقه، وعشرة في اصول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 في المنطق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الجوهر النضيد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التحريد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فخر المحققين محمدبن الحسن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ابن العلاّمة الحلّي، مؤلّف الموسوعة الفقهية الضخمة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ايضاح الفوائد في حلّ مشكلات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آثاره الأصولية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السؤول في شرح تهذيب الأصول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قطب‌الدين الرازى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تلميذ العلامة وقد قرأ قواعده عليه بناحية ورامين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العلاّمة على ظهر كتابه عبارة تدل على مكانته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قطب‌الدين الرازى من ذرّية الصدوق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وكتاباه في المنطق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الشمسية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الشمسية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لنجم‌الدين علي بن عمر الكاتبی القزويني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المطالع في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للقاضي سراج‌الدین محمود بن أبي بكر الأرموي كانا من الكتب الدراسية في الحوزة العلمية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الشهيد الأول محمدبن مكّي العاملي </w:t>
      </w: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ولد بجزين وقد استجاز من مشايخ الفريقين، وروى مصنفات أهل السنة عن نحوأربعين شيخاً، قال استاذه فخر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علماء العالم، سيّد فضلاء بني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أهمّ آثاره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ذكرى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 الشرعية في فقه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اللمعة الدمشقيه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ألف هذا الكتاب بطلب من علي بن المؤيّد ملك خراسان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وهومن ملوك السربداريّة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ذكر له خمسة عشر كتاباً في الفقه، ومن الطف كتبه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والفوائد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وهذالکتاب قد يعدّ أول تأليف في هذا المضمار وقد احتوى على </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و</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عبدالمطلب بن محمدبن علي الأعرج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محمدبن علي الأعرج</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المتوّج عبدالله بن سعيد البحراني، وابنه أحمدبن عبدالله</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الفاضل المقداد بن عبدالله السيورى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التنقيح الرائع في شرح الشرائع في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كنز العرفإن في فقه القران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الباب الحادي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أصبح من الكتب الدراسية إلى يومنا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الحلّي، و قد حیث اختصر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الطوسي بالتماس الوزير محمد بن محمد القوهدهي، ورتبه على عشرة أبواب، وسمّاه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الصلاح في مختصر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أضاف إليه ما لابدّ منه لعامة المكلّفين، من مسائل اصول الدين، وسمّى اضافاته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الحادي عشر فيما يجب على عامّة المكلفين من معرفة أصول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ولما كان هذا الباب جامعاً لمسائل العقائد صار محلاّ لأنظار المحققين وتولّوه بالشرح والتعليق والترجمة ونظموه في الشعر عربيا وفارسيا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أشهر الشروح عليه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 يوم الحشر في شرح الباب الحادي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للفاضل المقداد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فهد أحمد بن محمد الاسدى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جمع بين المعقول والمنقول والظاهر والباطن والعمل باحسن ما كان يجمع</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أهمّ تأليفاته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المهذب البارع إلى شرح النافع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الداعي ونجاح الساعي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توفّي بكربلاء عن عمر ناهز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وله هناك قبر يزار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مفلح الصيمري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عام </w:t>
      </w:r>
      <w:r>
        <w:rPr>
          <w:rFonts w:eastAsia="Amiri" w:cs="Amiri" w:ascii="Amiri" w:hAnsi="Amiri"/>
          <w:color w:val="111111"/>
          <w:sz w:val="28"/>
          <w:szCs w:val="28"/>
          <w:lang w:bidi="ar-SA"/>
        </w:rPr>
        <w:t>878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الشيخ مفلح بن حسن، من تلاميذ أحمد بن فهد الحلّي وله مؤلفات 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غاية المرام في شرح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الكلمات في صيغ العقود والايقاعات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إبن أبی جمهور الأحسائى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حياً عام </w:t>
      </w:r>
      <w:r>
        <w:rPr>
          <w:rFonts w:eastAsia="IRNazanin" w:cs="IRNazanin"/>
          <w:color w:val="111111"/>
          <w:sz w:val="28"/>
          <w:szCs w:val="28"/>
          <w:lang w:bidi="fa-IR"/>
        </w:rPr>
        <w:t>901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آثاره في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الاقطاب الفقهية والوظائف الدينيه على مذهب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تأليفه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غوالي اللآلي العزيزية في الأحاديث الدينية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حسين الصيمري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933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مؤلفاته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محاسن الكلمات في معرفة 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الحكومة الشرعية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المحقق الکرکی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علي بن الحسين بن عبدالعالي الكركي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367"/>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یعرف بالمحقق الثاني، ولد في كرك نوح التي كانت معقلاً للشيعة فی البقاع منذ الفتح الإسلامي، بسبب وجود بعض القبائل الموالية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التي دخلت مع </w:t>
      </w:r>
    </w:p>
    <w:p>
      <w:pPr>
        <w:pStyle w:val="BookText"/>
        <w:rPr/>
      </w:pPr>
      <w:r>
        <w:rPr>
          <w:rFonts w:ascii="IRNazanin" w:hAnsi="IRNazanin" w:eastAsia="IRNazanin"/>
          <w:color w:val="111111"/>
          <w:sz w:val="28"/>
          <w:sz w:val="28"/>
          <w:szCs w:val="28"/>
          <w:rtl w:val="true"/>
          <w:lang w:bidi="fa-IR"/>
        </w:rPr>
        <w:t>الجيوش التی فتحت بلاد الشام، ودخلت البقاع أمثال الهمدانين وخزاعة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المحقق الثاني في هذا البلد العريق في تشيّعه، فدرس الفقه على المذهب الشيعي في بلده على شيوخ العلم في زمانه، كالشيخ علي بن هلال الجزائري، ثم خرج طالباً لعلوم الفرق الإسلامية، فهاجر إلى مصر، لدراسة فقه المذاهب الأربعة، فاخذ هناكمن علمائها، وحصّل الاجازات من شيوخها بالرواية، خصوصاً الصحاح الستّة، وبالأخصّ صحيح البخاري وصحيح المسلم وموطأ مالك ومسند أحمد بن حنبل</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ظهور الدولة الصفوية، احتاجت في أوّل أمرها إلى فقهاء يعلّمون الناس أمور دينهم، ويتولّون منصب القضاء لإدارة شئون الناس وكان لعلماء جبل عامل السهم الأوفر في هذا المضمار، فقد هاجروا إلى ايران وتولّوا أمور الدولة، وكانت بلدة المحقق الكركي تعجّ بالعلماء، حیث كان فيها أكثر من ثلاثين عالماً، فهاجروا إلى ايران، وفوّض الشاه الصفوي إليهم تنظيم شؤون الدولة، حسبما يقتضيه الشرع الحنيف، وشغل علماء جبل عامل في الدولة الصفوية مناصب حسّاسة مهمة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الأمير وشيخ الإسلام ونائب الإمام والمفتي ومروّج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الشيخ الكركي على رأس المهاجرين في أول نجاح الشاه اسماعيل، فوّلاه منصب شيخ الإسلام في اصفهان العاصمة للدولة الصفوية وكتب إلى علماء كرك وجبل عامل یحثّهم على النهوض إليه للجهاد في نشر الدين الحنيف، ولمّا توافر لديه عدد من رجال الدين، عيّن في كل بلد وقرية إمامً يعلّم الناس شرائع الإسلام، ويؤمّهم في الصلاة، ثم نصب نفسه لتعليم كبار رجال الدولة كالامير جعفر وزير الشاه، وامدّه الشاه اسماعيل بسبعين الف دينار شرعي سنويا ليصرفها على المدارس، ولمّا تولّى الشاه طهماسب سنة </w:t>
      </w:r>
      <w:r>
        <w:rPr>
          <w:rFonts w:eastAsia="IRNazanin" w:cs="IRNazanin"/>
          <w:color w:val="111111"/>
          <w:sz w:val="28"/>
          <w:szCs w:val="28"/>
          <w:lang w:bidi="fa-IR"/>
        </w:rPr>
        <w:t>930</w:t>
      </w:r>
      <w:r>
        <w:rPr>
          <w:rFonts w:ascii="IRNazanin" w:hAnsi="IRNazanin" w:eastAsia="IRNazanin"/>
          <w:color w:val="111111"/>
          <w:sz w:val="28"/>
          <w:sz w:val="28"/>
          <w:szCs w:val="28"/>
          <w:rtl w:val="true"/>
          <w:lang w:bidi="fa-IR"/>
        </w:rPr>
        <w:t xml:space="preserve">، قرّب المحقق الكركي ولقّبه نائب الإمام، وكان علماء الكرك يبعثون </w:t>
      </w:r>
    </w:p>
    <w:p>
      <w:pPr>
        <w:pStyle w:val="BookText"/>
        <w:rPr/>
      </w:pPr>
      <w:r>
        <w:rPr>
          <w:rFonts w:ascii="IRNazanin" w:hAnsi="IRNazanin" w:eastAsia="IRNazanin"/>
          <w:color w:val="111111"/>
          <w:sz w:val="28"/>
          <w:sz w:val="28"/>
          <w:szCs w:val="28"/>
          <w:rtl w:val="true"/>
          <w:lang w:bidi="fa-IR"/>
        </w:rPr>
        <w:t xml:space="preserve">الرسائل إلى اخوانهم في كرك وبعلبك وجبل عامل يحثّونهم على الالتحاق باصفهان فالمحقق الكركي ارسل إلى الشيخ حسين بن عبدالصمد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الشيخ البهائي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وحثه علی السفر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لعب الكركيون دوراً فعالا في تنظيم الحياة العلميّة والثقافية والاقتصادية والعمرانية في ايران؛ اذ فتحوا المدارس وصرفوا على الطلاب، ونظّمواالخراج والقضاء وظبطوا اتّجاه القبلة في أكثر بلاد العجم وهندسوا المساجد والمآذن والقباب والّفوا الكتب في الدفاع عن مذهبهم وردّوا على علماء السنة ورهبان النصاري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البحراني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 طهماسب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أمور المملكة 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الكركي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رقماً إلى جميع الممالك بامتثال ما يأمر به الشيخ المذكور، وكتب أيضاً ان اصل الملك إنما هوللمحقق الكركي؛ لأنه نائب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وقال السيد نعمة الله الجزائري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غوالي اللألي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مكنّه السلطان العادل الشاه طهماسب من الملك والسلطان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أحقّ بالملك؛ لانّك النائب عن الإمام، وإنّما أكون من عمّالك أقوم باوامرك ونواهيك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وأكّد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معزول الشيخ لا يستخدم ومنصوبه لا يعزل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الشاه طهماسب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 في جملة ما كتبه في حق هذا المولى</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إنه يبدوويتضّح من الحديث الصحيح النسبة إلى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انظروا إلى من كان منكم، قد روى حديثنا ونظر في حلالنا وحرامنا وعرف احكامنا </w:t>
      </w:r>
    </w:p>
    <w:p>
      <w:pPr>
        <w:pStyle w:val="BookText"/>
        <w:rPr/>
      </w:pPr>
      <w:r>
        <w:rPr>
          <w:rFonts w:ascii="Amiri" w:hAnsi="Amiri" w:eastAsia="Amiri" w:cs="Amiri"/>
          <w:color w:val="111111"/>
          <w:sz w:val="28"/>
          <w:sz w:val="28"/>
          <w:szCs w:val="28"/>
          <w:rtl w:val="true"/>
          <w:lang w:bidi="ar-SA"/>
        </w:rPr>
        <w:t>فارضوا به حكماً، فإنى قد جعلته حاكماً، فإذا حكم بحكم فمن لم يقبله منه فإنّما بحكم الله استخفّ وعلينا ردّ وهورادّ على الله وهوعلى حدّ الشرك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وواضح أن مخالفة حكم المجتهدين الحافظين لشرع سيّد المرسلين، هووالشرك في درجة واحدة، لذلك فإنّ كلّ من يخالف حكم خاتم المجتهدين ووراث علوم سيّد المرسلين، نائب الأئمة المعصومين، لازال اسمه العلّي عليا عاليا ولا يتابعه فإنه لامحاله ملعون مردود وعن مهبط الملائكة مطرود سيؤخذ بالتأدبيات البليغة والتدبيرات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طهماسب بن شاه اسماعيل الصفوي الموسوي</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فالمحقق الكركي يعتبر باعث النهضة الشيعية في ايران ومجدّد المذهب وواضع الأسس الشرعية الدستوريّة للدولة الصفوية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بالرغم من عظمة الشيخ وجلالته واجلال السلطان له فقد كان يعاملهم معاملة خاصة وقد اعترض على شاه اسماعيل عندما أمر بقتل سيف‌الدين أحمد بن يحيى التفتازاني شيخ الإسلام بهرات، لأجل تعصّبه في التسنن، حیث اعترض عليه في قتله ايّاه وخطّأه في ذلك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لولم يقتل لأمكن أن يتمّ عليه بالحجج والبراهين العقلية والنقلية حقيّة مذهب الإماميّة وبطلان مذهب أهل السنة والجماعة، ويلزم بذلك ويسكت ويذعن من إلزامه جميع ماوراء النهر وخراسان بحقيّة مذهب الشيعة، ولذلك كان الشيخ متأسفا دائماً</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ومع كل هذا لم يسلّم من الحسّاد، فقد عاب عليه معاصره ومنافسه الشيخ إبراهيم القطيفي قبوله جوائز السلاطين، وبعض تلامذة الشيخ الكركي رجع عنه واتصل بالشيخ القطيفي وطالب مع جماعة من العلماء ممن كان بينهم وبين الشيخ على كدورة، أن يتباحث مع الشيخ علناً في مجلس الشاه طهماسب في مسألة صلاة الجمعة حتى يعاونه في البحث تلك الجماعة من العلماء في المجلس، وكان يعاونهمفي ذلك جماعة من الأمراء أيضاً عداوة للشيخ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يتفق هذا المقصود وفي تلك الأوقات كتب بعض الاشرار مكتوباً مشتملاً على أنواع الكذب بالنسبة إلى الشيخ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لهذه الأسباب ترك المحقق الثاني ایران مع ما كان له فيها من الجاه العظيم وسكن العراق، وقد توفي سنة </w:t>
      </w:r>
      <w:r>
        <w:rPr>
          <w:rFonts w:eastAsia="IRNazanin" w:cs="IRNazanin"/>
          <w:color w:val="111111"/>
          <w:sz w:val="28"/>
          <w:szCs w:val="28"/>
          <w:rtl w:val="true"/>
          <w:lang w:bidi="fa-IR"/>
        </w:rPr>
        <w:t>(</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بالنجف وقيل أنه مات شهيداً مسموماً، قاله الشيخ حسين بن عبدالصمد والد الشيخ البهائي</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أهمّ كتبه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جامع المقاصد في شرح قواعد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حكي عن الشيخ محمدحسن النجفي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الفقيه إذا كان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استغنى عن اىّ مصدر آخر للاستنباط</w:t>
      </w:r>
      <w:r>
        <w:rPr>
          <w:rFonts w:eastAsia="Amiri" w:cs="Amiri" w:ascii="Amiri" w:hAnsi="Amiri"/>
          <w:color w:val="111111"/>
          <w:sz w:val="28"/>
          <w:szCs w:val="28"/>
          <w:rtl w:val="true"/>
          <w:lang w:bidi="ar-SA"/>
        </w:rPr>
        <w:t>.</w:t>
      </w:r>
      <w:r>
        <w:rPr>
          <w:rStyle w:val="FootnoteAnchor"/>
          <w:rtl w:val="true"/>
        </w:rPr>
        <w:footnoteReference w:id="372"/>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رسائل المحقق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الاشارة إلى أن المحقق الثاني اول من أحضر مسائل الحكومة إلى الساحة الفقهية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القطيفي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945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مع الشيخ علي الكركي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شریکاً في الدرس عند الشيخ علي بن هلال الجزائري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دارت بينهما مناظرات في مسائل فقهية اهمّهما مسألة الخراج وصلاة الجمعة، فالّف المحقق رسالة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قاطعة اللجاج في تحقيق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نقضها القطيفي بكتاب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السراج الوهّاج لدفع عجاج قاطعة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الّف المحققالأردبيلي رسالة دافع فيها عن القطيفي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فتاوى القطيفي حرمة صلاة الجمعة في عصر الغيبة ردّا على المحقق الكركي القائل بوجوبها مع حضور الفقيه الجامع لشرائط الفتوى وكونه إماماً</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زين‌الدين الجبّعى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جبّع واشتغل بقراءة القرآن وفنون الأدب والفقه على والده، ثم ذهب إلى ميس لتكميل دراسته فحضر فيها على الشيخ علي الكركي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ذهب إلى كرك نوح وحضر ابحاث السيد حسن بن السيد جعفر ثم غادر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جبّع وبقى هناك إلى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واشتغل بالمذاكرة والمطالعة، ثم ارتحل إلى دمشق وبقي هناك سنة واحدة، حضر فيها دروس الطب والفلسفة والهيئة، ثم عاد إلى مسقط رأسه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واقام فيها إلى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مرة أخرى إلى دمشق ودرس المذاهب الإسلامية هناك، ثم غادر إلى مصر سنة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مصر يومئذ مركزاً كبيراً من مراكز الحركة العقلية، فحضر كثيراً من الحلقات الموزعة من أصحاب مختلف المذاهب الإسلامية، والتقى بشيوخ الفقه والحديث والتفسير والأدب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فكانت مدة اقامته في مصر ثمانية عشر شهراً، ثم غادر إلى الحجاز، وبعد قضاء الحج رجع إلى مسقط رأسه جبّع واستمر في التدريس والكتابة والتوجيه والارشاد حتى بدا له أن يزور العتبات المقدسة فقصد العراق، وبعدما انهى زيارته توجه إلىبعلبك في سنة </w:t>
      </w:r>
      <w:r>
        <w:rPr>
          <w:rFonts w:eastAsia="IRNazanin" w:cs="IRNazanin"/>
          <w:color w:val="111111"/>
          <w:sz w:val="28"/>
          <w:szCs w:val="28"/>
          <w:rtl w:val="true"/>
          <w:lang w:bidi="fa-IR"/>
        </w:rPr>
        <w:t>(</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فاشتغل بالتدريس والافتاء على المذاهب السنّية ومذهب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وبقى هناك إلى </w:t>
      </w:r>
      <w:r>
        <w:rPr>
          <w:rFonts w:eastAsia="IRNazanin" w:cs="IRNazanin"/>
          <w:color w:val="111111"/>
          <w:sz w:val="28"/>
          <w:szCs w:val="28"/>
          <w:rtl w:val="true"/>
          <w:lang w:bidi="fa-IR"/>
        </w:rPr>
        <w:t>(</w:t>
      </w:r>
      <w:r>
        <w:rPr>
          <w:rFonts w:eastAsia="IRNazanin" w:cs="IRNazanin"/>
          <w:color w:val="111111"/>
          <w:sz w:val="28"/>
          <w:szCs w:val="28"/>
          <w:lang w:bidi="fa-IR"/>
        </w:rPr>
        <w:t>955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رجع إلى وطنه وكان هذا خاتمة اوقات الامان وبداية مالقيه من الضغط الشديد والمراقبة عليه واحاطته بالعيون والجواسيس، واستشهد في سنة </w:t>
      </w:r>
      <w:r>
        <w:rPr>
          <w:rFonts w:eastAsia="IRNazanin" w:cs="IRNazanin"/>
          <w:color w:val="111111"/>
          <w:sz w:val="28"/>
          <w:szCs w:val="28"/>
          <w:rtl w:val="true"/>
          <w:lang w:bidi="fa-IR"/>
        </w:rPr>
        <w:t>(</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اواسط سلطنة الشاه طهماسب، وكان السبب في شهادته أن جماعة من العامة قالوا لرستم باشا الوزير الأعظم للسلطان سليمان الخلیفة العثمانی أن الشيخ زين‌الدین يدعى الإجتهاد ويتردد إليه كثير من علماء الشيعة ويقرؤن عليه كتب الإمامية وغرضهم بذلك اشاعة التشيع فارسل رستم پاشا في طلب الشيخ، وكان وقتنذٍ بمكة المعظمة، فأخذوه من مكة وذهبوا به إلى استنابول فقتلوه فيها من غير أن يعرضوه على السلطان سليمان</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من أهم كتبه الفقهية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مسالك الافهام في شرح شرائع الإسلام</w:t>
      </w:r>
      <w:r>
        <w:rPr>
          <w:rFonts w:eastAsia="Amiri" w:cs="Amiri" w:ascii="Amiri" w:hAnsi="Amiri"/>
          <w:color w:val="111111"/>
          <w:sz w:val="28"/>
          <w:szCs w:val="28"/>
          <w:rtl w:val="true"/>
          <w:lang w:bidi="ar-SA"/>
        </w:rPr>
        <w:t xml:space="preserve">». </w:t>
      </w:r>
      <w:bookmarkStart w:id="714" w:name="pg8675_123530"/>
    </w:p>
    <w:p>
      <w:pPr>
        <w:pStyle w:val="BookText"/>
        <w:rPr/>
      </w:pPr>
      <w:bookmarkEnd w:id="714"/>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الروضه‌البهية في شرح اللمعة الدمشقية</w:t>
      </w:r>
      <w:r>
        <w:rPr>
          <w:rFonts w:eastAsia="Amiri" w:cs="Amiri" w:ascii="Amiri" w:hAnsi="Amiri"/>
          <w:color w:val="111111"/>
          <w:sz w:val="28"/>
          <w:szCs w:val="28"/>
          <w:rtl w:val="true"/>
          <w:lang w:bidi="ar-SA"/>
        </w:rPr>
        <w:t>».</w:t>
      </w:r>
    </w:p>
    <w:p>
      <w:pPr>
        <w:pStyle w:val="Heading5"/>
        <w:numPr>
          <w:ilvl w:val="4"/>
          <w:numId w:val="1"/>
        </w:numPr>
        <w:rPr/>
      </w:pPr>
      <w:bookmarkStart w:id="715" w:name="__RefHeading___Toc2474276_653776707"/>
      <w:bookmarkStart w:id="716" w:name="_Toc262"/>
      <w:bookmarkEnd w:id="715"/>
      <w:r>
        <w:rPr>
          <w:rtl w:val="true"/>
        </w:rPr>
        <w:t>الأمر الرابع</w:t>
      </w:r>
      <w:r>
        <w:rPr>
          <w:rtl w:val="true"/>
        </w:rPr>
        <w:t xml:space="preserve">: </w:t>
      </w:r>
      <w:r>
        <w:rPr>
          <w:rtl w:val="true"/>
        </w:rPr>
        <w:t>منهج الإجتهاد في الدور الاستقلال والتکامل</w:t>
      </w:r>
      <w:bookmarkEnd w:id="716"/>
    </w:p>
    <w:p>
      <w:pPr>
        <w:pStyle w:val="BookText"/>
        <w:rPr/>
      </w:pPr>
      <w:r>
        <w:rPr>
          <w:rFonts w:ascii="Amiri" w:hAnsi="Amiri" w:eastAsia="Amiri" w:cs="Amiri"/>
          <w:color w:val="111111"/>
          <w:sz w:val="28"/>
          <w:sz w:val="28"/>
          <w:szCs w:val="28"/>
          <w:rtl w:val="true"/>
          <w:lang w:bidi="ar-SA"/>
        </w:rPr>
        <w:t>لقد شهد الفقه ونشاط الإجتهاد في هذا الدور الطويل تطوّراً ملحوظاً فاق التطور الّذي حصل في الأدوار السابقة، من حيث الكم والكيف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لاحظنا في الأدوار السابقة تلک المحاكاة التي ابتلى بها الفقه الشيعي من خلال مسايرته للفقه السنّي وما نلاحظه في هذا الدور هوالابتعاد عن تلک المحاكاة وبذلک بدأت حركة الإجتهاد تنحوباتجاه الاستقلال التام عن التأثّر بالفقه غيرالشيعي، وانتج هذا الاتجاه إجتهاداً متمايزاً بادواته ومنهاجه ومصادره وعملياته ومدوّناته عن سائرالمذاهب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واثمرت الاستقلالية الاجتهاد هذه ظهور موسوعات فقهية استدلالية ضخمة، وبلغ الإجتهاد مرتبة عالية من المستوى العلمي، ويلاحظ ذلك في الموسوعات الفقهية التي دوّنها العلامة والشهيدان</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لکن هذا الاستقلال لایعنی أن منهج إجتهاد الشيعة كان في معزل عن إجتهاد العامة، ففي نفس هذا الدور جری تدوین موسوعات مهمّه في مستوى الفقه المقارن، كما هوواضح في آثار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والشهيد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كذكرى الشيعة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ونتيجة لتفاعلات بعض الظروف السياسية، بعد ابتعاد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ساحة السياسة، برزت في هذا الدور الدولة الصفوية في ايران وقد اوجب هذا توجّه </w:t>
      </w:r>
      <w:bookmarkStart w:id="717" w:name="pg8675_123533"/>
    </w:p>
    <w:p>
      <w:pPr>
        <w:pStyle w:val="BookText"/>
        <w:rPr/>
      </w:pPr>
      <w:bookmarkEnd w:id="717"/>
      <w:r>
        <w:rPr>
          <w:rFonts w:ascii="IRNazanin" w:hAnsi="IRNazanin" w:eastAsia="IRNazanin"/>
          <w:color w:val="111111"/>
          <w:sz w:val="28"/>
          <w:sz w:val="28"/>
          <w:szCs w:val="28"/>
          <w:rtl w:val="true"/>
          <w:lang w:bidi="fa-IR"/>
        </w:rPr>
        <w:t>حركة الإجتهاد عند الشيعة إلى الاهتمام بفقه الدولة، والبحث عن الأحكام المتعقلة بها، وبذلك اولی منهج الإجتهاد في أواخر هذا الدورعناية واسعة إلى هذا الجانب من الموضوعات الفقهية المهمّة</w:t>
      </w:r>
      <w:r>
        <w:rPr>
          <w:rFonts w:eastAsia="IRNazanin" w:cs="IRNazanin"/>
          <w:color w:val="111111"/>
          <w:sz w:val="28"/>
          <w:szCs w:val="28"/>
          <w:rtl w:val="true"/>
          <w:lang w:bidi="fa-IR"/>
        </w:rPr>
        <w:t>.</w:t>
      </w:r>
    </w:p>
    <w:p>
      <w:pPr>
        <w:pStyle w:val="Heading5"/>
        <w:numPr>
          <w:ilvl w:val="4"/>
          <w:numId w:val="1"/>
        </w:numPr>
        <w:rPr/>
      </w:pPr>
      <w:bookmarkStart w:id="718" w:name="__RefHeading___Toc2474278_653776707"/>
      <w:bookmarkStart w:id="719" w:name="_Toc263"/>
      <w:bookmarkEnd w:id="718"/>
      <w:r>
        <w:rPr>
          <w:rtl w:val="true"/>
        </w:rPr>
        <w:t>الأمر الخامس</w:t>
      </w:r>
      <w:r>
        <w:rPr>
          <w:rtl w:val="true"/>
        </w:rPr>
        <w:t xml:space="preserve">: </w:t>
      </w:r>
      <w:r>
        <w:rPr>
          <w:rtl w:val="true"/>
        </w:rPr>
        <w:t>أهم خصائص دور الاستقلال والتکامل</w:t>
      </w:r>
      <w:bookmarkEnd w:id="719"/>
    </w:p>
    <w:p>
      <w:pPr>
        <w:pStyle w:val="BookText"/>
        <w:rPr/>
      </w:pPr>
      <w:r>
        <w:rPr>
          <w:rFonts w:ascii="Amiri" w:hAnsi="Amiri" w:eastAsia="Amiri" w:cs="Amiri"/>
          <w:color w:val="111111"/>
          <w:sz w:val="28"/>
          <w:sz w:val="28"/>
          <w:szCs w:val="28"/>
          <w:rtl w:val="true"/>
          <w:lang w:bidi="ar-SA"/>
        </w:rPr>
        <w:t>يتميّز هذا الدور من الإجتهاد بأمور مهمّة كثيرة، نشير إلى أهمها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يتميّز هذا الدور بظاهرة الاستقلال عن مجاراة المذاهب الأخرى في المادة أوالمنهج، واعتماد تراث الشيعة خاصّة، من دون نظر إلى إجتهاد العامّة ومناهجهم في الاستدلال إلاّ في كتب الفقه المقارن، كما مرّ ذكره، ولأبد أن نتذكر أن هذا الدور فيالفقه الإمامي ترافق زمنیاً مع عصر انحصار فقه العامة في المذاهب الأربعة والتحقق الكامل لانسداد باب الإجتهاد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علم اصول الفقه دونت مؤلفات من قبيل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معارج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للمحقق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الوصول إلى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فتميز هذه المؤلفات بالأصالة والعمق واعتماد الأصول المستفادة من نصوص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كأصل الإستصحاب، وقد جعل المحقق قاعدة الإستصحاب دليلاً خامساً في عرض الأدلة الأربعة الأخرى، كما بحث المسائل الأصولية المهمة كحجية خبر الثقة في هذه الكتب کان أكثر نضجاً من غيرها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علم الدراية قسّم الحديث بتقسيم رباعي إلى صحيح وحسن وموثق وضعيف، بعد أن كان يقسّم قبل ذلك إلى الصحيح والضعيف، وذلك نتيجة تطور البحث عن حجيّة خبر الواحد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علم الرجال دونت مجاميع رجالية عديدة تجمع تراجم طبقات الرجال وحالاتهم، بشكل أدق كرجال العلامة ابن داود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استقلالية فقه الإمامیة عن فقه العامة أوجب ترتيب مسائله على أساس حصرعقلي وضعه المحقق الحلي، وهوتقسيمه إلى الأقسام الأربعة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العبادات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الايقاعات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وأساس هذا 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هوأن الحكم الشرعي إمّا أن يتقوم بقصد القربة أولا، والأول العبادات، والثاني إمّا أن يحتاج إلى اللفظ والانشاء أولايحتاج، والثاني الأحكام والأولإما أن يحتاج إلى طرف أوطرفين والأول الإيقاعات والثاني العقود</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وهذا التقسيم وان كان حيّاً في تقسيم أبواب الإجتهاد الإمامى الا انه مع ذلك يوجد هناك بعض التأملات بالنسبة إليه، حيث أن باب الأحكام فيه أبواب ضخمة عظيمة قد يندرج تحته الكثير من أبواب الفقه مما لايتناسب مع الأبواب الثلاثة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 وأما ثانياً وهوالعمدة في ذلك فهوأن هذا التقسيم ناظر إلى الظروف الزمانية للشيعة التي ابتعد فيها فقه الإمامية عن التأثیر الاجتماعی وكان بعيداً عن التدخل في أمور السياسة وتدبير الأمور على وفق احكام الشريعة، فالمنظور في هذا التقسيم هوالبعد الفردي للاجتهاد، وليس الجانب العملي له الذي هوعبارة عن برنامج متكامل لادارة المجتمع والحياة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اثمر استقلال إجتهاد الإمامية في تهذيبه عن البحوث الزائدة</w:t>
      </w:r>
    </w:p>
    <w:p>
      <w:pPr>
        <w:pStyle w:val="BookText"/>
        <w:rPr/>
      </w:pPr>
      <w:r>
        <w:rPr>
          <w:rFonts w:ascii="Amiri" w:hAnsi="Amiri" w:eastAsia="Amiri" w:cs="Amiri"/>
          <w:color w:val="111111"/>
          <w:sz w:val="28"/>
          <w:sz w:val="28"/>
          <w:szCs w:val="28"/>
          <w:rtl w:val="true"/>
          <w:lang w:bidi="ar-SA"/>
        </w:rPr>
        <w:t>أوالاستدلالات الغريبة واتقان صناعة الاستناد إلى الأدلة الشرعية في ثوب علمي ومنهج 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اصبحت الكتب الفقهية المؤلّفة في هذا الدور للمحقق والعلامة والشهيدين هي الكتب التي استقطبت اهتمام الدارسين والباحثين واصبحت محل الشرح والتعليق عليها والرجوع إليها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الدور بدأ تدوين فقه القواعد أوالقواعد الفقهية، فالشهيد الأول ألّف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القواعد والفوائد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 بعده الفاضل المقداد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نضد القواعد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والشهيدالثاني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القواعد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امتيازات هذا الدور التوسع في تطبيق القواعد على الفروع، خصوصاً فيفقه المعاملات، فبمقارنة كتب هذا الدور مع كتب الدور السابق يظهر مدى الفرق بينهما في هذا الجانب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هذا الدور أيضاً استمر منهج الدراسات المقارنة ولکن بنحواوسع وأكثر، تارة بين المذاهب الفقهية، وأخرى بين فقهائنا خاصّة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المميزات المهمّة في هذا الدور اتجاه الإجتهاد الإمامى إلى تدوين وتقنين فقه الدولة والحكم الإسلامي لمذهب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والتصدّي لتجسيد دور النيابة العامة في عصر الغيبة، سواء من خلال تنظيم جهات المرجعية الدينية الّذي بدأه الشهيد الأول، أومن خلال الاشراف على الدولة، كما حدث للمحق الكركي في الدولة الصفوية، وبهذا يكون الإجتهاد الإمامي قد اتجه في هذا الدور إلى الاستقلال التام في مجال النظرية والتطبيق، مع تطوره من فقه الأحوال الشخصية إلى فقه </w:t>
      </w:r>
    </w:p>
    <w:p>
      <w:pPr>
        <w:pStyle w:val="BookText"/>
        <w:rPr/>
      </w:pPr>
      <w:r>
        <w:rPr>
          <w:rFonts w:ascii="Amiri" w:hAnsi="Amiri" w:eastAsia="Amiri" w:cs="Amiri"/>
          <w:color w:val="111111"/>
          <w:sz w:val="28"/>
          <w:sz w:val="28"/>
          <w:szCs w:val="28"/>
          <w:rtl w:val="true"/>
          <w:lang w:bidi="ar-SA"/>
        </w:rPr>
        <w:t>المجتمع والدولة، وهى خطوة كبيرة في عصر الغيبة</w:t>
      </w:r>
      <w:r>
        <w:rPr>
          <w:rFonts w:eastAsia="Amiri" w:cs="Amiri" w:ascii="Amiri" w:hAnsi="Amiri"/>
          <w:color w:val="111111"/>
          <w:sz w:val="28"/>
          <w:szCs w:val="28"/>
          <w:rtl w:val="true"/>
          <w:lang w:bidi="ar-SA"/>
        </w:rPr>
        <w:t>.</w:t>
      </w:r>
      <w:r>
        <w:rPr>
          <w:rStyle w:val="FootnoteAnchor"/>
          <w:rtl w:val="true"/>
        </w:rPr>
        <w:footnoteReference w:id="377"/>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الختام بقى أمر مهم لابدّ من الإشارة إليه، وهوأن مدرسة المحقق الأردبيلي التي تبعه تلميذاه صاحب المدارك وصاحب ألمعالم، وإن راجت في حوزة النجف ولكن ظهر في نفس الوقت فقهاء من حوزات مختلفة كحوزة اصفهان كان منهجهم عدم التشدد بالنسية إلى الأخذ بالروايات وعدم الافراط في الإتجاه العقلي، علماً أن هذا الإتجاه كان هوالرائج قبل المحقق الأردبيلي، ونشير إلى اسماء بعض فقهاء هذه المناهج في الدور الخامس إن شاء الله تعالى</w:t>
      </w:r>
      <w:r>
        <w:rPr>
          <w:rFonts w:eastAsia="Amiri" w:cs="Amiri" w:ascii="Amiri" w:hAnsi="Amiri"/>
          <w:color w:val="111111"/>
          <w:sz w:val="28"/>
          <w:szCs w:val="28"/>
          <w:rtl w:val="true"/>
          <w:lang w:bidi="ar-SA"/>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0" w:name="pg8675_123548"/>
      <w:bookmarkStart w:id="721" w:name="pg8675_123548"/>
      <w:bookmarkEnd w:id="721"/>
    </w:p>
    <w:p>
      <w:pPr>
        <w:pStyle w:val="Heading4"/>
        <w:numPr>
          <w:ilvl w:val="3"/>
          <w:numId w:val="1"/>
        </w:numPr>
        <w:rPr/>
      </w:pPr>
      <w:bookmarkStart w:id="722" w:name="pg8675_123548"/>
      <w:bookmarkStart w:id="723" w:name="__RefHeading___Toc2474280_653776707"/>
      <w:bookmarkStart w:id="724" w:name="_Toc264"/>
      <w:bookmarkEnd w:id="722"/>
      <w:bookmarkEnd w:id="723"/>
      <w:r>
        <w:rPr>
          <w:rtl w:val="true"/>
        </w:rPr>
        <w:t>الدور الرابع دور الإفراط في الإتجاه العقلي للاستنباط</w:t>
      </w:r>
      <w:bookmarkEnd w:id="724"/>
    </w:p>
    <w:p>
      <w:pPr>
        <w:pStyle w:val="Heading5"/>
        <w:numPr>
          <w:ilvl w:val="4"/>
          <w:numId w:val="1"/>
        </w:numPr>
        <w:rPr/>
      </w:pPr>
      <w:bookmarkStart w:id="725" w:name="__RefHeading___Toc2474282_653776707"/>
      <w:bookmarkStart w:id="726" w:name="_Toc265"/>
      <w:bookmarkEnd w:id="725"/>
      <w:r>
        <w:rPr>
          <w:rtl w:val="true"/>
        </w:rPr>
        <w:t>اشارة</w:t>
      </w:r>
      <w:bookmarkEnd w:id="726"/>
    </w:p>
    <w:p>
      <w:pPr>
        <w:pStyle w:val="BookText"/>
        <w:rPr/>
      </w:pPr>
      <w:r>
        <w:rPr>
          <w:rFonts w:ascii="IRNazanin" w:hAnsi="IRNazanin" w:eastAsia="IRNazanin"/>
          <w:color w:val="111111"/>
          <w:sz w:val="28"/>
          <w:sz w:val="28"/>
          <w:szCs w:val="28"/>
          <w:rtl w:val="true"/>
          <w:lang w:bidi="fa-IR"/>
        </w:rPr>
        <w:t>ويقع البحث فيه حول الأمورالآتیة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تحديد زمن الدور الرابع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التعريف بالدور الرابع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أهم المجتهدين في هذا الدور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منهج الإجتهاد في هذا الدور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أهم خصائص هذا الدور</w:t>
      </w:r>
      <w:r>
        <w:rPr>
          <w:rFonts w:eastAsia="IRNazanin" w:cs="IRNazanin"/>
          <w:color w:val="111111"/>
          <w:sz w:val="28"/>
          <w:szCs w:val="28"/>
          <w:rtl w:val="true"/>
          <w:lang w:bidi="fa-IR"/>
        </w:rPr>
        <w:t>.</w:t>
      </w:r>
    </w:p>
    <w:p>
      <w:pPr>
        <w:pStyle w:val="Heading5"/>
        <w:numPr>
          <w:ilvl w:val="4"/>
          <w:numId w:val="1"/>
        </w:numPr>
        <w:rPr/>
      </w:pPr>
      <w:bookmarkStart w:id="727" w:name="__RefHeading___Toc2474284_653776707"/>
      <w:bookmarkStart w:id="728" w:name="_Toc266"/>
      <w:bookmarkEnd w:id="727"/>
      <w:r>
        <w:rPr>
          <w:rtl w:val="true"/>
        </w:rPr>
        <w:t>الأمر الأول</w:t>
      </w:r>
      <w:r>
        <w:rPr>
          <w:rtl w:val="true"/>
        </w:rPr>
        <w:t xml:space="preserve">: </w:t>
      </w:r>
      <w:r>
        <w:rPr>
          <w:rtl w:val="true"/>
        </w:rPr>
        <w:t>التحديد الزمني للدور الرابع</w:t>
      </w:r>
      <w:bookmarkEnd w:id="728"/>
    </w:p>
    <w:p>
      <w:pPr>
        <w:pStyle w:val="BookText"/>
        <w:rPr/>
      </w:pPr>
      <w:r>
        <w:rPr>
          <w:rFonts w:ascii="Amiri" w:hAnsi="Amiri" w:eastAsia="Amiri" w:cs="Amiri"/>
          <w:color w:val="111111"/>
          <w:sz w:val="28"/>
          <w:sz w:val="28"/>
          <w:szCs w:val="28"/>
          <w:rtl w:val="true"/>
          <w:lang w:bidi="ar-SA"/>
        </w:rPr>
        <w:t xml:space="preserve">الدور الرابع من الأدوار التي مرّت بحركة الإجتهاد عند الإمامية يبدء من زمن المحقق الاردبيلي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العقود الأخيرة من القرن العاشر، وينتهي بظهور حركة الاخبارية على يد المحدّث الأمين الاسترابادي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378"/>
      </w:r>
    </w:p>
    <w:p>
      <w:pPr>
        <w:pStyle w:val="Heading5"/>
        <w:numPr>
          <w:ilvl w:val="4"/>
          <w:numId w:val="1"/>
        </w:numPr>
        <w:rPr/>
      </w:pPr>
      <w:bookmarkStart w:id="729" w:name="__RefHeading___Toc2474286_653776707"/>
      <w:bookmarkStart w:id="730" w:name="_Toc267"/>
      <w:bookmarkEnd w:id="729"/>
      <w:r>
        <w:rPr>
          <w:rtl w:val="true"/>
        </w:rPr>
        <w:t>الأمرالثاني</w:t>
      </w:r>
      <w:r>
        <w:rPr>
          <w:rtl w:val="true"/>
        </w:rPr>
        <w:t xml:space="preserve">: </w:t>
      </w:r>
      <w:r>
        <w:rPr>
          <w:rtl w:val="true"/>
        </w:rPr>
        <w:t>التعريف بالدور الرابع</w:t>
      </w:r>
      <w:bookmarkEnd w:id="730"/>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سمّي هذا الدور بدور الافراط؛ بسبب ظهور اتجاه عقلي متشدّد فی الإجتهاد فی هذا العصر وكان رائده المحقق الأردبيلي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بما كان يتمتع به من </w:t>
      </w:r>
      <w:bookmarkStart w:id="731" w:name="pg8675_123551"/>
    </w:p>
    <w:p>
      <w:pPr>
        <w:pStyle w:val="BookText"/>
        <w:rPr/>
      </w:pPr>
      <w:bookmarkEnd w:id="731"/>
      <w:r>
        <w:rPr>
          <w:rFonts w:ascii="IRNazanin" w:hAnsi="IRNazanin" w:eastAsia="IRNazanin"/>
          <w:color w:val="111111"/>
          <w:sz w:val="28"/>
          <w:sz w:val="28"/>
          <w:szCs w:val="28"/>
          <w:rtl w:val="true"/>
          <w:lang w:bidi="fa-IR"/>
        </w:rPr>
        <w:t>نبوغ علمي وثقافة عقلية استطاع أن يوجّه النقد نحوجملة من فتاوى مشهور الفقهاء،هذا من جانب، كما شدّد أيضاً من جانب آخر علی التدقیق فی الروايات سنداً ودلالة، وأوجب حينئذٍ الميل نحوالأخذ بالقواعد والأصول العامّة والعقلية، وكذلك التوسّع في الأخذ بإطلاقات وعمومات القران الكريم، ومحاولة تخريج المسائل الفقهية على أساسها</w:t>
      </w:r>
      <w:r>
        <w:rPr>
          <w:rFonts w:eastAsia="IRNazanin" w:cs="IRNazanin"/>
          <w:color w:val="111111"/>
          <w:sz w:val="28"/>
          <w:szCs w:val="28"/>
          <w:rtl w:val="true"/>
          <w:lang w:bidi="fa-IR"/>
        </w:rPr>
        <w:t>.</w:t>
      </w:r>
      <w:r>
        <w:rPr>
          <w:rStyle w:val="FootnoteAnchor"/>
          <w:rtl w:val="true"/>
        </w:rPr>
        <w:footnoteReference w:id="379"/>
      </w:r>
    </w:p>
    <w:p>
      <w:pPr>
        <w:pStyle w:val="Heading5"/>
        <w:numPr>
          <w:ilvl w:val="4"/>
          <w:numId w:val="1"/>
        </w:numPr>
        <w:rPr/>
      </w:pPr>
      <w:bookmarkStart w:id="732" w:name="__RefHeading___Toc2474288_653776707"/>
      <w:bookmarkStart w:id="733" w:name="_Toc268"/>
      <w:bookmarkEnd w:id="732"/>
      <w:r>
        <w:rPr>
          <w:rtl w:val="true"/>
        </w:rPr>
        <w:t>الأمر الثالث</w:t>
      </w:r>
      <w:r>
        <w:rPr>
          <w:rtl w:val="true"/>
        </w:rPr>
        <w:t xml:space="preserve">: </w:t>
      </w:r>
      <w:r>
        <w:rPr>
          <w:rtl w:val="true"/>
        </w:rPr>
        <w:t>أهمّ المجتهدين في الدور الرابع ومؤلفاتهم</w:t>
      </w:r>
      <w:bookmarkEnd w:id="7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المحقق أحمد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يعدّ المحقق الأردبيلي من أعلام الدور الرابع في الحقيقه يعدّ الرائد هذا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 في الجلالة والثقة والأمانة أشهر من أن يذكر وفوق ما تحوم حوله العبارة، كان متكلما فقيها، عظيم الشأن، جليل القدر، رفيع المنزلة، أورع أهل زمانه واعبدهم واتقاهم</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ويعرّفه المحدّث البحراني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يسمع بمثله في الزهد والورع، له مقامات وكرامات لا مجال لذكرها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وكانت السلطة الصفوية انذاك بيد الشاه عباس الصفوي الذی كان يبالغ في تعظيمه وتمجيده ويرسل إليه بكل جميل، یدعوه إلی القدوم إلى ايران وهويتحاشى قبول ذلك</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ولقد تميزّ المحقق الاردبيلي بطريقة خاصّة في استدلالاته الفقهية في كتابه القيّم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 والبرهان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يعتمد في استدلاله على الفكر والإجتهاد التحليليّ، ولهذا تميّزت مدرسته عن المدارس الأخرى بميّزة التحرّر من حصار التبعيّة للمشهور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جانب، ومن جانب آخر تشددّ في الأخذ بالروايات من ناحية اسانيدها ومن حيث دلالتها أومعارضتها مع روايات أوقواعد أخرى، ورغم أنه أوجب اغناء الاستدلال الفقهي وتعميقه فيما بعد، إلاّ أنه أوجب نحواً من التحفّظ تجاه الاعتماد على الأحاديث والنصوص المأثورة، والميل نحوالأخذ بالقواعد العامة والأصول العقلية، وكذلك توسّع في الأخذ بإطلاقات وعمومات القرآن الكريم، كما اهتم أيضاً بآيات الأحكام والّف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محاولاً تخريج كافّة الأبواب الفقهية على الآيات الشريفة</w:t>
      </w:r>
      <w:r>
        <w:rPr>
          <w:rFonts w:eastAsia="Amiri" w:cs="Amiri" w:ascii="Amiri" w:hAnsi="Amiri"/>
          <w:color w:val="111111"/>
          <w:sz w:val="28"/>
          <w:szCs w:val="28"/>
          <w:rtl w:val="true"/>
          <w:lang w:bidi="ar-SA"/>
        </w:rPr>
        <w:t>.</w:t>
      </w:r>
      <w:r>
        <w:rPr>
          <w:rStyle w:val="FootnoteAnchor"/>
          <w:rtl w:val="true"/>
        </w:rPr>
        <w:footnoteReference w:id="382"/>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قيل عن مدرسته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يعتمد على مبدأ السماح والسهولة في أحكام الشريعة على أساس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 عَلَيْكُمْ فِى الدِّينِ مِنْ حَرَجٍ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بعثت بالحنيفية السمحة</w:t>
      </w:r>
      <w:r>
        <w:rPr>
          <w:rFonts w:eastAsia="Amiri" w:cs="Amiri" w:ascii="Amiri" w:hAnsi="Amiri"/>
          <w:color w:val="111111"/>
          <w:sz w:val="28"/>
          <w:szCs w:val="28"/>
          <w:rtl w:val="true"/>
          <w:lang w:bidi="ar-SA"/>
        </w:rPr>
        <w:t>».</w:t>
      </w:r>
      <w:r>
        <w:rPr>
          <w:rStyle w:val="FootnoteAnchor"/>
          <w:rtl w:val="true"/>
        </w:rPr>
        <w:footnoteReference w:id="383"/>
      </w:r>
      <w:r>
        <w:rPr>
          <w:rFonts w:ascii="IRNazanin" w:hAnsi="IRNazanin" w:eastAsia="IRNazanin"/>
          <w:color w:val="111111"/>
          <w:sz w:val="28"/>
          <w:sz w:val="28"/>
          <w:szCs w:val="28"/>
          <w:rtl w:val="true"/>
          <w:lang w:bidi="fa-IR"/>
        </w:rPr>
        <w:t xml:space="preserve">وأهمّ مؤلفاته كما ذكرنا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الفائدة والبرهان في شرح ارشاد الاذهان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للعلّامه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وهودورة فقهيه كاملة وموسوعة كبيرة تشمل جميع أبواب الفقه إلاّ كتاب النكاح، وللمحقّق الأردبيلي في هذا الكتاب أراء خاصّة خالف فيها الرأي المشهور بين العلماء</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العاملي صاحب المدارك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على المحقق أحمد الأردبيلي، كان شريك خاله الشيخ حسن ابن الشهيد الثاني في الدرس، وكان كل واحد منهما يقتدي بالاخر في الصلاة ويحضر درسه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وهوقليل التأليف وكثير التحقيق والتدقيق وقد سلك مذهب استاذه في التشددّ بالأخذ بالروايات وعدم قبول السند بسهولة، وردّ أكثر أراء المشهورة من المتأخرين في الأصول والفقه، ومع ذلك كان يعتمد على الروايات المسلّمة ويضعف ما يرويه غير الإمامي الاثني عشري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وتاليفه القيّم،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مدارك الأحكام في شرح شرائع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خرّج فیه العبادات في ثلاثة اجزاء، ومن أرائه الخاصة قوله بوجوب صلاة الجمعة، كما ذهب إليه جدّه لأمّه الشهيد الثاني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حسن صاحب ألمعالم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الشيخ حسن ابن الشهيد الثاني العاملي، انتقل هووابن اُخته السيّد محمد صاحب المدارك إلى النجف وتتلمذا على يد المحقق الأردبيلي، الذی كان يخصّهما بالتدريس وراء ما يلقيه على سائر الطلاب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أهم مؤلفاته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معالم الدين وملاذ المجتهدين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فیه مقدمة في الأصول وقسماً من كتاب الطهارة، ولم تزل مقدمته كتاباً دراسياً منذ تأليفه إلى يومنا هذا</w:t>
      </w:r>
      <w:r>
        <w:rPr>
          <w:rFonts w:eastAsia="IRNazanin" w:cs="IRNazanin"/>
          <w:color w:val="111111"/>
          <w:sz w:val="28"/>
          <w:szCs w:val="28"/>
          <w:rtl w:val="true"/>
          <w:lang w:bidi="fa-IR"/>
        </w:rPr>
        <w:t xml:space="preserve">. </w:t>
      </w:r>
      <w:bookmarkStart w:id="734" w:name="pg8675_123561"/>
    </w:p>
    <w:p>
      <w:pPr>
        <w:pStyle w:val="BookText"/>
        <w:rPr/>
      </w:pPr>
      <w:bookmarkEnd w:id="734"/>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منتقى الجُمان</w:t>
      </w:r>
      <w:r>
        <w:rPr>
          <w:rStyle w:val="FootnoteAnchor"/>
          <w:rtl w:val="true"/>
        </w:rPr>
        <w:footnoteReference w:id="384"/>
      </w:r>
      <w:r>
        <w:rPr>
          <w:rFonts w:ascii="Amiri" w:hAnsi="Amiri" w:eastAsia="Amiri" w:cs="Amiri"/>
          <w:color w:val="111111"/>
          <w:sz w:val="28"/>
          <w:sz w:val="28"/>
          <w:szCs w:val="28"/>
          <w:rtl w:val="true"/>
          <w:lang w:bidi="ar-SA"/>
        </w:rPr>
        <w:t>في الأحاديث الصحيح والاحسان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خرج منه العبادات إلى الحج، وهوأول كتاب في انتقاء الأحاديث الصحيحة والحسنة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إلى عدم قبول السند الاّ إذا ثبتت عدالة الراوی بشاهدين عدلين، فلم يكتفي هووابن اخته، صاحب المدارك بشهادة العدل الواحد اوبشهادة الخبير الرجالي الواحد، وهذا منتهي التشّدد والتطرّف في قبول الحديث، ومع ذلك نجد في هذا الاتجاه أن صاحب ألمعالم ذهب إلى القول بحجيّة مطلق الظن، بعد أن تشدّد في اسانيد الراوايات</w:t>
      </w:r>
      <w:r>
        <w:rPr>
          <w:rFonts w:eastAsia="IRNazanin" w:cs="IRNazanin"/>
          <w:color w:val="111111"/>
          <w:sz w:val="28"/>
          <w:szCs w:val="28"/>
          <w:rtl w:val="true"/>
          <w:lang w:bidi="fa-IR"/>
        </w:rPr>
        <w:t>.</w:t>
      </w:r>
      <w:r>
        <w:rPr>
          <w:rStyle w:val="FootnoteAnchor"/>
          <w:rtl w:val="true"/>
        </w:rPr>
        <w:footnoteReference w:id="385"/>
      </w:r>
    </w:p>
    <w:p>
      <w:pPr>
        <w:pStyle w:val="Heading5"/>
        <w:numPr>
          <w:ilvl w:val="4"/>
          <w:numId w:val="1"/>
        </w:numPr>
        <w:rPr/>
      </w:pPr>
      <w:bookmarkStart w:id="735" w:name="__RefHeading___Toc2474290_653776707"/>
      <w:bookmarkStart w:id="736" w:name="_Toc269"/>
      <w:bookmarkEnd w:id="735"/>
      <w:r>
        <w:rPr>
          <w:rtl w:val="true"/>
        </w:rPr>
        <w:t>الامر الرابع</w:t>
      </w:r>
      <w:r>
        <w:rPr>
          <w:rtl w:val="true"/>
        </w:rPr>
        <w:t xml:space="preserve">: </w:t>
      </w:r>
      <w:r>
        <w:rPr>
          <w:rtl w:val="true"/>
        </w:rPr>
        <w:t>منهج الإجتهاد في الدور الرابع</w:t>
      </w:r>
      <w:bookmarkEnd w:id="736"/>
    </w:p>
    <w:p>
      <w:pPr>
        <w:pStyle w:val="BookText"/>
        <w:rPr/>
      </w:pPr>
      <w:r>
        <w:rPr>
          <w:rFonts w:ascii="IRNazanin" w:hAnsi="IRNazanin" w:eastAsia="IRNazanin"/>
          <w:color w:val="111111"/>
          <w:sz w:val="28"/>
          <w:sz w:val="28"/>
          <w:szCs w:val="28"/>
          <w:rtl w:val="true"/>
          <w:lang w:bidi="fa-IR"/>
        </w:rPr>
        <w:t>کما ذكرنا، أسس المحقق الأردبيلي منهجاً ومدرسة متمیزین بالنسبة لمنهج السابقين، وتبعه في ذلك تلميذاه صاحب المدارك وصاحب ألمعالم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وأساس منهجه هوالاعتماد على الاستدلال العقلي وتوجيه النقد نحوجملة من فتاوى المشهور، والتشدد في قبول الأخبار، وفي مجال التعامل مع الروايات يمكن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ظاهرة تربيع الأحاديث التي كانت من أهمّ ملامح الدور السابق، في هذه المرحلة تحقق التطبيق العملي لها، وقد بيّن الشيخ حسن في ديباجة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منتقى الجمان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دعاه إلى الخوض في هذا الموضوع، ومنهجه فيه، وكونه يتلخّص في </w:t>
      </w:r>
      <w:bookmarkStart w:id="737" w:name="pg8675_123564"/>
    </w:p>
    <w:p>
      <w:pPr>
        <w:pStyle w:val="BookText"/>
        <w:rPr/>
      </w:pPr>
      <w:bookmarkEnd w:id="737"/>
      <w:r>
        <w:rPr>
          <w:rFonts w:ascii="IRNazanin" w:hAnsi="IRNazanin" w:eastAsia="IRNazanin"/>
          <w:color w:val="111111"/>
          <w:sz w:val="28"/>
          <w:sz w:val="28"/>
          <w:szCs w:val="28"/>
          <w:rtl w:val="true"/>
          <w:lang w:bidi="fa-IR"/>
        </w:rPr>
        <w:t xml:space="preserve">تقسيم الأحاديث حسب الأبواب الفقهية المعروفة وأورد الكتاب والأبواب علىالترتيب المعمول به لدى الفقهاء، ثم أورد النصوص التي لا نزاع في صحتها، برمز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الأخبار المشهورة ذات سند الصحیح برمز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الأخبار الحسان برمز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وأعرض عن ذكر الموثق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منتهى التشدّد والتطرّف في التعامل مع الحديث، وقد أدى بشكل تلقائی إلى تقليص مصادر الإستنباط الأساسيّة المتمثلة في النصوص المأثورة عن ائمّه أهل‌البيت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التوجه نحومصادر أخرى كالتوسع في الأخذ بآيات القرآن الكريم والقواعد العقلية، بل نجد في هذا الاتجاه المتطرف أن صاحب ألمعالم يميل إلى القول بحجية مطلق الظن بعد ان تشدّد في اسانيد النصوص المروّية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386"/>
      </w:r>
    </w:p>
    <w:p>
      <w:pPr>
        <w:pStyle w:val="Heading5"/>
        <w:numPr>
          <w:ilvl w:val="4"/>
          <w:numId w:val="1"/>
        </w:numPr>
        <w:rPr/>
      </w:pPr>
      <w:bookmarkStart w:id="738" w:name="__RefHeading___Toc2474292_653776707"/>
      <w:bookmarkStart w:id="739" w:name="_Toc270"/>
      <w:bookmarkEnd w:id="738"/>
      <w:r>
        <w:rPr>
          <w:rtl w:val="true"/>
        </w:rPr>
        <w:t>الأمر الخامس</w:t>
      </w:r>
      <w:r>
        <w:rPr>
          <w:rtl w:val="true"/>
        </w:rPr>
        <w:t xml:space="preserve">: </w:t>
      </w:r>
      <w:r>
        <w:rPr>
          <w:rtl w:val="true"/>
        </w:rPr>
        <w:t>أهمّ خصاص الدور الرابع</w:t>
      </w:r>
      <w:bookmarkEnd w:id="739"/>
    </w:p>
    <w:p>
      <w:pPr>
        <w:pStyle w:val="BookText"/>
        <w:rPr/>
      </w:pPr>
      <w:r>
        <w:rPr>
          <w:rFonts w:ascii="IRNazanin" w:hAnsi="IRNazanin" w:eastAsia="IRNazanin"/>
          <w:color w:val="111111"/>
          <w:sz w:val="28"/>
          <w:sz w:val="28"/>
          <w:szCs w:val="28"/>
          <w:rtl w:val="true"/>
          <w:lang w:bidi="fa-IR"/>
        </w:rPr>
        <w:t>يمكن أن نلخّص أهمّ خصاص الدور الرابع والاتجاه الإفراطي نحوالتحليل العقلي في الاستدلال الفقهي وتوجیه النقد لآراء المشهور والتشدّد بالنسبة إلى الأخذ بالاخبار، إلى مايلي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الاهتمام بعلم أصول الفقه واستخدام الصناعة العقليه والفلسفية في اثبات بعض مسائله، كما يلاحظ ذلك من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للفاضل التوني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ومتون فاضل التونی من أفضل المتون الأصولية من حيث المنهجية وصياغة المطالب، ومازالت آراؤه محل اعتناء الأصوليين كالشيخ الأنصاري والآخوند الخراساني</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تضييق دائرة حجيّة أخبار الآحاد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التشكيك في قيمة كثير من اجماعات القدماء وآرائهم المشهورة أوالمسلّمة ونقدها صناعيا وعقلياً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الاعتماد على القواعد العقلية والفلسفية في الاستدلال الفقهي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اعداد الأرضية المناسبة للاتجاه نحوحجيّة مطلق الظن، بعد التشدّد في البحوث الرجاليه وطرق توثيق الرواة، ما أجب عدم إمكان إحراز صحّة جملة منها، وبالتالي فقد جملة من النصوص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التوسّع في الاعتماد على العمومات والمطلقات الواردة في آيات الأحكام أوالسنة القطعية</w:t>
      </w:r>
      <w:r>
        <w:rPr>
          <w:rFonts w:eastAsia="Amiri" w:cs="Amiri" w:ascii="Amiri" w:hAnsi="Amiri"/>
          <w:color w:val="111111"/>
          <w:sz w:val="28"/>
          <w:szCs w:val="28"/>
          <w:rtl w:val="true"/>
          <w:lang w:bidi="ar-SA"/>
        </w:rPr>
        <w:t>.</w:t>
      </w:r>
      <w:r>
        <w:rPr>
          <w:rStyle w:val="FootnoteAnchor"/>
          <w:rtl w:val="true"/>
        </w:rPr>
        <w:footnoteReference w:id="387"/>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0" w:name="pg8675_123573"/>
      <w:bookmarkStart w:id="741" w:name="pg8675_123573"/>
      <w:bookmarkEnd w:id="741"/>
    </w:p>
    <w:p>
      <w:pPr>
        <w:pStyle w:val="Heading4"/>
        <w:numPr>
          <w:ilvl w:val="3"/>
          <w:numId w:val="1"/>
        </w:numPr>
        <w:rPr/>
      </w:pPr>
      <w:bookmarkStart w:id="742" w:name="pg8675_123573"/>
      <w:bookmarkStart w:id="743" w:name="__RefHeading___Toc2474294_653776707"/>
      <w:bookmarkStart w:id="744" w:name="_Toc271"/>
      <w:bookmarkEnd w:id="742"/>
      <w:bookmarkEnd w:id="743"/>
      <w:r>
        <w:rPr>
          <w:rtl w:val="true"/>
        </w:rPr>
        <w:t xml:space="preserve">الدور الخامس دور التفريط في الإتجاه العقلي للاستنباط </w:t>
      </w:r>
      <w:r>
        <w:rPr>
          <w:rtl w:val="true"/>
        </w:rPr>
        <w:t>(</w:t>
      </w:r>
      <w:r>
        <w:rPr>
          <w:rtl w:val="true"/>
        </w:rPr>
        <w:t>مدرسة الأخباریّة</w:t>
      </w:r>
      <w:r>
        <w:rPr>
          <w:rtl w:val="true"/>
        </w:rPr>
        <w:t>)</w:t>
      </w:r>
      <w:bookmarkEnd w:id="744"/>
    </w:p>
    <w:p>
      <w:pPr>
        <w:pStyle w:val="Heading5"/>
        <w:numPr>
          <w:ilvl w:val="4"/>
          <w:numId w:val="1"/>
        </w:numPr>
        <w:rPr/>
      </w:pPr>
      <w:bookmarkStart w:id="745" w:name="__RefHeading___Toc2474296_653776707"/>
      <w:bookmarkStart w:id="746" w:name="_Toc272"/>
      <w:bookmarkEnd w:id="745"/>
      <w:r>
        <w:rPr>
          <w:rtl w:val="true"/>
        </w:rPr>
        <w:t>اشارة</w:t>
      </w:r>
      <w:bookmarkEnd w:id="746"/>
    </w:p>
    <w:p>
      <w:pPr>
        <w:pStyle w:val="BookText"/>
        <w:rPr/>
      </w:pPr>
      <w:r>
        <w:rPr>
          <w:rFonts w:ascii="Amiri" w:hAnsi="Amiri" w:eastAsia="Amiri" w:cs="Amiri"/>
          <w:color w:val="111111"/>
          <w:sz w:val="28"/>
          <w:sz w:val="28"/>
          <w:szCs w:val="28"/>
          <w:rtl w:val="true"/>
          <w:lang w:bidi="ar-SA"/>
        </w:rPr>
        <w:t>وسيقع الكلام حول أمور خمسة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التحديد بالزمني للدور الخامس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التعريف بالدور ووجه تسميته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أهمّ الشخصيّات البارزة في هذا الدور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منهج الإجتهاد في هذا الدور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أهمّ خصائص هذا الدور</w:t>
      </w:r>
      <w:r>
        <w:rPr>
          <w:rFonts w:eastAsia="IRNazanin" w:cs="IRNazanin"/>
          <w:color w:val="111111"/>
          <w:sz w:val="28"/>
          <w:szCs w:val="28"/>
          <w:rtl w:val="true"/>
          <w:lang w:bidi="fa-IR"/>
        </w:rPr>
        <w:t>.</w:t>
      </w:r>
    </w:p>
    <w:p>
      <w:pPr>
        <w:pStyle w:val="Heading5"/>
        <w:numPr>
          <w:ilvl w:val="4"/>
          <w:numId w:val="1"/>
        </w:numPr>
        <w:rPr/>
      </w:pPr>
      <w:bookmarkStart w:id="747" w:name="__RefHeading___Toc2474298_653776707"/>
      <w:bookmarkStart w:id="748" w:name="_Toc273"/>
      <w:bookmarkEnd w:id="747"/>
      <w:r>
        <w:rPr>
          <w:rtl w:val="true"/>
        </w:rPr>
        <w:t>الأمر الأول</w:t>
      </w:r>
      <w:r>
        <w:rPr>
          <w:rtl w:val="true"/>
        </w:rPr>
        <w:t xml:space="preserve">: </w:t>
      </w:r>
      <w:r>
        <w:rPr>
          <w:rtl w:val="true"/>
        </w:rPr>
        <w:t>التحديد الزمنى للدور الخامس</w:t>
      </w:r>
      <w:bookmarkEnd w:id="748"/>
    </w:p>
    <w:p>
      <w:pPr>
        <w:pStyle w:val="BookText"/>
        <w:rPr/>
      </w:pPr>
      <w:r>
        <w:rPr>
          <w:rFonts w:ascii="Amiri" w:hAnsi="Amiri" w:eastAsia="Amiri" w:cs="Amiri"/>
          <w:color w:val="111111"/>
          <w:sz w:val="28"/>
          <w:sz w:val="28"/>
          <w:szCs w:val="28"/>
          <w:rtl w:val="true"/>
          <w:lang w:bidi="ar-SA"/>
        </w:rPr>
        <w:t xml:space="preserve">قد يسمّى الدور الخامس بدور التفريط، كما سيظهر وجهه، يبدأ من ظهور منهج المحدّث الأمين الاسترابادى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وينتهى بالشيخ يوسف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وظهور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5"/>
        <w:numPr>
          <w:ilvl w:val="4"/>
          <w:numId w:val="1"/>
        </w:numPr>
        <w:rPr/>
      </w:pPr>
      <w:bookmarkStart w:id="749" w:name="__RefHeading___Toc2474300_653776707"/>
      <w:bookmarkStart w:id="750" w:name="_Toc274"/>
      <w:bookmarkEnd w:id="749"/>
      <w:r>
        <w:rPr>
          <w:rtl w:val="true"/>
        </w:rPr>
        <w:t>الأمر الثاني</w:t>
      </w:r>
      <w:r>
        <w:rPr>
          <w:rtl w:val="true"/>
        </w:rPr>
        <w:t xml:space="preserve">: </w:t>
      </w:r>
      <w:r>
        <w:rPr>
          <w:rtl w:val="true"/>
        </w:rPr>
        <w:t>التعريف بالدور الخامس ووجه تسميته بدور التفريط</w:t>
      </w:r>
      <w:bookmarkEnd w:id="750"/>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ظهر في مواجهة الاتجاه العقلي المتشدد، اتجاه آخر سُمِّىَ بالإتجاه الأخباري وأصحاب هذه الاتجاه مالوا بالنسبة إلى الدليل العقلي إلى التفريط، والتزموا بعدم حجيّة الإستدلالات العقلية والفلسفية، وبالنسبة إلى الظهورات ذهبوا أيضاً إلى جانب التفريط فاعتقدوا عدم حجيّة ظهورات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مقابل مدرسة الأردبيلي التزموا </w:t>
      </w:r>
      <w:bookmarkStart w:id="751" w:name="pg8675_123576"/>
    </w:p>
    <w:p>
      <w:pPr>
        <w:pStyle w:val="BookText"/>
        <w:rPr/>
      </w:pPr>
      <w:bookmarkEnd w:id="751"/>
      <w:r>
        <w:rPr>
          <w:rFonts w:ascii="Amiri" w:hAnsi="Amiri" w:eastAsia="Amiri" w:cs="Amiri"/>
          <w:color w:val="111111"/>
          <w:sz w:val="28"/>
          <w:sz w:val="28"/>
          <w:szCs w:val="28"/>
          <w:rtl w:val="true"/>
          <w:lang w:bidi="ar-SA"/>
        </w:rPr>
        <w:t>بحجيّة روايات الكتب الأربعة والغاء تنويعها إلى الأقسام الأربعة وادّعى بعضهمقطعيّة ما في الكتب الأربعة، من الروايات</w:t>
      </w:r>
      <w:r>
        <w:rPr>
          <w:rFonts w:eastAsia="Amiri" w:cs="Amiri" w:ascii="Amiri" w:hAnsi="Amiri"/>
          <w:color w:val="111111"/>
          <w:sz w:val="28"/>
          <w:szCs w:val="28"/>
          <w:rtl w:val="true"/>
          <w:lang w:bidi="ar-SA"/>
        </w:rPr>
        <w:t>.</w:t>
      </w:r>
    </w:p>
    <w:p>
      <w:pPr>
        <w:pStyle w:val="Heading5"/>
        <w:numPr>
          <w:ilvl w:val="4"/>
          <w:numId w:val="1"/>
        </w:numPr>
        <w:rPr/>
      </w:pPr>
      <w:bookmarkStart w:id="752" w:name="__RefHeading___Toc2474302_653776707"/>
      <w:bookmarkStart w:id="753" w:name="_Toc275"/>
      <w:bookmarkEnd w:id="752"/>
      <w:r>
        <w:rPr>
          <w:rtl w:val="true"/>
        </w:rPr>
        <w:t>الأمر الثالث</w:t>
      </w:r>
      <w:r>
        <w:rPr>
          <w:rtl w:val="true"/>
        </w:rPr>
        <w:t xml:space="preserve">: </w:t>
      </w:r>
      <w:r>
        <w:rPr>
          <w:rtl w:val="true"/>
        </w:rPr>
        <w:t>أهمّ الشخصيّات البارزة في الدور الخامس</w:t>
      </w:r>
      <w:bookmarkEnd w:id="753"/>
    </w:p>
    <w:p>
      <w:pPr>
        <w:pStyle w:val="BookText"/>
        <w:rPr/>
      </w:pPr>
      <w:r>
        <w:rPr>
          <w:rFonts w:ascii="Amiri" w:hAnsi="Amiri" w:eastAsia="Amiri" w:cs="Amiri"/>
          <w:color w:val="111111"/>
          <w:sz w:val="28"/>
          <w:sz w:val="28"/>
          <w:szCs w:val="28"/>
          <w:rtl w:val="true"/>
          <w:lang w:bidi="ar-SA"/>
        </w:rPr>
        <w:t>الشخصيات الكبيرة المهمة التي لها دور اساسي في تأسيس مدرسة الاخبارية وتشييد أركانها 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المحدث الأمين الاسترابادي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أمين بن محمد شريف، ترجم له الحرّ العاملي في تذكرة المتبحّرين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فاضل، محقق، ماهر، متكلم فقيه، محدّث، ثقة، جليل</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تتلمّذ الأمين الاسترابادي علی جملة من كبار العلماء، كصاحب المدارك وصاحب المعالم، ورحل إلى الحجاز لمتابعة دراسته على يد الميرزا محمد بن على الاسترابادي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المقال في علم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الامين الاسترابادى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وبعد أن قرأت عنده علم الحديث أشار الىّ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أحي طريقة الاخباريين وارفع الشبهات المعارضة لها، لأن هذا المعنى كان يدور في خاطري، ولكن الله قدّر أن يكون على يدك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عرضته عليه أجابني مستحسناً لما جاء فيه واثنى عليّ بالجميل</w:t>
      </w:r>
      <w:r>
        <w:rPr>
          <w:rFonts w:eastAsia="IRNazanin" w:cs="IRNazanin"/>
          <w:color w:val="111111"/>
          <w:sz w:val="28"/>
          <w:szCs w:val="28"/>
          <w:rtl w:val="true"/>
          <w:lang w:bidi="fa-IR"/>
        </w:rPr>
        <w:t>».</w:t>
      </w:r>
      <w:r>
        <w:rPr>
          <w:rStyle w:val="FootnoteAnchor"/>
          <w:rtl w:val="true"/>
        </w:rPr>
        <w:footnoteReference w:id="389"/>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عنوان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المدنية في الرد على من قال بالإجتهاد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w:t>
      </w:r>
    </w:p>
    <w:p>
      <w:pPr>
        <w:pStyle w:val="BookText"/>
        <w:rPr/>
      </w:pPr>
      <w:r>
        <w:rPr>
          <w:rFonts w:ascii="IRNazanin" w:hAnsi="IRNazanin" w:eastAsia="IRNazanin"/>
          <w:color w:val="111111"/>
          <w:sz w:val="28"/>
          <w:sz w:val="28"/>
          <w:szCs w:val="28"/>
          <w:rtl w:val="true"/>
          <w:lang w:bidi="fa-IR"/>
        </w:rPr>
        <w:t>موضوعه وهونفى الإجتهاد والتقليد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ويذكر في مقدّمة كتابه ما أحدثه العلاّمة الحلّي ومن وافقه خلافاً لمعظم الامامية أصحاب الأئمة هوأمران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تقسيم الأحاديثإلى أقسام أربعة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بظنون المجتهدين والتزامه بکثیر من القواعد الأصولية المسطورة في كتب العامّة</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وبعد أكثر من عقدين من زمن 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المدنية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فقيه أصولي على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نورالدين العاملي أخوصاحب المدارك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مجاوراً في مكّة، بكتاب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الشواهد المكية في دحض حجج الفوائد المدنية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توفّى الاسترابادي في مكّة المكرمة ودفن فيها في السنة الثلاثة والثلاثين بعد الألف</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المجلسي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المولى محمدتقي المجلسي، له كتب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من لا يحضره الفقيه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بروضة المتقين</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قال في المجلس الأول في 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 الدلائل العقلية التي ذكرها بعض الأصحاب، وبنوا عليها الأحكام أكثرها مدخولة، والحق في أكثرها مع الفاضل الاسترابادي</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الفيض الكاشاني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هومحمد بن محسن بن فيض الكاشاني، له كتب ورسائل كثيرة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الأصيلة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الّفه في تأييد مشرب الاخبارية وتزيف الظنون الإجتهادية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مفاتيح الشرايع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وهواحسن تصانيفه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فيه أحاديث الكتب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المحجة البيضاء في احياء تهذيب الاحياء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الحرّ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هوصاحب التصانيف الرائعه،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الشيعة إلى تحصيل مسائل الشريعة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الّفه في المشهد الرضوي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منح له منصب قاضي القضاة ومشیخة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المجلسي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هوالمولى محمدباقر بن‌العالم الجليل محمدتقى بن‌المقصود علي، المعروف بالمجلسي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المحدث النوري رسالة في ترجمته اسماها، الفيض القدسي في ترجمة المجلسي</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الّف المجلسي الثاني دائرة معارف شيعیّة يوم لم يكن أثر لمثل هذه الموسوعة فی الأواسط الإسلامية،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الجامعة لدرر أخبار الائمّة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ويتلوه في المكانة كتابه الاخر المسمّى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بمرآة العقول في شرح أخبار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وهوأول من الّف بالفارسية، ولم يكن التأليف بالفارسية امراً معهوداً بين العلماء </w:t>
      </w:r>
    </w:p>
    <w:p>
      <w:pPr>
        <w:pStyle w:val="BookText"/>
        <w:rPr/>
      </w:pPr>
      <w:r>
        <w:rPr>
          <w:rFonts w:ascii="Amiri" w:hAnsi="Amiri" w:eastAsia="Amiri" w:cs="Amiri"/>
          <w:color w:val="111111"/>
          <w:sz w:val="28"/>
          <w:sz w:val="28"/>
          <w:szCs w:val="28"/>
          <w:rtl w:val="true"/>
          <w:lang w:bidi="ar-SA"/>
        </w:rPr>
        <w:t>الاّالقلائل، من هذه المؤلفات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ویُسمّی هولاء الثلاثة الذين قاموا بجمع الروايات ضمن مجامع حديثيّة ضخمة 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 يسمّون بالمحمدين الثلاثة الأواخر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محسن الفيض الكاشاني، ومحمدحسن الشيخ حرّ العاملي، ومحمدباقر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مقابل من يسمون بالمحمدين الثلاثة الأوائل 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يعقوب الكليني، ومحمد بن الحسين الصدوق ومحمد بن حسن الطوسي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هاشم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يعرّفه المحدّث یوسف البحراني بأنه فاضل محدث منتسب للاخبار، وانتهت إليه رئاسة البلد، فقام بالقضاء وتولّى الأمور الحسبيّة، ومن مصنفاته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البرهان في تفسير القران</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يوسف البحراني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محدث كبير وفقيه متبحر، كان أخباريا صرفاً، ثم رجع إلى الطريقة الوسطى،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طريقة المجلسي، توفّي في كربلاء وصلى عليه المحقق البهبهاني</w:t>
      </w:r>
      <w:r>
        <w:rPr>
          <w:rFonts w:eastAsia="Amiri" w:cs="Amiri" w:ascii="Amiri" w:hAnsi="Amiri"/>
          <w:color w:val="111111"/>
          <w:sz w:val="28"/>
          <w:szCs w:val="28"/>
          <w:rtl w:val="true"/>
          <w:lang w:bidi="ar-SA"/>
        </w:rPr>
        <w:t>.</w:t>
      </w:r>
      <w:r>
        <w:rPr>
          <w:rStyle w:val="FootnoteAnchor"/>
          <w:rtl w:val="true"/>
        </w:rPr>
        <w:footnoteReference w:id="395"/>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 كتباً كثيرة أشهرها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الحدائق الناضرة في أحكام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الشيخ </w:t>
      </w:r>
    </w:p>
    <w:p>
      <w:pPr>
        <w:pStyle w:val="BookText"/>
        <w:rPr/>
      </w:pPr>
      <w:r>
        <w:rPr>
          <w:rFonts w:ascii="Amiri" w:hAnsi="Amiri" w:eastAsia="Amiri" w:cs="Amiri"/>
          <w:color w:val="111111"/>
          <w:sz w:val="28"/>
          <w:sz w:val="28"/>
          <w:szCs w:val="28"/>
          <w:rtl w:val="true"/>
          <w:lang w:bidi="ar-SA"/>
        </w:rPr>
        <w:t>البحراني أخباريّاً معتدلاً جدّاً، وله دور مهم في محاولة توازن‌القوى وتبريد غليانالصراع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ترجمة الأمين الاسترابادي ما ملخصه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فاضلاً محققاً وهوأول من فتح باب الطعن على المجتهدين وتقسيم الفرقه الناجية إلى أخباري ومجتهد، وأكثر من التشنيع على المجتهدين وما أحسن وما أجاد ولا وافق الصواب لما قد ترتب على ذلك من عظيم الفساد</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ويقول أيضاً في المقدمة الثانية عشرة من الحدائق ما ملخصه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كنت في أول الأمر ممن ينتصر لمذهب الاخباريين، إلاّ أن الّذي ظهر لي بعد التأمل هو إغماض النظر عن هذا الباب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لاستلزمه القدح في علماء الطرفين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ما ذكروه في وجوه الفرق بينهما جلّه، بل كله لايثير فرقاً في المقام</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الميرزا محمد الاخباري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عبدالنبي النيسابوري ينتهي نسبه إلى الإمام محمد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في الهند وتتلمذ على يد الوحيد البهبهاني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لاشبهة في غاية فضله إلاّ أنه لما تجاهر بتحقير علمائنا الاعلام صرف الله عنه قلوب أهل القلوب، وهومن المتطرفين في الأخباریّة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هووالشيخ جعفر كاشف الغطاء زميلي دراسة؛ ولكنه نهج منهج الأخباریة على خلاف الشيخ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ففى ايّام الشيخ كاشف الغطاء </w:t>
      </w:r>
      <w:bookmarkStart w:id="754" w:name="pg8675_123591"/>
    </w:p>
    <w:p>
      <w:pPr>
        <w:pStyle w:val="BookText"/>
        <w:rPr/>
      </w:pPr>
      <w:bookmarkEnd w:id="7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تعرضت الحركة الاخبارية إلى الهجوم علیها عند عودتها الی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فاضطر الميرزا محمد الأخبارى، إلى مغادرة العراق إلى الدولة القاجارية فوقع الشاه تحت تأثير محمد الأخبارى، وقد دفع هذا كاشف الغطاء واتباعه إلى أن يحفّوا إلى ايران لمحاربة هذه الظاهرة، ثم غادر الميرزا إلى الكاظمية، حيث قتل هووابنه الأكبر سنة </w:t>
      </w:r>
      <w:r>
        <w:rPr>
          <w:rFonts w:eastAsia="IRNazanin" w:cs="IRNazanin"/>
          <w:color w:val="111111"/>
          <w:sz w:val="28"/>
          <w:szCs w:val="28"/>
          <w:rtl w:val="true"/>
          <w:lang w:bidi="fa-IR"/>
        </w:rPr>
        <w:t>(</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آثاره العلميّة الكثيرة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قبسة العجول في الأخبار والأصول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القناع عن عورة الاجماع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غير ذلك من الكتب الاخرى</w:t>
      </w:r>
      <w:r>
        <w:rPr>
          <w:rFonts w:eastAsia="IRNazanin" w:cs="IRNazanin"/>
          <w:color w:val="111111"/>
          <w:sz w:val="28"/>
          <w:szCs w:val="28"/>
          <w:rtl w:val="true"/>
          <w:lang w:bidi="fa-IR"/>
        </w:rPr>
        <w:t>.</w:t>
      </w:r>
      <w:r>
        <w:rPr>
          <w:rStyle w:val="FootnoteAnchor"/>
          <w:rtl w:val="true"/>
        </w:rPr>
        <w:footnoteReference w:id="398"/>
      </w:r>
    </w:p>
    <w:p>
      <w:pPr>
        <w:pStyle w:val="Heading5"/>
        <w:numPr>
          <w:ilvl w:val="4"/>
          <w:numId w:val="1"/>
        </w:numPr>
        <w:rPr/>
      </w:pPr>
      <w:bookmarkStart w:id="755" w:name="__RefHeading___Toc2474304_653776707"/>
      <w:bookmarkStart w:id="756" w:name="_Toc276"/>
      <w:bookmarkEnd w:id="755"/>
      <w:r>
        <w:rPr>
          <w:rtl w:val="true"/>
        </w:rPr>
        <w:t>الأمر الرابع</w:t>
      </w:r>
      <w:r>
        <w:rPr>
          <w:rtl w:val="true"/>
        </w:rPr>
        <w:t xml:space="preserve">: </w:t>
      </w:r>
      <w:r>
        <w:rPr>
          <w:rtl w:val="true"/>
        </w:rPr>
        <w:t>منهج الإجتهاد في الدور الخامس</w:t>
      </w:r>
      <w:bookmarkEnd w:id="756"/>
    </w:p>
    <w:p>
      <w:pPr>
        <w:pStyle w:val="Heading6"/>
        <w:numPr>
          <w:ilvl w:val="5"/>
          <w:numId w:val="1"/>
        </w:numPr>
        <w:rPr/>
      </w:pPr>
      <w:bookmarkStart w:id="757" w:name="__RefHeading___Toc2474306_653776707"/>
      <w:bookmarkStart w:id="758" w:name="_Toc277"/>
      <w:bookmarkEnd w:id="757"/>
      <w:r>
        <w:rPr>
          <w:rtl w:val="true"/>
        </w:rPr>
        <w:t>اشارة</w:t>
      </w:r>
      <w:bookmarkEnd w:id="758"/>
    </w:p>
    <w:p>
      <w:pPr>
        <w:pStyle w:val="BookText"/>
        <w:rPr/>
      </w:pPr>
      <w:r>
        <w:rPr>
          <w:rFonts w:ascii="Amiri" w:hAnsi="Amiri" w:eastAsia="Amiri" w:cs="Amiri"/>
          <w:color w:val="111111"/>
          <w:sz w:val="28"/>
          <w:sz w:val="28"/>
          <w:szCs w:val="28"/>
          <w:rtl w:val="true"/>
          <w:lang w:bidi="ar-SA"/>
        </w:rPr>
        <w:t>قد رفع راية الاخبارية الشيخ محمد امين الإسترابادي وتتلخص فكرته في 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حجيّة ظواهر الكتاب إلاّ بعد ورود التفسير عن ائمة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نفي حجيّة حكم العقل في المسائل الأصولية وعدم الملازمة بين حكم العقل والنقل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نفي حجيّة الاجماع بلا فرق بين المحصل والمنقول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قطعيّة صدور كلّ ما ورد في الكتب الأربعة، لاهتمام الأصحاب بها، فلا يحتاج الفقيه إلى دراسة اسانيدها وتنويعها إلى الأقسام الأربعة المشهورة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الغاء الإجتهاد والتقليد ووجوب الرجوع إلى الأخبار، وهذا ما ذهب إليه </w:t>
      </w:r>
    </w:p>
    <w:p>
      <w:pPr>
        <w:pStyle w:val="BookText"/>
        <w:rPr/>
      </w:pPr>
      <w:r>
        <w:rPr>
          <w:rFonts w:ascii="Amiri" w:hAnsi="Amiri" w:eastAsia="Amiri" w:cs="Amiri"/>
          <w:color w:val="111111"/>
          <w:sz w:val="28"/>
          <w:sz w:val="28"/>
          <w:szCs w:val="28"/>
          <w:rtl w:val="true"/>
          <w:lang w:bidi="ar-SA"/>
        </w:rPr>
        <w:t>المتطرّفون من الاخبارية ورجع عنه علمائهم المحققون كصاحب الحدائق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التوقف في الحكم إذا لم يدلّ دليل من السنة على حكم الموضوع والاحتياط في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أنهى بعض المؤلّفين الفروق بين الأخباريين والأصوليين إلى أربعين فرقاً، والحق أن جوهر الفروق هوالذی ذكرناه والفروق الاخر أمّا تعود إلى تلك الخمسة أوإلى أمور جزئية</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وبعد 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المدنية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اشتهر هذا الكتاب فی الحوزات العلمية والعلماء وقد انقسموا تجاهه إلى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منهم ذهب إلى نفيه وإنكاره، وقسم أیده وهم الاخبارية الذين استعرضنا اسمائهم، كالمجلسيين والفيض الكاشاني والشيخ الحرّ العاملي وصاحب الحدائق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الحرّ العاملي رداً على من ادّعى أن الشيخ محمد أمين رئيس الاخباريين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العجب، دعواه 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المدنية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الاخباريين، وكيف يقدر على اثبات هذه الدعوى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رئيس الاخباريين هوالنبي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ما كانوا يعملون بالإجتهاد، وإنما كانوا يعملون بالأخبار قطعاً</w:t>
      </w:r>
      <w:r>
        <w:rPr>
          <w:rFonts w:eastAsia="IRNazanin" w:cs="IRNazanin"/>
          <w:color w:val="111111"/>
          <w:sz w:val="28"/>
          <w:szCs w:val="28"/>
          <w:rtl w:val="true"/>
          <w:lang w:bidi="fa-IR"/>
        </w:rPr>
        <w:t>.</w:t>
      </w:r>
      <w:r>
        <w:rPr>
          <w:rStyle w:val="FootnoteAnchor"/>
          <w:rtl w:val="true"/>
        </w:rPr>
        <w:footnoteReference w:id="400"/>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الفيض الكاشاني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أمين الاسترابادي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بوجوب العمل بالأخبار وطرح طريقة الإجتهاد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ولعمرى أنه قد اصاب في ذلك، </w:t>
      </w:r>
      <w:bookmarkStart w:id="759" w:name="pg8675_123597"/>
    </w:p>
    <w:p>
      <w:pPr>
        <w:pStyle w:val="BookText"/>
        <w:rPr/>
      </w:pPr>
      <w:bookmarkEnd w:id="759"/>
      <w:r>
        <w:rPr>
          <w:rFonts w:ascii="Amiri" w:hAnsi="Amiri" w:eastAsia="Amiri" w:cs="Amiri"/>
          <w:color w:val="111111"/>
          <w:sz w:val="28"/>
          <w:sz w:val="28"/>
          <w:szCs w:val="28"/>
          <w:rtl w:val="true"/>
          <w:lang w:bidi="ar-SA"/>
        </w:rPr>
        <w:t>وهوالفاتح لنا هذا الباب وهادياً فيه إلى سبيل الصواب</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وأمّا القسم الآخر من العلماء الذين وقفوا في مواجهة الأخباریّة المحقق البهبهاني، الّذي سنذكر منهجه في الدور السادس إن‌شاءالله</w:t>
      </w:r>
      <w:r>
        <w:rPr>
          <w:rFonts w:eastAsia="IRNazanin" w:cs="IRNazanin"/>
          <w:color w:val="111111"/>
          <w:sz w:val="28"/>
          <w:szCs w:val="28"/>
          <w:rtl w:val="true"/>
          <w:lang w:bidi="fa-IR"/>
        </w:rPr>
        <w:t>.</w:t>
      </w:r>
    </w:p>
    <w:p>
      <w:pPr>
        <w:pStyle w:val="Heading6"/>
        <w:numPr>
          <w:ilvl w:val="5"/>
          <w:numId w:val="1"/>
        </w:numPr>
        <w:rPr/>
      </w:pPr>
      <w:bookmarkStart w:id="760" w:name="__RefHeading___Toc2474308_653776707"/>
      <w:bookmarkStart w:id="761" w:name="_Toc278"/>
      <w:bookmarkEnd w:id="760"/>
      <w:r>
        <w:rPr>
          <w:rtl w:val="true"/>
        </w:rPr>
        <w:t>الفرق بين الاخبارية القديمة والحديثة</w:t>
      </w:r>
      <w:bookmarkEnd w:id="761"/>
    </w:p>
    <w:p>
      <w:pPr>
        <w:pStyle w:val="BookText"/>
        <w:rPr/>
      </w:pPr>
      <w:r>
        <w:rPr>
          <w:rFonts w:ascii="IRNazanin" w:hAnsi="IRNazanin" w:eastAsia="IRNazanin"/>
          <w:color w:val="111111"/>
          <w:sz w:val="28"/>
          <w:sz w:val="28"/>
          <w:szCs w:val="28"/>
          <w:rtl w:val="true"/>
          <w:lang w:bidi="fa-IR"/>
        </w:rPr>
        <w:t>مرّ بنا في البحث عن منهج الإجتهاد في الدور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شهده اتجاهین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الإتجاه العقلي والإتجاه الحديثي، وقد ظهر من بينهما اتجاه ثالث وسط معتدل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لوائه بيده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وصف الشيخ المفيد أصحابنا الاخباريين في القديم والذاهبین إلى الإتجاه الحديثي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أصحابنا المتعلقين بالأخبار أصحاب سلامة في الذهن وقلّة فطنة، يمرون على وجوههم فيما يسمعون من الأحاديث ولا ينظرون في سندها ولا يفرّقون بين حقّها وباطلها ولا يفهمون ما يدخل عليهم في اثباتها ولا يحصلون معاني ما يطلقونه منها</w:t>
      </w:r>
      <w:r>
        <w:rPr>
          <w:rFonts w:eastAsia="Amiri" w:cs="Amiri" w:ascii="Amiri" w:hAnsi="Amiri"/>
          <w:color w:val="111111"/>
          <w:sz w:val="28"/>
          <w:szCs w:val="28"/>
          <w:rtl w:val="true"/>
          <w:lang w:bidi="ar-SA"/>
        </w:rPr>
        <w:t>».</w:t>
      </w:r>
      <w:r>
        <w:rPr>
          <w:rStyle w:val="FootnoteAnchor"/>
          <w:rtl w:val="true"/>
        </w:rPr>
        <w:footnoteReference w:id="402"/>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هذا يمكن أن نعرف أن منهج الأخباريين القدماء كان في تلقّى الأخبار ونقلها وتأييدها على ما وصفه الشيخ المفيد هوالاعتماد على ما يسمعون وعدم التأمل والدقة في أسناد الأخبار ولا في محتواها ومضمونها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هوالذي ميزهم والّذي يعدّ امراً </w:t>
      </w:r>
    </w:p>
    <w:p>
      <w:pPr>
        <w:pStyle w:val="BookText"/>
        <w:rPr/>
      </w:pPr>
      <w:r>
        <w:rPr>
          <w:rFonts w:ascii="Amiri" w:hAnsi="Amiri" w:eastAsia="Amiri" w:cs="Amiri"/>
          <w:color w:val="111111"/>
          <w:sz w:val="28"/>
          <w:sz w:val="28"/>
          <w:szCs w:val="28"/>
          <w:rtl w:val="true"/>
          <w:lang w:bidi="ar-SA"/>
        </w:rPr>
        <w:t>منهجيّاً وسلوكياً بالنسبة إلى الأمور العلميّة لديهم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الاخباريّون الجدد، فلا تقف أفكارهم ومدرستهم في جانب المنهجية فقط، فمن باب المثال یروی اصحاب الاخبارية القديمة، كما نقلنا عن الشيخ المفيد، الحديث غالباً بلا دقّة في السند أوبلا تأمل في المضمون، وأمّا الاخبارية الحديثه يلتزمون بقضايا ومبانٍ في الأمور المهمّة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قولهم بعدم حجيته ظواهر الكتاب وعدم حجيّة الشهرة أوالاجماع وعدم إعتبار العقل في الاستدلال الفقهي، وحجيّة جميع الروايات المروية في الكتب الأربعة، بل وفي غيرها، ووجوب الاحتياط في الشبهة الحكمية التحريميّة وعدم جواز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الشيخ السبحاني في هذا المجال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هناك فرق جوهرى بين الأخباریّة التي نادى بها الأمين الاسترابادي، وبين الأخباریّة في عصر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وهوأن الأخباریّة في عصر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تعنى ممارسة الأخبار وتدوينها ونقلها دون اعمال الدقّة بين صحيحها وسقيمها، وأمّا الأخباریّة التي ابتدعها الامين الاسترآبادي فهي أخباريّة منهجيّة لها أسسها ودعائمها، وقد القى الفكرة بصورة البرهان والنقد على الأسس التي اعتمد عليها الأصوليون، فلذلك لايمكن عدّ الأخباریّة الحديثه امتداداً جوهريّاً للاخباريّة في عصر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كانت الأخباریّة البدائية ملهمة للشيخ الأمين على أن يصبغها بصبغة علمية</w:t>
      </w:r>
      <w:r>
        <w:rPr>
          <w:rFonts w:eastAsia="IRNazanin" w:cs="IRNazanin"/>
          <w:color w:val="111111"/>
          <w:sz w:val="28"/>
          <w:szCs w:val="28"/>
          <w:rtl w:val="true"/>
          <w:lang w:bidi="fa-IR"/>
        </w:rPr>
        <w:t>».</w:t>
      </w:r>
      <w:r>
        <w:rPr>
          <w:rStyle w:val="FootnoteAnchor"/>
          <w:rtl w:val="true"/>
        </w:rPr>
        <w:footnoteReference w:id="403"/>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هنا، يمكن أن نستنتج أن الفرق بين الأخباریّة القديمة والحديثة، هو أن القديمة </w:t>
      </w:r>
      <w:bookmarkStart w:id="762" w:name="pg8675_123603"/>
    </w:p>
    <w:p>
      <w:pPr>
        <w:pStyle w:val="BookText"/>
        <w:rPr/>
      </w:pPr>
      <w:bookmarkEnd w:id="762"/>
      <w:r>
        <w:rPr>
          <w:rFonts w:ascii="IRNazanin" w:hAnsi="IRNazanin" w:eastAsia="IRNazanin"/>
          <w:color w:val="111111"/>
          <w:sz w:val="28"/>
          <w:sz w:val="28"/>
          <w:szCs w:val="28"/>
          <w:rtl w:val="true"/>
          <w:lang w:bidi="fa-IR"/>
        </w:rPr>
        <w:t>الأخباریّة في المنهجية فقط والحديثة هم اخبارية في المنهج والمبنى</w:t>
      </w:r>
      <w:r>
        <w:rPr>
          <w:rFonts w:eastAsia="IRNazanin" w:cs="IRNazanin"/>
          <w:color w:val="111111"/>
          <w:sz w:val="28"/>
          <w:szCs w:val="28"/>
          <w:rtl w:val="true"/>
          <w:lang w:bidi="fa-IR"/>
        </w:rPr>
        <w:t>.</w:t>
      </w:r>
    </w:p>
    <w:p>
      <w:pPr>
        <w:pStyle w:val="Heading6"/>
        <w:numPr>
          <w:ilvl w:val="5"/>
          <w:numId w:val="1"/>
        </w:numPr>
        <w:rPr/>
      </w:pPr>
      <w:bookmarkStart w:id="763" w:name="__RefHeading___Toc2474310_653776707"/>
      <w:bookmarkStart w:id="764" w:name="_Toc279"/>
      <w:bookmarkEnd w:id="763"/>
      <w:r>
        <w:rPr>
          <w:rtl w:val="true"/>
        </w:rPr>
        <w:t>أسباب ظهور الحركة الاخبارية</w:t>
      </w:r>
      <w:bookmarkEnd w:id="76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هوالشيخ الرجالى الكبير المعروف ميرزا محمد الاسترابادي مؤلّف الكتب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زوّج كريمته لمحمد أمين الاسترابادى، المتوفي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محمد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الميرزا محمد، أشار إليه بتجديد طريقة الأخباريين ورفع الشبهات المعارضة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عرضه عليه أجابه مستحسناً لما جاء فيه وأثنى عليه بالجميل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هنا لابد من وقفه قصيرة؛ إذ كيف يمكن أن يكون المشير والآمر هوالميرزا محمد الّذي افنى عمره في تأليف الكتب الرجالية التي غايتها الوقوف على أحوال الرواة والعمل بقول الثقة وترك غيره، بينما يرى الأخباري قطعية روايات الكتب الأربعة، وبالتالی عدم حاجة إلى دراسة أحوال الراوي وتنويعها إلى الأقسام الأربعة</w:t>
      </w:r>
      <w:r>
        <w:rPr>
          <w:rFonts w:eastAsia="IRNazanin" w:cs="IRNazanin"/>
          <w:color w:val="111111"/>
          <w:sz w:val="28"/>
          <w:szCs w:val="28"/>
          <w:rtl w:val="true"/>
          <w:lang w:bidi="fa-IR"/>
        </w:rPr>
        <w:t>.</w:t>
      </w:r>
      <w:r>
        <w:rPr>
          <w:rStyle w:val="FootnoteAnchor"/>
          <w:rtl w:val="true"/>
        </w:rPr>
        <w:footnoteReference w:id="404"/>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بعض المعاصرين وهو أن الجذور الأساسية لنشأة الحركة الاخبارية تعود إلى الصراع الشديد الّذي كان يجرى في العصر الصفوى، بصورة مكتومة، بين المؤسّسة السياسيّة والفقهية فقد أخذ الصفويون يضيقون من سعة دائرة نفوذ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هذه الفترة ظهرت الحركة الأخباریّة التی وتمكّنت من شق المدرسة الفقهية عند </w:t>
      </w:r>
    </w:p>
    <w:p>
      <w:pPr>
        <w:pStyle w:val="BookText"/>
        <w:rPr/>
      </w:pPr>
      <w:r>
        <w:rPr>
          <w:rFonts w:ascii="Amiri" w:hAnsi="Amiri" w:eastAsia="Amiri" w:cs="Amiri"/>
          <w:color w:val="111111"/>
          <w:sz w:val="28"/>
          <w:sz w:val="28"/>
          <w:szCs w:val="28"/>
          <w:rtl w:val="true"/>
          <w:lang w:bidi="ar-SA"/>
        </w:rPr>
        <w:t>الشيعة الإمامية إلى شطرين متصارعين</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الكلام تحليليّ تاريخيّ وسياسيّ، وإن لم يبعد في نفسه، ولعلّ هناکبعض الشواهد والقرائن التاريخيّة ما يقوّي هذه الظنّة</w:t>
      </w:r>
      <w:r>
        <w:rPr>
          <w:rStyle w:val="FootnoteAnchor"/>
          <w:rtl w:val="true"/>
        </w:rPr>
        <w:footnoteReference w:id="406"/>
      </w:r>
      <w:r>
        <w:rPr>
          <w:rFonts w:ascii="IRNazanin" w:hAnsi="IRNazanin" w:eastAsia="IRNazanin"/>
          <w:color w:val="111111"/>
          <w:sz w:val="28"/>
          <w:sz w:val="28"/>
          <w:szCs w:val="28"/>
          <w:rtl w:val="true"/>
          <w:lang w:bidi="fa-IR"/>
        </w:rPr>
        <w:t>ولكن مع ذلك كلّه، إن إثبات هذه الدعوى والقول بأن الصفوية كانوا من الأسباب والبواعث الموجدة لحركة الأخباریّة، مشكل جدّا يحتاج إثباته إلى قرائن أقوى من ذلك فإن المؤسس الأخبارى الشيخ محمد الاسترابادي لم تکن صلة بالدولة الصفوية، بل إنه درس في النجف ثم انتقل إلى مكّة المكرمة وبعد إشارة استاذه، سافر إلى المدينة والّف كتابه، أمّا دعوى أن هذا كان مرتبطاً بالحكم الصفوي، فلا دليل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يمكن أن يقال إن الصفويون کانوا یرجّحون الأخباریّة على الأصوليّة لاغراضهم السياسيّة الخاصّة التي كانت لهم في هذا المجال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الشهيد المطهري عن استاذه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مرّة عند المرحوم السيد البروجردي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وهوفي بروجرد، فسمعت منه كلاماً لم أسمعه من أحد حتی الآن، وكم تأسّفت على عدم سؤإلي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كلامه يدور حول الاخباريين، وكان يحلّل الجذور التاريخية لظهور تیّارهم الفكري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إنى أظن أنّ المدرسة الأخباریّة في الشرق انبثقت عن المدرسة المادية في الغرب، وذلك أن ظهور الاخباريين تزامن مع ظهور جمع من الغربيين يقولون بالفسلفه الحسيّة، </w:t>
      </w:r>
      <w:bookmarkStart w:id="765" w:name="pg8675_123609"/>
    </w:p>
    <w:p>
      <w:pPr>
        <w:pStyle w:val="BookText"/>
        <w:rPr/>
      </w:pPr>
      <w:bookmarkEnd w:id="765"/>
      <w:r>
        <w:rPr>
          <w:rFonts w:ascii="IRNazanin" w:hAnsi="IRNazanin" w:eastAsia="IRNazanin"/>
          <w:color w:val="111111"/>
          <w:sz w:val="28"/>
          <w:sz w:val="28"/>
          <w:szCs w:val="28"/>
          <w:rtl w:val="true"/>
          <w:lang w:bidi="fa-IR"/>
        </w:rPr>
        <w:t>حيث إنّهم أنكروا العقل كمصدر للمعرفة، وقالوا إنّنا لانعتقد إلاّ بما نشاهده أوما نعرفه من خلال التجربة، فهم أنصار الحس ومعارضوا العقل، وكان هذا في وقت كانت العلاقات فیه قويّة جدّاً بين ايران الصفوية والدول الاروبية، وكذلك ظهرت عندنا في نفس تلك الفترة نهضة تندّد بالعقل وتديّنه ولكنها ليست بالشكل الغربي المادّي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بشكل تأييدللأخبار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للعقل حق أن يتدخّل في الدين بتاتاً، ويا للأسف فقد تركت هذه الأفكار آثاراً كثيرة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ولكن مع ذلك كله لايحكى هذا الكلام إلاّ عن المقارنة بينهما، وأمّا السببيّة والتأثير والتأثّر فتبقى في إطار الحدس،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وهوالعامل الأصلى لظهور حركة الاخبارية وقد ذكرناه في الدور الخامس وهوأن الحركة الأخبارية وُلِدَت كردِّ فعل على الاتجاه الإفراطي الذي ذهب إليه بعض العلماء في الدور الرابع من التشدّد في أخذ الأخبار والمناقشة في اسنادها هذا من جانب، ومن جانب آخر، الاعتماد بكثرة على الاستدلالات العقليّة</w:t>
      </w:r>
      <w:r>
        <w:rPr>
          <w:rFonts w:eastAsia="Amiri" w:cs="Amiri" w:ascii="Amiri" w:hAnsi="Amiri"/>
          <w:color w:val="111111"/>
          <w:sz w:val="28"/>
          <w:szCs w:val="28"/>
          <w:rtl w:val="true"/>
          <w:lang w:bidi="ar-SA"/>
        </w:rPr>
        <w:t>.</w:t>
      </w:r>
    </w:p>
    <w:p>
      <w:pPr>
        <w:pStyle w:val="Heading6"/>
        <w:numPr>
          <w:ilvl w:val="5"/>
          <w:numId w:val="1"/>
        </w:numPr>
        <w:rPr/>
      </w:pPr>
      <w:bookmarkStart w:id="766" w:name="__RefHeading___Toc2474312_653776707"/>
      <w:bookmarkStart w:id="767" w:name="_Toc280"/>
      <w:bookmarkEnd w:id="766"/>
      <w:r>
        <w:rPr>
          <w:rtl w:val="true"/>
        </w:rPr>
        <w:t>عالِم الدين ومكانته السياسية عند الأخباري والأصولي</w:t>
      </w:r>
      <w:bookmarkEnd w:id="767"/>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يُتوهم أن من الأمور التي يتميّز بها الأخباري عن الأصولي، الاعتقاد بشأن الدور السياسيّ لعالم الدين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فالأخبارى، بما أنه ينكر الإجتهاد والتقليد، لا يرى دوراً سیاسیّاً لعالِم الدين، فعنده لا فرق بين عالم الدين وسائر المكلّفين من وجهة النظر السياسية، خلافاً للأصولي الذی یری، بما أنّه يلتزم بالإجتهاد والتقليد أن للمجتهد </w:t>
      </w:r>
    </w:p>
    <w:p>
      <w:pPr>
        <w:pStyle w:val="BookText"/>
        <w:rPr/>
      </w:pPr>
      <w:r>
        <w:rPr>
          <w:rFonts w:ascii="IRNazanin" w:hAnsi="IRNazanin" w:eastAsia="IRNazanin"/>
          <w:color w:val="111111"/>
          <w:sz w:val="28"/>
          <w:sz w:val="28"/>
          <w:szCs w:val="28"/>
          <w:rtl w:val="true"/>
          <w:lang w:bidi="fa-IR"/>
        </w:rPr>
        <w:t>شأناً خاصّاً في ساحة السياسة ومن هنا يمكن أن يقال إن ولاية الفقيه من الفوارق الممیزة بين المدرستين، حيث إن المدرسة الأصولية تلتزم بها، وتجري على وفقها، أما المدرسة الأخبارية فتنكرها ولاتعتقد بالولاية أوأى شأناً خاص لها</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الرجوع إلى الأراء العلمية للأخباريّة وأيضاً ملاحظه سيرتهم السياسيّة يدلان على أن الأمر ليس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هناك كثيرون من الأخباریّة أذعنوا بدور سياسي لعالم الدين و أقرّوا بولایته على أمور الأمة في عصر الغيبة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المجلسي الأول، من علماء الأخبارية، يصرّح في البحث عن مجرى الحدود، بأنه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يقيم الإمام والحاكم الحدود أيضاً ولا شك في المنصوب الخاص، أمّا العام كالفقيه، فالظاهر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مقبولة عمر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يقيم، للأخبار السالفة في باب القضاء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جعلته حاكماً</w:t>
      </w:r>
      <w:r>
        <w:rPr>
          <w:rFonts w:eastAsia="Amiri" w:cs="Amiri" w:ascii="Amiri" w:hAnsi="Amiri"/>
          <w:color w:val="111111"/>
          <w:sz w:val="28"/>
          <w:szCs w:val="28"/>
          <w:rtl w:val="true"/>
          <w:lang w:bidi="ar-SA"/>
        </w:rPr>
        <w:t>».</w:t>
      </w:r>
      <w:r>
        <w:rPr>
          <w:rStyle w:val="FootnoteAnchor"/>
          <w:rtl w:val="true"/>
        </w:rPr>
        <w:footnoteReference w:id="409"/>
      </w:r>
      <w:r>
        <w:rPr>
          <w:rFonts w:ascii="IRNazanin" w:hAnsi="IRNazanin" w:eastAsia="IRNazanin"/>
          <w:color w:val="111111"/>
          <w:sz w:val="28"/>
          <w:sz w:val="28"/>
          <w:szCs w:val="28"/>
          <w:rtl w:val="true"/>
          <w:lang w:bidi="fa-IR"/>
        </w:rPr>
        <w:t xml:space="preserve">وهذا الفيض الكاشاني يعقتد بلزوم صرف سهم الإمام إلى الفقيه المأمون، وأن حكم الفقيه نافذ؛ لأنه مأذون من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10"/>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ويقول الفيض الكاشاني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فوجوب الجهاد والأمر بالمعروف والنهی عن المنكر والتعاون على البرّ والتقوى والإفتاء والحكم بين الناس بالحق وإقامة الحدود </w:t>
      </w:r>
      <w:bookmarkStart w:id="768" w:name="pg8675_123614"/>
    </w:p>
    <w:p>
      <w:pPr>
        <w:pStyle w:val="BookText"/>
        <w:rPr/>
      </w:pPr>
      <w:bookmarkEnd w:id="768"/>
      <w:r>
        <w:rPr>
          <w:rFonts w:ascii="Amiri" w:hAnsi="Amiri" w:eastAsia="Amiri" w:cs="Amiri"/>
          <w:color w:val="111111"/>
          <w:sz w:val="28"/>
          <w:sz w:val="28"/>
          <w:szCs w:val="28"/>
          <w:rtl w:val="true"/>
          <w:lang w:bidi="ar-SA"/>
        </w:rPr>
        <w:t xml:space="preserve">والتعزيرات وسائر السياسات الدينية، من ضروريات الدين، وهى القطب الأعظم في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اقامة الحدود والتعزيرات وسائر السياسات الدينيّة فإنّ للفقهاء المأمونين اقامتها في الغيبة بحق النيابة عنه</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وکذلک یصرّح العلاّمة المجلسي بالنيابة العامة في فترة الغيبة لعالم الدين ویریأن الحكم راجع إليه</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وامّا بالنسبة إلى سيرة العلماء الأخباريين، أيضاً، فإن كثيرین منهم كالمجلسيين والفيض الكاشاني والشيخ الحر العاملي، والسيد هاشم البحرانى، وغيرهم، قد تصدوّا للأمور الولائية والسياسيّة في الدولة الصفوية، بعنوان شيخ الإسلام، واحرزوا رياسة الدين والدنيا للمجتمع في ذلك المضمار</w:t>
      </w:r>
      <w:r>
        <w:rPr>
          <w:rFonts w:eastAsia="IRNazanin" w:cs="IRNazanin"/>
          <w:color w:val="111111"/>
          <w:sz w:val="28"/>
          <w:szCs w:val="28"/>
          <w:rtl w:val="true"/>
          <w:lang w:bidi="fa-IR"/>
        </w:rPr>
        <w:t>.</w:t>
      </w:r>
      <w:r>
        <w:rPr>
          <w:rStyle w:val="FootnoteAnchor"/>
          <w:rtl w:val="true"/>
        </w:rPr>
        <w:footnoteReference w:id="413"/>
      </w:r>
    </w:p>
    <w:p>
      <w:pPr>
        <w:pStyle w:val="Heading5"/>
        <w:numPr>
          <w:ilvl w:val="4"/>
          <w:numId w:val="1"/>
        </w:numPr>
        <w:rPr/>
      </w:pPr>
      <w:bookmarkStart w:id="769" w:name="__RefHeading___Toc2474314_653776707"/>
      <w:bookmarkStart w:id="770" w:name="_Toc281"/>
      <w:bookmarkEnd w:id="769"/>
      <w:r>
        <w:rPr>
          <w:rtl w:val="true"/>
        </w:rPr>
        <w:t>الأمر الخامس</w:t>
      </w:r>
      <w:r>
        <w:rPr>
          <w:rtl w:val="true"/>
        </w:rPr>
        <w:t xml:space="preserve">: </w:t>
      </w:r>
      <w:r>
        <w:rPr>
          <w:rtl w:val="true"/>
        </w:rPr>
        <w:t>أهم خصائص الدور الخامس</w:t>
      </w:r>
      <w:bookmarkEnd w:id="770"/>
    </w:p>
    <w:p>
      <w:pPr>
        <w:pStyle w:val="BookText"/>
        <w:rPr/>
      </w:pPr>
      <w:r>
        <w:rPr>
          <w:rFonts w:ascii="IRNazanin" w:hAnsi="IRNazanin" w:eastAsia="IRNazanin"/>
          <w:color w:val="111111"/>
          <w:sz w:val="28"/>
          <w:sz w:val="28"/>
          <w:szCs w:val="28"/>
          <w:rtl w:val="true"/>
          <w:lang w:bidi="fa-IR"/>
        </w:rPr>
        <w:t>لا شك أن فی الحركة الأخباریّة لها آثارها السلبية وآثارها الإيجابيّة، فمن آثارها السلبية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تشتت صف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أن الأخبارى كان لا يقيم للأصولي وزناً ويتهمه بالتطّفل على موائد الاخرين، الأصولي يتهم الأخباري بالجمود والركود فإن هذه الحركة صارت منشأ للخلاف والنقاش وانكسار صف علماء الدين وأدت إالی إثارة</w:t>
      </w:r>
    </w:p>
    <w:p>
      <w:pPr>
        <w:pStyle w:val="BookText"/>
        <w:rPr/>
      </w:pPr>
      <w:r>
        <w:rPr>
          <w:rFonts w:ascii="Amiri" w:hAnsi="Amiri" w:eastAsia="Amiri" w:cs="Amiri"/>
          <w:color w:val="111111"/>
          <w:sz w:val="28"/>
          <w:sz w:val="28"/>
          <w:szCs w:val="28"/>
          <w:rtl w:val="true"/>
          <w:lang w:bidi="ar-SA"/>
        </w:rPr>
        <w:t>الفتن بين المؤمنين في الاماكن المختلفة في إيران والعراق والبحرين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قلّة الاهتمام بعلم الأصول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مواجهة حركة الإجتهاد بالفتور والركود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آثارها الإيجابية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تأليف الجوامع الحديثية الضخمه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اعادة التفسير الروائي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تأليف تفسير علي بن إبراهيم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تفسيراً روائياً، تُرك هذا النوع من التفسير، إلى أن جاء دور الأخباریّة، فالّف السيد هاشم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البرهان في تفسير 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والشيخ عبد علي العروسي الحويزي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تمّ إحیاء منهج التفسير الروائى من جديد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تنمية نشاط الإجتهاد من جديد</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شك فی ان الافراط الّذي ابتلى به الإجتهاد في دور الرابع، والتفريط الّذي ابتلى به في الدور الخامس، كانا حالة استثنائية لم تدم سوى مدة محدودة من عمر حركة الإجتهاد التي أسست بيد الأئمة الهداة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أسس علمية معقولة متينة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الحالة إنما حصلت نتيجة التأثّر السطحى، إمّا بمقولات عقلية أوبالظواهر السطحية لبعض الأخبار، دون التعمق والتدبّر والنفوذ إلى اسرارها، ومن هنا كانت حالة استثنائيه طارئة ففى نفس الدورین الرابع والخامس نشاهد كثيراً من الفقهاء وهم يواجهون كلا الاتجاهين ويسدّون الطريق بوجه نفوذهما واستقراهما في الحوزات </w:t>
      </w:r>
    </w:p>
    <w:p>
      <w:pPr>
        <w:pStyle w:val="BookText"/>
        <w:rPr/>
      </w:pPr>
      <w:r>
        <w:rPr>
          <w:rFonts w:ascii="Amiri" w:hAnsi="Amiri" w:eastAsia="Amiri" w:cs="Amiri"/>
          <w:color w:val="111111"/>
          <w:sz w:val="28"/>
          <w:sz w:val="28"/>
          <w:szCs w:val="28"/>
          <w:rtl w:val="true"/>
          <w:lang w:bidi="ar-SA"/>
        </w:rPr>
        <w:t>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كبار هؤلاء الفقهاء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بهاءالدين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جواد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عام </w:t>
      </w:r>
      <w:r>
        <w:rPr>
          <w:rFonts w:eastAsia="Amiri" w:cs="Amiri" w:ascii="Amiri" w:hAnsi="Amiri"/>
          <w:color w:val="111111"/>
          <w:sz w:val="28"/>
          <w:szCs w:val="28"/>
          <w:lang w:bidi="ar-SA"/>
        </w:rPr>
        <w:t>1029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سلطان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الفاضل التوني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صالح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حاشيةشرح اللمعة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فخرالدين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محمدباقر السبزواري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 المعاد في شرح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الأحكام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جمال‌الدين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الفاضل الهندى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اللثام عن قواعد الأحكام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فهؤلاء بعض روّاد الإجتهاد الذين لازموا طريقة الإجتهاد، ولم يميلوا، إلى الإفراط ولا إلى التفريط في نشاطهم الفقهي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وبجهادهم، اضمحلّ كلا الإتجاهين المتطرفين، ورجع الفقه الإمامي إلى طريقته الأصلية ومنهجه القويم الّذي أثمر نتاجه في الدورالسادس علی يد استاذ الكل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الوحيد البهبهاني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1" w:name="pg8675_123625"/>
      <w:bookmarkStart w:id="772" w:name="pg8675_123625"/>
      <w:bookmarkEnd w:id="772"/>
    </w:p>
    <w:p>
      <w:pPr>
        <w:pStyle w:val="Heading4"/>
        <w:numPr>
          <w:ilvl w:val="3"/>
          <w:numId w:val="1"/>
        </w:numPr>
        <w:rPr/>
      </w:pPr>
      <w:bookmarkStart w:id="773" w:name="pg8675_123625"/>
      <w:bookmarkStart w:id="774" w:name="__RefHeading___Toc2474316_653776707"/>
      <w:bookmarkStart w:id="775" w:name="_Toc282"/>
      <w:bookmarkEnd w:id="773"/>
      <w:bookmarkEnd w:id="774"/>
      <w:r>
        <w:rPr>
          <w:rtl w:val="true"/>
        </w:rPr>
        <w:t>الدور السادس دور التصحيح والإعتدال</w:t>
      </w:r>
      <w:bookmarkEnd w:id="775"/>
    </w:p>
    <w:p>
      <w:pPr>
        <w:pStyle w:val="Heading5"/>
        <w:numPr>
          <w:ilvl w:val="4"/>
          <w:numId w:val="1"/>
        </w:numPr>
        <w:rPr/>
      </w:pPr>
      <w:bookmarkStart w:id="776" w:name="__RefHeading___Toc2474318_653776707"/>
      <w:bookmarkStart w:id="777" w:name="_Toc283"/>
      <w:bookmarkEnd w:id="776"/>
      <w:r>
        <w:rPr>
          <w:rtl w:val="true"/>
        </w:rPr>
        <w:t>اشارة</w:t>
      </w:r>
      <w:bookmarkEnd w:id="777"/>
    </w:p>
    <w:p>
      <w:pPr>
        <w:pStyle w:val="BookText"/>
        <w:rPr/>
      </w:pPr>
      <w:r>
        <w:rPr>
          <w:rFonts w:ascii="IRNazanin" w:hAnsi="IRNazanin" w:eastAsia="IRNazanin"/>
          <w:color w:val="111111"/>
          <w:sz w:val="28"/>
          <w:sz w:val="28"/>
          <w:szCs w:val="28"/>
          <w:rtl w:val="true"/>
          <w:lang w:bidi="fa-IR"/>
        </w:rPr>
        <w:t>هذا البحث سیدور حول أمور خمسة، بحسب ما كان في الأدوار السابقة</w:t>
      </w:r>
      <w:r>
        <w:rPr>
          <w:rFonts w:eastAsia="IRNazanin" w:cs="IRNazanin"/>
          <w:color w:val="111111"/>
          <w:sz w:val="28"/>
          <w:szCs w:val="28"/>
          <w:rtl w:val="true"/>
          <w:lang w:bidi="fa-IR"/>
        </w:rPr>
        <w:t>.</w:t>
      </w:r>
    </w:p>
    <w:p>
      <w:pPr>
        <w:pStyle w:val="Heading5"/>
        <w:numPr>
          <w:ilvl w:val="4"/>
          <w:numId w:val="1"/>
        </w:numPr>
        <w:rPr/>
      </w:pPr>
      <w:bookmarkStart w:id="778" w:name="__RefHeading___Toc2474320_653776707"/>
      <w:bookmarkStart w:id="779" w:name="_Toc284"/>
      <w:bookmarkEnd w:id="778"/>
      <w:r>
        <w:rPr>
          <w:rtl w:val="true"/>
        </w:rPr>
        <w:t>الأمر الأول</w:t>
      </w:r>
      <w:r>
        <w:rPr>
          <w:rtl w:val="true"/>
        </w:rPr>
        <w:t xml:space="preserve">: </w:t>
      </w:r>
      <w:r>
        <w:rPr>
          <w:rtl w:val="true"/>
        </w:rPr>
        <w:t>التحديد الزمنى للدور السادس</w:t>
      </w:r>
      <w:bookmarkEnd w:id="779"/>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التحديد الزمنى للدور السادس</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بدء هذا الدور من منتصف القرن الثاني عشر الهجري تقريباً، وإستمر حتى منتصف القرن الثالث عشر، وهذه المرحلة المباركة بدأت بأستاذ الكل العلامة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وإستمرت حتّى زمن الشيخ الأعظم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5"/>
        <w:numPr>
          <w:ilvl w:val="4"/>
          <w:numId w:val="1"/>
        </w:numPr>
        <w:rPr/>
      </w:pPr>
      <w:bookmarkStart w:id="780" w:name="__RefHeading___Toc2474322_653776707"/>
      <w:bookmarkStart w:id="781" w:name="_Toc285"/>
      <w:bookmarkEnd w:id="780"/>
      <w:r>
        <w:rPr>
          <w:rtl w:val="true"/>
        </w:rPr>
        <w:t>الأمر الثاني</w:t>
      </w:r>
      <w:r>
        <w:rPr>
          <w:rtl w:val="true"/>
        </w:rPr>
        <w:t xml:space="preserve">: </w:t>
      </w:r>
      <w:r>
        <w:rPr>
          <w:rtl w:val="true"/>
        </w:rPr>
        <w:t>التعريف بالدور السادس</w:t>
      </w:r>
      <w:bookmarkEnd w:id="781"/>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بالدور السادس</w:t>
      </w:r>
      <w:r>
        <w:rPr>
          <w:rStyle w:val="FootnoteAnchor"/>
          <w:rtl w:val="true"/>
        </w:rPr>
        <w:footnoteReference w:id="415"/>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التصدي لمواجهة مدرسةالأخباریة وإن کان من قبل عدّة من الفقهاء، ذوى النباهة وحرية الفكر واصالته، كالسيد حسين بن جمال‌الدین الخوانساري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أومعاصره الشيخ محمد بن الحسن الشرواني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وابنه جمال‌الدین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وتلميذ ولده صدرالدين الرضوى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ماقام به هؤلاء الأعاظم من جهود هو الذی مهد الطريق لظهور </w:t>
      </w:r>
      <w:bookmarkStart w:id="782" w:name="pg8675_123628"/>
    </w:p>
    <w:p>
      <w:pPr>
        <w:pStyle w:val="BookText"/>
        <w:rPr/>
      </w:pPr>
      <w:bookmarkEnd w:id="782"/>
      <w:r>
        <w:rPr>
          <w:rFonts w:ascii="Amiri" w:hAnsi="Amiri" w:eastAsia="Amiri" w:cs="Amiri"/>
          <w:color w:val="111111"/>
          <w:sz w:val="28"/>
          <w:sz w:val="28"/>
          <w:szCs w:val="28"/>
          <w:rtl w:val="true"/>
          <w:lang w:bidi="ar-SA"/>
        </w:rPr>
        <w:t>المدرسة الأصولية العميقة الأصيلة على يد الفقيه والمحقق الكبير الوحيد البهبهاني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استطاع أن يقضى على الاتجاه الأخبارى، ويعيد المؤسسة الفقهية إلى حركتها الأصولية السويّة، ومسيرتها الصحيحة، بعد صراع مرير بين إتجاهين متطرّفين، دام قرابة قرنين من الزمن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تخرّج من مدرست استاذ الكل الوحيد البهبهاني، طبقات من كبار الفقهاء العظماء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مهدي بحرالعلوم، والشيخ جعفر كاشف‌الغطاء، والسید طباطبایی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والميرزا القمي، والسيد محمد المجاهد، وشريف‌العلماء، والنراقيين، و تخرّج على يد هؤلاء، جيل آخر من الفقهاء الكبار كصاحب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هداية المسترشدين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إلى أن وصل الأمر إلى الشيخ الأعظم الأنصاري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783" w:name="__RefHeading___Toc2474324_653776707"/>
      <w:bookmarkStart w:id="784" w:name="_Toc286"/>
      <w:bookmarkEnd w:id="783"/>
      <w:r>
        <w:rPr>
          <w:rtl w:val="true"/>
        </w:rPr>
        <w:t>الأمر الثالث</w:t>
      </w:r>
      <w:r>
        <w:rPr>
          <w:rtl w:val="true"/>
        </w:rPr>
        <w:t xml:space="preserve">: </w:t>
      </w:r>
      <w:r>
        <w:rPr>
          <w:rtl w:val="true"/>
        </w:rPr>
        <w:t>فقهاء دور الإعتدال وأهم مؤلفاتهم</w:t>
      </w:r>
      <w:bookmarkEnd w:id="7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الوحيد البهبهاني، رائد هذا الدور</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السيد محمدباقر بن محمد اكمل، الملقّب باستاذ الكل، والوحيد البهبهاني، ولد سنة </w:t>
      </w:r>
      <w:r>
        <w:rPr>
          <w:rFonts w:eastAsia="IRNazanin" w:cs="IRNazanin"/>
          <w:color w:val="111111"/>
          <w:sz w:val="28"/>
          <w:szCs w:val="28"/>
          <w:rtl w:val="true"/>
          <w:lang w:bidi="fa-IR"/>
        </w:rPr>
        <w:t>(</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اصفهان وقرأ المقدمات فيها، ثم إنتقل إلى النجف وأكمل فيها دروسه عند السيد محمدالطباطبائي البروجردي، جدّ السيد بحرالعلوم، والسيد صدرالدين القمي شارح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وافية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انتقل إلى بهبهان، معقل الاخباريين في ذلك الزمان، ومكث هناك ثلاثين سنة تقريباً، لعب خلالها دوراً هامّاً في التعليم والتربية والتأليف، ثم بدا له لوأنه هاجر إلى الأماكن المقدّسة لكان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النجف الأشرف ولم يلبث فيها إلاّ قليلاً، ثم إنتقل إلى كربلاء، التی </w:t>
      </w:r>
    </w:p>
    <w:p>
      <w:pPr>
        <w:pStyle w:val="BookText"/>
        <w:rPr/>
      </w:pPr>
      <w:r>
        <w:rPr>
          <w:rFonts w:ascii="Amiri" w:hAnsi="Amiri" w:eastAsia="Amiri" w:cs="Amiri"/>
          <w:color w:val="111111"/>
          <w:sz w:val="28"/>
          <w:sz w:val="28"/>
          <w:szCs w:val="28"/>
          <w:rtl w:val="true"/>
          <w:lang w:bidi="ar-SA"/>
        </w:rPr>
        <w:t>حيث كانت تعجّ بالاخباريين يومئذ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نزول الوحيد البهبهاني بهذه المدينة إيذاناً بمرحلة جديدة في الإتجاه الأصولي والإجتهاد ومواجهة المدرسة الاخبارية، ونجح الوحيد في رسالته العلمية، وإبراز الاتجاه الأصولي واستقطاب خيرة تلامذة الشيخ يوسف البحراني؛ حیث جمعهم حوله لتزوی بعد ذلک الحركة الاخبارية وتنزوی، حیث لم تستعد نشاطها بعد ذلك التاريخ، وبذلك ظهرت مكانته العلمیة السامية وإنتهت إليه زعامة الشيعة ورئاسة المذهب الإمامي، وخضع له جميع علماء عصره</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وقد انصبت جهوده على محورين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التصدّی لشنّ حملة عنيفة على الإتجاه الأخباري، وذلك من خلال الأساليب المختلفة،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أسلوب المناظرة والمباحثة العلمية</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ينقل المامقاني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حكاية ملخصها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الشيخ الوحيد عند ما نزل كربلاء حضر أبحاث الشيخ يوسف البحراني ايّاماً، ثم وقف يوماً في الصحن الشريف ونادى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حجّة‌الله عليكم، فاجتمعوا عليه وقالوا ما تريد؟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من الشيخ يوسف أن يمكّنني من منبره ويأمر تلامذته أن يحضروا تحت منبري، فاخبروا الشيخ يوسف بذلك، وحيث إنه كان يومئذاً عادلاً عن مذهب الأخباریّة خائفاً من إظهار ذلك من جهّالهم، طابت نفسه بالإجابة، فارتقى منبر الشيخ، وباحث </w:t>
      </w:r>
    </w:p>
    <w:p>
      <w:pPr>
        <w:pStyle w:val="BookText"/>
        <w:rPr/>
      </w:pPr>
      <w:r>
        <w:rPr>
          <w:rFonts w:ascii="Amiri" w:hAnsi="Amiri" w:eastAsia="Amiri" w:cs="Amiri"/>
          <w:color w:val="111111"/>
          <w:sz w:val="28"/>
          <w:sz w:val="28"/>
          <w:szCs w:val="28"/>
          <w:rtl w:val="true"/>
          <w:lang w:bidi="ar-SA"/>
        </w:rPr>
        <w:t>تلامذته ثلاثة أيام فعدل ثلثا التلاميذ إلى مذهب الأصولية</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ونقل الشيخ عباس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أحد سدنة الروضة الحسينيّة، أنه شاهد ذات ليلة الشيخ يوسف البحراني والوحيد البهبهاني وهما واقفین يتحاوران في الحرم، فلما حان وقت إغلاق أبواب الصحن انتقلا إلى خارج الصحن من الباب الّذي ينفتح على القبلة وإستمرّا في حوارهما إلى الفجر، فلما أذّن الموذّن لصلاة الصبح رجع الشيخ يوسف إلى الحرم ليقيم الصلاة جماعة، ورجع الوحيد إلى الصحن وافترش عبائته على طرف مدخل باب القبلة واذّن وأقام وصلىّ صلاة الصبح</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أسلوب التصنيف والتأليف العلمي</w:t>
      </w:r>
    </w:p>
    <w:p>
      <w:pPr>
        <w:pStyle w:val="BookText"/>
        <w:rPr/>
      </w:pPr>
      <w:r>
        <w:rPr>
          <w:rFonts w:ascii="Amiri" w:hAnsi="Amiri" w:eastAsia="Amiri" w:cs="Amiri"/>
          <w:color w:val="111111"/>
          <w:sz w:val="28"/>
          <w:sz w:val="28"/>
          <w:szCs w:val="28"/>
          <w:rtl w:val="true"/>
          <w:lang w:bidi="ar-SA"/>
        </w:rPr>
        <w:t>خلف الشيخ الوحيد تراثاً علميّا بلغ مايقرب من ستّين كتاباً دحض فيها شبهات الأخباريين نشير إلى أهمّها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الإجتهاد والأخبار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 فيها الاخباريين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الوجه في مطاعنكم الشديدة المنكرة بالنسبة إلى المجتهدين وما المحلّل لهتك حرمة الأحياء والأموات من المؤمنين؟ ولِمَ هذه التفرقة بين المؤمنين؟</w:t>
      </w:r>
      <w:r>
        <w:rPr>
          <w:rStyle w:val="FootnoteAnchor"/>
          <w:rtl w:val="true"/>
        </w:rPr>
        <w:footnoteReference w:id="4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الحائرية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شبهات الأخباريين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مفاتيح‌الشرايع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 على الرجال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وهومنهج المقال للأسترابادي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التضييق على أقطاب الحركة الأخباریّة</w:t>
      </w:r>
    </w:p>
    <w:p>
      <w:pPr>
        <w:pStyle w:val="BookText"/>
        <w:rPr/>
      </w:pPr>
      <w:r>
        <w:rPr>
          <w:rFonts w:ascii="Amiri" w:hAnsi="Amiri" w:eastAsia="Amiri" w:cs="Amiri"/>
          <w:color w:val="111111"/>
          <w:sz w:val="28"/>
          <w:sz w:val="28"/>
          <w:szCs w:val="28"/>
          <w:rtl w:val="true"/>
          <w:lang w:bidi="ar-SA"/>
        </w:rPr>
        <w:t>كان الوحيد يمنع تلاميذه من حضور درس الشيخ يوسف البحراني، ويفتى بحرمة الاقتداء بهم، وفي المقابل نجد الشيخ يوسف قد أوصى أن يصلي عليه بعد وفاته الشيخ الوحيد البهبهاني، وكان يسمح لتلاميذه بحضور دروس الوحيد،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يعمل بموجب تكليفه</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هذا من جهة، ومن جهة أخرى، قام الوحيد بتربية نخبة من الفقهاء الأصوليين، ليحافظوا على خط الزعامة الدينية من بعده، ولذلك نجد أن جميع فقهائنا من القرن الثاني عشر إلى يومنا هذا، يرجعون بصورة مباشرة إلى الوحيد البهبهاني، ولذلك يطلق عليه استاذ الكل أوالاستاذ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تلامذته المباشرين، يكفينا أن نشير إلى بعض فحولهم فمنهم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مهدي بحرالعلوم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الفوائد الرجالية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جعفر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1227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أبوعلى الحائري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علي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رياض المسائل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الميرزا أبوالقاسم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قوانين الأصول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جواد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1226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أسدالله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القناع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مقابيس‌الأنوار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أعقبهم جيل آخر من تلامذة تلاميذه،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أحمد النراقي، الشيخ محمدتقي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المسترشدين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السيد عبدالفتاح المراغي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العناوين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السيد محمدباقر الشفتي وصاحب الجواهر</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إشارة إلى اجوبة الوحيد لمعالجة موقف الأخبارية</w:t>
      </w:r>
    </w:p>
    <w:p>
      <w:pPr>
        <w:pStyle w:val="BookText"/>
        <w:rPr/>
      </w:pPr>
      <w:r>
        <w:rPr>
          <w:rFonts w:ascii="Amiri" w:hAnsi="Amiri" w:eastAsia="Amiri" w:cs="Amiri"/>
          <w:color w:val="111111"/>
          <w:sz w:val="28"/>
          <w:sz w:val="28"/>
          <w:szCs w:val="28"/>
          <w:rtl w:val="true"/>
          <w:lang w:bidi="ar-SA"/>
        </w:rPr>
        <w:t>الأصل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الأخبارية إلى أن العمل بظواهر القرآن تفسير بالرأي</w:t>
      </w:r>
    </w:p>
    <w:p>
      <w:pPr>
        <w:pStyle w:val="BookText"/>
        <w:rPr/>
      </w:pPr>
      <w:r>
        <w:rPr>
          <w:rFonts w:ascii="IRNazanin" w:hAnsi="IRNazanin" w:eastAsia="IRNazanin"/>
          <w:color w:val="111111"/>
          <w:sz w:val="28"/>
          <w:sz w:val="28"/>
          <w:szCs w:val="28"/>
          <w:rtl w:val="true"/>
          <w:lang w:bidi="fa-IR"/>
        </w:rPr>
        <w:t>أجاب الوحيد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التمسك بظواهر القرآن بعد الفحص عن المخصّص والمقيّد وما ورد حولها من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تفسير القرآن بالرأي</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للعقل دور في إستنباط الأحكام الشرعية، فإن دين الله لايصاب بالعقول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قام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بتأليف رسالة في الحسن والقبح العقليين، أثبت فيها حجيّة حكم العقل في المستقلات العقلية، وأنه لاصلة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دين الله لايصاب بالعقول بهذا النمط من الإستدلال والمراد من قولهم هذا عبارة عن الظنون المتراكمة بإسم القياس والاستحسان والمصالح المرسلة، دون الأحكام العقلية </w:t>
      </w:r>
    </w:p>
    <w:p>
      <w:pPr>
        <w:pStyle w:val="BookText"/>
        <w:rPr/>
      </w:pPr>
      <w:r>
        <w:rPr>
          <w:rFonts w:ascii="Amiri" w:hAnsi="Amiri" w:eastAsia="Amiri" w:cs="Amiri"/>
          <w:color w:val="111111"/>
          <w:sz w:val="28"/>
          <w:sz w:val="28"/>
          <w:szCs w:val="28"/>
          <w:rtl w:val="true"/>
          <w:lang w:bidi="ar-SA"/>
        </w:rPr>
        <w:t>القطعيّة كإستقلال العقل بقبح العقاب بلابيان، وأن الاشتغال اليقيني يستدعي الفراغ اليقيني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الأصوليين يعتمدون على الاجماع مع أن الاجماع أصل لأهل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 المحقق البهبهاني بأنه اشتراك في اللفظ فالإجماع عندالأصوليين يختلف جوهراً عن الإجماع عند أهل السنةّ، إذ إنّ أهل السنة يتكلّون على الإجماع بما هوإجماع والشيعة ترى أن الاجماع طريق إلى تحصيل رأي المعصوم على الأساليب المقرّرة في الأصول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تمام الأحاديث الواردة عن إئمة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قطعية، ولا حاجة إلى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صرح به الأمين الاسترابادي وإستدلّ بأن أحاديثنا محفوفة بالقرائن المفيدة للقطع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أجاب المحقق البهبهاني عن هذا المدّعى وأخذ بتفنيد تلك القرائن في رسالة الإجتهاد والأخبار</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مهدي بحرالعلوم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هومن أبرز تلامذة الوحيد وله تخصص كبير في مجال الفقه والأصول، وقد تصدّى لزعامة الشيعة في حياة استاذه الوحيد، وكان يحضر في درسه مأة العلماء كالنراقي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المناهل</w:t>
      </w:r>
      <w:r>
        <w:rPr>
          <w:rFonts w:eastAsia="Amiri" w:cs="Amiri" w:ascii="Amiri" w:hAnsi="Amiri"/>
          <w:color w:val="111111"/>
          <w:sz w:val="28"/>
          <w:szCs w:val="28"/>
          <w:rtl w:val="true"/>
          <w:lang w:bidi="ar-SA"/>
        </w:rPr>
        <w:t xml:space="preserve">». </w:t>
      </w:r>
      <w:bookmarkStart w:id="785" w:name="pg8675_123645"/>
    </w:p>
    <w:p>
      <w:pPr>
        <w:pStyle w:val="BookText"/>
        <w:rPr/>
      </w:pPr>
      <w:bookmarkEnd w:id="785"/>
      <w:r>
        <w:rPr>
          <w:rFonts w:ascii="Amiri" w:hAnsi="Amiri" w:eastAsia="Amiri" w:cs="Amiri"/>
          <w:color w:val="111111"/>
          <w:sz w:val="28"/>
          <w:sz w:val="28"/>
          <w:szCs w:val="28"/>
          <w:rtl w:val="true"/>
          <w:lang w:bidi="ar-SA"/>
        </w:rPr>
        <w:t xml:space="preserve">وقد ترك أكثر من ثلاثين مؤلفاً في العلوم المختلفة،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وكتابان في علم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الفوائد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البهيّة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جعفر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هومن أكبر علماء هذه الدورة ومن أبرز تلامذة الوحيد، وكتابه الكبير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كشفالغطاء عن مبهمات الشريعة الغرّاء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الكتب القيمة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الشيخ الأعظم الأنصاری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لوأن فرداً قد عرف بإتقان القواعد الأصولية التي ذكرها في أول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فهوعندى مجتهد ولمكانة كاشف الغطاء العلمية نجد الشيخ الأعظم في كتابه القيّم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ينقل آرائه ويعبّر عنه ببعض الأساطين</w:t>
      </w:r>
      <w:r>
        <w:rPr>
          <w:rFonts w:eastAsia="IRNazanin" w:cs="IRNazanin"/>
          <w:color w:val="111111"/>
          <w:sz w:val="28"/>
          <w:szCs w:val="28"/>
          <w:rtl w:val="true"/>
          <w:lang w:bidi="fa-IR"/>
        </w:rPr>
        <w:t>.</w:t>
      </w:r>
    </w:p>
    <w:p>
      <w:pPr>
        <w:pStyle w:val="Heading5"/>
        <w:numPr>
          <w:ilvl w:val="4"/>
          <w:numId w:val="1"/>
        </w:numPr>
        <w:rPr/>
      </w:pPr>
      <w:bookmarkStart w:id="786" w:name="__RefHeading___Toc2474326_653776707"/>
      <w:bookmarkStart w:id="787" w:name="_Toc287"/>
      <w:bookmarkEnd w:id="786"/>
      <w:r>
        <w:rPr>
          <w:rtl w:val="true"/>
        </w:rPr>
        <w:t>الأمر الرابع</w:t>
      </w:r>
      <w:r>
        <w:rPr>
          <w:rtl w:val="true"/>
        </w:rPr>
        <w:t xml:space="preserve">: </w:t>
      </w:r>
      <w:r>
        <w:rPr>
          <w:rtl w:val="true"/>
        </w:rPr>
        <w:t>منهج الإجتهاد في الدور السادس</w:t>
      </w:r>
      <w:bookmarkEnd w:id="787"/>
    </w:p>
    <w:p>
      <w:pPr>
        <w:pStyle w:val="BookText"/>
        <w:rPr/>
      </w:pPr>
      <w:r>
        <w:rPr>
          <w:rFonts w:ascii="IRNazanin" w:hAnsi="IRNazanin" w:eastAsia="IRNazanin"/>
          <w:color w:val="111111"/>
          <w:sz w:val="28"/>
          <w:sz w:val="28"/>
          <w:szCs w:val="28"/>
          <w:rtl w:val="true"/>
          <w:lang w:bidi="fa-IR"/>
        </w:rPr>
        <w:t>كما ذكرنا قد قام الوحيد البهبهاني في هذا الدور بتصحيح عملية الإجتهاد في الفقه الإمامي و تنقحیها ممّا لحق بها من شبهات وانحرافات، نتيجة التطرف المشار إليه في كل من الإتجاه الإفراطي في الدور الرابع والإتجاه التفريطي في الدور الخامس</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ناحية إستطاع أن یبطل جملة من أراء المحقق الأردبيلي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وعالج مشكلة توثيق الاسناد والرواة في تعليقته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للإسترابادي ومن ناحية أخرى، صمّم على مواجهة الإتجاه الأخباري، ووضّح أن الإجتهاد في الفقه الإمامي يختلف عن الإجتهاد عند العامّة وأن التشابه اللفظي أوجب توهم أن ماورد في الروايات من الردّ على إجتهاد العامة يشمل هذا الإجتهاد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واتضحت أيضاً من خلال إفادات المحقق البهبهاني الحاجة إلى علم أصول الفقه، وأنه من دونه ذلك لايمكن أن يتمّ إستنباط الحكم الشرعي، وقد قسّم المحقق </w:t>
      </w:r>
      <w:bookmarkStart w:id="788" w:name="pg8675_123648"/>
    </w:p>
    <w:p>
      <w:pPr>
        <w:pStyle w:val="BookText"/>
        <w:rPr/>
      </w:pPr>
      <w:bookmarkEnd w:id="788"/>
      <w:r>
        <w:rPr>
          <w:rFonts w:ascii="Amiri" w:hAnsi="Amiri" w:eastAsia="Amiri" w:cs="Amiri"/>
          <w:color w:val="111111"/>
          <w:sz w:val="28"/>
          <w:sz w:val="28"/>
          <w:szCs w:val="28"/>
          <w:rtl w:val="true"/>
          <w:lang w:bidi="ar-SA"/>
        </w:rPr>
        <w:t>البهبهاني الحجج الشرعية إلى الإمارات الشرعية وسمّاها الأدلة الإجتهادية وإلى الأصول العمليّة وسمّاها الأدلة الفقاهتية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اتضح على يديه الفرق بين أصول الفقه عند الشيعة، وأصول الفقه عند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وإتضح أيضاً مبنى حجيّة الاجماع عند الشيعة، وأنه ليس دليلاً مستقلاً، بل إذا كان كاشفاً عن السنة يعتمد عليه، والاّ فلا إعتبار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أنه قد تحققت صحوة أصولية وفقهية عظيمة على يد الوحيد البهبهاني، إعتدل بها منهج الفقه الإمامي ووجد مساره الأصيل المستقل عن المناهج الفقهية الأخرى، وعما كان يثار بوجهه من الغبار والشبهات المتطرّفة</w:t>
      </w:r>
      <w:r>
        <w:rPr>
          <w:rFonts w:eastAsia="Amiri" w:cs="Amiri" w:ascii="Amiri" w:hAnsi="Amiri"/>
          <w:color w:val="111111"/>
          <w:sz w:val="28"/>
          <w:szCs w:val="28"/>
          <w:rtl w:val="true"/>
          <w:lang w:bidi="ar-SA"/>
        </w:rPr>
        <w:t>.</w:t>
      </w:r>
      <w:r>
        <w:rPr>
          <w:rStyle w:val="FootnoteAnchor"/>
          <w:rtl w:val="true"/>
        </w:rPr>
        <w:footnoteReference w:id="423"/>
      </w:r>
    </w:p>
    <w:p>
      <w:pPr>
        <w:pStyle w:val="Heading5"/>
        <w:numPr>
          <w:ilvl w:val="4"/>
          <w:numId w:val="1"/>
        </w:numPr>
        <w:rPr/>
      </w:pPr>
      <w:bookmarkStart w:id="789" w:name="__RefHeading___Toc2474328_653776707"/>
      <w:bookmarkStart w:id="790" w:name="_Toc288"/>
      <w:bookmarkEnd w:id="789"/>
      <w:r>
        <w:rPr>
          <w:rtl w:val="true"/>
        </w:rPr>
        <w:t>الأمر الخامس</w:t>
      </w:r>
      <w:r>
        <w:rPr>
          <w:rtl w:val="true"/>
        </w:rPr>
        <w:t xml:space="preserve">: </w:t>
      </w:r>
      <w:r>
        <w:rPr>
          <w:rtl w:val="true"/>
        </w:rPr>
        <w:t>أهمّ خصائص الدور السادس</w:t>
      </w:r>
      <w:bookmarkEnd w:id="790"/>
    </w:p>
    <w:p>
      <w:pPr>
        <w:pStyle w:val="BookText"/>
        <w:rPr/>
      </w:pPr>
      <w:r>
        <w:rPr>
          <w:rFonts w:ascii="IRNazanin" w:hAnsi="IRNazanin" w:eastAsia="IRNazanin"/>
          <w:color w:val="111111"/>
          <w:sz w:val="28"/>
          <w:sz w:val="28"/>
          <w:szCs w:val="28"/>
          <w:rtl w:val="true"/>
          <w:lang w:bidi="fa-IR"/>
        </w:rPr>
        <w:t>لقد تبين مما ذكرنا أهمّ مميّزات هذا الدور وأبرز خصائصه 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تصعيد النشاط الفقهي ومكافحة الرجعية والجمود وإعادة العقل إلى ساحة الاستدلال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ظهور إبتكارات أصولية كتقسيم الأدلة إلى الإجتهادية والفقاهتية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 في هذا الدور القضاء على الاخبارية وأفكارها، حتى أن الشيخ البحراني مال إلى المدرسة الأصولية وفقاً لما صرح به في المقدمة الثانية عشرة من 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موسوعات في علم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كقوانين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المسترشدين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وظهور موسوعات فقهية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كمعتمد الشيعة في احكام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مهدى النراقي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 الشيعة في أحكام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أحمد النراقي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جواهرالكلام</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المراكز العلمية في الدور السادس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كانت للشيعة آنذاك حوزات علمية عامرة في مناطق مختلفة، ومن بينها حوزةإصفهان حيث كانت ذات نشاط كبي،ر تخرج منها علماء أفذاذ كالمحقق البهبهاني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إنقرضت الدولة الصفوية عام </w:t>
      </w:r>
      <w:r>
        <w:rPr>
          <w:rFonts w:eastAsia="IRNazanin" w:cs="IRNazanin"/>
          <w:color w:val="111111"/>
          <w:sz w:val="28"/>
          <w:szCs w:val="28"/>
          <w:rtl w:val="true"/>
          <w:lang w:bidi="fa-IR"/>
        </w:rPr>
        <w:t>(</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الدور وحدثت إضطرابات لم تدم طويلاً حیث تسلمت الدولة الزندية زمام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الدور عجّت حوزة شيراز بالأصوليين والأخباريين والحكماء والفلاسفة وفي أواخره أیضاً نشطت حوزة كربلاء والنجف وبدئتا دورهما الأساسي الذی شهدناه فی العصور المتأخرة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في هذا الدور إنحصر الإتجاه الأخباري في حوزة البحرين والقطيف والأحساء</w:t>
      </w:r>
      <w:r>
        <w:rPr>
          <w:rFonts w:eastAsia="Amiri" w:cs="Amiri" w:ascii="Amiri" w:hAnsi="Amiri"/>
          <w:color w:val="111111"/>
          <w:sz w:val="28"/>
          <w:szCs w:val="28"/>
          <w:rtl w:val="true"/>
          <w:lang w:bidi="ar-SA"/>
        </w:rPr>
        <w:t>.</w:t>
      </w:r>
      <w:r>
        <w:rPr>
          <w:rStyle w:val="FootnoteAnchor"/>
          <w:rtl w:val="true"/>
        </w:rPr>
        <w:footnoteReference w:id="425"/>
      </w:r>
      <w:bookmarkStart w:id="791" w:name="pg8675_123654"/>
    </w:p>
    <w:p>
      <w:pPr>
        <w:pStyle w:val="Heading4"/>
        <w:numPr>
          <w:ilvl w:val="3"/>
          <w:numId w:val="1"/>
        </w:numPr>
        <w:rPr/>
      </w:pPr>
      <w:bookmarkStart w:id="792" w:name="__RefHeading___Toc2474330_653776707"/>
      <w:bookmarkStart w:id="793" w:name="_Toc289"/>
      <w:bookmarkEnd w:id="791"/>
      <w:bookmarkEnd w:id="792"/>
      <w:r>
        <w:rPr>
          <w:rtl w:val="true"/>
        </w:rPr>
        <w:t>الدور السابع دور النضج الفكر الإجتهادي و إبداعه</w:t>
      </w:r>
      <w:bookmarkEnd w:id="793"/>
    </w:p>
    <w:p>
      <w:pPr>
        <w:pStyle w:val="Heading5"/>
        <w:numPr>
          <w:ilvl w:val="4"/>
          <w:numId w:val="1"/>
        </w:numPr>
        <w:rPr/>
      </w:pPr>
      <w:bookmarkStart w:id="794" w:name="__RefHeading___Toc2474332_653776707"/>
      <w:bookmarkStart w:id="795" w:name="_Toc290"/>
      <w:bookmarkEnd w:id="794"/>
      <w:r>
        <w:rPr>
          <w:rtl w:val="true"/>
        </w:rPr>
        <w:t>اشارة</w:t>
      </w:r>
      <w:bookmarkEnd w:id="795"/>
    </w:p>
    <w:p>
      <w:pPr>
        <w:pStyle w:val="BookText"/>
        <w:rPr/>
      </w:pPr>
      <w:r>
        <w:rPr>
          <w:rFonts w:ascii="Amiri" w:hAnsi="Amiri" w:eastAsia="Amiri" w:cs="Amiri"/>
          <w:color w:val="111111"/>
          <w:sz w:val="28"/>
          <w:sz w:val="28"/>
          <w:szCs w:val="28"/>
          <w:rtl w:val="true"/>
          <w:lang w:bidi="ar-SA"/>
        </w:rPr>
        <w:t>في هذا الدور أيضاً نبحث عن أمور خمسة</w:t>
      </w:r>
      <w:r>
        <w:rPr>
          <w:rFonts w:eastAsia="Amiri" w:cs="Amiri" w:ascii="Amiri" w:hAnsi="Amiri"/>
          <w:color w:val="111111"/>
          <w:sz w:val="28"/>
          <w:szCs w:val="28"/>
          <w:rtl w:val="true"/>
          <w:lang w:bidi="ar-SA"/>
        </w:rPr>
        <w:t>:</w:t>
      </w:r>
    </w:p>
    <w:p>
      <w:pPr>
        <w:pStyle w:val="Heading5"/>
        <w:numPr>
          <w:ilvl w:val="4"/>
          <w:numId w:val="1"/>
        </w:numPr>
        <w:rPr/>
      </w:pPr>
      <w:bookmarkStart w:id="796" w:name="__RefHeading___Toc2474334_653776707"/>
      <w:bookmarkStart w:id="797" w:name="_Toc291"/>
      <w:bookmarkEnd w:id="796"/>
      <w:r>
        <w:rPr>
          <w:rtl w:val="true"/>
        </w:rPr>
        <w:t>الأمر الأول</w:t>
      </w:r>
      <w:r>
        <w:rPr>
          <w:rtl w:val="true"/>
        </w:rPr>
        <w:t xml:space="preserve">: </w:t>
      </w:r>
      <w:r>
        <w:rPr>
          <w:rtl w:val="true"/>
        </w:rPr>
        <w:t>التحديد الزمني للدور السابع</w:t>
      </w:r>
      <w:bookmarkEnd w:id="797"/>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التحديد الزمني للدور السابع</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هذا الدور هوامتداد للدور المتقدم واستمرار للمنهج، إلاّ المنهج السابق وصل على يد أحد الأفذاذ وهوالشيخ الأنصاري إلى القمّة في النضح والعمق، بحيث يمكن إعتباره دوراً جديداً في تاريخ الإجتهاد، وعلى هذا يبدء هذا الدور من حياة الشيخ الأعظم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ويستمرّ إلى عصر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والثورة الإسلامية في إيران</w:t>
      </w:r>
      <w:r>
        <w:rPr>
          <w:rFonts w:eastAsia="Amiri" w:cs="Amiri" w:ascii="Amiri" w:hAnsi="Amiri"/>
          <w:color w:val="111111"/>
          <w:sz w:val="28"/>
          <w:szCs w:val="28"/>
          <w:rtl w:val="true"/>
          <w:lang w:bidi="ar-SA"/>
        </w:rPr>
        <w:t>.</w:t>
      </w:r>
    </w:p>
    <w:p>
      <w:pPr>
        <w:pStyle w:val="Heading5"/>
        <w:numPr>
          <w:ilvl w:val="4"/>
          <w:numId w:val="1"/>
        </w:numPr>
        <w:rPr/>
      </w:pPr>
      <w:bookmarkStart w:id="798" w:name="__RefHeading___Toc2474336_653776707"/>
      <w:bookmarkStart w:id="799" w:name="_Toc292"/>
      <w:bookmarkEnd w:id="798"/>
      <w:r>
        <w:rPr>
          <w:rtl w:val="true"/>
        </w:rPr>
        <w:t>الأمر الثاني</w:t>
      </w:r>
      <w:r>
        <w:rPr>
          <w:rtl w:val="true"/>
        </w:rPr>
        <w:t xml:space="preserve">: </w:t>
      </w:r>
      <w:r>
        <w:rPr>
          <w:rtl w:val="true"/>
        </w:rPr>
        <w:t>التعريف بالدور السابع</w:t>
      </w:r>
      <w:bookmarkEnd w:id="799"/>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الدور السابع هوإستمرار لنفس المنهج الإجتهادي الّذي أرست مبانيه مدرسة الوحيد البهبهاني وتلامذته الفقهاء العظام، إلاّ أن هذا المنهج احتاج إلی جيلين من فقهاء هذه المدرسة، لیصل إلی القمّة في النضخ والإبداع والشمول، بحيث أصبح يعدّ دوراً جديداً في الإجتهاد، ويتضح ذلك من المقارنة بين كتابي الشيخ الأعظم </w:t>
      </w:r>
      <w:bookmarkStart w:id="800" w:name="pg8675_123658"/>
    </w:p>
    <w:p>
      <w:pPr>
        <w:pStyle w:val="BookText"/>
        <w:rPr/>
      </w:pPr>
      <w:bookmarkEnd w:id="8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فقه المعاملات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مصنّفات فقهاء هذه المدرسةقبل الشيخ، فإن الفارق بينهما يعدّ فارقاً كبيراً في المضمون والمنهجيّة وصناعة الإستدلال في الفقه والأصول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تخرّج على يد الشيخ الأعظم فقهاء كبار، أمثال الميرزا الشيرازي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حبيب الله الرشتي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ملا علي الكني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ومئات من المحققين والمجتهدين</w:t>
      </w:r>
      <w:r>
        <w:rPr>
          <w:rFonts w:eastAsia="Amiri" w:cs="Amiri" w:ascii="Amiri" w:hAnsi="Amiri"/>
          <w:color w:val="111111"/>
          <w:sz w:val="28"/>
          <w:szCs w:val="28"/>
          <w:rtl w:val="true"/>
          <w:lang w:bidi="ar-SA"/>
        </w:rPr>
        <w:t>.</w:t>
      </w:r>
      <w:r>
        <w:rPr>
          <w:rStyle w:val="FootnoteAnchor"/>
          <w:rtl w:val="true"/>
        </w:rPr>
        <w:footnoteReference w:id="427"/>
      </w:r>
    </w:p>
    <w:p>
      <w:pPr>
        <w:pStyle w:val="Heading5"/>
        <w:numPr>
          <w:ilvl w:val="4"/>
          <w:numId w:val="1"/>
        </w:numPr>
        <w:rPr/>
      </w:pPr>
      <w:bookmarkStart w:id="801" w:name="__RefHeading___Toc2474338_653776707"/>
      <w:bookmarkStart w:id="802" w:name="_Toc293"/>
      <w:bookmarkEnd w:id="801"/>
      <w:r>
        <w:rPr>
          <w:rtl w:val="true"/>
        </w:rPr>
        <w:t>الأمر الثالث</w:t>
      </w:r>
      <w:r>
        <w:rPr>
          <w:rtl w:val="true"/>
        </w:rPr>
        <w:t xml:space="preserve">: </w:t>
      </w:r>
      <w:r>
        <w:rPr>
          <w:rtl w:val="true"/>
        </w:rPr>
        <w:t>فقهاء دور النضج والإبداع وأهم مؤلفاتهم</w:t>
      </w:r>
      <w:bookmarkEnd w:id="8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المرتضى الأنصاري، رائد هذا الدور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رائد هذه الحركة الجديدة هوالشيخ المحقق مرتضى بن محمد أمين المعروف بالأنصاري وقد ولد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بلدة دزفول من ايران وتوفّى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في النجف الأشرف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أن أنهى الشيخ الأنصاري مقدمات العلوم وشرع في الأصول والفقه في مسقط رأسه لم يقنع بما تعلّم فأعدَّ العدّة مع والده لزيارة العتبات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ومكث في كربلاء أربع سنوات، ویومها كان على رأس العلماء في الحوزة العلمية في كربلاء العلمان الجليلان</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وشريف </w:t>
      </w:r>
    </w:p>
    <w:p>
      <w:pPr>
        <w:pStyle w:val="BookText"/>
        <w:rPr/>
      </w:pPr>
      <w:r>
        <w:rPr>
          <w:rFonts w:ascii="Amiri" w:hAnsi="Amiri" w:eastAsia="Amiri" w:cs="Amiri"/>
          <w:color w:val="111111"/>
          <w:sz w:val="28"/>
          <w:sz w:val="28"/>
          <w:szCs w:val="28"/>
          <w:rtl w:val="true"/>
          <w:lang w:bidi="ar-SA"/>
        </w:rPr>
        <w:t xml:space="preserve">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إحتلّ وإلى بغداد مدينة كربلا المقدسة، فغادرالشيخ مهجره ونزل الكاظمية، وبقى فيها سنة واحدة، ثم هاجر إلى النجف الأشرف، فحضر هناك دروس المحقق الشيخ موسى كاشف الغطاء، قرابة سنتين ثم غادر العراق متوجهاً إلى موطنه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1235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فيه مدّة قليلة ثم جاب المدن الإيرانية للإستفادة من علمائها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بدأ الشيخ برحلته العلمية من دزفول، ونزل في مدينة بروجرد، فحضر درس الشيخ اسدالله البروجردي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وأقام فيها شهراً واحداً ثم غادرها إلى إصفهان وحضر درس السيد محمدباقر الشفتي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جرت بينه وبين الشيخ مباحثات ومناظرات، وقف من خلالها السيد على عظمة الشيخ، فطلب منه الاقامة في اصفهان، لكن الشيخ فضل أن يغادرها إلى بلدة كاشان وكان زعيمها العلمي انذاك الشيخ أحمد النراقي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الشيعة في أحكام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وجد في محاضراته ضالّته، فمكث فيها أربع سنين حضر خلالها دروسه ونبغ في الفقه والأصول على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عزم الشيخ على مغادرة كاشان نال من أستاذه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النراقي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اجازة مفصّلة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ذهب إلى مشهد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وبقى هناك مدّة، ثم رجع إلى العراق فدخل النجف الأشرف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الرئاسة العلمية فیها على عاتق الشيخ علي بن الشيخ جعفر كاشف الغطاء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والشيخ محمدحسن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حضر دروس الشيخ كاشف الغطاء إلى أن إستقلّ بالتدريس وضاع صيته في أوساط النجف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لبّى الشيخ محمدحسن صاحب الجواهر نداء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إنتخب الشيخ بتوصیة منه مرجعاً للشيعة وانتقلت الزعامة العلمية إليه بلا منازع إلى أن لبّى نداء ربّه </w:t>
      </w:r>
    </w:p>
    <w:p>
      <w:pPr>
        <w:pStyle w:val="BookText"/>
        <w:rPr/>
      </w:pPr>
      <w:r>
        <w:rPr>
          <w:rFonts w:ascii="Amiri" w:hAnsi="Amiri" w:eastAsia="Amiri" w:cs="Amiri"/>
          <w:color w:val="111111"/>
          <w:sz w:val="28"/>
          <w:sz w:val="28"/>
          <w:szCs w:val="28"/>
          <w:rtl w:val="true"/>
          <w:lang w:bidi="ar-SA"/>
        </w:rPr>
        <w:t xml:space="preserve">ليلة الثامن عشر من شهر جمادى الأولى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وللشيخ الأنصاري جملة من المؤلفات والآثار العلمية المهمة إلاّ أن أهمّ کتبه الكتابان المعروفإن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بالرسائل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أصبحا منذ تأليفهما إلى يومنا هذا كتابين دراسيّين في الحوزات العلمية في الأصول والفقه یدرّسان في أعلى مستويات الدراسة الحوزوية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السطوح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الشيخ يلقى دروسه في الجامع الهندى في النجف الأشرف وهناک تخرج عليه عدد كبير من المجتهدين وقد عدّ بعضهم أسماء تلاميذه فبلغ </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 عالماً، وسنشير هنا إلى أسماء مشاهيرهم الذين لعبوا دوراً هاما في حفظ التراث الفكري للشيخ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حسن الكوهكمري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المجدد الميرزا حسن الشيرازي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والسيد ميرزا الحسن الشيرازى كان من اشهرتلامذة الشيخ الأعظم، وصار زعيماً للطائفة بعد رحيله، حیث التف حوله عدد غفير من الفضلاء لکنّه وعلى أثر نشوب الفتن فی النجف الأشرف غادرها إلی سامراء التی أسّس فيها حوزة علميه كبيرة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ميرزا حبيب‌الله الرشتي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محمدحسن الآشتياني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محمدرضا الهمداني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وهوشرح لشرائع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محمدكاظم الطباطبائي اليزدي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العروة </w:t>
      </w:r>
    </w:p>
    <w:p>
      <w:pPr>
        <w:pStyle w:val="BookText"/>
        <w:rPr/>
      </w:pPr>
      <w:r>
        <w:rPr>
          <w:rFonts w:ascii="Amiri" w:hAnsi="Amiri" w:eastAsia="Amiri" w:cs="Amiri"/>
          <w:color w:val="111111"/>
          <w:sz w:val="28"/>
          <w:sz w:val="28"/>
          <w:szCs w:val="28"/>
          <w:rtl w:val="true"/>
          <w:lang w:bidi="ar-SA"/>
        </w:rPr>
        <w:t>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تعليقة معروفة على مكاسب الشيخ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المحقق الخراساني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عليه محورالبحث والدراسة في الحوزات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ميرزا محمدحسين النائيني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ضياءالدين العراقي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محمدحسين الأصفهاني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أبوالحسن الاصفهاني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عبدالكريم الحائري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والشيخ عبدالكريم الحائري تلقى المقدمات في مدينة يزد ثم هاجر إلى النجف الأشرف فحضر درس السيد محمد الفشاركي والمحقق الخراساني ثم غادر العراق ونزل مدينة أراك وفي السنة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غادر اراك إلى قم التی عزم على الإقامة فيها وتأسيس الحوزة بها</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الحوزة العلمية فی قم</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مدينة قم المقدسة عامرة بالعلم والفقه منذ القرن الثاني إلى أواخر القرن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فالمحدثون القميّون عرفوا في الحديث والفقه كإبراهيم بن هاشم وابنه علي بن إبراهيم وأحمد بن خالد الرقي والاشعريّین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شهدت قم فترة من الرکود العلمی إلى أن قدم إلیها رجل العلم ومثال الزهد والتقوى الشيخ عبدالكريم الحائري </w:t>
      </w:r>
      <w:bookmarkStart w:id="803" w:name="pg8675_123670"/>
    </w:p>
    <w:p>
      <w:pPr>
        <w:pStyle w:val="BookText"/>
        <w:rPr/>
      </w:pPr>
      <w:bookmarkEnd w:id="803"/>
      <w:r>
        <w:rPr>
          <w:rFonts w:ascii="IRNazanin" w:hAnsi="IRNazanin" w:eastAsia="IRNazanin"/>
          <w:color w:val="111111"/>
          <w:sz w:val="28"/>
          <w:sz w:val="28"/>
          <w:szCs w:val="28"/>
          <w:rtl w:val="true"/>
          <w:lang w:bidi="fa-IR"/>
        </w:rPr>
        <w:t xml:space="preserve">اليزدي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أسس الحوزة العلمية التی ظل یدرس فيها إلى أن لبّى نداء ربّه في سنة</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حضر درسه جيل كبير من الفقهاء الذين صاروا فيما بعد أساطين الحوزة ومراجع للفقه والأصول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الخميني والسيد الكلپايگاني والشيخ الاراكي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حسين البروجردي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تلقى المقدمات في موطنه ثم غادر إلى إصفهان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توجّه إلى النجف الأشرف فحضر بحث المحقق الخراساني، وبعد إتمام دروسه ترك النجف الأشرف ونزل بروجرد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غادر مسقط رأسه إلى قم مستجیباً لطلب بعض العلماء المقيمين بقم ومنهم السيد الإمام الخميني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Style w:val="FootnoteAnchor"/>
          <w:rtl w:val="true"/>
        </w:rPr>
        <w:footnoteReference w:id="429"/>
      </w:r>
    </w:p>
    <w:p>
      <w:pPr>
        <w:pStyle w:val="Heading5"/>
        <w:numPr>
          <w:ilvl w:val="4"/>
          <w:numId w:val="1"/>
        </w:numPr>
        <w:rPr/>
      </w:pPr>
      <w:bookmarkStart w:id="804" w:name="__RefHeading___Toc2474340_653776707"/>
      <w:bookmarkStart w:id="805" w:name="_Toc294"/>
      <w:bookmarkEnd w:id="804"/>
      <w:r>
        <w:rPr>
          <w:rtl w:val="true"/>
        </w:rPr>
        <w:t>الأمر الرابع</w:t>
      </w:r>
      <w:r>
        <w:rPr>
          <w:rtl w:val="true"/>
        </w:rPr>
        <w:t xml:space="preserve">: </w:t>
      </w:r>
      <w:r>
        <w:rPr>
          <w:rtl w:val="true"/>
        </w:rPr>
        <w:t>منهج الإجتهاد في الدور السابع</w:t>
      </w:r>
      <w:bookmarkEnd w:id="80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مستوى أصول الفقه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مطلع هذا الدور استطاع الشيخ الأعظم أن يوسّع المنهج الأصولي الّذي أسّسه الوحيد البهبهاني وتلامذته فيستحدث نظريات جديدة ووضع مصطلحات جديدة وأبرز أصالة المنهج الأصولي، وقد قسّم الشيخ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أصول الفقه إلى قسمين رئيسیين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الألفاظ، وهي التي ترتبط بتحديد وتنقيح دلالات الدليل اللفظي، والمباحث العقلية، ويقصد بها البحث عن الحجج العقلية والشرعية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تطوّر في </w:t>
      </w:r>
    </w:p>
    <w:p>
      <w:pPr>
        <w:pStyle w:val="BookText"/>
        <w:rPr/>
      </w:pPr>
      <w:r>
        <w:rPr>
          <w:rFonts w:ascii="Amiri" w:hAnsi="Amiri" w:eastAsia="Amiri" w:cs="Amiri"/>
          <w:color w:val="111111"/>
          <w:sz w:val="28"/>
          <w:sz w:val="28"/>
          <w:szCs w:val="28"/>
          <w:rtl w:val="true"/>
          <w:lang w:bidi="ar-SA"/>
        </w:rPr>
        <w:t>هذا الدور علم أصول الفقه تطوراً جوهرياً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هذّبت مسائله وأُخرجت منها البحوث المرتبطة بعلوم أخرى كانت قد دخلت في هذا العلم بشكل استطرادي كبوحث كلامية والأدبية والفقهية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إتّضحت طبيعة المسألة الأصولية وجری تعريفها بشکل دقيق بإعتبار أنها العلم بالأدلة المشتركة للفقه والتي لاتختص بباب دون باب، لفظية كانت أوشرعية أوعقلية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 علم الأصول بمثابة منطق 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مسائل علم الأصول تقسيماً فنيّاً جامعاً كمايلى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مباحث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فيها عن دلالات الألفاظ وأقسامها</w:t>
      </w:r>
    </w:p>
    <w:p>
      <w:pPr>
        <w:pStyle w:val="BookText"/>
        <w:rPr/>
      </w:pPr>
      <w:r>
        <w:rPr>
          <w:rFonts w:ascii="Amiri" w:hAnsi="Amiri" w:eastAsia="Amiri" w:cs="Amiri"/>
          <w:color w:val="111111"/>
          <w:sz w:val="28"/>
          <w:sz w:val="28"/>
          <w:szCs w:val="28"/>
          <w:rtl w:val="true"/>
          <w:lang w:bidi="ar-SA"/>
        </w:rPr>
        <w:t>كالأمر والنهي وأدوات المفهوم والعموم والخصوص والاطلاق والتقييد ونحوذلك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مباحث الإستلزامات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ويبحث فيها عن علاقات التلازم والتمانع بين الأحكام، كالملازمة بين وجوب الشيء ووجوب مقدمته أوحرمة ضدّه أوإمتناع ؤجتماع الأمر والنهي أوالأمر بالضدين أوإقتضاء حرمة عبادة أومعاملة لفسادها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مباحث الحجج والإمارات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الإجتهادية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ويبحث فيها عما يثبت الحكم الشرعي، ويدخل في هذا القسم البحث عن الاجماع والشهرة والسيرة العقلائية والمتشرعية والظنون المعتبرة شرعاً، كالظهورات والخبر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ويبحث في مقدمة هذا القسم عن بحوث تمهيدية كالبحث عن حجيّة القطع والفرق بين الحجيّة الذاتية والتعبديّة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مباحث الأصول العملیة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الفقاهتية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ويبحث فيها عن الوظائف المقررة شرعاً أوعقلاً للمكلف، عند الشك في التكليف، من إستصحاب أوبراءة أوإحتياط أوتخيير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مباحث تعارض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ويبحث فيها عن التعارض بين أدلة وما يفترق به عن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مستوى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الدور تطوّرت صناعة الإستدلال الفقهي، من حيث المضمون ومنهج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إتسعت آفاق البحث في كلّ مسألةّ فشملت أدقّ التعريفات والشقوق والتقادير المتصورة فيها، فتنامت البحوث الفقهية وازداد حجمها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ناحية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إمتازت عملية الإجتهاد في هذا الدور بالإستفادة من المنهج الأصولي، وأصبح لكل قسم من أقسام الفقه منهجه المتميز والخاص به، فمنهج الإجتهاد في فقه العبادات، يختلف عن منهج فقه المعاملات، من حيث نوع الأدلّة، ففى العبادات تتوفّر النصوص والروايات الخاصة، بخلاف العقود والايقاعات، التی يُستند فيها غالباً إلى العمومات والقواعد الثابتة بها أوإلی سيرة العقلاء</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ناحية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يتميّز منهج‌الإستدلال الفقهي في هذا الدوربتقنين عملية الإجتهاد بالأدلة اللبيّة المتمثلة في الإجماعات والشهرة والسيرة العقلائية أوالمتشرعية فهذه العناوين وإن لم تكن حجة شرعية بعناوينها الذاتية إلا أنها يمكن أن تكشف في بعض الأحيان عما هودليل شرعى على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فبالنسبة للإجماعات والشهرات، إذا كانت من قبل قدماء الأصحاب يمكن أن تكشف عن وجود موقف شرعى متسالم عليه في عصرالأئمة عند المتشرعة أوعند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أويكشف عن وجود سنّة غير واصلة الينا في تلك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يمكن أن تؤثر في الكشف عن الخلل </w:t>
      </w:r>
      <w:bookmarkStart w:id="806" w:name="pg8675_123680"/>
    </w:p>
    <w:p>
      <w:pPr>
        <w:pStyle w:val="BookText"/>
        <w:rPr/>
      </w:pPr>
      <w:bookmarkEnd w:id="806"/>
      <w:r>
        <w:rPr>
          <w:rFonts w:ascii="Amiri" w:hAnsi="Amiri" w:eastAsia="Amiri" w:cs="Amiri"/>
          <w:color w:val="111111"/>
          <w:sz w:val="28"/>
          <w:sz w:val="28"/>
          <w:szCs w:val="28"/>
          <w:rtl w:val="true"/>
          <w:lang w:bidi="ar-SA"/>
        </w:rPr>
        <w:t>والنقص في بعض شروط حجيّة الرواية المعتبرة بحسب ظاهرها، أوتؤثّر في فهم أدقّ وقراءة أصح للنص المعتبر والّذي يستند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وبالنسبة للسيرة العقلائية أوالمتشرعية فقد تعرض الفقهاء إلى توضيح أنحاء الإستدلال بها سواء في مجال إستكشاف كبرى الحكم الشرعي، أوإستكشاف دلالة بالسيرة في دليل لفظى أوغير لفظى أوتشخيص شرط إرتكازي منها، يحقّق موضوعاً لقاعدة أخرى ولحكم شرعي ثابت، كما في إكتشاف الشروط الضمنية، كشرط السلامة وعدم الغبن في العقود المعاوضية</w:t>
      </w:r>
      <w:r>
        <w:rPr>
          <w:rFonts w:eastAsia="Amiri" w:cs="Amiri" w:ascii="Amiri" w:hAnsi="Amiri"/>
          <w:color w:val="111111"/>
          <w:sz w:val="28"/>
          <w:szCs w:val="28"/>
          <w:rtl w:val="true"/>
          <w:lang w:bidi="ar-SA"/>
        </w:rPr>
        <w:t>.</w:t>
      </w:r>
      <w:r>
        <w:rPr>
          <w:rStyle w:val="FootnoteAnchor"/>
          <w:rtl w:val="true"/>
        </w:rPr>
        <w:footnoteReference w:id="430"/>
      </w:r>
    </w:p>
    <w:p>
      <w:pPr>
        <w:pStyle w:val="Heading5"/>
        <w:numPr>
          <w:ilvl w:val="4"/>
          <w:numId w:val="1"/>
        </w:numPr>
        <w:rPr/>
      </w:pPr>
      <w:bookmarkStart w:id="807" w:name="__RefHeading___Toc2474342_653776707"/>
      <w:bookmarkStart w:id="808" w:name="_Toc295"/>
      <w:bookmarkEnd w:id="807"/>
      <w:r>
        <w:rPr>
          <w:rtl w:val="true"/>
        </w:rPr>
        <w:t>الأمر الخامس</w:t>
      </w:r>
      <w:r>
        <w:rPr>
          <w:rtl w:val="true"/>
        </w:rPr>
        <w:t xml:space="preserve">: </w:t>
      </w:r>
      <w:r>
        <w:rPr>
          <w:rtl w:val="true"/>
        </w:rPr>
        <w:t>أهم خصائص الدور السابع ومميزاتها</w:t>
      </w:r>
      <w:bookmarkEnd w:id="8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الدور السابع في الحقيقة إكمالاً للأسس التي ورثها الشيخ الأنصاري وتلاميذه عن المحقق البهبهاني وتلامذته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فارق جلي، وهوإعطاء منهجية لتلك الأصول وتنظيمها بشكل جديد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رغم أنّ الفقه ذو أبواب متعدّدة؛ لكن فقهاء هذا الدور صبّوا إهتمامهم على العبادات والعقود المختصة بالمعاملات، وبذلك قلّ التصنيف في الأحوال الشخصية، وکان أقل منه فیما يرجع إلى الأحكام والسياسات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تبويب‌المسائل الأصولية بشكل بديع لم یکن معتمداً في الأدوار السابقة حیث تطور تنظيم أبواب علم أصول الفقه تطوراً جوهرياً كما مرّ ذكره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ظهور نمط في التأليف في الفقه والأصول بإسم التقريرات، وهوكالأمالي بين </w:t>
      </w:r>
    </w:p>
    <w:p>
      <w:pPr>
        <w:pStyle w:val="BookText"/>
        <w:rPr/>
      </w:pPr>
      <w:r>
        <w:rPr>
          <w:rFonts w:ascii="IRNazanin" w:hAnsi="IRNazanin" w:eastAsia="IRNazanin"/>
          <w:color w:val="111111"/>
          <w:sz w:val="28"/>
          <w:sz w:val="28"/>
          <w:szCs w:val="28"/>
          <w:rtl w:val="true"/>
          <w:lang w:bidi="fa-IR"/>
        </w:rPr>
        <w:t>القدماء، مع فرق بينهما، وهوأن الاستاذ يملي والتلميذ يكتب وینشر بإسم التلميذ مع أن المحتوى من الاستاذ بخلاف الأمالي التی تنشر بإسم الأستاذ</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رسائل عملية بلغات مختلفه ليرجع إليها المكّف في أعماله الشرعية</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تطور صناعة الإستدلال الفقهي، من حيث المضمون والمنهج، كما أشرنا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تطوّر بحوث علم الرجال وظهور نظريات جديدة للتوثيق وبالتالي تصحيح أسانيد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تبلورت من خلال ذلك قواعد رجالية عامّة للتوثيق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حيث المادة الفقهية، أيضاً إنفتح الفقه الإستدلالي فی هذا الدورعلى النظريات الحديثة في القانون الوضعى وغيره، فإستجدت موضوعات فقهيه مستحدثة عالجها الفقه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إهتمام الفقهاء بشئون الأمّة والحاجات الدينية، فمن ناحية إهتم الفقهاء بربط الأمة بالشريعة عن طريق التقليد وإرجاع الناس إلى الفقهاء والمجتهدين وتنظيم جهاز المرجعية الدينيّة وتقويته وتشييد الحوزات العلمية وتربية العلماء والمبلغين وتعیین الوكلاء في أرجاء البلاد وإستلام الأموال والحقوق الشرعية والتصدي لمّا يمكن حلّه من مشاکل الناس وفصل خصوماتهم، وبتعبیرآخر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التصدي للأمور الحسبيّة التي تنشأ من فكرة النيابة العامة عن الإمام المعصوم في عصر الغيبة</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ناحيه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تصدّى المجتهدون في هذا العصر لمواجهة الحضارة الغربية التي بدأت تغزوا العالم الإسلامي وتستعمر بلاد المسلمين وتسيطر على ثرواتهم </w:t>
      </w:r>
    </w:p>
    <w:p>
      <w:pPr>
        <w:pStyle w:val="BookText"/>
        <w:rPr/>
      </w:pPr>
      <w:r>
        <w:rPr>
          <w:rFonts w:ascii="IRNazanin" w:hAnsi="IRNazanin" w:eastAsia="IRNazanin"/>
          <w:color w:val="111111"/>
          <w:sz w:val="28"/>
          <w:sz w:val="28"/>
          <w:szCs w:val="28"/>
          <w:rtl w:val="true"/>
          <w:lang w:bidi="fa-IR"/>
        </w:rPr>
        <w:t>ونفوسهم وتفسد أنظمتهم وحكوماتهم، فكان لابدّ للفكر الديني والإجتهاد أن يواجه هذا المدّ الحضاري الغازی وقد تصدّى جملة من الفقهاء والمجتهدين في هذا الدور لأداء هذه المسؤليّة فظهرت دراسات علمية في الإقتصاد الإسلامي والفقه السياسيونظرية الحكم في الإسلام وغير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صدرت فتاوی ذات طبیعة ميدانية من قبل المرجعية الدينية للتصدي للكفار ومواجهة النفوذ الإستعماري الغربي ونجد ذلك علی سبیل المثال فی فتوى الميرزا الشيرازي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مواجهة مطامع الإستعمار البريطاني في إيران، ونجد أيضاً في فتوى الشيخ محمدتقى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بالجهاد في العراق ضد الإحتلال البريطاني، العمل الذي إشترك فيه الفقهاء مع الشعب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وموقف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والميرزا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المراجع والفقهاء العظام في الحوزات العلمية في النجف الأشرف وفي إيران ضد الإستبداد القاجاري وطرح نظرية الحكم الدستوري الشرعي، أوما يسمى بإسم المشروطة</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أهمّ مميزات هذا الدور مواجهة الحكم الإسلامي وحركة الإجتهاد للحركات العلمانية التي تدعو إلی عدم تدخّل الدين في الحياة والمجتمع؛ إذ تصدى الكثيرون من المجتهدين للنظريات الواردة من الغرب بعد أنّ رأوا تأثیرها فی أبناء</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أمتنا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السبيل إستشهد الكثيرون من العلماء والفقهاء الكبار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الشهيد الشيخ فضل الله نوري والشهيد السيد حسن المدرس، ولایزال العلماء يبذلون مهجهم فى سبيل الدفاع عن الإسلام الأصيل حتی الیوم</w:t>
      </w:r>
      <w:r>
        <w:rPr>
          <w:rFonts w:eastAsia="IRNazanin" w:cs="IRNazanin"/>
          <w:color w:val="111111"/>
          <w:sz w:val="28"/>
          <w:szCs w:val="28"/>
          <w:rtl w:val="true"/>
          <w:lang w:bidi="fa-IR"/>
        </w:rPr>
        <w:t xml:space="preserve">. </w:t>
      </w:r>
      <w:bookmarkStart w:id="809" w:name="pg8675_123691"/>
    </w:p>
    <w:p>
      <w:pPr>
        <w:pStyle w:val="Heading4"/>
        <w:numPr>
          <w:ilvl w:val="3"/>
          <w:numId w:val="1"/>
        </w:numPr>
        <w:rPr/>
      </w:pPr>
      <w:bookmarkStart w:id="810" w:name="__RefHeading___Toc2474344_653776707"/>
      <w:bookmarkStart w:id="811" w:name="_Toc296"/>
      <w:bookmarkEnd w:id="809"/>
      <w:bookmarkEnd w:id="810"/>
      <w:r>
        <w:rPr>
          <w:rtl w:val="true"/>
        </w:rPr>
        <w:t>الدور الثامن دور تأسيس الدولة وفقاً لنظرية الحكم في الإسلام</w:t>
      </w:r>
      <w:bookmarkEnd w:id="811"/>
    </w:p>
    <w:p>
      <w:pPr>
        <w:pStyle w:val="Heading5"/>
        <w:numPr>
          <w:ilvl w:val="4"/>
          <w:numId w:val="1"/>
        </w:numPr>
        <w:rPr/>
      </w:pPr>
      <w:bookmarkStart w:id="812" w:name="__RefHeading___Toc2474346_653776707"/>
      <w:bookmarkStart w:id="813" w:name="_Toc297"/>
      <w:bookmarkEnd w:id="812"/>
      <w:r>
        <w:rPr>
          <w:rtl w:val="true"/>
        </w:rPr>
        <w:t>اشارة</w:t>
      </w:r>
      <w:bookmarkEnd w:id="813"/>
    </w:p>
    <w:p>
      <w:pPr>
        <w:pStyle w:val="BookText"/>
        <w:rPr/>
      </w:pPr>
      <w:r>
        <w:rPr>
          <w:rFonts w:ascii="Amiri" w:hAnsi="Amiri" w:eastAsia="Amiri" w:cs="Amiri"/>
          <w:color w:val="111111"/>
          <w:sz w:val="28"/>
          <w:sz w:val="28"/>
          <w:szCs w:val="28"/>
          <w:rtl w:val="true"/>
          <w:lang w:bidi="ar-SA"/>
        </w:rPr>
        <w:t>ويقع البحث في أمور خمسة</w:t>
      </w:r>
      <w:r>
        <w:rPr>
          <w:rFonts w:eastAsia="Amiri" w:cs="Amiri" w:ascii="Amiri" w:hAnsi="Amiri"/>
          <w:color w:val="111111"/>
          <w:sz w:val="28"/>
          <w:szCs w:val="28"/>
          <w:rtl w:val="true"/>
          <w:lang w:bidi="ar-SA"/>
        </w:rPr>
        <w:t>:</w:t>
      </w:r>
    </w:p>
    <w:p>
      <w:pPr>
        <w:pStyle w:val="Heading5"/>
        <w:numPr>
          <w:ilvl w:val="4"/>
          <w:numId w:val="1"/>
        </w:numPr>
        <w:rPr/>
      </w:pPr>
      <w:bookmarkStart w:id="814" w:name="__RefHeading___Toc2474348_653776707"/>
      <w:bookmarkStart w:id="815" w:name="_Toc298"/>
      <w:bookmarkEnd w:id="814"/>
      <w:r>
        <w:rPr>
          <w:rtl w:val="true"/>
        </w:rPr>
        <w:t>الأمر الأول</w:t>
      </w:r>
      <w:r>
        <w:rPr>
          <w:rtl w:val="true"/>
        </w:rPr>
        <w:t xml:space="preserve">: </w:t>
      </w:r>
      <w:r>
        <w:rPr>
          <w:rtl w:val="true"/>
        </w:rPr>
        <w:t>التحديد الزمني للدور الثامن</w:t>
      </w:r>
      <w:bookmarkEnd w:id="815"/>
    </w:p>
    <w:p>
      <w:pPr>
        <w:pStyle w:val="BookText"/>
        <w:rPr/>
      </w:pPr>
      <w:r>
        <w:rPr>
          <w:rFonts w:ascii="IRNazanin" w:hAnsi="IRNazanin" w:eastAsia="IRNazanin"/>
          <w:color w:val="111111"/>
          <w:sz w:val="28"/>
          <w:sz w:val="28"/>
          <w:szCs w:val="28"/>
          <w:rtl w:val="true"/>
          <w:lang w:bidi="fa-IR"/>
        </w:rPr>
        <w:t xml:space="preserve">الدور الثامن وهودور تحقق النظام السياسي وفقاً لحركة الإجتهاد في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يبدء هذا الدور من عصر زعامة السيد الإمام الخميني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القائد الرباني للأمة الإسلامية وذلک بعد وفاة السيد البروجردي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ومازال هذا الدور مستمراً إلى وقتنا الحاضر </w:t>
      </w:r>
      <w:r>
        <w:rPr>
          <w:rFonts w:eastAsia="IRNazanin" w:cs="IRNazanin"/>
          <w:color w:val="111111"/>
          <w:sz w:val="28"/>
          <w:szCs w:val="28"/>
          <w:rtl w:val="true"/>
          <w:lang w:bidi="fa-IR"/>
        </w:rPr>
        <w:t>(</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كل نشاط ونضج وسلوك تكاملي</w:t>
      </w:r>
      <w:r>
        <w:rPr>
          <w:rFonts w:eastAsia="IRNazanin" w:cs="IRNazanin"/>
          <w:color w:val="111111"/>
          <w:sz w:val="28"/>
          <w:szCs w:val="28"/>
          <w:rtl w:val="true"/>
          <w:lang w:bidi="fa-IR"/>
        </w:rPr>
        <w:t>.</w:t>
      </w:r>
    </w:p>
    <w:p>
      <w:pPr>
        <w:pStyle w:val="Heading5"/>
        <w:numPr>
          <w:ilvl w:val="4"/>
          <w:numId w:val="1"/>
        </w:numPr>
        <w:rPr/>
      </w:pPr>
      <w:bookmarkStart w:id="816" w:name="__RefHeading___Toc2474350_653776707"/>
      <w:bookmarkStart w:id="817" w:name="_Toc299"/>
      <w:bookmarkEnd w:id="816"/>
      <w:r>
        <w:rPr>
          <w:rtl w:val="true"/>
        </w:rPr>
        <w:t>الأمر الثاني</w:t>
      </w:r>
      <w:r>
        <w:rPr>
          <w:rtl w:val="true"/>
        </w:rPr>
        <w:t xml:space="preserve">: </w:t>
      </w:r>
      <w:r>
        <w:rPr>
          <w:rtl w:val="true"/>
        </w:rPr>
        <w:t>التعريف بالدور الثامن</w:t>
      </w:r>
      <w:bookmarkEnd w:id="817"/>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شاهدنا بالنسبة إلى الأدوار السابقة، إن الفقه وإن كان ذا أبواب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تشمل جميع أبعاد الحياة من العبادات والمعاملات والسياسات لكن الفقهاء التابعين لمذهب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بسبب کونهم فی معزل عمّا يرتبط بالإجتماع والسياسة، كان أكثر إهتمامهم منصّباً على الأحكام المرتبطة بالعبادات، وفي الرتبة الثانية على العقود والمعاملات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وقلّما تجد مباحث ترتبط بالأحكام والسياسات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بعد مرجعية السيد الإمام وحركته السياسيّة ضدّ الحكومة الاستبدادية ونظام السلطة، بدأ یزداد تدخّل الفقهاء في البحث عن الأمور السياسية والأحكام المرتبطة بنظام الحكم في الإسلام، وظل هذا المسلك ینمو و ینضج شيئاً فشيئاً في الحوزات العلمية المقدسة، </w:t>
      </w:r>
      <w:bookmarkStart w:id="818" w:name="pg8675_123695"/>
    </w:p>
    <w:p>
      <w:pPr>
        <w:pStyle w:val="BookText"/>
        <w:rPr/>
      </w:pPr>
      <w:bookmarkEnd w:id="818"/>
      <w:r>
        <w:rPr>
          <w:rFonts w:ascii="Amiri" w:hAnsi="Amiri" w:eastAsia="Amiri" w:cs="Amiri"/>
          <w:color w:val="111111"/>
          <w:sz w:val="28"/>
          <w:sz w:val="28"/>
          <w:szCs w:val="28"/>
          <w:rtl w:val="true"/>
          <w:lang w:bidi="ar-SA"/>
        </w:rPr>
        <w:t>وخاصة في قم والنجف، حتى نجحت الثورة الإسلامية في ايران؛ وبعد انتصار الثورةإنبعثت روح علميّة جديدة في الحوزة العلمية، مستفيدة من تجارب الماضى ومتطلعة إلى آفاق المستقبل والمتسجّدات التي أمّلتها حاجة الدولة الإسلامية إلى القوانين والتشريعات التي تنظم شؤون الدولة ومؤسساتها</w:t>
      </w:r>
      <w:r>
        <w:rPr>
          <w:rFonts w:eastAsia="Amiri" w:cs="Amiri" w:ascii="Amiri" w:hAnsi="Amiri"/>
          <w:color w:val="111111"/>
          <w:sz w:val="28"/>
          <w:szCs w:val="28"/>
          <w:rtl w:val="true"/>
          <w:lang w:bidi="ar-SA"/>
        </w:rPr>
        <w:t>.</w:t>
      </w:r>
    </w:p>
    <w:p>
      <w:pPr>
        <w:pStyle w:val="Heading5"/>
        <w:numPr>
          <w:ilvl w:val="4"/>
          <w:numId w:val="1"/>
        </w:numPr>
        <w:rPr/>
      </w:pPr>
      <w:bookmarkStart w:id="819" w:name="__RefHeading___Toc2474352_653776707"/>
      <w:bookmarkStart w:id="820" w:name="_Toc300"/>
      <w:bookmarkEnd w:id="819"/>
      <w:r>
        <w:rPr>
          <w:rtl w:val="true"/>
        </w:rPr>
        <w:t>الأمر الثالث</w:t>
      </w:r>
      <w:r>
        <w:rPr>
          <w:rtl w:val="true"/>
        </w:rPr>
        <w:t xml:space="preserve">: </w:t>
      </w:r>
      <w:r>
        <w:rPr>
          <w:rtl w:val="true"/>
        </w:rPr>
        <w:t>أهم فقها دور الثامن</w:t>
      </w:r>
      <w:bookmarkEnd w:id="8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الإمام روح‌الله الموسوي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السيد الخميني هوالزعيم الأكبر والإمام الأعظم، رائد الدور الثامن، أحد الشخصيات القلیلة التي يجود بها الدهر، تلقى المقدمات في موطنه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إنتقل إلى أراك عام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كان شيخه المحقق الحائري زعيماً لحوزة أراك ولمّا إنتقل الاستاذ إلى مدينة قم غادرها إلى قم، فأقام فيها إلى عام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فحضر دروس أستاذه الحائري في الفقه والأصول كما حضر دروس الشيخ محمد علي الشاه آبادي في المعقول والعرفإن، ولمّا لبّى المحقق الحائري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نداء ربّه عام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إستقل بالتدريس وربّى جيلاً كبيراً في هذه البرهة، ولمّا حلّ السيد البروجردي فی مدينة قم وأضفى على الحوزة نشاطاً علميّاً خاصاً، حضر السيد الإمام دروسه حضوراً فعالاً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التحاق السيد البروجردي بالرفيق الأعلى، أخذ يدرس ويكتب، وكان له حوزة فقهيّة تضّم عدداً كبيراً من الفضلاء</w:t>
      </w:r>
      <w:r>
        <w:rPr>
          <w:rFonts w:eastAsia="IRNazanin" w:cs="IRNazanin"/>
          <w:color w:val="111111"/>
          <w:sz w:val="28"/>
          <w:szCs w:val="28"/>
          <w:rtl w:val="true"/>
          <w:lang w:bidi="fa-IR"/>
        </w:rPr>
        <w:t>.</w:t>
      </w:r>
      <w:r>
        <w:rPr>
          <w:rStyle w:val="FootnoteAnchor"/>
          <w:rtl w:val="true"/>
        </w:rPr>
        <w:footnoteReference w:id="433"/>
      </w:r>
      <w:r>
        <w:rPr>
          <w:rFonts w:ascii="Amiri" w:hAnsi="Amiri" w:eastAsia="Amiri" w:cs="Amiri"/>
          <w:color w:val="111111"/>
          <w:sz w:val="28"/>
          <w:sz w:val="28"/>
          <w:szCs w:val="28"/>
          <w:rtl w:val="true"/>
          <w:lang w:bidi="ar-SA"/>
        </w:rPr>
        <w:t xml:space="preserve">وأيضاً في هذا الوقت تصدّى للمرجعية وإصدار الفتوى، وقد كثر مقلّدوه في شتّى بلاد العالم من إيران </w:t>
      </w:r>
    </w:p>
    <w:p>
      <w:pPr>
        <w:pStyle w:val="BookText"/>
        <w:rPr/>
      </w:pPr>
      <w:r>
        <w:rPr>
          <w:rFonts w:ascii="IRNazanin" w:hAnsi="IRNazanin" w:eastAsia="IRNazanin"/>
          <w:color w:val="111111"/>
          <w:sz w:val="28"/>
          <w:sz w:val="28"/>
          <w:szCs w:val="28"/>
          <w:rtl w:val="true"/>
          <w:lang w:bidi="fa-IR"/>
        </w:rPr>
        <w:t xml:space="preserve">وغيرها، وأيضاً ظلّ الإمام قائماً بأعباء الزعامة الدينية والسياسية، وقد قام بوجه حكومة الشاه ونظام السلطنة فأصدر طاغوت ايران أمره بابعاده إلى تركيا، فحلّ فيها ما يقربمن عام واحد، ثم نفىّ إلى العراق ومن هناك تولّی قيادة الثورة الإسلامية، للقضاء علی النظام الشاهنشاهي وبعد الإطاحة بنظام الشاه، إستمرت قيادته ما يربوعلى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ألقى خلالها العديد من المحاضرات السياسية والإجتماعية والأخلاقية إلى أن وافاه الأجل في عام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ترك السيد الإمام ثروة علميّة كبيرة في شتّى الموضوعات من الفقه والأصول والتفسير والفلسفة والعرفان والاخلاق والحديث وغيرها، وهنا نشير إلى بعضها، وبالخصوص المرتبطة منها بالفقه والأصول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 المحرمه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التعليقه على كفاية الأصول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الوسيلة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 الإسلامية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شخصية الإمام الخميني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شخصية لامعة، حيث أثبت بثورته أنّ الإسلام دين للماضي والحاضر والمستقبل، وأنه ليس للإنسان المتحضر بدّ من التمسك بأهداف ذلك الدين القيّم؛ وفي الختام لابدّ من القول إن الكلام عن السيد الإمام </w:t>
      </w:r>
    </w:p>
    <w:p>
      <w:pPr>
        <w:pStyle w:val="BookText"/>
        <w:rPr/>
      </w:pPr>
      <w:r>
        <w:rPr>
          <w:rFonts w:ascii="IRNazanin" w:hAnsi="IRNazanin" w:eastAsia="IRNazanin"/>
          <w:color w:val="111111"/>
          <w:sz w:val="28"/>
          <w:sz w:val="28"/>
          <w:szCs w:val="28"/>
          <w:rtl w:val="true"/>
          <w:lang w:bidi="fa-IR"/>
        </w:rPr>
        <w:t>وخدماته الجليلة وآثاره ومعطياته للأمّة یحتاج إلی مقال مسهب بل كتاب مفرد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الشهيد السيد محمدباقر الصدر</w:t>
      </w:r>
    </w:p>
    <w:p>
      <w:pPr>
        <w:pStyle w:val="BookText"/>
        <w:rPr/>
      </w:pPr>
      <w:r>
        <w:rPr>
          <w:rFonts w:ascii="IRNazanin" w:hAnsi="IRNazanin" w:eastAsia="IRNazanin"/>
          <w:color w:val="111111"/>
          <w:sz w:val="28"/>
          <w:sz w:val="28"/>
          <w:szCs w:val="28"/>
          <w:rtl w:val="true"/>
          <w:lang w:bidi="fa-IR"/>
        </w:rPr>
        <w:t xml:space="preserve">ولد الشهيد الصدر في مدينة الكاظميّة عام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المدرسة في مدينة الكاظمية وإستطاع في المدّة التي لم يكمل فيها تمام الصفوف الإبدائية أن يضرب أروع الأمثلة في النبوغ الفكري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هاجر إلى النجف الأشرف سنة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عمره حينئذٍ إثنتي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قرأ أكثر الأبحاث المسمّاة في مصطلح الحوزة العلمية بالسطوح العلیا بلا أستاذ، وتتلمّذ في مرحلة بحث الخارج على يد علمين من أعلام النجف الأشرف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رضا آل ياسين والسيد الخوئي، وقد أنهى دراساته الأصولية في سنة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وبدأ بتدريس الخارج لعلم الأصول في نفس تلك السنة، وبدأ بتدريس الخارج لعلم الفقه في سنة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35"/>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تعرض السيد الشهيد للإعتقال من قبل السلطة البعثية الغاشمة في العراق أربع مرّات، وقضى شهيداً على يد النظام البعثی وذلك بعد إعتقاله الأخير بثلاثة أيام تقريباً، حيث جاوؤا بجثمانه الطاهر إلى النجف الأشرف سنة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فقد كان السيد الشهيد يعتقد أنّ تأييد الثورة الإسلامية تكليف شرعي عيني، وهوجهاد عظيم، 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هؤلاء الذين يطلبون منّي أن أتريث وأن أتّخذ موقفاً من الثورة الإسلامية لكي لاأثير السلطة الحاكمة في العراق، حفاظاً على حياتي ومرجعيتي لايعرفون من الأمور إلاّ ظواهرها، إنّ الواجب على هذه المرجعية وعلى النجف كلّها أن تتخذ الموقف المناسب والمطلوب تجاه الثورة الإسلامية في ايران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هوهدف المرجعيّات على طول التاريخ؟ أليس هوإقامة حكم الله عزّوجلّ على الأرض؟ وها هي مرجعية الإمام الخميني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حققت ذلك، فهل من المنطقي أن أقف موقف المتفرّج ولا إتّخذ الموقف الصحيح والمناسب حتى لوكلّفني ذلك حياتي وكل ما أملك؟</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ثمّ خلّف السيد الشهيد مؤلفات قيّمة في مختلف مجالات الفكر الإسلامي، من أهمّها في مستوى الفقه والأصول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البنك اللاربوي في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في شرح العروة الوثقى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الواضحة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في الأصول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يقود الحياة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القائد علي الحسيني الخامنئي </w:t>
      </w:r>
    </w:p>
    <w:p>
      <w:pPr>
        <w:pStyle w:val="BookText"/>
        <w:rPr/>
      </w:pPr>
      <w:r>
        <w:rPr>
          <w:rFonts w:ascii="IRNazanin" w:hAnsi="IRNazanin" w:eastAsia="IRNazanin"/>
          <w:color w:val="111111"/>
          <w:sz w:val="28"/>
          <w:sz w:val="28"/>
          <w:szCs w:val="28"/>
          <w:rtl w:val="true"/>
          <w:lang w:bidi="fa-IR"/>
        </w:rPr>
        <w:t xml:space="preserve">ولد السيد عام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مدينة مشهد المقدسة، وقد تعلّم جامع المقدمات والصرف والنحوفي الثانوية، ومن ثمّ توجّه إلى الحوزة العلمية وتعلّم الأدب والمقدمات على يد والده وباقي الاساتذة هناك، وأكمل دروس السطوح في الحوزة المقدسة في مشهد، وتوجه إلى النجف الأشرف للزيارة والدراسة الحوزوية العليا بعد أن أكمل دورة خارج الفقه والأصول على يد المرجع الكبير السيد الميلاني في مدينةمشهد المشرفة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النجف حضر دروس الخارج لدى السيد محسن الحكيم والسيد محمود الشاهرودي وغيرهما، حيث أعجبه المنهج الدراسي في النجف، وطلب من والده أن يسمح له بأن يبقى في النجف، ولكن بسبب بعض الظروف العائليّة اضطرته للعودة إلى مشهد، ثم انتقل منها إلی مدينة قم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واستمر بمتابعة دروسه العليا في الفقه والأصول والفلسفه متتلمّذاً على أیدی المراجع العظام كالسيد البروجردي والإمام الخميني والشيخ مرتضى الحائري والعلامة الطباطبائي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ترك مدينة قم وذهب إلى مشهد لرعاية والده الّذي قد أصيب بمرض في عينه، وتابع سماحته دروسه العلمية في مدينة مشهد المشرفة على يد السيد الميلاني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أيضاً بتدريس الفقه والأصول والمعارف الدينية للطلاب والشباب</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 السيد القائد الخامنئي معترك الجهاد السياسيّ عندما كان مقيماً في مدينة قم المقدسة مع بدایة الإمام الخميني</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حركته الثورية، وخاض غمار الجهاد بشكل مباشر وفعّال، بالرغم من خطرالعديد من التقلبات والمنعطفات وأعمال التعذيب والنفي والسجن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إبتلى باعتقالات عديدة، بلغت ستة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نفّاه النظام البهلوي المجرم في عام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مدينه ايرانشهر وبقى فيها ست أشهر، إلا </w:t>
      </w:r>
      <w:bookmarkStart w:id="821" w:name="pg8675_123711"/>
    </w:p>
    <w:p>
      <w:pPr>
        <w:pStyle w:val="BookText"/>
        <w:rPr/>
      </w:pPr>
      <w:bookmarkEnd w:id="821"/>
      <w:r>
        <w:rPr>
          <w:rFonts w:ascii="IRNazanin" w:hAnsi="IRNazanin" w:eastAsia="IRNazanin"/>
          <w:color w:val="111111"/>
          <w:sz w:val="28"/>
          <w:sz w:val="28"/>
          <w:szCs w:val="28"/>
          <w:rtl w:val="true"/>
          <w:lang w:bidi="fa-IR"/>
        </w:rPr>
        <w:t>أنه مع تصاعد جهاد الشعب الإيرانيّ استطاع أن يعود إلى مدينة مشهد المقدسة من منفّاه، لكي يساند الثوار والمجاهدين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انتصار الثورة، أسس الإمام الخميني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الثورة الإسلامية انضم السيد الخامنئي إلى عضوية المجلس امّا انتصار الثورة الإسلامية، فقد شغل مناصب متعددة، کإمامة الجمعة في طهران وممثل أهالى طهران في مجلس الشورى وممثل الإمام الخميني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أمور شتى، ثمّ منصب رئيس الجمهورية وقد تعرض إلى محاولة اغتيال دنيئة في مسجد أبي ذر بمدينة طهران قامتبها جماعة إرهابیة الضالّة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وبرحيل الإمام الخميني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الفقهاء والمجتهدين في مجلس الخبراء جلسة تمّت مبايعة السيد القائد الخامنئي وليّاً لأمر المسلمين وقائداً للثورة الإسلامية المباركة بأكثريّة الآراء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وللسيد القائد مؤلّفات قيّمة كثيرة في مختلف مجالات الفكر الإسلامي، من أهمّها في مجال الفقه والإجتهاد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المهادنة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تقريرات أبحاث الخارج في القصاص والجهاد والمكاسب المحرمة صلاة المسافر و غیرها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الاستفتائات</w:t>
      </w:r>
      <w:r>
        <w:rPr>
          <w:rFonts w:eastAsia="Amiri" w:cs="Amiri" w:ascii="Amiri" w:hAnsi="Amiri"/>
          <w:color w:val="111111"/>
          <w:sz w:val="28"/>
          <w:szCs w:val="28"/>
          <w:rtl w:val="true"/>
          <w:lang w:bidi="ar-SA"/>
        </w:rPr>
        <w:t>».</w:t>
      </w:r>
    </w:p>
    <w:p>
      <w:pPr>
        <w:pStyle w:val="Heading5"/>
        <w:numPr>
          <w:ilvl w:val="4"/>
          <w:numId w:val="1"/>
        </w:numPr>
        <w:rPr/>
      </w:pPr>
      <w:bookmarkStart w:id="822" w:name="__RefHeading___Toc2474354_653776707"/>
      <w:bookmarkStart w:id="823" w:name="_Toc301"/>
      <w:bookmarkEnd w:id="822"/>
      <w:r>
        <w:rPr>
          <w:rtl w:val="true"/>
        </w:rPr>
        <w:t>الأمر الرابع</w:t>
      </w:r>
      <w:r>
        <w:rPr>
          <w:rtl w:val="true"/>
        </w:rPr>
        <w:t xml:space="preserve">: </w:t>
      </w:r>
      <w:r>
        <w:rPr>
          <w:rtl w:val="true"/>
        </w:rPr>
        <w:t>منهج الإجتهاد في الدور الثامن</w:t>
      </w:r>
      <w:bookmarkEnd w:id="823"/>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أشرنا سابقاً يبدأ الدور الثامن بجهاد المرجعية العليا، وعلى رأسها الإمام </w:t>
      </w:r>
    </w:p>
    <w:p>
      <w:pPr>
        <w:pStyle w:val="BookText"/>
        <w:rPr/>
      </w:pPr>
      <w:r>
        <w:rPr>
          <w:rFonts w:ascii="IRNazanin" w:hAnsi="IRNazanin" w:eastAsia="IRNazanin"/>
          <w:color w:val="111111"/>
          <w:sz w:val="28"/>
          <w:sz w:val="28"/>
          <w:szCs w:val="28"/>
          <w:rtl w:val="true"/>
          <w:lang w:bidi="fa-IR"/>
        </w:rPr>
        <w:t xml:space="preserve">الخميني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الحكم البهلوي، حيث إستطاع الإمام أن يخلص الأمة ويعبّئ طاقاتها ضده حتى سقوطه واقامة حكم إسلامي يعتمد النظرية الفقهية، طبقاً لمذهب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الحكم، وهي نظرية ولاية الفقيه التي كان قد شرحها وهذّبها وأوضح معالمها في بحوثه الفقهية التي ألقاها على تلامذته في النجف الأشرف، ثم وفّقه الله سبحانه وتعالى لتطبيقها وتجسيدها واخراجها إلى النور في ايران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الجمهورية الإسلامية اليوم، وما فيها من دستور وقوانين مستمدّة من الفقه الإسلامي،حصيلة وثمرة من ثمرات فكر وجهاد هذا الإمام الّذي كان من أبرز فقهاء ومراجع هذا العصر الفقهي الزاهر</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فالمنهج الإجتهادي الّذي كان السيد الإمام رائده وحامل لوائه، منهج يؤمن بالإجتهاد، وفق أسلوب السلف الصالح الّذي يعبّر عنه السيد الإمام بالفقه الجواهري، وكان يعتقد بعدم جواز التعدّی عنه وبأن الإجتهاد فقط بهذا المنهج صواب وصحيح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يصرّح بأنّ ذلك لايعني أن الفقه الإسلامي غير متطوّر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نفس الوقت الّذي کان يؤکد فیه الإمام على ضرورة الالتزام الكامل بالمنهج الّذي سار عليه السلف الصالح من المجتهدين نجده من جهة أخرى، يؤكّد على حيويّة الفقه الإسلامي، من خلال إدراك الوقائع والإحداث في بعدي الزمان والمكان ومدى تأثيرهما في عمق عمليّة الإجتهاد</w:t>
      </w:r>
      <w:r>
        <w:rPr>
          <w:rFonts w:eastAsia="IRNazanin" w:cs="IRNazanin"/>
          <w:color w:val="111111"/>
          <w:sz w:val="28"/>
          <w:szCs w:val="28"/>
          <w:rtl w:val="true"/>
          <w:lang w:bidi="fa-IR"/>
        </w:rPr>
        <w:t>.</w:t>
      </w:r>
      <w:r>
        <w:rPr>
          <w:rStyle w:val="FootnoteAnchor"/>
          <w:rtl w:val="true"/>
        </w:rPr>
        <w:footnoteReference w:id="438"/>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یؤکّد علی أنّ الحكومة من وجهة نظر المجتهد الواقعي، هي تجلّي الفلسفة </w:t>
      </w:r>
    </w:p>
    <w:p>
      <w:pPr>
        <w:pStyle w:val="BookText"/>
        <w:rPr/>
      </w:pPr>
      <w:r>
        <w:rPr>
          <w:rFonts w:ascii="Amiri" w:hAnsi="Amiri" w:eastAsia="Amiri" w:cs="Amiri"/>
          <w:color w:val="111111"/>
          <w:sz w:val="28"/>
          <w:sz w:val="28"/>
          <w:szCs w:val="28"/>
          <w:rtl w:val="true"/>
          <w:lang w:bidi="ar-SA"/>
        </w:rPr>
        <w:t>العملية للفقه في تعاطيه مع كافّة المعضلات الإجتماعية والسياسية والعسكرية والثقافية، والفقه هوالنظرية الواقعية والتامة لإدارة حياة الإنسان من المهد إلى اللحد</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وقد قال الإمام الراحل في نداء له إلى مراجع الشيعة وعموم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المجتهد أن يكون مسلّماً بمسائل عصره، محيطاً بها، فلم يعدّ مستساغاً للشباب والناس عموماً أن يقول مرجعهم ومجتهدهم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إنّنى لا أبدي رأياً في القضايا السياسية، فالتعرف على أسلوب التعامل في مواجهة الأ لاعيب والدسائس السائدة في الثقافة العالمية وعمقالرؤية الإقتصاديّة، وكيفية التعامل مع النظام الإقتصادي العالمي والتعمّق في السياسة، وحتى معرفة السياسيين والساسة والمعادلات الحاكمة، كلّ هذا هومن خصائص المجتهد الجامع للشرائط، كما ينبغى على المجتهد أن يتحلّى بالفطنة والذكاء والفراسة وهويتصدّى لتوجيه المجتمع الإسلامي الكبير بل والمجتمع العالمي بأسره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فاضافة إلى الإخلاص والتقوى والزهد الّذي هومن شأن المجتهد، فانّ عليه أن يكون مديراً ومدبّراً حقيقياً</w:t>
      </w:r>
      <w:r>
        <w:rPr>
          <w:rFonts w:eastAsia="Amiri" w:cs="Amiri" w:ascii="Amiri" w:hAnsi="Amiri"/>
          <w:color w:val="111111"/>
          <w:sz w:val="28"/>
          <w:szCs w:val="28"/>
          <w:rtl w:val="true"/>
          <w:lang w:bidi="ar-SA"/>
        </w:rPr>
        <w:t>.</w:t>
      </w:r>
      <w:r>
        <w:rPr>
          <w:rStyle w:val="FootnoteAnchor"/>
          <w:rtl w:val="true"/>
        </w:rPr>
        <w:footnoteReference w:id="440"/>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هوالمنهج الأساس للإمام في الإجتهاد وكيفيّته، الّذي أثر في الجوّالعلمي والفقهي للحوزة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سلك هذا المسلك فإنه أيضاً كان يعتقد أن إستنباط كثير من الأحكام الشرعية لابدّ وأن يقوم على أساس النزعة الإجتماعيّة والعالميّة في فهم الأحكام من أدلّتها، لا على أساس النزعة الفرديّة </w:t>
      </w:r>
    </w:p>
    <w:p>
      <w:pPr>
        <w:pStyle w:val="BookText"/>
        <w:rPr/>
      </w:pPr>
      <w:r>
        <w:rPr>
          <w:rFonts w:ascii="Amiri" w:hAnsi="Amiri" w:eastAsia="Amiri" w:cs="Amiri"/>
          <w:color w:val="111111"/>
          <w:sz w:val="28"/>
          <w:sz w:val="28"/>
          <w:szCs w:val="28"/>
          <w:rtl w:val="true"/>
          <w:lang w:bidi="ar-SA"/>
        </w:rPr>
        <w:t xml:space="preserve">الضيّقة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أشار إلى ذلك السيد الحائري في ترجمته لحياة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كثيراً من أدلّة الأحكام الشرعيّة لونظرنا إليها وفق النزعة الاجتماعية العالمية لاختلف فهمنا لها عمّا إذا نظرنا إليها وفق النزعة الفرديّة الضيّقة، فمثلاً أخبار التقية والجهاد وحرمة الربا تفهم في ضوء أحدى النزعتين بشكل، وتفهم في ضوء النزعة الأخرى بشكل أخر</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وقد حاول السيد الشهيد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يقود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عطاء الفكر الإسلامي على مستوى حاجة الأمة الإسلاميّة، بعد قيام الجمهوريّة الإسلامية فيايران، حيث استجدّت في الأمّة الإسلامية بعد انتصار الإسلام على صعيد الحكم في ايران، حاجات فكريّة متناسبة مع طرح الإسلام كدولة تستمدّ أصالتها من السماء، فقام السيد الشهيد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بمحاولة النظر للفكر الإسلامي في ضوء هذه المستجدّات</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كان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بأهميّة وضرورة إقامة حكومة إسلامية في عصر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السيد الشهيد في رسالة له بهذا الخصوص خلاصته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المجال نودّ أن نؤكّد الحقائق التالية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الحقيقة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تطبيق الإسلام فرضيّة واجبة وإنّ إعادة الإسلام إلى كلّ مجالات الحياة وإقامة النهضة الحقيقية للأمّة على أساسه شرط ضروري في استعادتها لمجدها وكرامتها</w:t>
      </w:r>
      <w:r>
        <w:rPr>
          <w:rFonts w:eastAsia="Amiri" w:cs="Amiri" w:ascii="Amiri" w:hAnsi="Amiri"/>
          <w:color w:val="111111"/>
          <w:sz w:val="28"/>
          <w:szCs w:val="28"/>
          <w:rtl w:val="true"/>
          <w:lang w:bidi="ar-SA"/>
        </w:rPr>
        <w:t xml:space="preserve">. </w:t>
      </w:r>
      <w:bookmarkStart w:id="824" w:name="pg8675_123723"/>
    </w:p>
    <w:p>
      <w:pPr>
        <w:pStyle w:val="BookText"/>
        <w:rPr/>
      </w:pPr>
      <w:bookmarkEnd w:id="824"/>
      <w:r>
        <w:rPr>
          <w:rFonts w:ascii="Amiri" w:hAnsi="Amiri" w:eastAsia="Amiri" w:cs="Amiri"/>
          <w:color w:val="111111"/>
          <w:sz w:val="28"/>
          <w:sz w:val="28"/>
          <w:szCs w:val="28"/>
          <w:rtl w:val="true"/>
          <w:lang w:bidi="ar-SA"/>
        </w:rPr>
        <w:t>الحقيقة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تطبيق الإسلام على مجتمع معاصر يتطلّب إجتهاداً حيّاً متحركاً واعيا قادراً على الإتصال المباشر بمصادر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الحقيقة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الفقه الإسلامي الإمامي هوالمدرسة الوحيدة في الفقه الإسلامي العظيم التي واصلت حركتها العلمية وإجتهادها المتحرك، ومارست صيغها الفقهية والإجتهادية على مرّ الزمن ولا زال الإجتهاد والمجتهدون فيها قادرين على إستنباط الحلول المناسبته لمشاكل الحياة من الشريعة</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وفي نفس المسار نجد أن السيّد الخامنئي يبدي قلقه بشأن بعض مظاهر الضعف والجمود المهيمن على الحوزة، وخاصة الفقه، مما يوجب على أساتذة الحوزة وطلابها بذل الجهود في سبيل تطوير الفقه وعلومه بشكل يمكن معه تحوّل الفقه إلىنظريّة إدارة حقيقية وكاملة للإنسان والمجتمع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ملبّياً شتى الاحتياجات الإجتماعية والحكومية والقضايا والموضوعات المستجدّة</w:t>
      </w:r>
      <w:r>
        <w:rPr>
          <w:rFonts w:eastAsia="Amiri" w:cs="Amiri" w:ascii="Amiri" w:hAnsi="Amiri"/>
          <w:color w:val="111111"/>
          <w:sz w:val="28"/>
          <w:szCs w:val="28"/>
          <w:rtl w:val="true"/>
          <w:lang w:bidi="ar-SA"/>
        </w:rPr>
        <w:t>.</w:t>
      </w:r>
      <w:r>
        <w:rPr>
          <w:rStyle w:val="FootnoteAnchor"/>
          <w:rtl w:val="true"/>
        </w:rPr>
        <w:footnoteReference w:id="445"/>
      </w:r>
    </w:p>
    <w:p>
      <w:pPr>
        <w:pStyle w:val="Heading5"/>
        <w:numPr>
          <w:ilvl w:val="4"/>
          <w:numId w:val="1"/>
        </w:numPr>
        <w:rPr/>
      </w:pPr>
      <w:bookmarkStart w:id="825" w:name="__RefHeading___Toc2474356_653776707"/>
      <w:bookmarkStart w:id="826" w:name="_Toc302"/>
      <w:bookmarkEnd w:id="825"/>
      <w:r>
        <w:rPr>
          <w:rtl w:val="true"/>
        </w:rPr>
        <w:t>الأمر الخامس</w:t>
      </w:r>
      <w:r>
        <w:rPr>
          <w:rtl w:val="true"/>
        </w:rPr>
        <w:t xml:space="preserve">: </w:t>
      </w:r>
      <w:r>
        <w:rPr>
          <w:rtl w:val="true"/>
        </w:rPr>
        <w:t>أهم خصائص الدور الثامن</w:t>
      </w:r>
      <w:bookmarkEnd w:id="826"/>
    </w:p>
    <w:p>
      <w:pPr>
        <w:pStyle w:val="BookText"/>
        <w:rPr/>
      </w:pPr>
      <w:r>
        <w:rPr>
          <w:rFonts w:ascii="Amiri" w:hAnsi="Amiri" w:eastAsia="Amiri" w:cs="Amiri"/>
          <w:color w:val="111111"/>
          <w:sz w:val="28"/>
          <w:sz w:val="28"/>
          <w:szCs w:val="28"/>
          <w:rtl w:val="true"/>
          <w:lang w:bidi="ar-SA"/>
        </w:rPr>
        <w:t>يمكن أن نشير إلى أهم مميّزات هذا الدور وخصائصه وهي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كثير من المجتهدين وأساتذة الحوزة العلمية بمسائل السياسية والإجتماع علی ضوء الإسلام وإستكشاف الرأي الشرعي إزاءها والخروج عن حصرها فی إطار المسائل الفردية والعبادية فقط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تدوين دستور الجمهورية الإسلامية وفقاً للإجتهاد الإمامي ومذهب </w:t>
      </w:r>
    </w:p>
    <w:p>
      <w:pPr>
        <w:pStyle w:val="BookText"/>
        <w:rPr/>
      </w:pPr>
      <w:r>
        <w:rPr>
          <w:rFonts w:ascii="IRNazanin" w:hAnsi="IRNazanin" w:eastAsia="IRNazanin"/>
          <w:color w:val="111111"/>
          <w:sz w:val="28"/>
          <w:sz w:val="28"/>
          <w:szCs w:val="28"/>
          <w:rtl w:val="true"/>
          <w:lang w:bidi="fa-IR"/>
        </w:rPr>
        <w:t xml:space="preserve">أهل‌البيت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بمشارکة كثيرین من العلماء والمجتهدين الذين كانوا یمثلون الأمة في مجلس الخبراء لتنظيم الدستور الإسلامي في الجمهورية الإسلامية الإيرانية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اهتمام الحوزة والاساتذة في حل عن المعضلات المرتبطة بإدارة المجتمع والمسائل المستحدثة التي تطرح في شتّى جوانب الحياة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مواجهة الإجتهاد الإسلامي مع السلطة العلمانيّة الحاكمة في العالم، والمدنية المكوّنة وفق الفلسفة الليبرالية والديموقراطية الغربية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احياء الإسلام والتأكيد على أهمية الرجوع إلى الكتاب والسنة في جميع العالم الإسلامي، بالنسبة إلى جميع أبناء الإسلام وشبابهم خاصّة، والجهاد في سبيل فتح باب الإجتهاد، بعد انسداده في القرون المتتالية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الخصائص الخمسة، إنما ذكرناها على سبيل المثال والإشارة، لا على سبيلالحصر، وإلا فإن الدور الثامن من هذه الأدوار، حافل بالكثير من المميزات والخصائص، وفي الختام، نبتهل إلى الله سبحانه وتعالى أن يمنّ على المسلمين بإتباع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وصلى الله على محمد وآله الطاهرين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1430</w:t>
      </w:r>
    </w:p>
    <w:p>
      <w:pPr>
        <w:pStyle w:val="BookText"/>
        <w:rPr/>
      </w:pPr>
      <w:r>
        <w:rPr>
          <w:rFonts w:ascii="IRNazanin" w:hAnsi="IRNazanin" w:eastAsia="IRNazanin"/>
          <w:color w:val="111111"/>
          <w:sz w:val="28"/>
          <w:sz w:val="28"/>
          <w:szCs w:val="28"/>
          <w:rtl w:val="true"/>
          <w:lang w:bidi="fa-IR"/>
        </w:rPr>
        <w:t>تمّ التصحیح والمقابلة مع بعض الإضافات والتعلیقات للطبعة الثانیة بعون الله تعالی تحت رعایة الحجّة ارواحنا لتراب مقدمة افداء</w:t>
      </w:r>
    </w:p>
    <w:p>
      <w:pPr>
        <w:pStyle w:val="BookText"/>
        <w:rPr/>
      </w:pPr>
      <w:r>
        <w:rPr>
          <w:rFonts w:ascii="IRNazanin" w:hAnsi="IRNazanin" w:eastAsia="IRNazanin"/>
          <w:color w:val="111111"/>
          <w:sz w:val="28"/>
          <w:sz w:val="28"/>
          <w:szCs w:val="28"/>
          <w:rtl w:val="true"/>
          <w:lang w:bidi="fa-IR"/>
        </w:rPr>
        <w:t>واخر دعوینا ان الحمد لله ربّ العالمین</w:t>
      </w:r>
    </w:p>
    <w:p>
      <w:pPr>
        <w:pStyle w:val="BookText"/>
        <w:rPr/>
      </w:pPr>
      <w:r>
        <w:rPr>
          <w:rFonts w:eastAsia="IRNazanin" w:cs="IRNazanin"/>
          <w:color w:val="111111"/>
          <w:sz w:val="28"/>
          <w:szCs w:val="28"/>
          <w:lang w:bidi="fa-IR"/>
        </w:rPr>
        <w:t>29/3/1401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ذی‌القعدة الحرام </w:t>
      </w:r>
      <w:r>
        <w:rPr>
          <w:rFonts w:eastAsia="IRNazanin" w:cs="IRNazanin"/>
          <w:color w:val="111111"/>
          <w:sz w:val="28"/>
          <w:szCs w:val="28"/>
          <w:lang w:bidi="fa-IR"/>
        </w:rPr>
        <w:t>1443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2022</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bookmarkStart w:id="827" w:name="pg8675_123729"/>
    </w:p>
    <w:p>
      <w:pPr>
        <w:pStyle w:val="Heading2"/>
        <w:numPr>
          <w:ilvl w:val="1"/>
          <w:numId w:val="1"/>
        </w:numPr>
        <w:rPr/>
      </w:pPr>
      <w:bookmarkStart w:id="828" w:name="__RefHeading___Toc2474358_653776707"/>
      <w:bookmarkStart w:id="829" w:name="_Toc303"/>
      <w:bookmarkEnd w:id="827"/>
      <w:bookmarkEnd w:id="828"/>
      <w:r>
        <w:rPr>
          <w:rtl w:val="true"/>
        </w:rPr>
        <w:t>المصادر و المراجع</w:t>
      </w:r>
      <w:bookmarkEnd w:id="8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بدایه المجتهد و نهایه المقتصد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الرضی، أفست عن طبعه القاهره،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 من العروه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الإمام 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مدینه العلم،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القوانین المحکمه فی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طبعه حجریه، تبریز،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شعیب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الآفکار الدولیه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احمدبن علی الخطیب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الکتب العلمیه،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علی المقریزی،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الخطط المقریزیّه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التحریر للطباعه، القاهره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مقایس اللغه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عبدالسلام هارون، دار الفکر، بیروت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الفیّومی،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الهجره،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محمد 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 الاعیان و آنباء ابناء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مکتبه النهضه المصریه، القاهره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الآخوند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قم،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آغا بزرگ الطهرانی،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حصر 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علی الانصاری، مؤسسه تحقیقات و نشر معارف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آغا بزرگ الطهرانی،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 إلی تصانیف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الضواء،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 طبقات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کاشف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المبین فی تصویب المجتهدین وتخطئه الآخباریین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الذخائر للنشر، </w:t>
      </w:r>
      <w:r>
        <w:rPr>
          <w:rFonts w:eastAsia="IRNazanin" w:cs="IRNazanin"/>
          <w:color w:val="111111"/>
          <w:sz w:val="28"/>
          <w:szCs w:val="28"/>
          <w:lang w:bidi="fa-IR"/>
        </w:rPr>
        <w:t>1999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نصرالله،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کرک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التعارف للمطبوعات،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عزیزی،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و تاریخ تحول 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بوستان کتاب، 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خضر عبدالفتاح،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أزمّه البحث العلمی فی العالم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مطبعه سفیر، الریاض،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الخلیل بن احمد الفراهیدی،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کتاب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الاعلی، بیروت، </w:t>
      </w:r>
      <w:r>
        <w:rPr>
          <w:rFonts w:eastAsia="IRNazanin" w:cs="IRNazanin"/>
          <w:color w:val="111111"/>
          <w:sz w:val="28"/>
          <w:szCs w:val="28"/>
          <w:lang w:bidi="fa-IR"/>
        </w:rPr>
        <w:t>1969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الموافقات فی اصول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 بیروت، لا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الله الدهلوی،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 فی بیان سبب الاختلاف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عبدالرحمن الجزیری،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علی المذاهب الربعه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دارالکتب العلمیه، بیروت،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عبدالرحمن السخاوی،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 الحسنه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دارالکتاب العربی،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بکر جلال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الدین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 و القاب الصحابه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مطبعه السعاده، القاهره،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المامقانی،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 فی علم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المطبعه المرتضویه، النجف الاشرف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عبد الرحمان الدارمی،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الدارمی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المغنی، الریاض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عبدالوهاب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البحث فی الفقه الاسلامی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ابن حزم، بیروت،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عبدالوهاب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التشریع الاسلامی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القلم، الکویت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عبدالوهاب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التشریع الاسلامی فیما لانصّ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القلم،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آمدی بر تاریخ علم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 الی تاریخ علم الاصول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المیرزا النّوری،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آل البیت لإحیاء التراث،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النشر التابعه لجامعه المدرسین،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وهبی سلیمانی غاوجی،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 النعمان إمام الائمه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القلم، دمشق، </w:t>
      </w:r>
      <w:r>
        <w:rPr>
          <w:rFonts w:eastAsia="IRNazanin" w:cs="IRNazanin"/>
          <w:color w:val="111111"/>
          <w:sz w:val="28"/>
          <w:szCs w:val="28"/>
          <w:lang w:bidi="fa-IR"/>
        </w:rPr>
        <w:t>1999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یاقوت الحموی،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 بیروت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النشر التابعه لجامعه المدرسین،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احمد قصیر العاملی، 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التعارف للمطبوعات،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روائع التراث، بیروت، لاتاریخ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ابن سعد، الطبقات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احیاء التراث العربی، بیروت، </w:t>
      </w:r>
      <w:r>
        <w:rPr>
          <w:rFonts w:eastAsia="IRNazanin" w:cs="IRNazanin"/>
          <w:color w:val="111111"/>
          <w:sz w:val="28"/>
          <w:szCs w:val="28"/>
          <w:lang w:bidi="fa-IR"/>
        </w:rPr>
        <w:t>1996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عبدالکریم الشهرستانی،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المعرفه، بیروت،</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علی الآردبیلی،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مطبعه نگین، قم،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علی الشوکانی،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ارشادالفحول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 بیروت، لا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شمس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الدین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العلمیه، بیروت </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مرتضی الفیض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تحقیقات و نشر معارف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مکرم 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صادر، بیروت، لا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المکتبه المرتضویه،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محمدتقی 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ایران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محمدتقی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الآصول العامه للفقه المقارن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تحقیقات و نشر معارف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لا تاریخ</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محمدحسین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الاعلمی، بیروت، </w:t>
      </w:r>
      <w:r>
        <w:rPr>
          <w:rFonts w:eastAsia="IRNazanin" w:cs="IRNazanin"/>
          <w:color w:val="111111"/>
          <w:sz w:val="28"/>
          <w:szCs w:val="28"/>
          <w:lang w:bidi="fa-IR"/>
        </w:rPr>
        <w:t>1980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محمدرضا المشهدی،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کنزالدقائق و بحر الغرائب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الطبع و النشر،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محمدرضا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التعارف، بیروت، </w:t>
      </w:r>
      <w:r>
        <w:rPr>
          <w:rFonts w:eastAsia="IRNazanin" w:cs="IRNazanin"/>
          <w:color w:val="111111"/>
          <w:sz w:val="28"/>
          <w:szCs w:val="28"/>
          <w:lang w:bidi="fa-IR"/>
        </w:rPr>
        <w:t>1985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محمدرضا النعمانی،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الآمه و شاهدها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الابحاث و الدراسات التخصصیه للشهید الصدر، قم،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ﻫ</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سلام مدکور،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الاجتهاد فی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الکویت، الکویت</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فرید وجدی،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دائره معارف القرن العشرین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المعرفه للطباعة والنشر،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 شکری الآلوسی،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مکتبه مدبولی، القاهره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مرتضی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المکاسب المحرمه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مرتضی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المدرستین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التعارف للمطبوعات،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مرتضی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ومقتضیات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ومقتضیات العصر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مصطفی جعفرپیشه‌فرد،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دولت در تراث 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مطبوع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عنوان البحث من العناوین الجدیدة التی لم یُصنّف حوله تألیف وتصنیف بشکل مستقل وإن أمکن اصطیاد جذوره من مطاوی الکتب المدوّنة المرتبطة بالفقه وأصوله، لا سیّما التألیفات المختصّة بالاجتهاد وأطواره وتاریخه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والعارف بکیفیة التحصیل فی الحوزات العلمیة ومراتبها ودرجاتها یعلم أنّ الغرض الأقصی لطالب العلوم الدینیّة هو نیل درجة الاجتهاد، وسوف یواجه هذا الطالب خلال دراسته بحراً مترامی الأطراف من الآراء والفتاوی المشتّتة، وذلک یجعل ضروریاً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لیتمکّن من تحدید موقعه فی بحر الفقه الواسع، وموقع کلّ رأی یسمعه من جغرافیا الدراسات الفقهیّة لیتمکّن من المقارنة بین تلک الآراء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مَثَل العارف بالمدارس والمناهج مثل القائم علی قمّة الجبل ینظر إلی الأطراف ویشرف علی جمیع النواحی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الحقیقة ساریة وجاریةٍ فی جمیع المجالات والعلوم وبالأخصّ فی الفقه الذی یعدّ من أدقًّ العلوم وأهمّها للإنسان؛ لأجل ارتباطه بتکالیفه تجاه ربّه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وتهذف هذه الدراسة إلی التعرّف علی المناهج والمدارس، والاطلاع علی خصائص کلّ مدرسة، ومعرفة نقاط القوّة والضعف فیها، والتقریب بین المذاهب بإزالة أسباب سوء الفهم وغیر ذلک من الآثار والثمرات المترتبة علی هذا البحث التی تظهر فی خلال الدراسة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المؤلف</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المقدمة بتصرف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ابن فارس، معجم مقابيس اللغة،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الخليل بن أحمد الفراهيدي، ترتيب كتاب العين،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موسوعة الفقه الإسلامي المقارن،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الخوئي، التنقيح من شرح العروة الوثقي، موسوعة الإمام الخوئي،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علي محمد معوض وعادل أحمد عبدالموجود، تاريخ التشريع الإسلامي،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الكليني، الأصول من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العفة،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تحقيق الدكتور صبحي الصالح، خطبة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كتاب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الاعتكاف،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مرتضى العسكري، معالم المدرستين،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مرتضى العسكري، معالم المدرستين،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سنن الدارمي،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مرتضى العسكري، معالم المدرستين،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الشافعي، الرسالة،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محمد الخضري بك، تاريخ التشريع الإسلامي،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محمدتقى الحكيم، الأصول العامة للفقه المقارن،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الشوكاني، ارشاد الفحول،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ابن خلدون، المقدمة،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محمدتقى الحكيم، الأصول العامة للفقه المقارن،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المظفر، المنطق،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الوهاب خلاف، مصادر التشريع الإسلامي فيما لا نصّ فيه،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موسوعة الفقه الإسلامي طبقاً لمذهب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المحلى،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مرتضى العسكري، معالم المدرستين،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 المحلّى،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مرتضى العسكري، معالم المدرستين،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مرتضى العسكري، نفس المصدر،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أبواب صفات القاضي، رقم</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جواز القضاء والحكم بالرأي والإجتهاد والمقاييس ونحوها من الاستنباطات الظنية في نفس الأحكام الشرعية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الصدر، ألمعالم الجديدة،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الآخوند الخراساني، كفاية الأصول، الخاتمة، 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علي محمد معوض وعادل أحمد عبدالموجود، تاريخ التشريع الإسلامي،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محمدتقى الحكيم، الأصول العامة للفقه المقارن،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السيد الخوئي، التنقيح في شرح العروة‌الوثقى،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الآخوند الخراساني، كفايه‌الأصول،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محمد معوض وعادل أحمد عبدالموجود، تاريخ التشريع الإسلامي،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الخضري، أصول الفقه،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محمدتقي الحكيم، الأصول العامة للفقه المقارن،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محمدتقى الحكيم، الأصول العامة للفقه المقارن، 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الصدر، دروس في علم الأصول، الحلقة الثانية،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الإجتهاد والتقليد،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رضا إسلامي، مدخل علم فقه،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آيةالله الخوئي، نفس المصدر، ص</w:t>
      </w:r>
      <w:r>
        <w:rPr>
          <w:rFonts w:eastAsia="IRNazanin" w:cs="IRNazanin"/>
          <w:b w:val="false"/>
          <w:bCs w:val="false"/>
          <w:i w:val="false"/>
          <w:iCs w:val="false"/>
          <w:color w:val="333333"/>
          <w:sz w:val="20"/>
          <w:szCs w:val="20"/>
        </w:rPr>
        <w:t>94</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الحرّ العاملي، وسائل الشيعة،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 أبواب صفات القاضي،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الخوئي، التنقيح في شرح العروة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الخوئى، التنقيح في شرح العروه‌الوثقى،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الآخوند الخراساني كفاية الأصول، الخاتمة،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الصدر، ألمعالم الجديدة،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موسوعة الفقه الإسلامي طبقاً لمذهب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الخوئي، التنقيح في شرح العروة الوثقى،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محمد معوض وعادل أحمد عبد الموجود، تاريخ التشريع الإسلامي،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مطهري، اسلام و مقتضيات زمان، إجتهاد و تفقه در دين،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محمد اقبال لاهوري احياء فكر ديني در اسلام،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أبي زهرة،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محمدتقي الحكيم، الأصول العامة للفقه المقارن، 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عبدالوهاب خلاف، خلاصة التشريع الإسلامي،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محمدتقي الحكيم، الأصول العامه للفقه المقارن،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أبي زهرة،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محمدتقي الحكيم، الأصول العامة للفقه المقارن،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محمدتقي الحكيم، الأصول العامة للفقه المقارن،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جعفر كاشف الغطاء، الحق المبين،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الآخوند الخراساني كفاية الأصول، الخاتمة،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الطريحي، مجمع البحرين،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الزمخشري، أساس‌البلاغة،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القمي، مفاتيح الجنان، الباب الثالث من الفصل العاشر، والباب الأول من الفصل السادس</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 الاصفهاني، المفردات في غريب القرآن،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محمدرضا المشهدي، تفسير كنز الدقائق،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الشيخ الطوسي، التبيان في تفسير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الشيخ الطبرسي، مجمع البيان في تفسير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خضر، عبدالفتاح، أزمّة البحث العلمي في العالم العربي،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عبدالوهاب إبراهيم، منهج البحث في الفقه الإسلامي،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معجم مقاييس اللغة،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لسان‌العرب،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الطريحي، مجمع البحرين،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الزمخشري، أساس البلاغة،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الفيّومي، المصباح المنير،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الحوزي الشرتوني، اقرب الموارد،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معجم مقاييس اللغة،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الزمخشري، أساس البلاغة،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الفيومي، المصباح المنير،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الشرتوني اقرب الموارد،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الشرتوني، أقرب‌الموارد،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أبوالفتوح الشهرستاني، الملل والنحل،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جعفر السبحاني، الملل والنحل،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الشاطبي، الموافقات،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ابن رشد، بداية المجتهد ونهاية المقتصد،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شاه ولى‌اللّه الدهلوي، الانصاف في بيان سبب الاختلاف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فريد وجدي، دائرة معارف القرن العشرين،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السيد محمدتقى الحكيم، الأصول العامة للفقه المقارن،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رشد، بداية المجتهد ونهاية المقتصد،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فريد وجدي، دائرة معارف القرن العشرين،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محمد معوض وعادل أحمد عبد الموجود، تاريخ التشريع الإسلامي،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محمدحسين الطباطبائي، الميزان في تفسيرالقرآن،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سلام مدكور، مناهج الإجتهاد في الإسلام،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محمدحسين‌الطباطبائي، الميزان في تفسيرالقرآن،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الشاطبي، الموافقات،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محمدحسين الطباطبايي، الميزان في تفسير القرآن،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 ولكن الظاهر هومأخوذ من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شَذَر َمَذَرَ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ذهبوا في كل وجه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ذهبت غنمك شذر مذر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الشاطبي، الموافقات،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سلام مدكور، مناهج الإجتهاد في الإسلام،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محمدحسين الطباطبائي، الميزان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رقم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رقم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السخاوي، المقاصد الحسنة،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والمناوي، فيض القدير،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حسين عزيزي، مباني و تاريخ تحول إجتهاد،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معاني الأخبار،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تذكرة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مرتضى العسكري، معالم المدرستين،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طبقات ابن سعد الطبقات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الكنز بهامش 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كتاب العلم، 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تاريخ الإسلام،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السيوطي، تاريخ الخلفاء،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مرتضى العسكري، معالم المدرستين،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رشيد رضا، تفسير المنار،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جعفر السبحاني، 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التفصيل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التشريع الإسلامي،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معالم المدرستين،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الملل والنحل،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الثقلين قد صدع بها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مواقف شتى كيوم الغدير ويوم عرفة في حجة الوداع وعلى منبره في المدينة وبعد انصرافه من الطائف وفي حجرته في مرضه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أيها النّاس إني تركت فيكم ما أن اخذتم به لن تضلوا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الله وعترتي أهل 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شرف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الحاكمه بوجوب التمسك بالثقلين متواترة وطرقها عن بضع وعشرين صحابياً متضافرة، 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اعترف بذلك جماعة من أعلام الجمهور حتى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اورد حديث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أعلم ان لحديث التمسك بهما طرقاً كثيرة وردت عن نيف وعشرين صحابياً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وأيضاً معالم المدرستين،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الكليني باسناده عن هشام بن سالم وحماد بن عثمان وغيره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سمعنا أباعبداللّه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حديثي حديث أبي وحديث أبي حديث جدي وحديث جدي حديث الحسين وحديث الحسين حديث الحسن وحديث الحسن حديث أمير المؤمنين وحديث أمير المؤمنين حديث رسول الله وحديث رسول الله قول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أبواب صفات القاضي،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سلام مدكور، مناهج الإجتهاد في الإسلام،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علي محمد معوض وعادل أحمد عبد الموجود، تاريخ التشريع الإسلامي،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سلام مدكور، مناهج الإجتهاد في الإسلام،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معوض وعادل أحمد عبد الموجود، تاريخ التشريع الإسلامي،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سلام مدكور، مناهج الإجتهاد في الإسلام،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محمد الخضري بك، تاريخ التشريع الإسلامي،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سلام مدكور، مناهج الإجتهاد في الإسلام،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عبدالحسين شرف الدين، النص والإجتهاد، موسوعة الإمام شرف الدين،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مرتضى العسكري، معالم المدرستين،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سلام مدكور، مناهج الإجتهاد في الإسلام،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علي محمد معوض وعادل أحمد عبدالموجود، تاريخ التشريع الإسلامي،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 كتاب القضاء، أبواب صفات القاضي،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سلام مدكور، مناهج الإجتهاد في الإسلام،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محمد أبراهيم جناتي، أدوار إجتهاد،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 السامي في تاريخ الفقه الإسلامي،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محمد سلام مدكور، مناهج الإجتهاد في الإسلام،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سلام مدكور، مناهج الإجتهاد في الإسلام،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الشاطبي، الموافقات،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سلام مدكور، مناهج الإجتهاد في الإسلام،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وأَشْهِدُوا</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سلام مدكور، مناهج الإجتهاد في الإسلام،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الخضري بك، تاريخ التشريع الإسلامي،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محمدالخضري‌بك،</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أبواب صفات القاضي،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العسكري، معالم المدرستين،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الخضري بك، تاريخ التشريع الإسلامي،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علي محمد معوض وعادل أحمد عبد الموجود، تاريخ التشريع الإسلامي،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جده زوطي من أهل كابل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أبي حنيفة من ترمذ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أبوحنيفة من أهل بابل وقيل والده من أهل الأنبار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معوض وعادل أحمد عبدالموجود، تاريخ التشريع الإسلامي،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الخضري بك، تاريخ التشريع الإسلامي،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وهبي سليمان غاوجي، أبوحنيفة النعمان إمام الائمة الفقهاء،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معوض وعادل أحمد عبدالموجود، تاريخ التشريع الإسلامى،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وهبي سليمان غاوجي، أبوحنيفة النعمان،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الخضري بك، تاريخ التشريع الإسلامي،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علي محمد معوض وعادل أحمد عبد الموجود، تاريخ التشريع الإسلامى،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سلام مدكور، مناهج الإجتهاد في الإسلام،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علي محمد معوض وعادل أحمد عبد الموجود، تاريخ التشريع الإسلامي،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سلام مدكور، مناهج الإجتهاد في الإسلام،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محمد معوض وعادل أحمد عبد الموجود، تاريخ التشريع الإسلامي،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أبوزهرة، تاريخ المذاهب الإسلامية،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علي محمد معوض وعادل أحمد عبد الموجود، تاريخ التشريع الإسلامي،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محمدتقى الحكيم، الأصول العامة للفقه المقارن،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محمد سلام مدكور، مناهج الإجتهاد في الإسلام،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معوض وعادل أحمد عبد الموجود، تاريخ التشريع الإسلامي،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محمد سلام مدكور، مناهج الإجتهاد في الإسلام،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محمدتقى الحكيم، الأصول العامة للفقه المقارن،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سلام مدكور، مناهج الإجتهاد في الإسلام،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محمدتقي الحكيم، الاصول العامة للفقه المقارن،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محمدتقي الحكيم، الأصول العامة للفقه المقارن،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محمد سلام مدكور، مناهج الإجتهاد في الإسلام،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سلام مدكور، مناهج الاجتهاد في الإسلام، ص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معوض وعادل أحمد عبد الموجود، تاريخ التشريع الإسلامي،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محمدتقى الحكيم، الأصول العامة للفقه المقارن،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الشهيد محمدباقر الصدر، الحلقه الثانية،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الجزيري، الفقه على المذاهب الأربعة،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وإعلم أن بعض المؤفين نسب إلى الحنفية أنهم يقسمون الحكم التكليفي إلى ثمانية أقسام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الواجب عند الاحناف كما أنه غير الفرض كذلك أنه غير السنة المؤدة فالواجب هوالطلب الإلزامي الذي دليله ظني وأما السنة المؤدة هي الطلب غير الجازم الذي واظب الرسول على فعله ولم يتركه دون عذر كصلاة ركعتي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سلام مدكور، مناهج الإجتهاد في الإسلام، ص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محمدتقي الحكيم، الأصول العامة للفقه المقارن،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الجزيري، الفقه على المذاهب الأربعة،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محمد سلام مدكور، مناهج الإجتهاد في الإسلام،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محمدتقى الحكيم، الأصول العامة للفقه المقارن،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الجزيري، الفقه على المذاهب الأربعة،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الجزيري، الفقه على المذاهب الأربعة،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وفيات الأعيان،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البغدادي، تاريخ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محمد سلام مدكور، مناهج الإجتهاد في الإسلام،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أبيشيبة، المصنف،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على آل محسن، المسائل الخلافية والرأي الحق فيها،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البغدادي، تاريخ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على آل محسن، المسائل الخلافية والرأي الحق فيها،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معوض وعادل أحمد عبد الموجود، تاريخ التشريع الإسلامي،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محمد سلام مدكور، مناهج الإجتهاد في الإسلام،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وهبي سليمان غاوجي، أبوحنيفة النعمان،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علي محمد معوض وعادل أحمد عبد الموجود، تاريخ التشريع الإسلامي،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سلام مدكور، مناهج الإجتهاد في الإسلام،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علي محمد معوض وعادل أحمد عبد الموجود، تاريخ التشريع الإسلامي،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محمدالخضري بك، تاريخ التشريع الإسلامي،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معوض وعادل أحمد عبدالموجود، تاريخ التشريع الإسلامي،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سلام مدكور، مناهج الإجتهاد في الإسلام،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معوض وعادل أحمد عبد الموجود، تاريخ التشريع الإسلامي،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على‌اصغر مرواريد، المصادر الفقهية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معوض وعادل أحمد عبد الموجود، تاريخ التشريع الإسلامي،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المذهب الإسلامية، الشيخ محمد أبوزهرة،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علي محمد معوض وعادل أحمد عبد الموجود، تاريخ التشريع الإسلامي،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معوض وعادل أحمد عبد الموجود، تاريخ التشريع الإسلامي،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سلام مدكور، مناهج الإجتهاد في الإسلام،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علي محمد معوض وعادل أحمد عبد الموجود، تاريخ التشريع الإسلامي،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معوض وعادل أحمد عبدالموجود، تاريخ التشريع الإسلامي،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محمد سلام مدكور، مناهج الإجتهاد في الإسلام،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سلام مدكور، الفقه الإسلامي،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علي محمد معوض وعادل أحمد عبد الموجود، تاريخ التشريع الإسلامي،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سلام مدكور، مناهج‌الإجتهاد في الإسلام،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فاتح زقلام، الأصول،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تاريخ التشريع الإسلامي،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سلام مدكور، مناهج الإجتهاد في الإسلام،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سلام مدكور، مناهج الإجتهاد في الإسلام،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علي محمد معوض وعادل أحمد عبد الموجود، تاريخ التشريع الإسلامي،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معوض وعادل أحمد عبد الموجود، تاريخ التشريع الإسلامي،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سلام مدكور، مناهج الإجتهاد في الإسلام،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معوض وعادل أحمد عبد الموجود، تاريخ التشريع الإسلامي،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محمد سلام مدكور، مناهج الإجتهاد في الإسلام،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سلام مدكور، مناهج الإجتهاد في الإسلام،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معوض وعادل أحمد عبد الموجود، تاريخ التشريع الإسلامي،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سلام مدكور، مناهج الإجتهاد في الإسلام، 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علي محمد معوض وعادل أحمد عبد الموجود، تاريخ التشريع الإسلامي،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سلام مدكور، مناهج الإجتهاد في الإسلام،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علي محمد معوض وعادل أحمد عبد الموجود، تاريخ التشريع الإسلامي،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سلام مدكور، مناهج الإجتهاد في الإسلام،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معوض وعادل أحمد عبد الموجود، تاريخ التشريع الإسلامي،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محمدتقي الحكيم، الأصول العامه للفقه المقارن،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الخضري بك، تاريخ التشريع الإسلامي،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معوض وعادل أحمد عبدالموجود، تاريخ التشريع الإسلامي،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محمد سلام مدكور، مناهج الإجتهاد في الإسلام،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سلام مدكور، مناهج الإجتهاد في الإسلام،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الخضري بك، تاريخ التشريع الإسلامي،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سلام مدكور، مناهج الاجتهاد في الإسلام،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القمي، القوانين المحكمة،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محمدتقى الحكيم، الأصول العامه للفقه المقارن،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سلام مدكور، مناهج الاجتهاد في الإسلام،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معوض وعادل أحمد عبدالموجود، تاريخ التشريع الإسلامي،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صاحب كتاب تاريخ التشريع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حكم هذه المسألة هوالحليّة، لكن يظهر أنّ الرأي الصحيح هوما ذهب إليه، محمد سلام مدكور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رأي مالك هوالحرمة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الإجتهاد في الإسلام،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علي محمد معوض وعادل أحمد عبد الموجود، تاريخ التشريع الإسلامي،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سلام مدكور، مناهج الإجتهاد في الإسلام،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محمدتقى الحكيم، لأصول العامه للفقه المقارن،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محمد معوض وعادل أحمد عبدالموجود، تاريخ التشريع الإسلامي،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محمد معوض وعادل أحمد عبدالموجود، تاريخ الشريع الإسلامي،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سلام مدكور، مناهج‌الإجتهاد في الإسلام،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سلام مدكور، مناهج‌الاجتهاد في الإسلام،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الاغراء بين القوم</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سلام مدكور، مناهج‌الإجتهاد في الإسلام،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سلام مدكور، مناهج‌الاجتهاد في الإسلام،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سلام مدكور، مناهج الإجتهاد في الاسلام،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سلام مدكور، مناهج الإجتهاد في الإسلام، ص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علي محمد معوض وعادل أحمد عبدالموجود، تاريخ التشريع الإسلامي،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جعفر السبحاني، فروغ ابديت،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ابن خلكان، وفيات الأعيان،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سلام مدكور، مناهج الإجتهاد في الإسلام،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محمد الخضري بك، تاريخ التشريع الإسلامي،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ابن خلكان، وفيات الأعيان،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سلام مدكور، مناهج‌الإجتهاد في الإسلام،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محمدالخضري بك، تاريخ التشريع الإسلامي،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معوض وعادل أحمد عبدالموجود، تاريخ التشريع الإسلامي،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سلام مدكور، مناهج الإجتهاد في الإسلام،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تاريخ التشريع الإسلامي،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سلام مدكور، مناهج الإجتهاد في الإسلام،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مهدى‌پور علي، درآمدى بر تاريخ علم أصول،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عليأصغر مرواريد، المصادرالفقهيّة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سلام مدكور، مناهج الإجتهاد في الإسلام،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علي محمد معوض وعادل أحمد عبدالموجود، تاريخ التشريع الإسلامي،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محمد الخضري بك، تاريخ‌التشريع الإسلامي،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سلام مدكور، مناهج الإجتهاد في الإسلام،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محمد الخضري بك، تاريخ التشريع الإسلامي،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علي محمد معوض وعادل أحمد عبدالموجود، تاريخ‌التشريع الإسلامي،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مناهج‌الإجتهاد الإسلامي،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معوض وعادل أحمد عبدالموجود، تاريخ التشريع الإسلامي،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سلام مدكور، مناهج الإجتهاد في الإسلام، 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سلام مدكور، مناهج الإجتهاد في الإسلام،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معوض وعادل أحمد عبدالموجود، تاريخ التشريع الإسلامي،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الخضري بك، تاريخ التشريع الإسلامي،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محمد سلام مدكور، مناهج الإجتهاد في الإسلام، 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سلام مدكور، مناهج الإجتهاد في الإسلام،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سلام مدكور، مناهج الإجتهاد في الإسلام،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سلام مدكور، مناهج‌الإجتهاد في الإسلام،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محمد الخضري بك، تاريخ التشريع الإسلامي،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الجريري، الفقه على المذاهب الأربعة،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معوض وعادل أحمد عبدالموجود، تاريخ التشريع الإسلامي،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محمد الخضري بك، تاريخ التشريع الإسلامي،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محمد سلام مدكور، مناهج الإجتهاد في الإسلام، ص</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سلام مدكور، مناهج الإجتهاد في الإسلام،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سلام مدكور، منهاج الإجتهاد في الإسلام،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معوض وعادل أحمد عبدالموجود، تاريخ التشريع الإسلامي،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محمد سلام مدكور، منهاج الإجتهاد في الإسلام، 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معوض وعادل أحمد عبدالموجود، تاريخ التشريع الإسلامي،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إبن خلدون،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محمد سلام مدكور، منهاج الإجتهاد في الإسلام،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معوض وعادل أحمد عبدالموجود، تاريخ التشريع الإسلامي،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معوض وعادل أحمد عبدالموجود، تاريخ التشريع الاسلامي،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الخضري بك، تاريخ التشريع الإسلامي،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التشريع الإسلامي،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القيم الجوزية، اعلام الموقعين،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أبوزهرة، ابن حنبل،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نقلاً عن محمد سلام مدكور، مناهج الإجتهاد في الإسلام،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علي محمد معوض وعادل أحمد عبد الموجود، تاريخ التشريع الإسلامي،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المقيم الجوزية، اعلام الموقعين،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نقلاً عن محمد سلام مدكور، مناهج الإجتهاد في الإسلام،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سلام مدكور، مناهج‌الإجتهاد في الإسلام،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علي محمد معوض وعادل أحمد عبدالموجود، تاريخ التشريع الإسلامي،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سلام مدكور، مناهج الإجتهاد في الإسلام، 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المصدرالسابق،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سلام مدكور، مناهج الإجتهاد في الإسلام، 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سلام مدكور، مناهج الإجتهاد في الإسلام،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سلام مدكور، مناهج الإجتهاد في الإسلام،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سلام مدكور، مناهج‌الإجتهاد في الإسلام، 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محمد معوض وعادل أحمد عبدالموجود، تاريخ التشريع الإسلامي،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معوض وعادل أحمد عبدالموجود، تاريخ التشريع الإسلامي،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السبحاني، آيين وهابيت،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معوض وعادل أحمد عبدالموجود، تاريخ التشريع الإسلامي،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الآلوسي، تاريخ نجد،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والجعفر السبحاني، آيين وهابيت،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 السبحاني، آيين وهابيت،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الآلوسي، تاريخ نجد،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ناصر مكارم شيرازي، وهابيت بر سر دو راهى،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وُلد سنة مائتين بالكوفة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معوض وعادل أحمد عبدالموجود، تاريخ التشريع الإسلامي،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سلام مدكور، مناهج‌الإجتهاد في الإسلام،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سلام مدكور، مناهج الإجتهاد في الإسلام،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علي محمد معوّض وعادل أحمد عبد الموجود، تاريخ التشريع الإسلامي،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أبوزهرة، تاريخ المذاهب الإسلاميّة، ص</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علي محمد معوّض وعادل أحمد عبدالموجود، مناهج الإجتهاد في الإسلام،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سلام مدكور، مناهج الإجتهاد في الإسلام،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سلام مدكور، مناهج الإجتهاد في الإسلام،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البغدادي، تاريخ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محمد سلام مدكور، مناهج الإجتهاد في الإسلام، ص</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معوّض وعادل أحمد عبد الموجود، تاريخ التشريع الإسلامي،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معوض وعادل أحمد عبدالموجود، تاريخ التشريع الإسلامي،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سلام مدكور، مناهج الإجتهاد في الإسلام،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الإحكام في أصول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محمّد سلام مدكور، مناهج الإجتهاد في الإسلام، ص</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الإحكام في أصول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محمّد سلام مدكور، مناهج الإجتهاد في الإسلام، ص</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المحلّى،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المحلّى،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محمّد سلام مدكور، مناهج الإجتهاد في الإسلام،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ابن‌حزم، الإحكام في أصول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محمّد سلام مدكور، مناهج الإجتهاد في الإسلام، ص</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سلام مدكور، مناهج الإجتهاد في الإسلام، 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الإحكام في أصول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محمد سلام مدكور، مناهج الإجتهاد في الإسلام، ص</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المحلّى،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محمد سلام مدكور، مناهج الإجتهاد في الإسلام، 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سلام مدكور، مناهج الإجتهاد في الإسلام،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معوض وعادل أحمد عبد الموجود، تاريخ التشريع الإسلامى،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آغا بزرگ الطهراني، تاريخ حصر الإجتهاد،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محمد سلام مدكور، مناهج الإجتهاد في الإسلام،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معوض وعادل أحمد عبد الموجود، تاريخ التشريع الإسلامي،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عزيزي، مبانى وتاريخ تحول إجتهاد،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إبراهيم جنّاتي، أدوار إجتهاد از ديدگاه مذاهب اسلامي،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إبراهيم جناتي، إدوار اجتهاد از ديدگاه مذاهب اسلامى،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آغا بزرگ الطهراني، تاريخ حصر الإجتهاد،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ابن الفوطي، الحوادث الجامعة،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المقريزي، الخطط المقريزيّة،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الشيخ آغا بزرگ الطهراني، تاريخ حصر الإجتهاد،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إبراهيم الجنّاتي، أدوار إجتهاد از ديدگاه مذاهب اسلامي،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حسين عزيزى، مبانى وتاريخ تحوّل إجتهادى،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الشيخ محمد الخضري بك، تاريخ التشريع الإسلامىّ،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معوض وعادل أحمد عبد الموجود، تاريخ التشريع الإسلامي،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سلام مدكور، مناهج الإجتهاد في الإسلام،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عبد الوهاب خلاف، خلاصة التشريع الإسلامي،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محمدتقى الحكيم، الأصول العامّة للفقه المقارن،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الخضري بك، تاريخ التشريع الإسلامي،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سلام مدكور، مناهج الإجتهاد في الإسلام،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محمدتقى الحكيم، الأصول العامة للفقه المقارن،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سلام مدكور، مناهج الإجتهاد في الإسلام،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عبدالوهاب خلاف، خلاصة التشريع الإسلامىّ،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معوض وعادل أحمد عبد الموجود، تاريخ التشريع الإسلامي،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المقريزي، الخطط المقريزيّة،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آغا بزرگ الطهراني، تاريخ حصر الإجتهاد،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عبدالوهاب خلاف، خلاصة التشريع الإسلامي،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محمدتقي الحكيم، الأصول العامّة للفقه المقارن،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سلام مدكور، مناهج الإجتهاد في الإسلام،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سلام مدكور، مناهج‌الإجتهاد في الإسلام،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محمدتقى الحكيم، الأصول العامّة للفقه المقارن،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معوض وعادل أحمد عبدالموجود، تاريخ التشريع الإسلامي،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محمدتقى الحكيم، الأصول العامة للفقه المقارن،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معوض وعادل أحمد عبد الموجود، تاريخ التشريع الإسلامي،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محمد سلام مدكور، مناهج الإجتهاد في الإسلام،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معوض وعادل أحمد عبد الموجود، تاريخ التشريع الإسلامي،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معوض وعادل أحمد عبدالموجود، تاريخ التشريع الإسلامي،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محمد سلام مدكور، مناهج الإجتهاد في الإسلام،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الإجتهاد في الشريعة،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محمدتقى الحكيم، الأصول العامة للفقه المقارن،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محمد سلام مدكور، مناهج الإجتهاد في الإسلام،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آغا بزرگ الطهراني، تاريخ حصر الإجتهاد،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 كالجبّانة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المقبرة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تنفّس تنفّسا ممدودا طويلاً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الحمقي من الناس والرعاع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الإحداث الطغام الذين لامنزلة لهم في الناس</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الشي لينا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الشى حسنا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الترف والنعيم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الدكتور صبحى الصالح، الحكمة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الشافعيّة يجيزون أن يقول 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مؤمن إن شاء اللّه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ابن كثير في ترجمة محمد بن موسى بن عبدالله الحنفي ما يمكن أن يكون نظيرا لهذا الكلام، إذ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قضاء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لوكانت لى الولاية لأخذت من أصحاب الشافعيّ الجزية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على آل محسن، مسائل خلافيّة،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سابق، فقه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الإحكام في أصول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علي محمد معوض وعادل أحمد عبد الموجود، تاريخ التشريع الإسلامي،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السلطان إلى مسلمى بلاد اليابأن،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علي محمد معوض وعادل أحمد عبد الموجود، تاريخ التشريع الإسلامي</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معوض وعادل أحمد عبد الموجود، تاريخ التشريع الإسلامي،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معوض وعادل أحمد عبد الموجود، تاريخ التشريع الإسلامي،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معوض وعادل أحمد عبد الموجود، تاريخ التشريع الإسلامي،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معوض وعادل أحمد عبد الموجود، تاريخ التشريع الإسلامي،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الخضري بك، تاريخ التشريع الإسلامي،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علي محمد معوض وعادل أحمد عبد الموجود، تاريخ التشريع الإسلامي،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معوض وعادل أحمد عبد الموجود، تاريخ التشريع الإسلامي، ج،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سلام مدكور، مناهج الإجتهاد في الإسلام، 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معوض وعادل أحمد عبد الموجود، تاريخ التشريع الإسلامي،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رجال النجاشي،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موسوعة الفقه الإسلامي،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كتاب المواريث، باب ميراث الولد مع الابوين،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كتاب المواريث باب ميراث الولد مع الأبوينى،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نهج‌البلاغه،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تحقيق صبحي صالح</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النوري، مستدرك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موسوعة الفقه الإسلامي،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تذكرة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موسوعة الفقه الإسلامي،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تذكرة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موسوعة الفقه الإسلامي،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الإسلامي،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بزرگ الطهراني، الذريعة إلى تصانيف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الإسلامي،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موسوعة الفقه الإسلامي،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باب وجوب الرجوع في القضاء إلى رواة الحديث،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الحويزي، تفسير نورالثقلين،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أبواب صفات القاضي،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رجال النجاشي،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جعفر السبحاني، موسوعة طبقات الفقهاء، القسم الثاني،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رجال النجاشي،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رجال النجاشي،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الفهرست،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رجال النجاشي،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السبحاني، موسوعة طبقات الفقهاء، القسم الثاني،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مقدمة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کان فی نسبته الی مملکة العمّان المعروفة الیوم غیر واضحة والأمر بحاجة الی دراسة اکثر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جعفرپیشه فرد، فقه دولت در تراث امامیه،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مطبوع</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العلوم، الفوائد الرجالية،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التستري، قاموس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النجاشي، رجال النجاشي، رقم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 جعفر السبحاني، موسوعة طبقات الفقهاء، القسم الثاني،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السبحاني، موسوعة طبقات الفقهاء، القسم الثاني،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السبحاني، موسوعة طبقات الفقهاء، القسم الثاني،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نقلاً عن تصحيح الاعتقاد،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السبحاني، موسوعة طبقات الفقهاء، القسم الثاني،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نقلاً عن المفيد، المسائل السروية،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الإسلامي،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الإسلامي،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السبحاني، موسوعة طبقات الفقهاء، القسم الثاني،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الإسلامي،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جعفرالسبحاني، موسوعة طبقات الفقهاء، القسم الثاني،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عدنان فرحان، أدوار الإجتهاد عند الشيعه الإمامية،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بحرالعلوم، الفوائد الرجالية،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موسوعة الفقه الإسلامي،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الإسلامي،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جعفرالسبحاني، موسوعة طبقات الفقهاء، القسم الثاني،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رجال النجاشي،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النائينى،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السبحاني، موسوعة طبقات الفقهاء، القسم الثاني،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المبسوط في فقه الامامية،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الخوئى، معجم رجال الحديث،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عدنان فرحان، أدوار الإجتهاد فيالفقه الإمامي،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السبحاني، موسوعة طبقات الفقهاء، القسم الثاني،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عدنان فرحان، أدوار الإجتهاد في الفقه الإمامي،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محمدباقر الصدر، ألمعالم الجديدة،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الإسلامي،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جعفر السبحاني، موسوعة طبقات الفقهاء، القسم الثاني،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الإسلامي،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عدنان فرحان، أدوار الإجتهاد في الفقه الإمامي،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الأنصاري، المكاسب المحرمة،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السبحاني، موسوعة طبقات الفقهاء، القسم الثاني،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والاثنان الباقيان هما أبى‌الصلاح الحلبي والقاضي ابن برّاج الطرابلسي من فقهاء الدور الثاني</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السبحاني، موسوعة طبقات الفقهاء، القسم الثاني،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السبحاني، موسوعة طبقات الفقهاء، القسم الثانى،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السبحاني، موسوعة طبقات الفقهاء، القسم الثاني،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اقبال الأعمال،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آقابزرگ الطهراني، الذريعة إلى تصانيف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المامقاني، وتننقيح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ومقدمة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لؤلؤة البحرين،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حسن نصراللّه، تاريخ كرك نوح،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القمي، الفوائد الرضويه،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الخونساري، روضات الجنات،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النوري، خاتمة 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السبحاني، موسوعة طبقات الفقهاء، القسم الثاني،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رسالة صلاة الجمعه،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الأمين، اعيان الشيعة،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مقدمة اللمعه‌الدمشقية،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عدنان فرحان، أدوار الإجتهاد عند الشيعة الإمامية،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الإسلامي،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الإسلامي،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الإسلامي،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الإسلامي،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الافندى التبريزى، الرياض،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جعفر السبحاني، موسوعة طبقات الفقهاء، القسم الثاني،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محمد بن على الاردبيلي، 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الإسلامي،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كنز العمال، حديث </w:t>
      </w:r>
      <w:r>
        <w:rPr>
          <w:rFonts w:eastAsia="IRNazanin" w:cs="IRNazanin"/>
          <w:b w:val="false"/>
          <w:bCs w:val="false"/>
          <w:i w:val="false"/>
          <w:iCs w:val="false"/>
          <w:color w:val="333333"/>
          <w:sz w:val="20"/>
          <w:szCs w:val="20"/>
        </w:rPr>
        <w:t>900</w:t>
      </w:r>
      <w:r>
        <w:rPr>
          <w:rFonts w:ascii="IRNazanin" w:hAnsi="IRNazanin" w:eastAsia="IRNazanin"/>
          <w:b w:val="false"/>
          <w:b w:val="false"/>
          <w:bCs w:val="false"/>
          <w:i w:val="false"/>
          <w:i w:val="false"/>
          <w:iCs w:val="false"/>
          <w:color w:val="333333"/>
          <w:sz w:val="20"/>
          <w:sz w:val="20"/>
          <w:szCs w:val="20"/>
          <w:rtl w:val="true"/>
        </w:rPr>
        <w:t>؛ عدنان فرحان، أدوار الإجتهاد عند الشيعة الإمامية،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هنوات تتخذ على اشكال اللؤلؤ من فضّة، فارس معرّب واحدته جُمانه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الجوهرى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الجمانة حبّة تعمل من الفضّة كالدرّة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الإسلامي،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الإسلامي،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عدنان فرحان، أدوار الإجتهاد عند الشيعة الإمامية،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مقدمه منتقى الجمان،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الإسلامي،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الخوئي، معجم رجال الحديث،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الفوائد المدنية،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الاسترابادي، الفوائد المدنية،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الفوائد المدنية،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السبحاني، موسوعة طبقات الفقهاء، القسم الثاني،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الفوائد المدنية،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لؤلؤة البحرين،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جعفر السبحاني، موسوعة طبقات الفقهاء، القسم الثاني،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لؤلؤ البحرين،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لؤلؤة البحرين،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جعفر السبحاني، موسوعة طبقات الفقهاء، القسم الثاني، ص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عدنان فرحان، أدوار الإجتهاد عنه الشيعة الإمامية،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التنكابني، قصص العلماء،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الخونساري، روضات الجنات،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عدنان فرحان، أدوار الإجتهاد عند الشيعة الامامية،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جعفر السبحاني، موسوعة طبقات الفقهاء، القسم الثاني،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السبحاني، موسوعة طبقات الفقهاء، القسم الثاني،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موسوعة الفقه الإسلامي،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الفوائد الطوسية،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مقدمة الفوائد المدنية،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الدهلوي، الحق المبين،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مقدمة الفوائد المدنية،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المسائل السروية،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عدنان فرحان، أدوار الإجتهاد عند الشيعة الإمامية،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السبحاني، موسوعة طبقات الفقهاء، القسم الثاني،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السبحاني، موسوعة طبقات الفقهاء، القسم الثاني،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القزوينى، التاريخ السياسي للفقه الإمامى، جعفر السبحاني، موسوعة طبقات الفقهاء، القسم الثاني،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عدنان فرحان، أدوار الإجتهاد عند الشيعة الامامية،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 پيشينه نظريه ولايت فقيه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مطهري، اسلام ومقتضيات زمان و ده گفتار،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ومرجعيت و روحانيت،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سيدمحسن آل‌سيدغفور، جايگاه سياسي عالم ديني در دو مكتب أخبارى و اصول،ص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روضة المتقين،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الكاشاني، مفاتيح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زاد المعاد،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الاطلاع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پيشينه نظريه ولايت فقيه،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الإسلامي،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السبحاني، موسوعة طبقات الفقهاء، القسم الثاني،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المامقاني، تنقيح المقال،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البهبهاني؛ عدنان فرحان، أدوار الإجتهاد عند الشيعة الإمامية،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السبحاني، موسوعة طبقات الفقهاء، القسم الثاني،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الاصفى، مقدمة الرياض،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الخوانساري، 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عدنان فرحان، أدوار الإجتهاد عند الشيعة الإمامية،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الإسلامي،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جعفر السبحاني، موسوعة طبقات الفقهاء، القسم الثاني،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البهبهاني، الرسائل الأصولية، رسالة الإجتهاد والأخبار،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جعفر السبحاني، موسوعة طبقات الفقهاء، القسم الثاني،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الإسلامي،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السبحاني، موسوعة طبقات الفقهاء، القسم الثاني،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السبحاني، تاريخ الفقه الإسلامي،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عدنان فرحان، أدوار الإجتهاد عند الشيعة الإمامية،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الإسلامي،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السبحاني، موسوعة طبقات الفقهاء، القسم الثاني،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السبحاني، موسوعة طبقات الفقهاء، القسم الثاني،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الإسلامي،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السبحاني، موسوعة طبقات الفقهاء، القسم الثاني،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الإسلامي،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السبحاني، موسوعة طبقات الفقهاء، القسم الثاني،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السبحاني، موسوعة طبقات الفقهاء، القسم الثاني،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مقدمة المكاسب المحرمة للسيد الإمام،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محمدرضا النعماني، شهيد الأمه وشاهدها،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مقدّمة دروس في علم الأصول للشهيد الصدر،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النعماني، شهيد الأه وشاهدها،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الإسلامي،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إمام،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رسالة الإجتهاد والتقليد للإمام الراحل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مباحث الأصول، للسيد الحائري،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دروس في علم الأصول للشهيد الصدر،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دروس في علم الأصول للشهيد الصدر،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النعماني، شهيد الامه وشاهدها،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عدنان فرحان، أدوار الإجتهاد عند الشيعة الإمامية،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مجلة الحياة الطيّبة،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image" Target="media/image2.jpeg"/><Relationship Id="rId395" Type="http://schemas.openxmlformats.org/officeDocument/2006/relationships/image" Target="media/image2.jpeg"/><Relationship Id="rId396" Type="http://schemas.openxmlformats.org/officeDocument/2006/relationships/footer" Target="footer389.xml"/><Relationship Id="rId397" Type="http://schemas.openxmlformats.org/officeDocument/2006/relationships/footnotes" Target="footnotes.xml"/><Relationship Id="rId398" Type="http://schemas.openxmlformats.org/officeDocument/2006/relationships/numbering" Target="numbering.xml"/><Relationship Id="rId399" Type="http://schemas.openxmlformats.org/officeDocument/2006/relationships/fontTable" Target="fontTable.xml"/><Relationship Id="rId400" Type="http://schemas.openxmlformats.org/officeDocument/2006/relationships/settings" Target="settings.xml"/><Relationship Id="rId4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401</Pages>
  <Words>36151</Words>
  <Characters>177296</Characters>
  <CharactersWithSpaces>211864</CharactersWithSpaces>
  <Paragraphs>1769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2026-08-20T03:13:18Z</dcterms:created>
  <dc:creator>ghaemiyeh.com</dc:creator>
  <dc:description/>
  <dc:language>en-US</dc:language>
  <cp:lastModifiedBy/>
  <dcterms:modified xsi:type="dcterms:W3CDTF">2026-08-20T06:43:29Z</dcterms:modified>
  <cp:revision>1</cp:revision>
  <dc:subject/>
  <dc:title>الإجتهاد عند المذاهب الاسلامیة دراسه تحلیلیه حول مدارس الاجتهاد و مناهجه و ادواره</dc:title>
</cp:coreProperties>
</file>

<file path=docProps/custom.xml><?xml version="1.0" encoding="utf-8"?>
<Properties xmlns="http://schemas.openxmlformats.org/officeDocument/2006/custom-properties" xmlns:vt="http://schemas.openxmlformats.org/officeDocument/2006/docPropsVTypes"/>
</file>